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tabs>
          <w:tab w:pos="6398" w:val="left" w:leader="none"/>
        </w:tabs>
        <w:spacing w:before="7"/>
        <w:ind w:left="847" w:right="914" w:firstLine="0"/>
        <w:jc w:val="left"/>
        <w:rPr>
          <w:rFonts w:ascii="宋体" w:hAnsi="宋体" w:cs="宋体" w:eastAsia="宋体" w:hint="default"/>
          <w:sz w:val="30"/>
          <w:szCs w:val="30"/>
        </w:rPr>
      </w:pPr>
      <w:r>
        <w:rPr/>
        <w:pict>
          <v:group style="position:absolute;margin-left:55.200001pt;margin-top:-28.090464pt;width:485pt;height:.1pt;mso-position-horizontal-relative:page;mso-position-vertical-relative:paragraph;z-index:1048" coordorigin="1104,-562" coordsize="9700,2">
            <v:shape style="position:absolute;left:1104;top:-562;width:9700;height:2" coordorigin="1104,-562" coordsize="9700,0" path="m1104,-562l10804,-562e" filled="false" stroked="true" strokeweight=".72pt" strokecolor="#000000">
              <v:path arrowok="t"/>
            </v:shape>
            <w10:wrap type="none"/>
          </v:group>
        </w:pict>
      </w:r>
      <w:r>
        <w:rPr>
          <w:rFonts w:ascii="宋体" w:hAnsi="宋体" w:cs="宋体" w:eastAsia="宋体" w:hint="default"/>
          <w:sz w:val="30"/>
          <w:szCs w:val="30"/>
        </w:rPr>
        <w:t>证券代码：</w:t>
      </w:r>
      <w:r>
        <w:rPr>
          <w:rFonts w:ascii="宋体" w:hAnsi="宋体" w:cs="宋体" w:eastAsia="宋体" w:hint="default"/>
          <w:sz w:val="30"/>
          <w:szCs w:val="30"/>
        </w:rPr>
        <w:t>002374</w:t>
        <w:tab/>
      </w:r>
      <w:r>
        <w:rPr>
          <w:rFonts w:ascii="宋体" w:hAnsi="宋体" w:cs="宋体" w:eastAsia="宋体" w:hint="default"/>
          <w:sz w:val="30"/>
          <w:szCs w:val="30"/>
        </w:rPr>
        <w:t>证券简称：丽鹏股份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1862" w:lineRule="exact"/>
        <w:ind w:left="3669" w:right="0" w:firstLine="0"/>
        <w:rPr>
          <w:rFonts w:ascii="宋体" w:hAnsi="宋体" w:cs="宋体" w:eastAsia="宋体" w:hint="default"/>
          <w:sz w:val="20"/>
          <w:szCs w:val="20"/>
        </w:rPr>
      </w:pPr>
      <w:r>
        <w:rPr>
          <w:rFonts w:ascii="宋体" w:hAnsi="宋体" w:cs="宋体" w:eastAsia="宋体" w:hint="default"/>
          <w:position w:val="-36"/>
          <w:sz w:val="20"/>
          <w:szCs w:val="20"/>
        </w:rPr>
        <w:pict>
          <v:group style="width:133.3pt;height:93.15pt;mso-position-horizontal-relative:char;mso-position-vertical-relative:line" coordorigin="0,0" coordsize="2666,1863">
            <v:group style="position:absolute;left:0;top:0;width:2666;height:1863" coordorigin="0,0" coordsize="2666,1863">
              <v:shape style="position:absolute;left:0;top:0;width:2666;height:1863" coordorigin="0,0" coordsize="2666,1863" path="m2589,0l2542,19,2513,28,2466,47,2438,66,2428,94,2400,131,2400,159,2381,206,2400,253,2400,281,2428,328,2438,356,2466,365,2513,384,2542,393,2589,412,2637,393,2665,384,2589,384,2513,365,2457,328,2428,281,2409,206,2428,131,2457,94,2513,47,2589,28,2665,28,2637,19,2589,0xe" filled="true" fillcolor="#005ca1" stroked="false">
                <v:path arrowok="t"/>
                <v:fill type="solid"/>
              </v:shape>
              <v:shape style="position:absolute;left:0;top:0;width:2666;height:1863" coordorigin="0,0" coordsize="2666,1863" path="m2665,353l2646,365,2589,384,2665,384,2665,353xe" filled="true" fillcolor="#005ca1" stroked="false">
                <v:path arrowok="t"/>
                <v:fill type="solid"/>
              </v:shape>
              <v:shape style="position:absolute;left:0;top:0;width:2666;height:1863" coordorigin="0,0" coordsize="2666,1863" path="m2637,94l2494,94,2494,328,2532,328,2532,225,2618,225,2646,206,2665,197,2532,197,2532,122,2665,122,2665,103,2646,103,2637,94xe" filled="true" fillcolor="#005ca1" stroked="false">
                <v:path arrowok="t"/>
                <v:fill type="solid"/>
              </v:shape>
              <v:shape style="position:absolute;left:0;top:0;width:2666;height:1863" coordorigin="0,0" coordsize="2666,1863" path="m2637,225l2589,225,2618,253,2637,262,2665,328,2665,253,2637,225xe" filled="true" fillcolor="#005ca1" stroked="false">
                <v:path arrowok="t"/>
                <v:fill type="solid"/>
              </v:shape>
              <v:shape style="position:absolute;left:0;top:0;width:2666;height:1863" coordorigin="0,0" coordsize="2666,1863" path="m2665,122l2599,122,2637,131,2646,159,2637,178,2589,197,2665,197,2665,122xe" filled="true" fillcolor="#005ca1" stroked="false">
                <v:path arrowok="t"/>
                <v:fill type="solid"/>
              </v:shape>
              <v:shape style="position:absolute;left:0;top:0;width:2666;height:1863" coordorigin="0,0" coordsize="2666,1863" path="m2665,28l2589,28,2646,47,2665,62,2665,28xe" filled="true" fillcolor="#005ca1" stroked="false">
                <v:path arrowok="t"/>
                <v:fill type="solid"/>
              </v:shape>
              <v:shape style="position:absolute;left:0;top:0;width:2666;height:1863" coordorigin="0,0" coordsize="2666,1863" path="m920,197l863,197,778,262,702,337,626,431,579,515,541,618,512,721,474,824,477,1067,512,1189,550,1170,626,1142,711,1067,749,1011,781,927,806,852,854,730,882,618,923,487,958,365,967,281,939,206,920,197xe" filled="true" fillcolor="#005ca1" stroked="false">
                <v:path arrowok="t"/>
                <v:fill type="solid"/>
              </v:shape>
              <v:shape style="position:absolute;left:0;top:0;width:2666;height:1863" coordorigin="0,0" coordsize="2666,1863" path="m1470,1067l1404,1067,1432,1142,1461,1189,1470,1170,1470,1067xe" filled="true" fillcolor="#005ca1" stroked="false">
                <v:path arrowok="t"/>
                <v:fill type="solid"/>
              </v:shape>
              <v:shape style="position:absolute;left:0;top:0;width:2666;height:1863" coordorigin="0,0" coordsize="2666,1863" path="m1432,0l1299,19,1157,47,1043,94,939,150,958,150,1024,159,1157,206,1195,225,1205,253,1224,262,1224,300,1230,337,1233,393,1176,599,1119,833,1072,964,1066,1011,1062,1067,1072,1095,1100,1133,1148,1142,1261,1142,1337,1133,1366,1095,1404,1067,1470,1067,1470,927,1489,833,1537,768,1593,665,1622,627,1679,571,1802,515,1906,487,2252,487,2219,431,2153,356,2096,281,2020,225,1954,159,1783,75,1707,47,1603,28,1518,19,1432,0xe" filled="true" fillcolor="#005ca1" stroked="false">
                <v:path arrowok="t"/>
                <v:fill type="solid"/>
              </v:shape>
              <v:shape style="position:absolute;left:0;top:0;width:2666;height:1863" coordorigin="0,0" coordsize="2666,1863" path="m2011,702l1859,702,1831,721,1812,730,1802,730,1802,749,1783,749,1774,768,1755,777,1745,796,1726,824,1698,880,1698,1142,2229,1142,2229,927,2219,899,2200,852,2153,796,2115,730,2087,721,2049,721,2011,702xe" filled="true" fillcolor="#005ca1" stroked="false">
                <v:path arrowok="t"/>
                <v:fill type="solid"/>
              </v:shape>
              <v:shape style="position:absolute;left:0;top:0;width:2666;height:1863" coordorigin="0,0" coordsize="2666,1863" path="m2362,1030l2352,1114,2358,1067,2362,1030xe" filled="true" fillcolor="#005ca1" stroked="false">
                <v:path arrowok="t"/>
                <v:fill type="solid"/>
              </v:shape>
              <v:shape style="position:absolute;left:0;top:0;width:2666;height:1863" coordorigin="0,0" coordsize="2666,1863" path="m2252,487l1954,487,2039,496,2125,515,2153,543,2200,571,2248,627,2305,702,2334,777,2352,824,2362,899,2359,824,2352,749,2333,665,2295,571,2257,496,2252,487xe" filled="true" fillcolor="#005ca1" stroked="false">
                <v:path arrowok="t"/>
                <v:fill type="solid"/>
              </v:shape>
              <v:shape style="position:absolute;left:0;top:0;width:2666;height:1863" coordorigin="0,0" coordsize="2666,1863" path="m2324,1217l1698,1217,1698,1835,1906,1741,1992,1666,2087,1601,2153,1526,2229,1423,2295,1329,2324,1217xe" filled="true" fillcolor="#005ca1" stroked="false">
                <v:path arrowok="t"/>
                <v:fill type="solid"/>
              </v:shape>
              <v:shape style="position:absolute;left:0;top:0;width:2666;height:1863" coordorigin="0,0" coordsize="2666,1863" path="m1470,1217l519,1217,569,1348,645,1470,749,1582,854,1685,986,1760,1119,1816,1261,1863,1461,1863,1470,1217xe" filled="true" fillcolor="#005ca1" stroked="false">
                <v:path arrowok="t"/>
                <v:fill type="solid"/>
              </v:shape>
              <v:shape style="position:absolute;left:0;top:0;width:2666;height:1863" coordorigin="0,0" coordsize="2666,1863" path="m512,1198l519,1217,522,1217,512,1198xe" filled="true" fillcolor="#005ca1" stroked="false">
                <v:path arrowok="t"/>
                <v:fill type="solid"/>
              </v:shape>
              <v:shape style="position:absolute;left:0;top:0;width:2666;height:1863" coordorigin="0,0" coordsize="2666,1863" path="m446,1236l0,1236,0,1273,446,1273,446,1236xe" filled="true" fillcolor="#005ca1" stroked="false">
                <v:path arrowok="t"/>
                <v:fill type="solid"/>
              </v:shape>
              <v:shape style="position:absolute;left:0;top:0;width:2666;height:1863" coordorigin="0,0" coordsize="2666,1863" path="m209,1320l28,1320,28,1638,76,1638,76,1348,209,1348,209,1320xe" filled="true" fillcolor="#005ca1" stroked="false">
                <v:path arrowok="t"/>
                <v:fill type="solid"/>
              </v:shape>
              <v:shape style="position:absolute;left:0;top:0;width:2666;height:1863" coordorigin="0,0" coordsize="2666,1863" path="m199,1610l133,1610,133,1638,180,1638,199,1629,199,1610xe" filled="true" fillcolor="#005ca1" stroked="false">
                <v:path arrowok="t"/>
                <v:fill type="solid"/>
              </v:shape>
              <v:shape style="position:absolute;left:0;top:0;width:2666;height:1863" coordorigin="0,0" coordsize="2666,1863" path="m209,1348l171,1348,171,1601,123,1601,123,1610,209,1610,209,1348xe" filled="true" fillcolor="#005ca1" stroked="false">
                <v:path arrowok="t"/>
                <v:fill type="solid"/>
              </v:shape>
              <v:shape style="position:absolute;left:0;top:0;width:2666;height:1863" coordorigin="0,0" coordsize="2666,1863" path="m133,1395l95,1395,95,1451,104,1470,104,1526,133,1526,133,1507,152,1507,133,1479,133,1395xe" filled="true" fillcolor="#005ca1" stroked="false">
                <v:path arrowok="t"/>
                <v:fill type="solid"/>
              </v:shape>
              <v:shape style="position:absolute;left:0;top:0;width:2666;height:1863" coordorigin="0,0" coordsize="2666,1863" path="m417,1320l237,1320,237,1638,285,1638,285,1348,417,1348,417,1320xe" filled="true" fillcolor="#005ca1" stroked="false">
                <v:path arrowok="t"/>
                <v:fill type="solid"/>
              </v:shape>
              <v:shape style="position:absolute;left:0;top:0;width:2666;height:1863" coordorigin="0,0" coordsize="2666,1863" path="m417,1348l370,1348,370,1601,332,1601,332,1610,341,1629,341,1638,389,1638,389,1629,408,1629,408,1610,417,1610,417,1348xe" filled="true" fillcolor="#005ca1" stroked="false">
                <v:path arrowok="t"/>
                <v:fill type="solid"/>
              </v:shape>
              <v:shape style="position:absolute;left:0;top:0;width:2666;height:1863" coordorigin="0,0" coordsize="2666,1863" path="m341,1395l304,1395,310,1432,313,1526,332,1507,360,1507,360,1470,341,1432,341,1395xe" filled="true" fillcolor="#005ca1" stroked="false">
                <v:path arrowok="t"/>
                <v:fill type="solid"/>
              </v:shape>
              <v:shape style="position:absolute;left:0;top:0;width:2666;height:1863" coordorigin="0,0" coordsize="2666,1863" path="m2485,1236l2381,1236,2381,1479,2362,1479,2362,1582,2352,1582,2352,1610,2333,1629,2352,1629,2352,1638,2362,1638,2381,1657,2381,1629,2400,1610,2400,1563,2409,1563,2409,1498,2485,1498,2485,1451,2409,1451,2409,1376,2485,1376,2485,1348,2409,1348,2409,1264,2485,1264,2485,1236xe" filled="true" fillcolor="#005ca1" stroked="false">
                <v:path arrowok="t"/>
                <v:fill type="solid"/>
              </v:shape>
              <v:shape style="position:absolute;left:0;top:0;width:2666;height:1863" coordorigin="0,0" coordsize="2666,1863" path="m2513,1629l2466,1629,2485,1638,2494,1638,2513,1657,2513,1629xe" filled="true" fillcolor="#005ca1" stroked="false">
                <v:path arrowok="t"/>
                <v:fill type="solid"/>
              </v:shape>
              <v:shape style="position:absolute;left:0;top:0;width:2666;height:1863" coordorigin="0,0" coordsize="2666,1863" path="m2599,1498l2570,1498,2570,1610,2542,1610,2542,1629,2561,1638,2561,1657,2570,1638,2599,1638,2599,1498xe" filled="true" fillcolor="#005ca1" stroked="false">
                <v:path arrowok="t"/>
                <v:fill type="solid"/>
              </v:shape>
              <v:shape style="position:absolute;left:0;top:0;width:2666;height:1863" coordorigin="0,0" coordsize="2666,1863" path="m2599,1236l2494,1236,2494,1582,2485,1582,2485,1601,2409,1601,2428,1610,2428,1638,2457,1638,2457,1629,2532,1629,2532,1554,2542,1554,2542,1498,2599,1498,2599,1451,2542,1451,2542,1376,2599,1376,2599,1348,2542,1348,2542,1264,2599,1264,2599,1236xe" filled="true" fillcolor="#005ca1" stroked="false">
                <v:path arrowok="t"/>
                <v:fill type="solid"/>
              </v:shape>
              <v:shape style="position:absolute;left:0;top:0;width:2666;height:1863" coordorigin="0,0" coordsize="2666,1863" path="m2485,1498l2457,1498,2457,1601,2485,1601,2485,1498xe" filled="true" fillcolor="#005ca1" stroked="false">
                <v:path arrowok="t"/>
                <v:fill type="solid"/>
              </v:shape>
              <v:shape style="position:absolute;left:0;top:0;width:2666;height:1863" coordorigin="0,0" coordsize="2666,1863" path="m2665,1526l2599,1526,2599,1563,2665,1563,2665,1526xe" filled="true" fillcolor="#005ca1" stroked="false">
                <v:path arrowok="t"/>
                <v:fill type="solid"/>
              </v:shape>
              <v:shape style="position:absolute;left:0;top:0;width:2666;height:1863" coordorigin="0,0" coordsize="2666,1863" path="m2665,1245l2618,1245,2618,1479,2665,1479,2665,1451,2646,1451,2646,1292,2665,1292,2665,1245xe" filled="true" fillcolor="#005ca1" stroked="false">
                <v:path arrowok="t"/>
                <v:fill type="solid"/>
              </v:shape>
              <v:shape style="position:absolute;left:0;top:0;width:2666;height:1863" coordorigin="0,0" coordsize="2666,1863" path="m2485,1376l2457,1376,2457,1451,2485,1451,2485,1376xe" filled="true" fillcolor="#005ca1" stroked="false">
                <v:path arrowok="t"/>
                <v:fill type="solid"/>
              </v:shape>
              <v:shape style="position:absolute;left:0;top:0;width:2666;height:1863" coordorigin="0,0" coordsize="2666,1863" path="m2599,1376l2570,1376,2570,1451,2599,1451,2599,1376xe" filled="true" fillcolor="#005ca1" stroked="false">
                <v:path arrowok="t"/>
                <v:fill type="solid"/>
              </v:shape>
              <v:shape style="position:absolute;left:0;top:0;width:2666;height:1863" coordorigin="0,0" coordsize="2666,1863" path="m2485,1264l2457,1264,2457,1348,2485,1348,2485,1264xe" filled="true" fillcolor="#005ca1" stroked="false">
                <v:path arrowok="t"/>
                <v:fill type="solid"/>
              </v:shape>
              <v:shape style="position:absolute;left:0;top:0;width:2666;height:1863" coordorigin="0,0" coordsize="2666,1863" path="m2599,1264l2570,1264,2570,1348,2599,1348,2599,1264xe" filled="true" fillcolor="#005ca1" stroked="false">
                <v:path arrowok="t"/>
                <v:fill type="solid"/>
              </v:shape>
            </v:group>
          </v:group>
        </w:pict>
      </w:r>
      <w:r>
        <w:rPr>
          <w:rFonts w:ascii="宋体" w:hAnsi="宋体" w:cs="宋体" w:eastAsia="宋体" w:hint="default"/>
          <w:position w:val="-3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99"/>
        <w:ind w:left="135" w:right="1112" w:firstLine="0"/>
        <w:jc w:val="center"/>
        <w:rPr>
          <w:rFonts w:ascii="宋体" w:hAnsi="宋体" w:cs="宋体" w:eastAsia="宋体" w:hint="default"/>
          <w:sz w:val="52"/>
          <w:szCs w:val="52"/>
        </w:rPr>
      </w:pPr>
      <w:r>
        <w:rPr>
          <w:rFonts w:ascii="宋体" w:hAnsi="宋体" w:cs="宋体" w:eastAsia="宋体" w:hint="default"/>
          <w:b/>
          <w:bCs/>
          <w:sz w:val="52"/>
          <w:szCs w:val="52"/>
        </w:rPr>
        <w:t>山东丽鹏股份有限公司</w:t>
      </w:r>
      <w:r>
        <w:rPr>
          <w:rFonts w:ascii="宋体" w:hAnsi="宋体" w:cs="宋体" w:eastAsia="宋体" w:hint="default"/>
          <w:sz w:val="52"/>
          <w:szCs w:val="52"/>
        </w:rPr>
      </w:r>
    </w:p>
    <w:p>
      <w:pPr>
        <w:spacing w:before="375"/>
        <w:ind w:left="135" w:right="1111" w:firstLine="0"/>
        <w:jc w:val="center"/>
        <w:rPr>
          <w:rFonts w:ascii="Times New Roman" w:hAnsi="Times New Roman" w:cs="Times New Roman" w:eastAsia="Times New Roman" w:hint="default"/>
          <w:sz w:val="32"/>
          <w:szCs w:val="32"/>
        </w:rPr>
      </w:pPr>
      <w:r>
        <w:rPr>
          <w:rFonts w:ascii="Times New Roman"/>
          <w:b/>
          <w:sz w:val="32"/>
        </w:rPr>
        <w:t>SHANDONG LIPENG CO.,</w:t>
      </w:r>
      <w:r>
        <w:rPr>
          <w:rFonts w:ascii="Times New Roman"/>
          <w:b/>
          <w:spacing w:val="-23"/>
          <w:sz w:val="32"/>
        </w:rPr>
        <w:t> </w:t>
      </w:r>
      <w:r>
        <w:rPr>
          <w:rFonts w:ascii="Times New Roman"/>
          <w:b/>
          <w:spacing w:val="-11"/>
          <w:sz w:val="32"/>
        </w:rPr>
        <w:t>LTD</w:t>
      </w:r>
      <w:r>
        <w:rPr>
          <w:rFonts w:ascii="Times New Roman"/>
          <w:spacing w:val="-11"/>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3"/>
        <w:rPr>
          <w:rFonts w:ascii="Times New Roman" w:hAnsi="Times New Roman" w:cs="Times New Roman" w:eastAsia="Times New Roman" w:hint="default"/>
          <w:b/>
          <w:bCs/>
          <w:sz w:val="38"/>
          <w:szCs w:val="38"/>
        </w:rPr>
      </w:pPr>
    </w:p>
    <w:p>
      <w:pPr>
        <w:spacing w:before="0"/>
        <w:ind w:left="135" w:right="1113" w:firstLine="0"/>
        <w:jc w:val="center"/>
        <w:rPr>
          <w:rFonts w:ascii="黑体" w:hAnsi="黑体" w:cs="黑体" w:eastAsia="黑体" w:hint="default"/>
          <w:sz w:val="52"/>
          <w:szCs w:val="52"/>
        </w:rPr>
      </w:pPr>
      <w:r>
        <w:rPr>
          <w:rFonts w:ascii="黑体" w:hAnsi="黑体" w:cs="黑体" w:eastAsia="黑体" w:hint="default"/>
          <w:b/>
          <w:bCs/>
          <w:sz w:val="52"/>
          <w:szCs w:val="52"/>
        </w:rPr>
        <w:t>2014</w:t>
      </w:r>
      <w:r>
        <w:rPr>
          <w:rFonts w:ascii="黑体" w:hAnsi="黑体" w:cs="黑体" w:eastAsia="黑体" w:hint="default"/>
          <w:b/>
          <w:bCs/>
          <w:sz w:val="52"/>
          <w:szCs w:val="52"/>
        </w:rPr>
        <w:t>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10"/>
        <w:rPr>
          <w:rFonts w:ascii="黑体" w:hAnsi="黑体" w:cs="黑体" w:eastAsia="黑体" w:hint="default"/>
          <w:b/>
          <w:bCs/>
          <w:sz w:val="68"/>
          <w:szCs w:val="68"/>
        </w:rPr>
      </w:pPr>
    </w:p>
    <w:p>
      <w:pPr>
        <w:spacing w:before="0"/>
        <w:ind w:left="135" w:right="932" w:firstLine="0"/>
        <w:jc w:val="center"/>
        <w:rPr>
          <w:rFonts w:ascii="黑体" w:hAnsi="黑体" w:cs="黑体" w:eastAsia="黑体" w:hint="default"/>
          <w:sz w:val="32"/>
          <w:szCs w:val="32"/>
        </w:rPr>
      </w:pPr>
      <w:r>
        <w:rPr>
          <w:rFonts w:ascii="黑体" w:hAnsi="黑体" w:cs="黑体" w:eastAsia="黑体" w:hint="default"/>
          <w:sz w:val="32"/>
          <w:szCs w:val="32"/>
        </w:rPr>
        <w:t>二零一五年四月</w:t>
      </w:r>
    </w:p>
    <w:p>
      <w:pPr>
        <w:spacing w:after="0"/>
        <w:jc w:val="center"/>
        <w:rPr>
          <w:rFonts w:ascii="黑体" w:hAnsi="黑体" w:cs="黑体" w:eastAsia="黑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黑体" w:hAnsi="黑体" w:cs="黑体" w:eastAsia="黑体" w:hint="default"/>
          <w:sz w:val="2"/>
          <w:szCs w:val="2"/>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8"/>
          <w:szCs w:val="18"/>
        </w:rPr>
      </w:pPr>
    </w:p>
    <w:p>
      <w:pPr>
        <w:pStyle w:val="Heading1"/>
        <w:spacing w:line="240" w:lineRule="auto"/>
        <w:ind w:left="2805" w:right="914"/>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34"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914"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329,653,221</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23" w:lineRule="exact" w:before="0"/>
        <w:ind w:left="153" w:right="914"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0.00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不</w:t>
      </w:r>
      <w:r>
        <w:rPr>
          <w:rFonts w:ascii="宋体" w:hAnsi="宋体" w:cs="宋体" w:eastAsia="宋体" w:hint="default"/>
          <w:b/>
          <w:bCs/>
          <w:spacing w:val="2"/>
          <w:w w:val="99"/>
          <w:sz w:val="28"/>
          <w:szCs w:val="28"/>
        </w:rPr>
        <w:t>以</w:t>
      </w:r>
      <w:r>
        <w:rPr>
          <w:rFonts w:ascii="宋体" w:hAnsi="宋体" w:cs="宋体" w:eastAsia="宋体" w:hint="default"/>
          <w:b/>
          <w:bCs/>
          <w:w w:val="99"/>
          <w:sz w:val="28"/>
          <w:szCs w:val="28"/>
        </w:rPr>
        <w:t>公</w:t>
      </w:r>
      <w:r>
        <w:rPr>
          <w:rFonts w:ascii="宋体" w:hAnsi="宋体" w:cs="宋体" w:eastAsia="宋体" w:hint="default"/>
          <w:sz w:val="28"/>
          <w:szCs w:val="28"/>
        </w:rPr>
      </w:r>
    </w:p>
    <w:p>
      <w:pPr>
        <w:spacing w:line="472" w:lineRule="auto" w:before="237"/>
        <w:ind w:left="715" w:right="914" w:hanging="562"/>
        <w:jc w:val="left"/>
        <w:rPr>
          <w:rFonts w:ascii="宋体" w:hAnsi="宋体" w:cs="宋体" w:eastAsia="宋体" w:hint="default"/>
          <w:sz w:val="28"/>
          <w:szCs w:val="28"/>
        </w:rPr>
      </w:pPr>
      <w:r>
        <w:rPr>
          <w:rFonts w:ascii="宋体" w:hAnsi="宋体" w:cs="宋体" w:eastAsia="宋体" w:hint="default"/>
          <w:b/>
          <w:bCs/>
          <w:sz w:val="28"/>
          <w:szCs w:val="28"/>
        </w:rPr>
        <w:t>积金转增股本。</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公司负责人孙鲲鹏、主管会计工作负责人张国平及会计机构负责人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5" w:lineRule="exact" w:before="0"/>
        <w:ind w:left="153" w:right="914"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张国平声明：保证年度报告中财务报告的真实、准确、完整。</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line="408" w:lineRule="auto" w:before="0"/>
        <w:ind w:left="153" w:right="914" w:firstLine="562"/>
        <w:jc w:val="left"/>
        <w:rPr>
          <w:rFonts w:ascii="宋体" w:hAnsi="宋体" w:cs="宋体" w:eastAsia="宋体" w:hint="default"/>
          <w:sz w:val="28"/>
          <w:szCs w:val="28"/>
        </w:rPr>
      </w:pPr>
      <w:r>
        <w:rPr>
          <w:rFonts w:ascii="宋体" w:hAnsi="宋体" w:cs="宋体" w:eastAsia="宋体" w:hint="default"/>
          <w:b/>
          <w:bCs/>
          <w:spacing w:val="3"/>
          <w:sz w:val="28"/>
          <w:szCs w:val="28"/>
        </w:rPr>
        <w:t>本年度报告中涉及的未来发展陈述，属于计划性事项，并不代表公司对未</w:t>
      </w:r>
      <w:r>
        <w:rPr>
          <w:rFonts w:ascii="宋体" w:hAnsi="宋体" w:cs="宋体" w:eastAsia="宋体" w:hint="default"/>
          <w:b/>
          <w:bCs/>
          <w:w w:val="99"/>
          <w:sz w:val="28"/>
          <w:szCs w:val="28"/>
        </w:rPr>
        <w:t> </w:t>
      </w:r>
      <w:r>
        <w:rPr>
          <w:rFonts w:ascii="宋体" w:hAnsi="宋体" w:cs="宋体" w:eastAsia="宋体" w:hint="default"/>
          <w:b/>
          <w:bCs/>
          <w:spacing w:val="3"/>
          <w:sz w:val="28"/>
          <w:szCs w:val="28"/>
        </w:rPr>
        <w:t>来年度的盈利预测，不构成公司对投资者的实质性承诺。公司已在本报告中详</w:t>
      </w:r>
      <w:r>
        <w:rPr>
          <w:rFonts w:ascii="宋体" w:hAnsi="宋体" w:cs="宋体" w:eastAsia="宋体" w:hint="default"/>
          <w:b/>
          <w:bCs/>
          <w:w w:val="99"/>
          <w:sz w:val="28"/>
          <w:szCs w:val="28"/>
        </w:rPr>
        <w:t> </w:t>
      </w:r>
      <w:r>
        <w:rPr>
          <w:rFonts w:ascii="宋体" w:hAnsi="宋体" w:cs="宋体" w:eastAsia="宋体" w:hint="default"/>
          <w:b/>
          <w:bCs/>
          <w:spacing w:val="-9"/>
          <w:w w:val="99"/>
          <w:sz w:val="28"/>
          <w:szCs w:val="28"/>
        </w:rPr>
        <w:t>细描述存在的技术风险、市场风险、管理风险，敬请查阅第四节“董事会报告”。</w:t>
      </w:r>
      <w:r>
        <w:rPr>
          <w:rFonts w:ascii="宋体" w:hAnsi="宋体" w:cs="宋体" w:eastAsia="宋体" w:hint="default"/>
          <w:b/>
          <w:bCs/>
          <w:spacing w:val="-130"/>
          <w:w w:val="99"/>
          <w:sz w:val="28"/>
          <w:szCs w:val="28"/>
        </w:rPr>
        <w:t> </w:t>
      </w:r>
      <w:r>
        <w:rPr>
          <w:rFonts w:ascii="宋体" w:hAnsi="宋体" w:cs="宋体" w:eastAsia="宋体" w:hint="default"/>
          <w:b/>
          <w:bCs/>
          <w:spacing w:val="-130"/>
          <w:w w:val="99"/>
          <w:sz w:val="28"/>
          <w:szCs w:val="28"/>
        </w:rPr>
      </w:r>
      <w:r>
        <w:rPr>
          <w:rFonts w:ascii="宋体" w:hAnsi="宋体" w:cs="宋体" w:eastAsia="宋体" w:hint="default"/>
          <w:b/>
          <w:bCs/>
          <w:sz w:val="28"/>
          <w:szCs w:val="28"/>
        </w:rPr>
        <w:t>敬请广大投资者注意投资风险。</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35"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董事会报告</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
              </w:rPr>
              <w:t> </w:t>
            </w:r>
            <w:r>
              <w:rPr/>
              <w:t>优先股相关情况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
              </w:rPr>
              <w:t> </w:t>
            </w:r>
            <w:r>
              <w:rPr/>
              <w:t>董事、监事、高级管理人员和员工情况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
              </w:rPr>
              <w:t> </w:t>
            </w:r>
            <w:r>
              <w:rPr/>
              <w:t>公司治理</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
              </w:rPr>
              <w:t> </w:t>
            </w:r>
            <w:r>
              <w:rPr/>
              <w:t>内部控制</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
              </w:rPr>
              <w:t> </w:t>
            </w:r>
            <w:r>
              <w:rPr/>
              <w:t>财务报告</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
              </w:rPr>
              <w:t> </w:t>
            </w:r>
            <w:r>
              <w:rPr/>
              <w:t>备查文件目录</w:t>
            </w:r>
            <w:r>
              <w:rPr>
                <w:rFonts w:ascii="Times New Roman" w:hAnsi="Times New Roman" w:cs="Times New Roman" w:eastAsia="Times New Roman" w:hint="default"/>
              </w:rPr>
              <w:tab/>
              <w:t>147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135"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1"/>
        <w:gridCol w:w="5424"/>
      </w:tblGrid>
      <w:tr>
        <w:trPr>
          <w:trHeight w:val="397"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26"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公司、股份公司、丽鹏股份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烟台和俊</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烟台和俊制盖有限公司，公司的控股子公司</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北京鹏和祥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北京鹏和祥包装制品有限公司，公司的控股子公司</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大冶劲鹏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大冶市劲鹏制盖有限公司，公司的全资子公司</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成都海川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成都海川制盖有限公司，公司的全资子公司</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新疆军鹏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新疆军鹏制盖有限公司，公司的控股子公司</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亳州丽鹏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亳州丽鹏制盖有限公司，公司的全资子公司</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泸州丽鹏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四川泸州丽鹏制盖有限公司，公司的控股子公司</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华宇园林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孙世尧及其家族成员于志芬、孙鲲鹏、孙红丽和霍文菊</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323"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《山东丽鹏股份有限公司章程》</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山东丽鹏股份有限公司董事会</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山东丽鹏股份有限公司监事会</w:t>
            </w:r>
          </w:p>
        </w:tc>
      </w:tr>
      <w:tr>
        <w:trPr>
          <w:trHeight w:val="946"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复合型防伪印刷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1"/>
              <w:ind w:left="103" w:right="100"/>
              <w:jc w:val="both"/>
              <w:rPr>
                <w:rFonts w:ascii="宋体" w:hAnsi="宋体" w:cs="宋体" w:eastAsia="宋体" w:hint="default"/>
                <w:sz w:val="18"/>
                <w:szCs w:val="18"/>
              </w:rPr>
            </w:pPr>
            <w:r>
              <w:rPr>
                <w:rFonts w:ascii="宋体" w:hAnsi="宋体" w:cs="宋体" w:eastAsia="宋体" w:hint="default"/>
                <w:spacing w:val="-1"/>
                <w:sz w:val="18"/>
                <w:szCs w:val="18"/>
              </w:rPr>
              <w:t>使用普通印刷油墨和专色墨、荧光油墨、温变油墨等材料，采用平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版胶印、侧面滚印、丝网印刷等进行多工艺印刷，使产品达到两种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或多种防伪效果的印刷技术。</w:t>
            </w:r>
          </w:p>
        </w:tc>
      </w:tr>
      <w:tr>
        <w:trPr>
          <w:trHeight w:val="634"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
                <w:sz w:val="18"/>
                <w:szCs w:val="18"/>
              </w:rPr>
              <w:t>采用物理或化学技术，在一定范围内能够被准确辨别真伪并不易被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仿制和复制的瓶盖。</w:t>
            </w:r>
          </w:p>
        </w:tc>
      </w:tr>
      <w:tr>
        <w:trPr>
          <w:trHeight w:val="946"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组合式防伪瓶盖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
                <w:sz w:val="18"/>
                <w:szCs w:val="18"/>
              </w:rPr>
              <w:t>由铝板涂覆品与塑料件组合或各种塑料件组合，经开启使用后，不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能再复原的瓶盖。分为铝塑组合式防伪瓶盖和塑料组合式防伪瓶 盖。</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独立财务顾问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金元证券股份有限公司</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山东和信会计师事务所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上海市锦天城律师事务所</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135" w:right="1112"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10"/>
        <w:rPr>
          <w:rFonts w:ascii="宋体" w:hAnsi="宋体" w:cs="宋体" w:eastAsia="宋体" w:hint="default"/>
          <w:b/>
          <w:bCs/>
          <w:sz w:val="24"/>
          <w:szCs w:val="24"/>
        </w:rPr>
      </w:pPr>
    </w:p>
    <w:p>
      <w:pPr>
        <w:spacing w:line="472" w:lineRule="auto" w:before="13"/>
        <w:ind w:left="715" w:right="914" w:firstLine="0"/>
        <w:jc w:val="left"/>
        <w:rPr>
          <w:rFonts w:ascii="宋体" w:hAnsi="宋体" w:cs="宋体" w:eastAsia="宋体" w:hint="default"/>
          <w:sz w:val="28"/>
          <w:szCs w:val="28"/>
        </w:rPr>
      </w:pPr>
      <w:r>
        <w:rPr>
          <w:rFonts w:ascii="宋体" w:hAnsi="宋体" w:cs="宋体" w:eastAsia="宋体" w:hint="default"/>
          <w:b/>
          <w:bCs/>
          <w:sz w:val="28"/>
          <w:szCs w:val="28"/>
        </w:rPr>
        <w:t>一、市场竞争风险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国内宏观经济增速放缓，酒行业持续调整，瓶盖产品销售价格降低，影响</w:t>
      </w:r>
      <w:r>
        <w:rPr>
          <w:rFonts w:ascii="宋体" w:hAnsi="宋体" w:cs="宋体" w:eastAsia="宋体" w:hint="default"/>
          <w:spacing w:val="3"/>
          <w:sz w:val="28"/>
          <w:szCs w:val="28"/>
        </w:rPr>
      </w:r>
    </w:p>
    <w:p>
      <w:pPr>
        <w:spacing w:line="408" w:lineRule="auto" w:before="0"/>
        <w:ind w:left="15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公司产品整体利润率水平。针对该风险，公司将继续加强自主创新，多渠道发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展，积极开拓瓶盖在饮料、医药、矿泉水、食用油等领域的应用，提升市场竞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争力。</w:t>
      </w:r>
      <w:r>
        <w:rPr>
          <w:rFonts w:ascii="宋体" w:hAnsi="宋体" w:cs="宋体" w:eastAsia="宋体" w:hint="default"/>
          <w:sz w:val="28"/>
          <w:szCs w:val="28"/>
        </w:rPr>
      </w:r>
    </w:p>
    <w:p>
      <w:pPr>
        <w:spacing w:line="472" w:lineRule="auto" w:before="161"/>
        <w:ind w:left="715" w:right="914" w:firstLine="0"/>
        <w:jc w:val="left"/>
        <w:rPr>
          <w:rFonts w:ascii="宋体" w:hAnsi="宋体" w:cs="宋体" w:eastAsia="宋体" w:hint="default"/>
          <w:sz w:val="28"/>
          <w:szCs w:val="28"/>
        </w:rPr>
      </w:pPr>
      <w:r>
        <w:rPr>
          <w:rFonts w:ascii="宋体" w:hAnsi="宋体" w:cs="宋体" w:eastAsia="宋体" w:hint="default"/>
          <w:b/>
          <w:bCs/>
          <w:sz w:val="28"/>
          <w:szCs w:val="28"/>
        </w:rPr>
        <w:t>二、经营管理风险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随着公司的资产、人员规模的持续扩张，对企业管理模式、管理制度和管</w:t>
      </w:r>
      <w:r>
        <w:rPr>
          <w:rFonts w:ascii="宋体" w:hAnsi="宋体" w:cs="宋体" w:eastAsia="宋体" w:hint="default"/>
          <w:spacing w:val="3"/>
          <w:sz w:val="28"/>
          <w:szCs w:val="28"/>
        </w:rPr>
      </w:r>
    </w:p>
    <w:p>
      <w:pPr>
        <w:spacing w:line="408" w:lineRule="auto" w:before="0"/>
        <w:ind w:left="153" w:right="1137"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理水平等方面提出了更高的要求，如果公司管理能力不能及时适应规模迅速扩</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pacing w:val="3"/>
          <w:w w:val="95"/>
          <w:sz w:val="28"/>
          <w:szCs w:val="28"/>
        </w:rPr>
        <w:t>张的需要，将削弱公司的市场竞争力，存在规模迅速扩张导致的管理风险。针</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对此风险，公司将进一步完善内部组织结构，加强内部控制和风险管理，提高</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管理层业务能力，使企业管理更加制度化、规范化、科学化。</w:t>
      </w:r>
      <w:r>
        <w:rPr>
          <w:rFonts w:ascii="宋体" w:hAnsi="宋体" w:cs="宋体" w:eastAsia="宋体" w:hint="default"/>
          <w:sz w:val="28"/>
          <w:szCs w:val="28"/>
        </w:rPr>
      </w:r>
    </w:p>
    <w:p>
      <w:pPr>
        <w:spacing w:line="472" w:lineRule="auto" w:before="162"/>
        <w:ind w:left="715" w:right="914" w:firstLine="0"/>
        <w:jc w:val="left"/>
        <w:rPr>
          <w:rFonts w:ascii="宋体" w:hAnsi="宋体" w:cs="宋体" w:eastAsia="宋体" w:hint="default"/>
          <w:sz w:val="28"/>
          <w:szCs w:val="28"/>
        </w:rPr>
      </w:pPr>
      <w:r>
        <w:rPr>
          <w:rFonts w:ascii="宋体" w:hAnsi="宋体" w:cs="宋体" w:eastAsia="宋体" w:hint="default"/>
          <w:b/>
          <w:bCs/>
          <w:sz w:val="28"/>
          <w:szCs w:val="28"/>
        </w:rPr>
        <w:t>三、其他风险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spacing w:val="3"/>
          <w:sz w:val="28"/>
          <w:szCs w:val="28"/>
        </w:rPr>
      </w:r>
    </w:p>
    <w:p>
      <w:pPr>
        <w:spacing w:line="410" w:lineRule="auto" w:before="0"/>
        <w:ind w:left="15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认识，并应当理解计划、预测与承诺之间的差异。</w:t>
      </w:r>
      <w:r>
        <w:rPr>
          <w:rFonts w:ascii="宋体" w:hAnsi="宋体" w:cs="宋体" w:eastAsia="宋体" w:hint="default"/>
          <w:sz w:val="28"/>
          <w:szCs w:val="28"/>
        </w:rPr>
      </w:r>
    </w:p>
    <w:p>
      <w:pPr>
        <w:spacing w:after="0" w:line="410"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1113"/>
        <w:jc w:val="center"/>
        <w:rPr>
          <w:b w:val="0"/>
          <w:bCs w:val="0"/>
        </w:rPr>
      </w:pPr>
      <w:bookmarkStart w:name="第二节 公司简介" w:id="2"/>
      <w:bookmarkEnd w:id="2"/>
      <w:r>
        <w:rPr>
          <w:b w:val="0"/>
          <w:bCs w:val="0"/>
        </w:rPr>
      </w:r>
      <w:bookmarkStart w:name="_bookmark0" w:id="3"/>
      <w:bookmarkEnd w:id="3"/>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914"/>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7"/>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丽鹏股份</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002374</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丽鹏股份</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SHANDONG LIPENG</w:t>
            </w:r>
            <w:r>
              <w:rPr>
                <w:rFonts w:ascii="Times New Roman"/>
                <w:spacing w:val="1"/>
                <w:sz w:val="18"/>
              </w:rPr>
              <w:t> </w:t>
            </w:r>
            <w:r>
              <w:rPr>
                <w:rFonts w:ascii="Times New Roman"/>
                <w:spacing w:val="-3"/>
                <w:sz w:val="18"/>
              </w:rPr>
              <w:t>CO.,LTD</w:t>
            </w:r>
          </w:p>
        </w:tc>
      </w:tr>
      <w:tr>
        <w:trPr>
          <w:trHeight w:val="71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Lipeng</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264114</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264114</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8">
              <w:r>
                <w:rPr>
                  <w:rFonts w:ascii="Times New Roman"/>
                  <w:sz w:val="18"/>
                </w:rPr>
                <w:t>www.lp.com.cn</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9">
              <w:r>
                <w:rPr>
                  <w:rFonts w:ascii="Times New Roman"/>
                  <w:sz w:val="18"/>
                </w:rPr>
                <w:t>lp@lp.com.cn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14"/>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史宇</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1" w:right="196"/>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 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 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0535-4660587</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0535-4660587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0535-4660587</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0535-4660587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0">
              <w:r>
                <w:rPr>
                  <w:rFonts w:ascii="Times New Roman"/>
                  <w:sz w:val="18"/>
                </w:rPr>
                <w:t>haixia5229@sina.com</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shiyu5490@sina.com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14"/>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left="153" w:right="914"/>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1" w:right="161" w:hanging="270"/>
              <w:jc w:val="left"/>
              <w:rPr>
                <w:rFonts w:ascii="宋体" w:hAnsi="宋体" w:cs="宋体" w:eastAsia="宋体" w:hint="default"/>
                <w:sz w:val="18"/>
                <w:szCs w:val="18"/>
              </w:rPr>
            </w:pPr>
            <w:r>
              <w:rPr>
                <w:rFonts w:ascii="宋体" w:hAnsi="宋体" w:cs="宋体" w:eastAsia="宋体" w:hint="default"/>
                <w:sz w:val="18"/>
                <w:szCs w:val="18"/>
              </w:rPr>
              <w:t>企业法人营业执 照注册号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220"/>
              <w:jc w:val="left"/>
              <w:rPr>
                <w:rFonts w:ascii="宋体" w:hAnsi="宋体" w:cs="宋体" w:eastAsia="宋体" w:hint="default"/>
                <w:sz w:val="18"/>
                <w:szCs w:val="18"/>
              </w:rPr>
            </w:pPr>
            <w:r>
              <w:rPr>
                <w:rFonts w:ascii="宋体" w:hAnsi="宋体" w:cs="宋体" w:eastAsia="宋体" w:hint="default"/>
                <w:sz w:val="18"/>
                <w:szCs w:val="18"/>
              </w:rPr>
              <w:t>山东省工商行政 管理局</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370600228099328</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
              <w:jc w:val="center"/>
              <w:rPr>
                <w:rFonts w:ascii="Times New Roman" w:hAnsi="Times New Roman" w:cs="Times New Roman" w:eastAsia="Times New Roman" w:hint="default"/>
                <w:sz w:val="18"/>
                <w:szCs w:val="18"/>
              </w:rPr>
            </w:pPr>
            <w:r>
              <w:rPr>
                <w:rFonts w:ascii="Times New Roman"/>
                <w:sz w:val="18"/>
              </w:rPr>
              <w:t>370612265526403</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26552640-3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220"/>
              <w:jc w:val="left"/>
              <w:rPr>
                <w:rFonts w:ascii="宋体" w:hAnsi="宋体" w:cs="宋体" w:eastAsia="宋体" w:hint="default"/>
                <w:sz w:val="18"/>
                <w:szCs w:val="18"/>
              </w:rPr>
            </w:pPr>
            <w:r>
              <w:rPr>
                <w:rFonts w:ascii="宋体" w:hAnsi="宋体" w:cs="宋体" w:eastAsia="宋体" w:hint="default"/>
                <w:sz w:val="18"/>
                <w:szCs w:val="18"/>
              </w:rPr>
              <w:t>山东省工商行政 管理局</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370600228099328</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
              <w:jc w:val="center"/>
              <w:rPr>
                <w:rFonts w:ascii="Times New Roman" w:hAnsi="Times New Roman" w:cs="Times New Roman" w:eastAsia="Times New Roman" w:hint="default"/>
                <w:sz w:val="18"/>
                <w:szCs w:val="18"/>
              </w:rPr>
            </w:pPr>
            <w:r>
              <w:rPr>
                <w:rFonts w:ascii="Times New Roman"/>
                <w:sz w:val="18"/>
              </w:rPr>
              <w:t>370612265526403</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26552640-3</w:t>
            </w:r>
          </w:p>
        </w:tc>
      </w:tr>
      <w:tr>
        <w:trPr>
          <w:trHeight w:val="1338"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公司上市以来主营业务的变化情况（如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w:t>
            </w:r>
          </w:p>
        </w:tc>
        <w:tc>
          <w:tcPr>
            <w:tcW w:w="6378" w:type="dxa"/>
            <w:gridSpan w:val="4"/>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7" w:lineRule="auto" w:before="51"/>
              <w:ind w:left="10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日，中国证券监督管理委员会下发《关于核准山东丽鹏股份有 </w:t>
            </w:r>
            <w:r>
              <w:rPr>
                <w:rFonts w:ascii="宋体" w:hAnsi="宋体" w:cs="宋体" w:eastAsia="宋体" w:hint="default"/>
                <w:spacing w:val="-3"/>
                <w:sz w:val="18"/>
                <w:szCs w:val="18"/>
              </w:rPr>
              <w:t>限公司向汤于等发行股份购买资产并募集配套资金的批复》（证监许可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1"/>
                <w:sz w:val="18"/>
                <w:szCs w:val="18"/>
              </w:rPr>
              <w:t>[2014]1256</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号），</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月，公司完成重大资产重组，重庆华宇园林有限公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司变更为公司全资子公司，公司主营业务新增园林相关业务，实现双主业发展。</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8"/>
          <w:szCs w:val="18"/>
        </w:rPr>
      </w:pPr>
    </w:p>
    <w:p>
      <w:pPr>
        <w:pStyle w:val="Heading2"/>
        <w:spacing w:line="240" w:lineRule="auto" w:before="26"/>
        <w:ind w:right="914"/>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3"/>
        <w:gridCol w:w="6906"/>
      </w:tblGrid>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济南市历下区经十路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13777 </w:t>
            </w:r>
            <w:r>
              <w:rPr>
                <w:rFonts w:ascii="宋体" w:hAnsi="宋体" w:cs="宋体" w:eastAsia="宋体" w:hint="default"/>
                <w:sz w:val="18"/>
                <w:szCs w:val="18"/>
              </w:rPr>
              <w:t>号中润世纪广场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王丽敏、刘学伟</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57" w:lineRule="auto" w:before="117"/>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公司聘请的报告期内履行持续督导职责的财务顾问</w:t>
      </w:r>
    </w:p>
    <w:p>
      <w:pPr>
        <w:spacing w:before="28"/>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金元证券股份有限公司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深圳市深南大道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号时</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代金融中心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崔健民、丁雪亮</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914"/>
        <w:jc w:val="left"/>
        <w:rPr>
          <w:b w:val="0"/>
          <w:bCs w:val="0"/>
        </w:rPr>
      </w:pPr>
      <w:bookmarkStart w:name="第三节 会计数据和财务指标摘要" w:id="9"/>
      <w:bookmarkEnd w:id="9"/>
      <w:r>
        <w:rPr>
          <w:b w:val="0"/>
          <w:bCs w:val="0"/>
        </w:rPr>
      </w:r>
      <w:bookmarkStart w:name="_bookmark1"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3" w:right="914"/>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914"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61"/>
        <w:gridCol w:w="1200"/>
        <w:gridCol w:w="1202"/>
        <w:gridCol w:w="1200"/>
        <w:gridCol w:w="1202"/>
        <w:gridCol w:w="1202"/>
        <w:gridCol w:w="1202"/>
      </w:tblGrid>
      <w:tr>
        <w:trPr>
          <w:trHeight w:val="714" w:hRule="exact"/>
        </w:trPr>
        <w:tc>
          <w:tcPr>
            <w:tcW w:w="2361"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5" w:right="144"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1"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701,923,114.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660,601,761.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660,601,761.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617,399,844.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617,399,844.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48</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归属于上市公司股东的净 利润（元）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31,350,531.9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37,836,354.0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37,836,354.0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41,175,191.2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41,175,191.2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归属于上市公司股东的扣 除非经常性损益的净利润</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24,731,771.2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33,104,869.5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33,104,869.5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36,657,429.7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36,657,429.7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经营活动产生的现金流量 净额（元）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97,991,911.8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87,666,111.4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87,666,111.4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48,247,484.0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48,247,484.0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7.18%</w:t>
            </w:r>
          </w:p>
        </w:tc>
      </w:tr>
      <w:tr>
        <w:trPr>
          <w:trHeight w:val="714" w:hRule="exact"/>
        </w:trPr>
        <w:tc>
          <w:tcPr>
            <w:tcW w:w="2361"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5" w:right="144"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361"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2,891,280,59</w:t>
            </w:r>
          </w:p>
          <w:p>
            <w:pPr>
              <w:pStyle w:val="TableParagraph"/>
              <w:spacing w:line="240" w:lineRule="auto" w:before="106"/>
              <w:ind w:left="772" w:right="0"/>
              <w:jc w:val="left"/>
              <w:rPr>
                <w:rFonts w:ascii="Times New Roman" w:hAnsi="Times New Roman" w:cs="Times New Roman" w:eastAsia="Times New Roman" w:hint="default"/>
                <w:sz w:val="18"/>
                <w:szCs w:val="18"/>
              </w:rPr>
            </w:pPr>
            <w:r>
              <w:rPr>
                <w:rFonts w:ascii="Times New Roman"/>
                <w:sz w:val="18"/>
              </w:rPr>
              <w:t>2.30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1,267,562,98</w:t>
            </w:r>
          </w:p>
          <w:p>
            <w:pPr>
              <w:pStyle w:val="TableParagraph"/>
              <w:spacing w:line="240" w:lineRule="auto" w:before="106"/>
              <w:ind w:left="774" w:right="0"/>
              <w:jc w:val="left"/>
              <w:rPr>
                <w:rFonts w:ascii="Times New Roman" w:hAnsi="Times New Roman" w:cs="Times New Roman" w:eastAsia="Times New Roman" w:hint="default"/>
                <w:sz w:val="18"/>
                <w:szCs w:val="18"/>
              </w:rPr>
            </w:pPr>
            <w:r>
              <w:rPr>
                <w:rFonts w:ascii="Times New Roman"/>
                <w:sz w:val="18"/>
              </w:rPr>
              <w:t>8.59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1,306,320,52</w:t>
            </w:r>
          </w:p>
          <w:p>
            <w:pPr>
              <w:pStyle w:val="TableParagraph"/>
              <w:spacing w:line="240" w:lineRule="auto" w:before="106"/>
              <w:ind w:left="772" w:right="0"/>
              <w:jc w:val="left"/>
              <w:rPr>
                <w:rFonts w:ascii="Times New Roman" w:hAnsi="Times New Roman" w:cs="Times New Roman" w:eastAsia="Times New Roman" w:hint="default"/>
                <w:sz w:val="18"/>
                <w:szCs w:val="18"/>
              </w:rPr>
            </w:pPr>
            <w:r>
              <w:rPr>
                <w:rFonts w:ascii="Times New Roman"/>
                <w:sz w:val="18"/>
              </w:rPr>
              <w:t>8.20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121.33%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1,193,508,79</w:t>
            </w:r>
          </w:p>
          <w:p>
            <w:pPr>
              <w:pStyle w:val="TableParagraph"/>
              <w:spacing w:line="240" w:lineRule="auto" w:before="106"/>
              <w:ind w:left="775" w:right="0"/>
              <w:jc w:val="left"/>
              <w:rPr>
                <w:rFonts w:ascii="Times New Roman" w:hAnsi="Times New Roman" w:cs="Times New Roman" w:eastAsia="Times New Roman" w:hint="default"/>
                <w:sz w:val="18"/>
                <w:szCs w:val="18"/>
              </w:rPr>
            </w:pPr>
            <w:r>
              <w:rPr>
                <w:rFonts w:ascii="Times New Roman"/>
                <w:sz w:val="18"/>
              </w:rPr>
              <w:t>4.06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1,231,996,20</w:t>
            </w:r>
          </w:p>
          <w:p>
            <w:pPr>
              <w:pStyle w:val="TableParagraph"/>
              <w:spacing w:line="240" w:lineRule="auto" w:before="106"/>
              <w:ind w:left="775" w:right="0"/>
              <w:jc w:val="left"/>
              <w:rPr>
                <w:rFonts w:ascii="Times New Roman" w:hAnsi="Times New Roman" w:cs="Times New Roman" w:eastAsia="Times New Roman" w:hint="default"/>
                <w:sz w:val="18"/>
                <w:szCs w:val="18"/>
              </w:rPr>
            </w:pPr>
            <w:r>
              <w:rPr>
                <w:rFonts w:ascii="Times New Roman"/>
                <w:sz w:val="18"/>
              </w:rPr>
              <w:t>3.52</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归属于上市公司股东的净 资产（元）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1,866,690,90</w:t>
            </w:r>
          </w:p>
          <w:p>
            <w:pPr>
              <w:pStyle w:val="TableParagraph"/>
              <w:spacing w:line="240" w:lineRule="auto" w:before="106"/>
              <w:ind w:left="772" w:right="0"/>
              <w:jc w:val="left"/>
              <w:rPr>
                <w:rFonts w:ascii="Times New Roman" w:hAnsi="Times New Roman" w:cs="Times New Roman" w:eastAsia="Times New Roman" w:hint="default"/>
                <w:sz w:val="18"/>
                <w:szCs w:val="18"/>
              </w:rPr>
            </w:pPr>
            <w:r>
              <w:rPr>
                <w:rFonts w:ascii="Times New Roman"/>
                <w:sz w:val="18"/>
              </w:rPr>
              <w:t>6.93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808,718,761.</w:t>
            </w:r>
          </w:p>
          <w:p>
            <w:pPr>
              <w:pStyle w:val="TableParagraph"/>
              <w:spacing w:line="240" w:lineRule="auto" w:before="106"/>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808,718,761.</w:t>
            </w:r>
          </w:p>
          <w:p>
            <w:pPr>
              <w:pStyle w:val="TableParagraph"/>
              <w:spacing w:line="240" w:lineRule="auto" w:before="106"/>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130.82%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802,783,945.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802,783,945.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38</w:t>
            </w:r>
          </w:p>
        </w:tc>
      </w:tr>
    </w:tbl>
    <w:p>
      <w:pPr>
        <w:spacing w:line="316" w:lineRule="auto" w:before="51"/>
        <w:ind w:left="153" w:right="112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、在报告期内公司因派发股票股利、公积金转增股本、拆股而增加或并股而减少公司总股本，但不影响股东权益金额 的，应当根据相关会计准则的规定按最新股本调整并列报最近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年的基本每股收益和稀释每股收益。 </w:t>
      </w:r>
      <w:r>
        <w:rPr>
          <w:rFonts w:ascii="Times New Roman" w:hAnsi="Times New Roman" w:cs="Times New Roman" w:eastAsia="Times New Roman" w:hint="default"/>
          <w:sz w:val="18"/>
          <w:szCs w:val="18"/>
        </w:rPr>
        <w:t>2</w:t>
      </w:r>
      <w:r>
        <w:rPr>
          <w:rFonts w:ascii="宋体" w:hAnsi="宋体" w:cs="宋体" w:eastAsia="宋体" w:hint="default"/>
          <w:sz w:val="18"/>
          <w:szCs w:val="18"/>
        </w:rPr>
        <w:t>、如果报告期末至年度报告披露日，公司股本因送红股、资本公积转增股本的原因发生变化且不影响股东权益金额的，应 当根据相关会计准则的规定按最新股本调整并列报最近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年的基本每股收益和稀释每股收益。 </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、本报告期对上年度财务数据进行了追溯调整或重述的，上年度期末和上年度同期应当同时列示追溯调整或重述前后的数 据。</w:t>
      </w:r>
    </w:p>
    <w:p>
      <w:pPr>
        <w:spacing w:before="58"/>
        <w:ind w:left="154"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、对非经常性损益、净资产收益率和每股收益的确定和计算，中国证监会另有规定的，应当遵照执行。</w:t>
      </w:r>
    </w:p>
    <w:p>
      <w:pPr>
        <w:spacing w:before="103"/>
        <w:ind w:left="153"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、编制合并财务报表的公司应当以合并财务报表数据填列或计算以上数据和指标。</w:t>
      </w:r>
    </w:p>
    <w:p>
      <w:pPr>
        <w:spacing w:before="102"/>
        <w:ind w:left="153"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、如公司成立未满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年，应当披露公司成立后完整会计年度的上述会计数据和财务指标。</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2" w:lineRule="auto" w:before="44"/>
        <w:ind w:left="153" w:right="1119"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、根据《企业会计准则第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号—每股收益》及《公开发行证券的公司信息披露编报规则第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号—净资产收益率和每股收益 </w:t>
      </w:r>
      <w:r>
        <w:rPr>
          <w:rFonts w:ascii="宋体" w:hAnsi="宋体" w:cs="宋体" w:eastAsia="宋体" w:hint="default"/>
          <w:spacing w:val="-8"/>
          <w:sz w:val="18"/>
          <w:szCs w:val="18"/>
        </w:rPr>
        <w:t>的计算及披露》（</w:t>
      </w:r>
      <w:r>
        <w:rPr>
          <w:rFonts w:ascii="Times New Roman" w:hAnsi="Times New Roman" w:cs="Times New Roman" w:eastAsia="Times New Roman" w:hint="default"/>
          <w:spacing w:val="-8"/>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年修订）的规定计算每股收益及净资产收益率。</w:t>
      </w:r>
    </w:p>
    <w:p>
      <w:pPr>
        <w:spacing w:before="50"/>
        <w:ind w:left="154" w:right="914"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329,653,221</w:t>
            </w:r>
          </w:p>
        </w:tc>
      </w:tr>
    </w:tbl>
    <w:p>
      <w:pPr>
        <w:spacing w:line="316" w:lineRule="auto" w:before="51"/>
        <w:ind w:left="154" w:right="914"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59"/>
        <w:ind w:left="154" w:right="914"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10;top:14;width:104;height:393" coordorigin="10,14" coordsize="104,393">
              <v:shape style="position:absolute;left:10;top:14;width:104;height:393" coordorigin="10,14" coordsize="104,393" path="m10,407l113,407,113,14,10,14,10,407xe" filled="true" fillcolor="#d2d2d2" stroked="false">
                <v:path arrowok="t"/>
                <v:fill type="solid"/>
              </v:shape>
            </v:group>
            <v:group style="position:absolute;left:4420;top:14;width:104;height:393" coordorigin="4420,14" coordsize="104,393">
              <v:shape style="position:absolute;left:4420;top:14;width:104;height:393" coordorigin="4420,14" coordsize="104,393" path="m4420,407l4524,407,4524,14,4420,14,4420,407xe" filled="true" fillcolor="#d2d2d2" stroked="false">
                <v:path arrowok="t"/>
                <v:fill type="solid"/>
              </v:shape>
            </v:group>
            <v:group style="position:absolute;left:113;top:14;width:4308;height:393" coordorigin="113,14" coordsize="4308,393">
              <v:shape style="position:absolute;left:113;top:14;width:4308;height:393" coordorigin="113,14" coordsize="4308,393" path="m113,407l4420,407,4420,14,113,14,113,407xe" filled="true" fillcolor="#d2d2d2" stroked="false">
                <v:path arrowok="t"/>
                <v:fill type="solid"/>
              </v:shape>
            </v:group>
            <v:group style="position:absolute;left:10;top:10;width:4514;height:2" coordorigin="10,10" coordsize="4514,2">
              <v:shape style="position:absolute;left:10;top:10;width:4514;height:2" coordorigin="10,10" coordsize="4514,0" path="m10,10l4524,10e" filled="false" stroked="true" strokeweight=".48pt" strokecolor="#000000">
                <v:path arrowok="t"/>
              </v:shape>
            </v:group>
            <v:group style="position:absolute;left:4533;top:10;width:5036;height:2" coordorigin="4533,10" coordsize="5036,2">
              <v:shape style="position:absolute;left:4533;top:10;width:5036;height:2" coordorigin="4533,10" coordsize="5036,0" path="m4533,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514;height:2" coordorigin="10,412" coordsize="4514,2">
              <v:shape style="position:absolute;left:10;top:412;width:4514;height:2" coordorigin="10,412" coordsize="4514,0" path="m10,412l4524,412e" filled="false" stroked="true" strokeweight=".48pt" strokecolor="#000000">
                <v:path arrowok="t"/>
              </v:shape>
            </v:group>
            <v:group style="position:absolute;left:4528;top:5;width:2;height:412" coordorigin="4528,5" coordsize="2,412">
              <v:shape style="position:absolute;left:4528;top:5;width:2;height:412" coordorigin="4528,5" coordsize="0,412" path="m4528,5l4528,416e" filled="false" stroked="true" strokeweight=".48pt" strokecolor="#000000">
                <v:path arrowok="t"/>
              </v:shape>
            </v:group>
            <v:group style="position:absolute;left:4533;top:412;width:5036;height:2" coordorigin="4533,412" coordsize="5036,2">
              <v:shape style="position:absolute;left:4533;top:412;width:5036;height:2" coordorigin="4533,412" coordsize="5036,0" path="m4533,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524;height:402" type="#_x0000_t202" filled="false" stroked="false">
                <v:textbox inset="0,0,0,0">
                  <w:txbxContent>
                    <w:p>
                      <w:pPr>
                        <w:spacing w:before="56"/>
                        <w:ind w:left="107" w:right="0" w:firstLine="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group>
          </v:group>
        </w:pict>
      </w:r>
      <w:r>
        <w:rPr>
          <w:rFonts w:ascii="宋体" w:hAnsi="宋体" w:cs="宋体" w:eastAsia="宋体" w:hint="default"/>
          <w:position w:val="-7"/>
          <w:sz w:val="20"/>
          <w:szCs w:val="20"/>
        </w:rPr>
      </w:r>
    </w:p>
    <w:p>
      <w:pPr>
        <w:spacing w:before="46"/>
        <w:ind w:left="154" w:right="914" w:firstLine="0"/>
        <w:jc w:val="left"/>
        <w:rPr>
          <w:rFonts w:ascii="宋体" w:hAnsi="宋体" w:cs="宋体" w:eastAsia="宋体" w:hint="default"/>
          <w:sz w:val="18"/>
          <w:szCs w:val="18"/>
        </w:rPr>
      </w:pPr>
      <w:r>
        <w:rPr>
          <w:rFonts w:ascii="宋体" w:hAnsi="宋体" w:cs="宋体" w:eastAsia="宋体" w:hint="default"/>
          <w:sz w:val="18"/>
          <w:szCs w:val="18"/>
        </w:rPr>
        <w:t>是否存在公司债</w:t>
      </w:r>
    </w:p>
    <w:p>
      <w:pPr>
        <w:spacing w:before="117"/>
        <w:ind w:left="153" w:right="914"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24"/>
          <w:szCs w:val="24"/>
        </w:rPr>
      </w:pPr>
    </w:p>
    <w:p>
      <w:pPr>
        <w:pStyle w:val="Heading2"/>
        <w:spacing w:line="240" w:lineRule="auto"/>
        <w:ind w:left="153" w:right="914"/>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914"/>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1167"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4"/>
        <w:spacing w:line="240" w:lineRule="auto"/>
        <w:ind w:left="153" w:right="914"/>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26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8"/>
          <w:szCs w:val="18"/>
        </w:rPr>
      </w:pPr>
    </w:p>
    <w:p>
      <w:pPr>
        <w:pStyle w:val="Heading2"/>
        <w:spacing w:line="240" w:lineRule="auto"/>
        <w:ind w:left="153" w:right="914"/>
        <w:jc w:val="left"/>
        <w:rPr>
          <w:b w:val="0"/>
          <w:bCs w:val="0"/>
        </w:rPr>
      </w:pPr>
      <w:bookmarkStart w:name="三、非经常性损益项目及金额" w:id="15"/>
      <w:bookmarkEnd w:id="15"/>
      <w:r>
        <w:rPr>
          <w:b w:val="0"/>
          <w:bCs w:val="0"/>
        </w:rPr>
      </w:r>
      <w:r>
        <w:rPr/>
        <w:t>三、非经常性损益项目及金额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-512,700.91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-1,973,909.81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-279,322.33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9,349,936.97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8,566,846.00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6,166,135.66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127,053.44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-818,076.66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-536,077.17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-414,281.87</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1,477,573.26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1,227,976.71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910,441.18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49,878.86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97,397.83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44,328.81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6,618,760.72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4,731,484.48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4,517,761.47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69"/>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2" w:lineRule="auto" w:before="115"/>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914"/>
        <w:jc w:val="left"/>
        <w:rPr>
          <w:b w:val="0"/>
          <w:bCs w:val="0"/>
        </w:rPr>
      </w:pPr>
      <w:bookmarkStart w:name="第四节 董事会报告" w:id="16"/>
      <w:bookmarkEnd w:id="16"/>
      <w:r>
        <w:rPr>
          <w:b w:val="0"/>
          <w:bCs w:val="0"/>
        </w:rPr>
      </w:r>
      <w:bookmarkStart w:name="_bookmark2" w:id="17"/>
      <w:bookmarkEnd w:id="17"/>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914"/>
        <w:jc w:val="left"/>
        <w:rPr>
          <w:b w:val="0"/>
          <w:bCs w:val="0"/>
        </w:rPr>
      </w:pPr>
      <w:bookmarkStart w:name="一、概述" w:id="18"/>
      <w:bookmarkEnd w:id="18"/>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spacing w:line="300" w:lineRule="auto" w:before="0"/>
        <w:ind w:left="153" w:right="1130" w:firstLine="360"/>
        <w:jc w:val="both"/>
        <w:rPr>
          <w:rFonts w:ascii="宋体" w:hAnsi="宋体" w:cs="宋体" w:eastAsia="宋体" w:hint="default"/>
          <w:sz w:val="18"/>
          <w:szCs w:val="18"/>
        </w:rPr>
      </w:pPr>
      <w:r>
        <w:rPr>
          <w:rFonts w:ascii="宋体" w:hAnsi="宋体" w:cs="宋体" w:eastAsia="宋体" w:hint="default"/>
          <w:sz w:val="18"/>
          <w:szCs w:val="18"/>
        </w:rPr>
        <w:t>受国际、国内经济环境的影响，中国经济告别了高歌猛进，步入了</w:t>
      </w:r>
      <w:r>
        <w:rPr>
          <w:rFonts w:ascii="Times New Roman" w:hAnsi="Times New Roman" w:cs="Times New Roman" w:eastAsia="Times New Roman" w:hint="default"/>
          <w:sz w:val="18"/>
          <w:szCs w:val="18"/>
        </w:rPr>
        <w:t>“</w:t>
      </w:r>
      <w:r>
        <w:rPr>
          <w:rFonts w:ascii="宋体" w:hAnsi="宋体" w:cs="宋体" w:eastAsia="宋体" w:hint="default"/>
          <w:sz w:val="18"/>
          <w:szCs w:val="18"/>
        </w:rPr>
        <w:t>增速放缓、转型换挡、结构优化、全面提质的经济 发展</w:t>
      </w:r>
      <w:r>
        <w:rPr>
          <w:rFonts w:ascii="Times New Roman" w:hAnsi="Times New Roman" w:cs="Times New Roman" w:eastAsia="Times New Roman" w:hint="default"/>
          <w:sz w:val="18"/>
          <w:szCs w:val="18"/>
        </w:rPr>
        <w:t>“</w:t>
      </w:r>
      <w:r>
        <w:rPr>
          <w:rFonts w:ascii="宋体" w:hAnsi="宋体" w:cs="宋体" w:eastAsia="宋体" w:hint="default"/>
          <w:sz w:val="18"/>
          <w:szCs w:val="18"/>
        </w:rPr>
        <w:t>新常态</w:t>
      </w:r>
      <w:r>
        <w:rPr>
          <w:rFonts w:ascii="Times New Roman" w:hAnsi="Times New Roman" w:cs="Times New Roman" w:eastAsia="Times New Roman" w:hint="default"/>
          <w:sz w:val="18"/>
          <w:szCs w:val="18"/>
        </w:rPr>
        <w:t>”</w:t>
      </w:r>
      <w:r>
        <w:rPr>
          <w:rFonts w:ascii="宋体" w:hAnsi="宋体" w:cs="宋体" w:eastAsia="宋体" w:hint="default"/>
          <w:sz w:val="18"/>
          <w:szCs w:val="18"/>
        </w:rPr>
        <w:t>，酒类行业同样进入了发展的</w:t>
      </w:r>
      <w:r>
        <w:rPr>
          <w:rFonts w:ascii="Times New Roman" w:hAnsi="Times New Roman" w:cs="Times New Roman" w:eastAsia="Times New Roman" w:hint="default"/>
          <w:sz w:val="18"/>
          <w:szCs w:val="18"/>
        </w:rPr>
        <w:t>“</w:t>
      </w:r>
      <w:r>
        <w:rPr>
          <w:rFonts w:ascii="宋体" w:hAnsi="宋体" w:cs="宋体" w:eastAsia="宋体" w:hint="default"/>
          <w:sz w:val="18"/>
          <w:szCs w:val="18"/>
        </w:rPr>
        <w:t>新常态</w:t>
      </w:r>
      <w:r>
        <w:rPr>
          <w:rFonts w:ascii="Times New Roman" w:hAnsi="Times New Roman" w:cs="Times New Roman" w:eastAsia="Times New Roman" w:hint="default"/>
          <w:sz w:val="18"/>
          <w:szCs w:val="18"/>
        </w:rPr>
        <w:t>”</w:t>
      </w:r>
      <w:r>
        <w:rPr>
          <w:rFonts w:ascii="宋体" w:hAnsi="宋体" w:cs="宋体" w:eastAsia="宋体" w:hint="default"/>
          <w:sz w:val="18"/>
          <w:szCs w:val="18"/>
        </w:rPr>
        <w:t>。白酒行业在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年仍保持一个产量缓慢增长，销售收入增速回落， </w:t>
      </w:r>
      <w:r>
        <w:rPr>
          <w:rFonts w:ascii="宋体" w:hAnsi="宋体" w:cs="宋体" w:eastAsia="宋体" w:hint="default"/>
          <w:spacing w:val="-2"/>
          <w:sz w:val="18"/>
          <w:szCs w:val="18"/>
        </w:rPr>
        <w:t>利润下滑，部分企业亏损额扩大的态势，酒类行业仍处于深度的调整阶段，酒类行业的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新常态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导致公司防伪瓶盖业务经营</w:t>
      </w:r>
      <w:r>
        <w:rPr>
          <w:rFonts w:ascii="宋体" w:hAnsi="宋体" w:cs="宋体" w:eastAsia="宋体" w:hint="default"/>
          <w:spacing w:val="-44"/>
          <w:sz w:val="18"/>
          <w:szCs w:val="18"/>
        </w:rPr>
        <w:t> </w:t>
      </w:r>
      <w:r>
        <w:rPr>
          <w:rFonts w:ascii="宋体" w:hAnsi="宋体" w:cs="宋体" w:eastAsia="宋体" w:hint="default"/>
          <w:sz w:val="18"/>
          <w:szCs w:val="18"/>
        </w:rPr>
        <w:t>业绩增速放缓。</w:t>
      </w:r>
    </w:p>
    <w:p>
      <w:pPr>
        <w:spacing w:line="312" w:lineRule="auto" w:before="71"/>
        <w:ind w:left="153" w:right="1041" w:firstLine="360"/>
        <w:jc w:val="left"/>
        <w:rPr>
          <w:rFonts w:ascii="宋体" w:hAnsi="宋体" w:cs="宋体" w:eastAsia="宋体" w:hint="default"/>
          <w:sz w:val="18"/>
          <w:szCs w:val="18"/>
        </w:rPr>
      </w:pPr>
      <w:r>
        <w:rPr>
          <w:rFonts w:ascii="宋体" w:hAnsi="宋体" w:cs="宋体" w:eastAsia="宋体" w:hint="default"/>
          <w:spacing w:val="-2"/>
          <w:sz w:val="18"/>
          <w:szCs w:val="18"/>
        </w:rPr>
        <w:t>面对复杂多变的国内经济环境和业务转型升级的严峻任务，公司围绕董事会制定的经营计划与工作目标，在管理层及全</w:t>
      </w:r>
      <w:r>
        <w:rPr>
          <w:rFonts w:ascii="宋体" w:hAnsi="宋体" w:cs="宋体" w:eastAsia="宋体" w:hint="default"/>
          <w:sz w:val="18"/>
          <w:szCs w:val="18"/>
        </w:rPr>
        <w:t> </w:t>
      </w:r>
      <w:r>
        <w:rPr>
          <w:rFonts w:ascii="宋体" w:hAnsi="宋体" w:cs="宋体" w:eastAsia="宋体" w:hint="default"/>
          <w:spacing w:val="-2"/>
          <w:sz w:val="18"/>
          <w:szCs w:val="18"/>
        </w:rPr>
        <w:t>体员工的共同努力下，坚持以创新为发展基点，采取积极措施克服产品利润空间压缩等诸多不利因素的影响，使得公司主营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业务基本稳定。同时，面对原有包装行业的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新常态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，公司董事会积极实施重大资产重组，收购重庆华宇园林股份有限公司，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使得公司实现双主业发展，改变依靠单一行业发展所面临的风险。</w:t>
      </w:r>
    </w:p>
    <w:p>
      <w:pPr>
        <w:spacing w:line="302" w:lineRule="auto" w:before="61"/>
        <w:ind w:left="153" w:right="1040" w:firstLine="360"/>
        <w:jc w:val="both"/>
        <w:rPr>
          <w:rFonts w:ascii="宋体" w:hAnsi="宋体" w:cs="宋体" w:eastAsia="宋体" w:hint="default"/>
          <w:sz w:val="18"/>
          <w:szCs w:val="18"/>
        </w:rPr>
      </w:pPr>
      <w:r>
        <w:rPr>
          <w:rFonts w:ascii="宋体" w:hAnsi="宋体" w:cs="宋体" w:eastAsia="宋体" w:hint="default"/>
          <w:sz w:val="18"/>
          <w:szCs w:val="18"/>
        </w:rPr>
        <w:t>报告期内公司实现营业收入</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70,192.31</w:t>
      </w:r>
      <w:r>
        <w:rPr>
          <w:rFonts w:ascii="Times New Roman" w:hAnsi="Times New Roman" w:cs="Times New Roman" w:eastAsia="Times New Roman" w:hint="default"/>
          <w:spacing w:val="-19"/>
          <w:sz w:val="18"/>
          <w:szCs w:val="18"/>
        </w:rPr>
        <w:t> </w:t>
      </w:r>
      <w:r>
        <w:rPr>
          <w:rFonts w:ascii="宋体" w:hAnsi="宋体" w:cs="宋体" w:eastAsia="宋体" w:hint="default"/>
          <w:spacing w:val="-9"/>
          <w:sz w:val="18"/>
          <w:szCs w:val="18"/>
        </w:rPr>
        <w:t>万元，比上一年度增长</w:t>
      </w:r>
      <w:r>
        <w:rPr>
          <w:rFonts w:ascii="宋体" w:hAnsi="宋体" w:cs="宋体" w:eastAsia="宋体" w:hint="default"/>
          <w:spacing w:val="-63"/>
          <w:sz w:val="18"/>
          <w:szCs w:val="18"/>
        </w:rPr>
        <w:t> </w:t>
      </w:r>
      <w:r>
        <w:rPr>
          <w:rFonts w:ascii="Times New Roman" w:hAnsi="Times New Roman" w:cs="Times New Roman" w:eastAsia="Times New Roman" w:hint="default"/>
          <w:spacing w:val="-8"/>
          <w:sz w:val="18"/>
          <w:szCs w:val="18"/>
        </w:rPr>
        <w:t>6.26%</w:t>
      </w:r>
      <w:r>
        <w:rPr>
          <w:rFonts w:ascii="宋体" w:hAnsi="宋体" w:cs="宋体" w:eastAsia="宋体" w:hint="default"/>
          <w:spacing w:val="-8"/>
          <w:sz w:val="18"/>
          <w:szCs w:val="18"/>
        </w:rPr>
        <w:t>；实现利润总额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4,751.38</w:t>
      </w:r>
      <w:r>
        <w:rPr>
          <w:rFonts w:ascii="Times New Roman" w:hAnsi="Times New Roman" w:cs="Times New Roman" w:eastAsia="Times New Roman" w:hint="default"/>
          <w:spacing w:val="-17"/>
          <w:sz w:val="18"/>
          <w:szCs w:val="18"/>
        </w:rPr>
        <w:t> </w:t>
      </w:r>
      <w:r>
        <w:rPr>
          <w:rFonts w:ascii="宋体" w:hAnsi="宋体" w:cs="宋体" w:eastAsia="宋体" w:hint="default"/>
          <w:spacing w:val="-10"/>
          <w:sz w:val="18"/>
          <w:szCs w:val="18"/>
        </w:rPr>
        <w:t>万元，比上一年度下降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8.78%</w:t>
      </w:r>
      <w:r>
        <w:rPr>
          <w:rFonts w:ascii="宋体" w:hAnsi="宋体" w:cs="宋体" w:eastAsia="宋体" w:hint="default"/>
          <w:sz w:val="18"/>
          <w:szCs w:val="18"/>
        </w:rPr>
        <w:t>； 归属于上市公司股东的净利润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3,135.05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万元，比上一年度下降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17.14%</w:t>
      </w:r>
      <w:r>
        <w:rPr>
          <w:rFonts w:ascii="宋体" w:hAnsi="宋体" w:cs="宋体" w:eastAsia="宋体" w:hint="default"/>
          <w:sz w:val="18"/>
          <w:szCs w:val="18"/>
        </w:rPr>
        <w:t>；实现每股收益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元，比上一年度下降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p>
      <w:pPr>
        <w:spacing w:line="240" w:lineRule="auto" w:before="13"/>
        <w:rPr>
          <w:rFonts w:ascii="宋体" w:hAnsi="宋体" w:cs="宋体" w:eastAsia="宋体" w:hint="default"/>
          <w:sz w:val="19"/>
          <w:szCs w:val="19"/>
        </w:rPr>
      </w:pPr>
    </w:p>
    <w:p>
      <w:pPr>
        <w:pStyle w:val="Heading2"/>
        <w:spacing w:line="240" w:lineRule="auto"/>
        <w:ind w:right="914"/>
        <w:jc w:val="left"/>
        <w:rPr>
          <w:b w:val="0"/>
          <w:bCs w:val="0"/>
        </w:rPr>
      </w:pPr>
      <w:bookmarkStart w:name="二、主营业务分析" w:id="19"/>
      <w:bookmarkEnd w:id="19"/>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14"/>
        <w:jc w:val="left"/>
        <w:rPr>
          <w:b w:val="0"/>
          <w:bCs w:val="0"/>
        </w:rPr>
      </w:pPr>
      <w:bookmarkStart w:name="1、概述" w:id="20"/>
      <w:bookmarkEnd w:id="20"/>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spacing w:line="300" w:lineRule="auto" w:before="0"/>
        <w:ind w:left="153" w:right="1042" w:firstLine="360"/>
        <w:jc w:val="both"/>
        <w:rPr>
          <w:rFonts w:ascii="宋体" w:hAnsi="宋体" w:cs="宋体" w:eastAsia="宋体" w:hint="default"/>
          <w:sz w:val="18"/>
          <w:szCs w:val="18"/>
        </w:rPr>
      </w:pPr>
      <w:r>
        <w:rPr>
          <w:rFonts w:ascii="宋体" w:hAnsi="宋体" w:cs="宋体" w:eastAsia="宋体" w:hint="default"/>
          <w:sz w:val="18"/>
          <w:szCs w:val="18"/>
        </w:rPr>
        <w:t>报告期内公司实现营业总收入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70,192.31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万元，较上年同期增长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6.26%</w:t>
      </w:r>
      <w:r>
        <w:rPr>
          <w:rFonts w:ascii="宋体" w:hAnsi="宋体" w:cs="宋体" w:eastAsia="宋体" w:hint="default"/>
          <w:sz w:val="18"/>
          <w:szCs w:val="18"/>
        </w:rPr>
        <w:t>；归属于上市公司股东的净利润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3,135.05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较上年下降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17.14%</w:t>
      </w:r>
      <w:r>
        <w:rPr>
          <w:rFonts w:ascii="宋体" w:hAnsi="宋体" w:cs="宋体" w:eastAsia="宋体" w:hint="default"/>
          <w:sz w:val="18"/>
          <w:szCs w:val="18"/>
        </w:rPr>
        <w:t>。归属于上市公司股东的净利润下降的主要原因是：</w:t>
      </w:r>
      <w:r>
        <w:rPr>
          <w:rFonts w:ascii="Times New Roman" w:hAnsi="Times New Roman" w:cs="Times New Roman" w:eastAsia="Times New Roman" w:hint="default"/>
          <w:sz w:val="18"/>
          <w:szCs w:val="18"/>
        </w:rPr>
        <w:t>1</w:t>
      </w:r>
      <w:r>
        <w:rPr>
          <w:rFonts w:ascii="宋体" w:hAnsi="宋体" w:cs="宋体" w:eastAsia="宋体" w:hint="default"/>
          <w:sz w:val="18"/>
          <w:szCs w:val="18"/>
        </w:rPr>
        <w:t>、因国内经济增速放缓，酒行业持续低迷，各大酒 厂等客户通过招标等方式降低瓶盖采购价格，导致产品毛利率有所下降；</w:t>
      </w:r>
      <w:r>
        <w:rPr>
          <w:rFonts w:ascii="Times New Roman" w:hAnsi="Times New Roman" w:cs="Times New Roman" w:eastAsia="Times New Roman" w:hint="default"/>
          <w:sz w:val="18"/>
          <w:szCs w:val="18"/>
        </w:rPr>
        <w:t>2</w:t>
      </w:r>
      <w:r>
        <w:rPr>
          <w:rFonts w:ascii="宋体" w:hAnsi="宋体" w:cs="宋体" w:eastAsia="宋体" w:hint="default"/>
          <w:sz w:val="18"/>
          <w:szCs w:val="18"/>
        </w:rPr>
        <w:t>、加大市场开拓，推动防伪瓶盖在其他市场领域 </w:t>
      </w:r>
      <w:r>
        <w:rPr>
          <w:rFonts w:ascii="宋体" w:hAnsi="宋体" w:cs="宋体" w:eastAsia="宋体" w:hint="default"/>
          <w:spacing w:val="-2"/>
          <w:sz w:val="18"/>
          <w:szCs w:val="18"/>
        </w:rPr>
        <w:t>的应用导致管理费用和销售费用增加；</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、人工成本不断上升、管理费用增加。综合上述几点，致使公司整体利润水平下降。</w:t>
      </w:r>
    </w:p>
    <w:p>
      <w:pPr>
        <w:spacing w:before="52"/>
        <w:ind w:left="154" w:right="914"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spacing w:before="116"/>
        <w:ind w:left="514" w:right="914" w:firstLine="0"/>
        <w:jc w:val="left"/>
        <w:rPr>
          <w:rFonts w:ascii="宋体" w:hAnsi="宋体" w:cs="宋体" w:eastAsia="宋体" w:hint="default"/>
          <w:sz w:val="18"/>
          <w:szCs w:val="18"/>
        </w:rPr>
      </w:pPr>
      <w:r>
        <w:rPr>
          <w:rFonts w:ascii="宋体" w:hAnsi="宋体" w:cs="宋体" w:eastAsia="宋体" w:hint="default"/>
          <w:spacing w:val="-3"/>
          <w:sz w:val="18"/>
          <w:szCs w:val="18"/>
        </w:rPr>
        <w:t>受白酒行业市场整体影响，公司年初制定的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年公司经营目标，计划生产防伪瓶盖</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亿只，预计营业收入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w:t>
      </w:r>
    </w:p>
    <w:p>
      <w:pPr>
        <w:spacing w:line="338" w:lineRule="auto" w:before="64"/>
        <w:ind w:left="153" w:right="4078" w:firstLine="0"/>
        <w:jc w:val="left"/>
        <w:rPr>
          <w:rFonts w:ascii="宋体" w:hAnsi="宋体" w:cs="宋体" w:eastAsia="宋体" w:hint="default"/>
          <w:sz w:val="18"/>
          <w:szCs w:val="18"/>
        </w:rPr>
      </w:pPr>
      <w:r>
        <w:rPr>
          <w:rFonts w:ascii="宋体" w:hAnsi="宋体" w:cs="宋体" w:eastAsia="宋体" w:hint="default"/>
          <w:sz w:val="18"/>
          <w:szCs w:val="18"/>
        </w:rPr>
        <w:t>实际生产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亿只，未达到计划目标。 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20"/>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right="914"/>
        <w:jc w:val="left"/>
        <w:rPr>
          <w:b w:val="0"/>
          <w:bCs w:val="0"/>
        </w:rPr>
      </w:pPr>
      <w:bookmarkStart w:name="2、收入" w:id="21"/>
      <w:bookmarkEnd w:id="21"/>
      <w:r>
        <w:rPr>
          <w:b w:val="0"/>
          <w:bCs w:val="0"/>
        </w:rPr>
      </w: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40" w:lineRule="auto" w:before="116"/>
        <w:ind w:left="154" w:right="3567" w:firstLine="240"/>
        <w:jc w:val="left"/>
        <w:rPr>
          <w:rFonts w:ascii="宋体" w:hAnsi="宋体" w:cs="宋体" w:eastAsia="宋体" w:hint="default"/>
          <w:sz w:val="18"/>
          <w:szCs w:val="18"/>
        </w:rPr>
      </w:pPr>
      <w:r>
        <w:rPr>
          <w:rFonts w:ascii="宋体" w:hAnsi="宋体" w:cs="宋体" w:eastAsia="宋体" w:hint="default"/>
          <w:sz w:val="18"/>
          <w:szCs w:val="18"/>
        </w:rPr>
        <w:t>报告期内公司实现营业总收入</w:t>
      </w:r>
      <w:r>
        <w:rPr>
          <w:rFonts w:ascii="Times New Roman" w:hAnsi="Times New Roman" w:cs="Times New Roman" w:eastAsia="Times New Roman" w:hint="default"/>
          <w:sz w:val="18"/>
          <w:szCs w:val="18"/>
        </w:rPr>
        <w:t>70,192.31</w:t>
      </w:r>
      <w:r>
        <w:rPr>
          <w:rFonts w:ascii="宋体" w:hAnsi="宋体" w:cs="宋体" w:eastAsia="宋体" w:hint="default"/>
          <w:sz w:val="18"/>
          <w:szCs w:val="18"/>
        </w:rPr>
        <w:t>万元，较上年同期增长</w:t>
      </w:r>
      <w:r>
        <w:rPr>
          <w:rFonts w:ascii="Times New Roman" w:hAnsi="Times New Roman" w:cs="Times New Roman" w:eastAsia="Times New Roman" w:hint="default"/>
          <w:sz w:val="18"/>
          <w:szCs w:val="18"/>
        </w:rPr>
        <w:t>6.26%</w:t>
      </w:r>
      <w:r>
        <w:rPr>
          <w:rFonts w:ascii="宋体" w:hAnsi="宋体" w:cs="宋体" w:eastAsia="宋体" w:hint="default"/>
          <w:sz w:val="18"/>
          <w:szCs w:val="18"/>
        </w:rPr>
        <w:t>，保持了增长态势。 公司实物销售收入是否大于劳务收入</w:t>
      </w:r>
    </w:p>
    <w:p>
      <w:pPr>
        <w:spacing w:before="40"/>
        <w:ind w:left="153" w:right="914"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9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1596"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228,765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217,722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5.07%</w:t>
            </w:r>
          </w:p>
        </w:tc>
      </w:tr>
      <w:tr>
        <w:trPr>
          <w:trHeight w:val="402" w:hRule="exact"/>
        </w:trPr>
        <w:tc>
          <w:tcPr>
            <w:tcW w:w="1596" w:type="dxa"/>
            <w:vMerge/>
            <w:tcBorders>
              <w:left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236,946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232,959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1.71%</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40,419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20.24%</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4" w:right="8772" w:firstLine="0"/>
        <w:jc w:val="left"/>
        <w:rPr>
          <w:rFonts w:ascii="宋体" w:hAnsi="宋体" w:cs="宋体" w:eastAsia="宋体" w:hint="default"/>
          <w:sz w:val="18"/>
          <w:szCs w:val="18"/>
        </w:rPr>
      </w:pPr>
      <w:r>
        <w:rPr>
          <w:rFonts w:ascii="宋体" w:hAnsi="宋体" w:cs="宋体" w:eastAsia="宋体" w:hint="default"/>
          <w:sz w:val="18"/>
          <w:szCs w:val="18"/>
        </w:rPr>
        <w:t>□ 适用 √ 不适用 公司重大的在手订单情况</w:t>
      </w:r>
    </w:p>
    <w:p>
      <w:pPr>
        <w:spacing w:line="357" w:lineRule="auto" w:before="29"/>
        <w:ind w:left="154" w:right="6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公司报告期内产品或服务发生重大变化或调整有关情况</w:t>
      </w:r>
    </w:p>
    <w:p>
      <w:pPr>
        <w:spacing w:line="360" w:lineRule="auto" w:before="28"/>
        <w:ind w:left="154" w:right="8952"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268,350,992.89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39.66%</w:t>
            </w:r>
          </w:p>
        </w:tc>
      </w:tr>
    </w:tbl>
    <w:p>
      <w:pPr>
        <w:spacing w:before="65"/>
        <w:ind w:left="154" w:right="9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3"/>
        <w:gridCol w:w="3301"/>
        <w:gridCol w:w="2322"/>
        <w:gridCol w:w="3143"/>
      </w:tblGrid>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107,384,580.14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15.87%</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79,151,112.57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11.70%</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36,496,561.15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5.39%</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24,492,633.15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20,826,105.88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3.08%</w:t>
            </w:r>
          </w:p>
        </w:tc>
      </w:tr>
      <w:tr>
        <w:trPr>
          <w:trHeight w:val="403"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268,350,992.89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39.66%</w:t>
            </w:r>
          </w:p>
        </w:tc>
      </w:tr>
    </w:tbl>
    <w:p>
      <w:pPr>
        <w:spacing w:line="240" w:lineRule="auto" w:before="3"/>
        <w:rPr>
          <w:rFonts w:ascii="宋体" w:hAnsi="宋体" w:cs="宋体" w:eastAsia="宋体" w:hint="default"/>
          <w:sz w:val="19"/>
          <w:szCs w:val="19"/>
        </w:rPr>
      </w:pPr>
    </w:p>
    <w:p>
      <w:pPr>
        <w:pStyle w:val="Heading4"/>
        <w:spacing w:line="240" w:lineRule="auto" w:before="35"/>
        <w:ind w:right="914"/>
        <w:jc w:val="left"/>
        <w:rPr>
          <w:b w:val="0"/>
          <w:bCs w:val="0"/>
        </w:rPr>
      </w:pPr>
      <w:bookmarkStart w:name="3、成本" w:id="22"/>
      <w:bookmarkEnd w:id="22"/>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spacing w:before="44"/>
        <w:ind w:left="154" w:right="914"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519"/>
        <w:gridCol w:w="1426"/>
        <w:gridCol w:w="1484"/>
        <w:gridCol w:w="1039"/>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3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341,012,896.61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80.36%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318,929,027.26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80.52%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24,949,377.24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5.88%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27,171,549.01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6.86%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-0.98%</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58,374,795.95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13.76%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49,986,144.13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12.62%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1.14%</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72"/>
        <w:gridCol w:w="1305"/>
        <w:gridCol w:w="1351"/>
        <w:gridCol w:w="1500"/>
        <w:gridCol w:w="1365"/>
        <w:gridCol w:w="1486"/>
        <w:gridCol w:w="994"/>
      </w:tblGrid>
      <w:tr>
        <w:trPr>
          <w:trHeight w:val="402" w:hRule="exact"/>
        </w:trPr>
        <w:tc>
          <w:tcPr>
            <w:tcW w:w="15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72"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4"/>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铝防伪瓶盖</w:t>
            </w:r>
          </w:p>
        </w:tc>
        <w:tc>
          <w:tcPr>
            <w:tcW w:w="130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86,946,090.52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76.49%</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69,907,127.06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78.60%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2" w:hRule="exact"/>
        </w:trPr>
        <w:tc>
          <w:tcPr>
            <w:tcW w:w="15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铝防伪瓶盖</w:t>
            </w:r>
          </w:p>
        </w:tc>
        <w:tc>
          <w:tcPr>
            <w:tcW w:w="130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6,087,615.33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5.36%</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5,229,693.47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15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铝防伪瓶盖</w:t>
            </w:r>
          </w:p>
        </w:tc>
        <w:tc>
          <w:tcPr>
            <w:tcW w:w="130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20,631,316.31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18.15%</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13,803,544.69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15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组合式防伪瓶盖</w:t>
            </w:r>
          </w:p>
        </w:tc>
        <w:tc>
          <w:tcPr>
            <w:tcW w:w="130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254,066,806.08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81.78%</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251,061,430.72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81.74%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5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组合式防伪瓶盖</w:t>
            </w:r>
          </w:p>
        </w:tc>
        <w:tc>
          <w:tcPr>
            <w:tcW w:w="130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18,861,761.92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6.07%</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229,745,473.67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72"/>
        <w:gridCol w:w="1305"/>
        <w:gridCol w:w="1351"/>
        <w:gridCol w:w="1500"/>
        <w:gridCol w:w="1365"/>
        <w:gridCol w:w="1486"/>
        <w:gridCol w:w="994"/>
      </w:tblGrid>
      <w:tr>
        <w:trPr>
          <w:trHeight w:val="402" w:hRule="exact"/>
        </w:trPr>
        <w:tc>
          <w:tcPr>
            <w:tcW w:w="15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组合式防伪瓶盖</w:t>
            </w:r>
          </w:p>
        </w:tc>
        <w:tc>
          <w:tcPr>
            <w:tcW w:w="130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37,743,479.64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1" w:right="0"/>
              <w:jc w:val="left"/>
              <w:rPr>
                <w:rFonts w:ascii="Times New Roman" w:hAnsi="Times New Roman" w:cs="Times New Roman" w:eastAsia="Times New Roman" w:hint="default"/>
                <w:sz w:val="18"/>
                <w:szCs w:val="18"/>
              </w:rPr>
            </w:pPr>
            <w:r>
              <w:rPr>
                <w:rFonts w:ascii="Times New Roman"/>
                <w:sz w:val="18"/>
              </w:rPr>
              <w:t>12.15%</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1" w:right="0"/>
              <w:jc w:val="left"/>
              <w:rPr>
                <w:rFonts w:ascii="Times New Roman" w:hAnsi="Times New Roman" w:cs="Times New Roman" w:eastAsia="Times New Roman" w:hint="default"/>
                <w:sz w:val="18"/>
                <w:szCs w:val="18"/>
              </w:rPr>
            </w:pPr>
            <w:r>
              <w:rPr>
                <w:rFonts w:ascii="Times New Roman"/>
                <w:sz w:val="18"/>
              </w:rPr>
              <w:t>33,110,377.09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7" w:right="0"/>
              <w:jc w:val="left"/>
              <w:rPr>
                <w:rFonts w:ascii="Times New Roman" w:hAnsi="Times New Roman" w:cs="Times New Roman" w:eastAsia="Times New Roman" w:hint="default"/>
                <w:sz w:val="18"/>
                <w:szCs w:val="18"/>
              </w:rPr>
            </w:pPr>
            <w:r>
              <w:rPr>
                <w:rFonts w:ascii="Times New Roman"/>
                <w:sz w:val="18"/>
              </w:rPr>
              <w:t>10.78%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1.36%</w:t>
            </w:r>
          </w:p>
        </w:tc>
      </w:tr>
    </w:tbl>
    <w:p>
      <w:pPr>
        <w:spacing w:line="360" w:lineRule="auto" w:before="51"/>
        <w:ind w:left="153" w:right="4093" w:firstLine="0"/>
        <w:jc w:val="left"/>
        <w:rPr>
          <w:rFonts w:ascii="宋体" w:hAnsi="宋体" w:cs="宋体" w:eastAsia="宋体" w:hint="default"/>
          <w:sz w:val="18"/>
          <w:szCs w:val="18"/>
        </w:rPr>
      </w:pPr>
      <w:r>
        <w:rPr>
          <w:rFonts w:ascii="宋体" w:hAnsi="宋体" w:cs="宋体" w:eastAsia="宋体" w:hint="default"/>
          <w:sz w:val="18"/>
          <w:szCs w:val="18"/>
        </w:rPr>
        <w:t>说明 报告期内，随着募投项目的实施，厂房设备折旧等其他制造费用占成本比有所增加。 公司主要供应商情况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182,511,617.16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51.63%</w:t>
            </w:r>
          </w:p>
        </w:tc>
      </w:tr>
    </w:tbl>
    <w:p>
      <w:pPr>
        <w:spacing w:before="67"/>
        <w:ind w:left="154" w:right="9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397"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7"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86,389,017.71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24.44%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46,197,080.92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13.07%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22,564,538.45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15,899,443.70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11,461,536.38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182,511,617.16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51.63%</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4、费用" w:id="23"/>
      <w:bookmarkEnd w:id="23"/>
      <w:r>
        <w:rPr>
          <w:b w:val="0"/>
          <w:bCs w:val="0"/>
        </w:rPr>
      </w:r>
      <w:r>
        <w:rPr>
          <w:rFonts w:ascii="Times New Roman" w:hAnsi="Times New Roman" w:cs="Times New Roman" w:eastAsia="Times New Roman" w:hint="default"/>
        </w:rPr>
        <w:t>4</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line="1890" w:lineRule="exact"/>
        <w:ind w:left="1883"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3924300" cy="12001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3" cstate="print"/>
                    <a:stretch>
                      <a:fillRect/>
                    </a:stretch>
                  </pic:blipFill>
                  <pic:spPr>
                    <a:xfrm>
                      <a:off x="0" y="0"/>
                      <a:ext cx="3924300" cy="1200150"/>
                    </a:xfrm>
                    <a:prstGeom prst="rect">
                      <a:avLst/>
                    </a:prstGeom>
                  </pic:spPr>
                </pic:pic>
              </a:graphicData>
            </a:graphic>
          </wp:inline>
        </w:drawing>
      </w:r>
      <w:r>
        <w:rPr>
          <w:rFonts w:ascii="宋体" w:hAnsi="宋体" w:cs="宋体" w:eastAsia="宋体" w:hint="default"/>
          <w:position w:val="-37"/>
          <w:sz w:val="20"/>
          <w:szCs w:val="20"/>
        </w:rPr>
      </w:r>
    </w:p>
    <w:p>
      <w:pPr>
        <w:spacing w:line="240" w:lineRule="auto" w:before="0"/>
        <w:rPr>
          <w:rFonts w:ascii="宋体" w:hAnsi="宋体" w:cs="宋体" w:eastAsia="宋体" w:hint="default"/>
          <w:b/>
          <w:bCs/>
          <w:sz w:val="20"/>
          <w:szCs w:val="20"/>
        </w:rPr>
      </w:pPr>
    </w:p>
    <w:p>
      <w:pPr>
        <w:pStyle w:val="Heading4"/>
        <w:spacing w:line="240" w:lineRule="auto" w:before="173"/>
        <w:ind w:right="914"/>
        <w:jc w:val="left"/>
        <w:rPr>
          <w:b w:val="0"/>
          <w:bCs w:val="0"/>
        </w:rPr>
      </w:pPr>
      <w:bookmarkStart w:name="5、研发支出" w:id="24"/>
      <w:bookmarkEnd w:id="24"/>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5"/>
        <w:ind w:left="574" w:right="914"/>
        <w:jc w:val="left"/>
      </w:pPr>
      <w:r>
        <w:rPr>
          <w:rFonts w:ascii="Times New Roman" w:hAnsi="Times New Roman" w:cs="Times New Roman" w:eastAsia="Times New Roman" w:hint="default"/>
        </w:rPr>
        <w:t>2014</w:t>
      </w:r>
      <w:r>
        <w:rPr/>
        <w:t>年度公司研发投入金额</w:t>
      </w:r>
      <w:r>
        <w:rPr>
          <w:rFonts w:ascii="宋体" w:hAnsi="宋体" w:cs="宋体" w:eastAsia="宋体" w:hint="default"/>
        </w:rPr>
        <w:t>1,448.33</w:t>
      </w:r>
      <w:r>
        <w:rPr/>
        <w:t>万元，占当期营业收入的</w:t>
      </w:r>
      <w:r>
        <w:rPr>
          <w:rFonts w:ascii="Times New Roman" w:hAnsi="Times New Roman" w:cs="Times New Roman" w:eastAsia="Times New Roman" w:hint="default"/>
        </w:rPr>
        <w:t>2.06%</w:t>
      </w:r>
      <w:r>
        <w:rPr/>
        <w:t>，占</w:t>
      </w:r>
      <w:r>
        <w:rPr>
          <w:rFonts w:ascii="Times New Roman" w:hAnsi="Times New Roman" w:cs="Times New Roman" w:eastAsia="Times New Roman" w:hint="default"/>
        </w:rPr>
        <w:t>2014</w:t>
      </w:r>
      <w:r>
        <w:rPr/>
        <w:t>年末净资产的</w:t>
      </w:r>
      <w:r>
        <w:rPr>
          <w:rFonts w:ascii="宋体" w:hAnsi="宋体" w:cs="宋体" w:eastAsia="宋体" w:hint="default"/>
        </w:rPr>
        <w:t>0.76</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4"/>
          <w:szCs w:val="24"/>
        </w:rPr>
      </w:pPr>
    </w:p>
    <w:p>
      <w:pPr>
        <w:pStyle w:val="Heading4"/>
        <w:spacing w:line="240" w:lineRule="auto"/>
        <w:ind w:right="914"/>
        <w:jc w:val="left"/>
        <w:rPr>
          <w:b w:val="0"/>
          <w:bCs w:val="0"/>
        </w:rPr>
      </w:pPr>
      <w:bookmarkStart w:name="6、现金流" w:id="25"/>
      <w:bookmarkEnd w:id="25"/>
      <w:r>
        <w:rPr>
          <w:b w:val="0"/>
          <w:bCs w:val="0"/>
        </w:rPr>
      </w:r>
      <w:r>
        <w:rPr>
          <w:rFonts w:ascii="Times New Roman" w:hAnsi="Times New Roman" w:cs="Times New Roman" w:eastAsia="Times New Roman" w:hint="default"/>
        </w:rPr>
        <w:t>6</w:t>
      </w:r>
      <w:r>
        <w:rPr/>
        <w:t>、现金流</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47"/>
        <w:gridCol w:w="1938"/>
        <w:gridCol w:w="2392"/>
        <w:gridCol w:w="2392"/>
      </w:tblGrid>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836,896,817.33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773,570,410.14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8.19%</w:t>
            </w:r>
          </w:p>
        </w:tc>
      </w:tr>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738,904,905.44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685,904,298.69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7.73%</w:t>
            </w:r>
          </w:p>
        </w:tc>
      </w:tr>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97,991,911.89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87,666,111.45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11.78%</w:t>
            </w:r>
          </w:p>
        </w:tc>
      </w:tr>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14,529,573.57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22,171,279.05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-34.47%</w:t>
            </w:r>
          </w:p>
        </w:tc>
      </w:tr>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337,767,103.23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234,143,086.63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47"/>
        <w:gridCol w:w="1938"/>
        <w:gridCol w:w="2392"/>
        <w:gridCol w:w="2392"/>
      </w:tblGrid>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-323,237,529.66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-211,971,807.58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-58.16%</w:t>
            </w:r>
          </w:p>
        </w:tc>
      </w:tr>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573,810,651.42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420,977,520.00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36.30%</w:t>
            </w:r>
          </w:p>
        </w:tc>
      </w:tr>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373,994,536.48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436,452,448.12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-14.31%</w:t>
            </w:r>
          </w:p>
        </w:tc>
      </w:tr>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199,816,114.94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-15,474,928.12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1,391.22%</w:t>
            </w:r>
          </w:p>
        </w:tc>
      </w:tr>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-24,907,919.69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-142,447,883.93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74.07%</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38" w:lineRule="auto" w:before="116"/>
        <w:ind w:left="514" w:right="1030" w:firstLine="0"/>
        <w:jc w:val="left"/>
        <w:rPr>
          <w:rFonts w:ascii="宋体" w:hAnsi="宋体" w:cs="宋体" w:eastAsia="宋体" w:hint="default"/>
          <w:sz w:val="18"/>
          <w:szCs w:val="18"/>
        </w:rPr>
      </w:pPr>
      <w:r>
        <w:rPr>
          <w:rFonts w:ascii="宋体" w:hAnsi="宋体" w:cs="宋体" w:eastAsia="宋体" w:hint="default"/>
          <w:sz w:val="18"/>
          <w:szCs w:val="18"/>
        </w:rPr>
        <w:t>报告期内，投资活动现金流入小计较去年减少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34.47%</w:t>
      </w:r>
      <w:r>
        <w:rPr>
          <w:rFonts w:ascii="宋体" w:hAnsi="宋体" w:cs="宋体" w:eastAsia="宋体" w:hint="default"/>
          <w:sz w:val="18"/>
          <w:szCs w:val="18"/>
        </w:rPr>
        <w:t>，主要原因是公司去年收到的递延收益补助款较多所致。 </w:t>
      </w:r>
      <w:r>
        <w:rPr>
          <w:rFonts w:ascii="宋体" w:hAnsi="宋体" w:cs="宋体" w:eastAsia="宋体" w:hint="default"/>
          <w:spacing w:val="-2"/>
          <w:sz w:val="18"/>
          <w:szCs w:val="18"/>
        </w:rPr>
        <w:t>报告期内，投资活动现金流出小计与比去年增加</w:t>
      </w:r>
      <w:r>
        <w:rPr>
          <w:rFonts w:ascii="宋体" w:hAnsi="宋体" w:cs="宋体" w:eastAsia="宋体" w:hint="default"/>
          <w:spacing w:val="-27"/>
          <w:sz w:val="18"/>
          <w:szCs w:val="18"/>
        </w:rPr>
        <w:t> </w:t>
      </w:r>
      <w:r>
        <w:rPr>
          <w:rFonts w:ascii="Times New Roman" w:hAnsi="Times New Roman" w:cs="Times New Roman" w:eastAsia="Times New Roman" w:hint="default"/>
          <w:spacing w:val="-1"/>
          <w:sz w:val="18"/>
          <w:szCs w:val="18"/>
        </w:rPr>
        <w:t>44.26%</w:t>
      </w:r>
      <w:r>
        <w:rPr>
          <w:rFonts w:ascii="宋体" w:hAnsi="宋体" w:cs="宋体" w:eastAsia="宋体" w:hint="default"/>
          <w:spacing w:val="-1"/>
          <w:sz w:val="18"/>
          <w:szCs w:val="18"/>
        </w:rPr>
        <w:t>，主要原因是公司收购重庆华宇园林股权支付股权转让款所致。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报告期内，投资活动产生的现金流量净额与比去年减少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58.16%</w:t>
      </w:r>
      <w:r>
        <w:rPr>
          <w:rFonts w:ascii="宋体" w:hAnsi="宋体" w:cs="宋体" w:eastAsia="宋体" w:hint="default"/>
          <w:sz w:val="18"/>
          <w:szCs w:val="18"/>
        </w:rPr>
        <w:t>，主要原因是公司收购重庆华宇园林股权支付股权转让</w:t>
      </w:r>
    </w:p>
    <w:p>
      <w:pPr>
        <w:spacing w:line="218" w:lineRule="exact"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款所致。</w:t>
      </w:r>
    </w:p>
    <w:p>
      <w:pPr>
        <w:spacing w:line="338" w:lineRule="auto" w:before="116"/>
        <w:ind w:left="514" w:right="1115" w:firstLine="0"/>
        <w:jc w:val="left"/>
        <w:rPr>
          <w:rFonts w:ascii="宋体" w:hAnsi="宋体" w:cs="宋体" w:eastAsia="宋体" w:hint="default"/>
          <w:sz w:val="18"/>
          <w:szCs w:val="18"/>
        </w:rPr>
      </w:pPr>
      <w:r>
        <w:rPr>
          <w:rFonts w:ascii="宋体" w:hAnsi="宋体" w:cs="宋体" w:eastAsia="宋体" w:hint="default"/>
          <w:sz w:val="18"/>
          <w:szCs w:val="18"/>
        </w:rPr>
        <w:t>报告期内，筹资活动现金流量流入较去年增加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36.30%</w:t>
      </w:r>
      <w:r>
        <w:rPr>
          <w:rFonts w:ascii="宋体" w:hAnsi="宋体" w:cs="宋体" w:eastAsia="宋体" w:hint="default"/>
          <w:sz w:val="18"/>
          <w:szCs w:val="18"/>
        </w:rPr>
        <w:t>，主要原因是公司定向增发募集资金到位所致。 报告期内，筹资活动产生的现金流量净额较去年增加</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1,391.22%</w:t>
      </w:r>
      <w:r>
        <w:rPr>
          <w:rFonts w:ascii="宋体" w:hAnsi="宋体" w:cs="宋体" w:eastAsia="宋体" w:hint="default"/>
          <w:sz w:val="18"/>
          <w:szCs w:val="18"/>
        </w:rPr>
        <w:t>，主要原因是公司定向增发募集资金到位和去年支付分</w:t>
      </w:r>
    </w:p>
    <w:p>
      <w:pPr>
        <w:spacing w:line="218" w:lineRule="exact"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红款较多所致。</w:t>
      </w:r>
    </w:p>
    <w:p>
      <w:pPr>
        <w:spacing w:line="302" w:lineRule="auto" w:before="115"/>
        <w:ind w:left="153" w:right="1155" w:firstLine="360"/>
        <w:jc w:val="left"/>
        <w:rPr>
          <w:rFonts w:ascii="宋体" w:hAnsi="宋体" w:cs="宋体" w:eastAsia="宋体" w:hint="default"/>
          <w:sz w:val="18"/>
          <w:szCs w:val="18"/>
        </w:rPr>
      </w:pPr>
      <w:r>
        <w:rPr>
          <w:rFonts w:ascii="宋体" w:hAnsi="宋体" w:cs="宋体" w:eastAsia="宋体" w:hint="default"/>
          <w:sz w:val="18"/>
          <w:szCs w:val="18"/>
        </w:rPr>
        <w:t>报告期内，现金及现金等价物净增加额较去年增加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74.07%</w:t>
      </w:r>
      <w:r>
        <w:rPr>
          <w:rFonts w:ascii="宋体" w:hAnsi="宋体" w:cs="宋体" w:eastAsia="宋体" w:hint="default"/>
          <w:sz w:val="18"/>
          <w:szCs w:val="18"/>
        </w:rPr>
        <w:t>，主要原因是公司定向增发募集资金到位和去年支付分红款 较多所致。</w:t>
      </w:r>
    </w:p>
    <w:p>
      <w:pPr>
        <w:spacing w:before="69"/>
        <w:ind w:left="153" w:right="914"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right="914"/>
        <w:jc w:val="left"/>
        <w:rPr>
          <w:b w:val="0"/>
          <w:bCs w:val="0"/>
        </w:rPr>
      </w:pPr>
      <w:bookmarkStart w:name="三、主营业务构成情况" w:id="26"/>
      <w:bookmarkEnd w:id="26"/>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6"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136"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0" w:right="13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534,766,687.59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424,337,069.80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复合型防伪印 刷铝板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81,504,760.82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76,395,452.34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51,418,239.54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29,620,552.41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铝防伪盖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163,454,011.39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113,665,022.16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组合式防伪盖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371,312,676.20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310,672,047.64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复合型防伪印 刷铝板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81,504,760.82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76,395,452.34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51,418,239.54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29,620,552.41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188,055,020.30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158,866,902.38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490,532,061.30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378,864,436.00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914"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914"/>
        <w:jc w:val="left"/>
        <w:rPr>
          <w:b w:val="0"/>
          <w:bCs w:val="0"/>
        </w:rPr>
      </w:pPr>
      <w:bookmarkStart w:name="四、资产、负债状况分析" w:id="27"/>
      <w:bookmarkEnd w:id="27"/>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914"/>
        <w:jc w:val="left"/>
        <w:rPr>
          <w:b w:val="0"/>
          <w:bCs w:val="0"/>
        </w:rPr>
      </w:pPr>
      <w:bookmarkStart w:name="1、资产项目重大变动情况" w:id="28"/>
      <w:bookmarkEnd w:id="28"/>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734"/>
        <w:gridCol w:w="1456"/>
        <w:gridCol w:w="1364"/>
        <w:gridCol w:w="1080"/>
        <w:gridCol w:w="1096"/>
        <w:gridCol w:w="1471"/>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4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5" w:right="17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096" w:type="dxa"/>
            <w:vMerge/>
            <w:tcBorders>
              <w:left w:val="single" w:sz="4" w:space="0" w:color="000000"/>
              <w:bottom w:val="single" w:sz="4" w:space="0" w:color="000000"/>
              <w:right w:val="single" w:sz="4" w:space="0" w:color="000000"/>
            </w:tcBorders>
            <w:shd w:val="clear" w:color="auto" w:fill="D2D2D2"/>
          </w:tcPr>
          <w:p>
            <w:pPr/>
          </w:p>
        </w:tc>
        <w:tc>
          <w:tcPr>
            <w:tcW w:w="14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183,865,705.05</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192,174,787.52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14.71%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-8.35%</w:t>
            </w:r>
          </w:p>
        </w:tc>
        <w:tc>
          <w:tcPr>
            <w:tcW w:w="147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415,520,964.60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108,617,678.96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6.06%</w:t>
            </w:r>
          </w:p>
        </w:tc>
        <w:tc>
          <w:tcPr>
            <w:tcW w:w="147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744,985,280.59</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25.77%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185,837,122.61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14.23%</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11.54%</w:t>
            </w:r>
          </w:p>
        </w:tc>
        <w:tc>
          <w:tcPr>
            <w:tcW w:w="147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270,377.08</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291,084.22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-0.01%</w:t>
            </w:r>
          </w:p>
        </w:tc>
        <w:tc>
          <w:tcPr>
            <w:tcW w:w="147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750,724,317.92</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25.97%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659,521,542.29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50.49%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-24.52%</w:t>
            </w:r>
          </w:p>
        </w:tc>
        <w:tc>
          <w:tcPr>
            <w:tcW w:w="147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13,045,449.53</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14,589,250.99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-0.67%</w:t>
            </w:r>
          </w:p>
        </w:tc>
        <w:tc>
          <w:tcPr>
            <w:tcW w:w="1471"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负债项目重大变动情况" w:id="29"/>
      <w:bookmarkEnd w:id="29"/>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510"/>
        <w:gridCol w:w="1380"/>
        <w:gridCol w:w="1560"/>
        <w:gridCol w:w="1530"/>
        <w:gridCol w:w="900"/>
        <w:gridCol w:w="1321"/>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8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353" w:right="174"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13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4"/>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00" w:type="dxa"/>
            <w:vMerge/>
            <w:tcBorders>
              <w:left w:val="single" w:sz="4" w:space="0" w:color="000000"/>
              <w:bottom w:val="single" w:sz="4" w:space="0" w:color="000000"/>
              <w:right w:val="single" w:sz="4" w:space="0" w:color="000000"/>
            </w:tcBorders>
            <w:shd w:val="clear" w:color="auto" w:fill="D2D2D2"/>
          </w:tcPr>
          <w:p>
            <w:pPr/>
          </w:p>
        </w:tc>
        <w:tc>
          <w:tcPr>
            <w:tcW w:w="132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377,500,000.00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310,000,000.00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1" w:right="0"/>
              <w:jc w:val="left"/>
              <w:rPr>
                <w:rFonts w:ascii="Times New Roman" w:hAnsi="Times New Roman" w:cs="Times New Roman" w:eastAsia="Times New Roman" w:hint="default"/>
                <w:sz w:val="18"/>
                <w:szCs w:val="18"/>
              </w:rPr>
            </w:pPr>
            <w:r>
              <w:rPr>
                <w:rFonts w:ascii="Times New Roman"/>
                <w:sz w:val="18"/>
              </w:rPr>
              <w:t>23.73%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-10.67%</w:t>
            </w:r>
          </w:p>
        </w:tc>
        <w:tc>
          <w:tcPr>
            <w:tcW w:w="13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33,580,000.00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1.16%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1.16%</w:t>
            </w:r>
          </w:p>
        </w:tc>
        <w:tc>
          <w:tcPr>
            <w:tcW w:w="1321"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3、以公允价值计量的资产和负债" w:id="30"/>
      <w:bookmarkEnd w:id="30"/>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914"/>
        <w:jc w:val="left"/>
        <w:rPr>
          <w:b w:val="0"/>
          <w:bCs w:val="0"/>
        </w:rPr>
      </w:pPr>
      <w:bookmarkStart w:name="五、核心竞争力分析" w:id="31"/>
      <w:bookmarkEnd w:id="31"/>
      <w:r>
        <w:rPr>
          <w:b w:val="0"/>
          <w:bCs w:val="0"/>
        </w:rPr>
      </w:r>
      <w:r>
        <w:rPr/>
        <w:t>五、核心竞争力分析</w:t>
      </w:r>
      <w:r>
        <w:rPr>
          <w:b w:val="0"/>
          <w:bCs w:val="0"/>
        </w:rPr>
      </w:r>
    </w:p>
    <w:p>
      <w:pPr>
        <w:spacing w:line="240" w:lineRule="auto" w:before="9"/>
        <w:rPr>
          <w:rFonts w:ascii="宋体" w:hAnsi="宋体" w:cs="宋体" w:eastAsia="宋体" w:hint="default"/>
          <w:b/>
          <w:bCs/>
          <w:sz w:val="26"/>
          <w:szCs w:val="26"/>
        </w:rPr>
      </w:pPr>
    </w:p>
    <w:p>
      <w:pPr>
        <w:spacing w:line="338" w:lineRule="auto" w:before="0"/>
        <w:ind w:left="514"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、公司的竞争地位 </w:t>
      </w:r>
      <w:r>
        <w:rPr>
          <w:rFonts w:ascii="宋体" w:hAnsi="宋体" w:cs="宋体" w:eastAsia="宋体" w:hint="default"/>
          <w:spacing w:val="-2"/>
          <w:sz w:val="18"/>
          <w:szCs w:val="18"/>
        </w:rPr>
        <w:t>经中国包装联合会及所属金属容器委员会认定，公司是国内最大的铝板复合型防伪印刷和防伪瓶盖生产企业，公司先后</w:t>
      </w:r>
    </w:p>
    <w:p>
      <w:pPr>
        <w:spacing w:before="2"/>
        <w:ind w:left="154" w:right="914" w:firstLine="0"/>
        <w:jc w:val="left"/>
        <w:rPr>
          <w:rFonts w:ascii="宋体" w:hAnsi="宋体" w:cs="宋体" w:eastAsia="宋体" w:hint="default"/>
          <w:sz w:val="18"/>
          <w:szCs w:val="18"/>
        </w:rPr>
      </w:pPr>
      <w:r>
        <w:rPr>
          <w:rFonts w:ascii="宋体" w:hAnsi="宋体" w:cs="宋体" w:eastAsia="宋体" w:hint="default"/>
          <w:sz w:val="18"/>
          <w:szCs w:val="18"/>
        </w:rPr>
        <w:t>被中国包装联合会、中国包装企业家联合会评为</w:t>
      </w:r>
      <w:r>
        <w:rPr>
          <w:rFonts w:ascii="Times New Roman" w:hAnsi="Times New Roman" w:cs="Times New Roman" w:eastAsia="Times New Roman" w:hint="default"/>
          <w:sz w:val="18"/>
          <w:szCs w:val="18"/>
        </w:rPr>
        <w:t>“</w:t>
      </w:r>
      <w:r>
        <w:rPr>
          <w:rFonts w:ascii="宋体" w:hAnsi="宋体" w:cs="宋体" w:eastAsia="宋体" w:hint="default"/>
          <w:sz w:val="18"/>
          <w:szCs w:val="18"/>
        </w:rPr>
        <w:t>中国包装龙头企业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强先进包装企业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中国包装优秀企业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338" w:lineRule="auto" w:before="64"/>
        <w:ind w:left="514" w:right="914"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中国包装联合会防伪瓶盖研发中心</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公司自设立以来，产销规模已连续十余年占据同行业第一的位置。截至目前，公司各类产品已销往全国二十八个省、自</w:t>
      </w:r>
    </w:p>
    <w:p>
      <w:pPr>
        <w:spacing w:line="302" w:lineRule="auto" w:before="2"/>
        <w:ind w:left="153" w:right="1122" w:firstLine="0"/>
        <w:jc w:val="left"/>
        <w:rPr>
          <w:rFonts w:ascii="宋体" w:hAnsi="宋体" w:cs="宋体" w:eastAsia="宋体" w:hint="default"/>
          <w:sz w:val="18"/>
          <w:szCs w:val="18"/>
        </w:rPr>
      </w:pPr>
      <w:r>
        <w:rPr>
          <w:rFonts w:ascii="宋体" w:hAnsi="宋体" w:cs="宋体" w:eastAsia="宋体" w:hint="default"/>
          <w:sz w:val="18"/>
          <w:szCs w:val="18"/>
        </w:rPr>
        <w:t>治区和直辖市，下游酿酒行业客户达</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余家，并远销俄罗斯、菲律宾、泰国、越南、缅甸、澳大利亚以及非洲、南北美洲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等海外市场，广泛应用于白兰地、威斯忌、葡萄酒、橄榄油、饮料等行业。</w:t>
      </w:r>
    </w:p>
    <w:p>
      <w:pPr>
        <w:spacing w:before="68"/>
        <w:ind w:left="514" w:right="914" w:firstLine="0"/>
        <w:jc w:val="left"/>
        <w:rPr>
          <w:rFonts w:ascii="宋体" w:hAnsi="宋体" w:cs="宋体" w:eastAsia="宋体" w:hint="default"/>
          <w:sz w:val="18"/>
          <w:szCs w:val="18"/>
        </w:rPr>
      </w:pPr>
      <w:r>
        <w:rPr>
          <w:rFonts w:ascii="宋体" w:hAnsi="宋体" w:cs="宋体" w:eastAsia="宋体" w:hint="default"/>
          <w:sz w:val="18"/>
          <w:szCs w:val="18"/>
        </w:rPr>
        <w:t>华宇园林是城市园林绿化壹级企业，并拥有造林绿化施工甲级资质、园林景观规划设计甲级资质和环境污染治理甲级资</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9" w:lineRule="auto" w:before="44"/>
        <w:ind w:left="153" w:right="1133" w:firstLine="0"/>
        <w:jc w:val="both"/>
        <w:rPr>
          <w:rFonts w:ascii="宋体" w:hAnsi="宋体" w:cs="宋体" w:eastAsia="宋体" w:hint="default"/>
          <w:sz w:val="18"/>
          <w:szCs w:val="18"/>
        </w:rPr>
      </w:pPr>
      <w:r>
        <w:rPr>
          <w:rFonts w:ascii="宋体" w:hAnsi="宋体" w:cs="宋体" w:eastAsia="宋体" w:hint="default"/>
          <w:spacing w:val="-2"/>
          <w:sz w:val="18"/>
          <w:szCs w:val="18"/>
        </w:rPr>
        <w:t>质、建筑业企业资质证书总承包叁级资质、风景园林工程设计专项乙级以及城市园林绿化管护贰级资质，是国内为数不多的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同时拥有园林施工、规划设计、环境污染治理（生态修复类别）、园林绿化管护业务资质的园林景观企业。</w:t>
      </w:r>
    </w:p>
    <w:p>
      <w:pPr>
        <w:spacing w:line="319" w:lineRule="auto" w:before="55"/>
        <w:ind w:left="154" w:right="1032" w:firstLine="360"/>
        <w:jc w:val="left"/>
        <w:rPr>
          <w:rFonts w:ascii="宋体" w:hAnsi="宋体" w:cs="宋体" w:eastAsia="宋体" w:hint="default"/>
          <w:sz w:val="18"/>
          <w:szCs w:val="18"/>
        </w:rPr>
      </w:pPr>
      <w:r>
        <w:rPr>
          <w:rFonts w:ascii="宋体" w:hAnsi="宋体" w:cs="宋体" w:eastAsia="宋体" w:hint="default"/>
          <w:spacing w:val="-2"/>
          <w:sz w:val="18"/>
          <w:szCs w:val="18"/>
        </w:rPr>
        <w:t>华宇园林经过多年的积累，已经在园林绿化行业内形成了一定的品牌优势，具备了大型高端项目的承揽和施工能力。近</w:t>
      </w:r>
      <w:r>
        <w:rPr>
          <w:rFonts w:ascii="宋体" w:hAnsi="宋体" w:cs="宋体" w:eastAsia="宋体" w:hint="default"/>
          <w:sz w:val="18"/>
          <w:szCs w:val="18"/>
        </w:rPr>
        <w:t> 年来，公司参与建设了一系列大型园林项目，如重庆市江北区鸿恩寺森林公园绿化景观工程、重庆市南山植物园改造工程、 </w:t>
      </w:r>
      <w:r>
        <w:rPr>
          <w:rFonts w:ascii="宋体" w:hAnsi="宋体" w:cs="宋体" w:eastAsia="宋体" w:hint="default"/>
          <w:spacing w:val="-2"/>
          <w:sz w:val="18"/>
          <w:szCs w:val="18"/>
        </w:rPr>
        <w:t>万州心连心艺术广场、江北区观音桥步行街景观工程、山东省莱芜市雪野湖旅游区环湖公园（湿地生态修复）工程、山东肥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城市龙山河带状公园生态修复及景观改造工程等。上述项目知名度较高、合同金额较大，证明了该公司在园林绿化施工领域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的实力。</w:t>
      </w:r>
    </w:p>
    <w:p>
      <w:pPr>
        <w:spacing w:line="338" w:lineRule="auto" w:before="58"/>
        <w:ind w:left="514"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、全产业链优势 </w:t>
      </w:r>
      <w:r>
        <w:rPr>
          <w:rFonts w:ascii="宋体" w:hAnsi="宋体" w:cs="宋体" w:eastAsia="宋体" w:hint="default"/>
          <w:spacing w:val="-2"/>
          <w:sz w:val="18"/>
          <w:szCs w:val="18"/>
        </w:rPr>
        <w:t>公司业务涵盖了防伪瓶盖制造领域的各个业务环节，包括铝板复合型防伪印刷、瓶盖制造、制盖机械及模具制造、产品</w:t>
      </w:r>
    </w:p>
    <w:p>
      <w:pPr>
        <w:spacing w:line="319" w:lineRule="auto" w:before="2"/>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技术研发和售后技术服务为一体的一条龙服务，已形成制盖行业中完整的业务体系。公司完整的产业链不但为下游客户提供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了优质、快速的服务，而且还为同行业其他厂家提供从铝板复合型防伪印刷、机械模具等产品到技术服务等全方位服务，拓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宽了公司的业务发展空间，有利于形成新的业绩增长点，进一步巩固公司在同行业的领先地位。</w:t>
      </w:r>
    </w:p>
    <w:p>
      <w:pPr>
        <w:spacing w:line="319" w:lineRule="auto" w:before="55"/>
        <w:ind w:left="153" w:right="914" w:firstLine="360"/>
        <w:jc w:val="left"/>
        <w:rPr>
          <w:rFonts w:ascii="宋体" w:hAnsi="宋体" w:cs="宋体" w:eastAsia="宋体" w:hint="default"/>
          <w:sz w:val="18"/>
          <w:szCs w:val="18"/>
        </w:rPr>
      </w:pPr>
      <w:r>
        <w:rPr>
          <w:rFonts w:ascii="宋体" w:hAnsi="宋体" w:cs="宋体" w:eastAsia="宋体" w:hint="default"/>
          <w:spacing w:val="-2"/>
          <w:sz w:val="18"/>
          <w:szCs w:val="18"/>
        </w:rPr>
        <w:t>华宇园林从园林工程施工逐步发展为涵盖园林工程施工、园林景观规划设计、苗木种植销售、园林养护为一体的全产业</w:t>
      </w:r>
      <w:r>
        <w:rPr>
          <w:rFonts w:ascii="宋体" w:hAnsi="宋体" w:cs="宋体" w:eastAsia="宋体" w:hint="default"/>
          <w:sz w:val="18"/>
          <w:szCs w:val="18"/>
        </w:rPr>
        <w:t> 链综合性园林绿化企业。</w:t>
      </w:r>
    </w:p>
    <w:p>
      <w:pPr>
        <w:spacing w:line="312" w:lineRule="auto" w:before="56"/>
        <w:ind w:left="153" w:right="914" w:firstLine="360"/>
        <w:jc w:val="left"/>
        <w:rPr>
          <w:rFonts w:ascii="宋体" w:hAnsi="宋体" w:cs="宋体" w:eastAsia="宋体" w:hint="default"/>
          <w:sz w:val="18"/>
          <w:szCs w:val="18"/>
        </w:rPr>
      </w:pPr>
      <w:r>
        <w:rPr>
          <w:rFonts w:ascii="宋体" w:hAnsi="宋体" w:cs="宋体" w:eastAsia="宋体" w:hint="default"/>
          <w:spacing w:val="-2"/>
          <w:sz w:val="18"/>
          <w:szCs w:val="18"/>
        </w:rPr>
        <w:t>华宇园林主营业务以市政工程、生态绿化工程施工为主，积累了丰富的项目施工经验。近年来，公司工程设计能力也不</w:t>
      </w:r>
      <w:r>
        <w:rPr>
          <w:rFonts w:ascii="宋体" w:hAnsi="宋体" w:cs="宋体" w:eastAsia="宋体" w:hint="default"/>
          <w:sz w:val="18"/>
          <w:szCs w:val="18"/>
        </w:rPr>
        <w:t> 断提高，目前设计公司参与方案设计的有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余人，且大多具有本科以上学历，专业内容涵盖了园林、环艺、植物学研究和 </w:t>
      </w:r>
      <w:r>
        <w:rPr>
          <w:rFonts w:ascii="宋体" w:hAnsi="宋体" w:cs="宋体" w:eastAsia="宋体" w:hint="default"/>
          <w:spacing w:val="-4"/>
          <w:sz w:val="18"/>
          <w:szCs w:val="18"/>
        </w:rPr>
        <w:t>建筑学等，其中教授级高工有三人。通过苗木科技产业园的建设和湘乡子公司的成立，公司完善了苗木种植销售业务。另外，</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公司业务范围涵盖生态修复及市政景观绿化工程，行业领先的综合服务优势明显。</w:t>
      </w:r>
    </w:p>
    <w:p>
      <w:pPr>
        <w:spacing w:line="338" w:lineRule="auto" w:before="62"/>
        <w:ind w:left="514"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、装备优势 </w:t>
      </w:r>
      <w:r>
        <w:rPr>
          <w:rFonts w:ascii="宋体" w:hAnsi="宋体" w:cs="宋体" w:eastAsia="宋体" w:hint="default"/>
          <w:spacing w:val="-4"/>
          <w:sz w:val="18"/>
          <w:szCs w:val="18"/>
        </w:rPr>
        <w:t>公司拥有国际、国内同行业最先进的生产设备。在铝板复合型防伪印刷环节，公司从国外先后引进了十余条先进生产线，</w:t>
      </w:r>
    </w:p>
    <w:p>
      <w:pPr>
        <w:spacing w:line="312" w:lineRule="auto" w:before="2"/>
        <w:ind w:left="154" w:right="1032" w:firstLine="0"/>
        <w:jc w:val="left"/>
        <w:rPr>
          <w:rFonts w:ascii="宋体" w:hAnsi="宋体" w:cs="宋体" w:eastAsia="宋体" w:hint="default"/>
          <w:sz w:val="18"/>
          <w:szCs w:val="18"/>
        </w:rPr>
      </w:pPr>
      <w:r>
        <w:rPr>
          <w:rFonts w:ascii="宋体" w:hAnsi="宋体" w:cs="宋体" w:eastAsia="宋体" w:hint="default"/>
          <w:spacing w:val="-2"/>
          <w:sz w:val="18"/>
          <w:szCs w:val="18"/>
        </w:rPr>
        <w:t>与国外制盖同行装备实力相当；在瓶盖冲制环节，公司拥有国内外同行业中自动化程度最高的铝防伪瓶盖生产线，同时还拥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有具有独立知识产权的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头全自动高速瓶盖生产线，是国内同行业中唯一一家引进、采用物理发泡生产线生产垫片、全球 唯一一家引进柔印机进行印刷的企业。随着公司首次公开发行募集资金投资项目的实施及非公开发行募集资金项目的开展， 公司在实施规模化生产的优势更加明显。</w:t>
      </w:r>
    </w:p>
    <w:p>
      <w:pPr>
        <w:spacing w:line="338" w:lineRule="auto" w:before="63"/>
        <w:ind w:left="514" w:right="11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、技术创新优势 </w:t>
      </w:r>
      <w:r>
        <w:rPr>
          <w:rFonts w:ascii="宋体" w:hAnsi="宋体" w:cs="宋体" w:eastAsia="宋体" w:hint="default"/>
          <w:spacing w:val="-1"/>
          <w:sz w:val="18"/>
          <w:szCs w:val="18"/>
        </w:rPr>
        <w:t>创新是公司取得不断发展的巨大推动力。公司提倡</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奉献、创新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精神，</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敬佩成功、鼓励冒险、宽容失败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，做到用人所</w:t>
      </w:r>
    </w:p>
    <w:p>
      <w:pPr>
        <w:spacing w:line="217"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长、用人所愿、人尽其才。公司从经营理念、管理制度和激励机制等方面营造了鼓励全员创新的氛围，建立了基层一线技术</w:t>
      </w:r>
    </w:p>
    <w:p>
      <w:pPr>
        <w:spacing w:line="319" w:lineRule="auto" w:before="76"/>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人员、研发中心和与科研院所、高等院校开展合作的多层次的研发体系。在多年的生产实践中，公司围绕着瓶盖生产过程所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涉及的各个技术环节，进行了不断的改进与革新，引领同行业先进水平和技术潮流。</w:t>
      </w:r>
    </w:p>
    <w:p>
      <w:pPr>
        <w:spacing w:line="319" w:lineRule="auto" w:before="55"/>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华宇园林为高新技术企业，近几年来专注于园林行业的技术研究开发并在公司所承接的项目中推广应用，在生态修复方</w:t>
      </w:r>
      <w:r>
        <w:rPr>
          <w:rFonts w:ascii="宋体" w:hAnsi="宋体" w:cs="宋体" w:eastAsia="宋体" w:hint="default"/>
          <w:sz w:val="18"/>
          <w:szCs w:val="18"/>
        </w:rPr>
        <w:t> </w:t>
      </w:r>
      <w:r>
        <w:rPr>
          <w:rFonts w:ascii="宋体" w:hAnsi="宋体" w:cs="宋体" w:eastAsia="宋体" w:hint="default"/>
          <w:spacing w:val="-2"/>
          <w:sz w:val="18"/>
          <w:szCs w:val="18"/>
        </w:rPr>
        <w:t>面有自己的核心技术，并和国内多所高校、园林科研单位开展技术合作，与西南大学园艺园林学院合作成立了研发中心，拥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有多项科技成果和专利。</w:t>
      </w:r>
    </w:p>
    <w:p>
      <w:pPr>
        <w:spacing w:line="338" w:lineRule="auto" w:before="58"/>
        <w:ind w:left="514"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、占据国内铝板复合型防伪印刷制高点的战略优势 公司是国内同行业中规模最大的铝板复合型防伪印刷企业，其生产规模占据同行业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左右的市场份额。 </w:t>
      </w:r>
      <w:r>
        <w:rPr>
          <w:rFonts w:ascii="宋体" w:hAnsi="宋体" w:cs="宋体" w:eastAsia="宋体" w:hint="default"/>
          <w:spacing w:val="-2"/>
          <w:sz w:val="18"/>
          <w:szCs w:val="18"/>
        </w:rPr>
        <w:t>铝板复合型防伪印刷是生产铝防伪瓶盖的中间环节，由于我国铝板防伪印刷设备尚依赖于从国外进口以及所存在的资金</w:t>
      </w:r>
    </w:p>
    <w:p>
      <w:pPr>
        <w:spacing w:line="319" w:lineRule="auto" w:before="2"/>
        <w:ind w:left="153" w:right="1132" w:firstLine="0"/>
        <w:jc w:val="both"/>
        <w:rPr>
          <w:rFonts w:ascii="宋体" w:hAnsi="宋体" w:cs="宋体" w:eastAsia="宋体" w:hint="default"/>
          <w:sz w:val="18"/>
          <w:szCs w:val="18"/>
        </w:rPr>
      </w:pPr>
      <w:r>
        <w:rPr>
          <w:rFonts w:ascii="宋体" w:hAnsi="宋体" w:cs="宋体" w:eastAsia="宋体" w:hint="default"/>
          <w:spacing w:val="-2"/>
          <w:sz w:val="18"/>
          <w:szCs w:val="18"/>
        </w:rPr>
        <w:t>与技术壁垒等因素，我国仅有少数制盖企业拥有铝板防伪印刷装备。公司在为下游行业提供瓶盖产品的同时，为同行业其他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制盖企业提供防伪印刷铝板，有利于调节和稳定防伪印刷铝板的市场供应，进一步增强公司在同行业中的影响力，战略优势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明显。</w:t>
      </w:r>
    </w:p>
    <w:p>
      <w:pPr>
        <w:spacing w:line="338" w:lineRule="auto" w:before="58"/>
        <w:ind w:left="514"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、市场开拓优势 </w:t>
      </w:r>
      <w:r>
        <w:rPr>
          <w:rFonts w:ascii="宋体" w:hAnsi="宋体" w:cs="宋体" w:eastAsia="宋体" w:hint="default"/>
          <w:spacing w:val="-2"/>
          <w:sz w:val="18"/>
          <w:szCs w:val="18"/>
        </w:rPr>
        <w:t>公司依托强大的业务体系后盾，在传统直销的基础上，以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零距离服务、就近服务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的理念，进一步发展了在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北京红星、</w:t>
      </w:r>
    </w:p>
    <w:p>
      <w:pPr>
        <w:spacing w:line="230" w:lineRule="exact" w:before="0"/>
        <w:ind w:left="153"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牛栏山</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四川剑南春、全兴、泸州老窖、沱牌、丰谷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湖北劲酒、枝江大曲</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新疆伊力特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安徽古井贡、金种子</w:t>
      </w:r>
      <w:r>
        <w:rPr>
          <w:rFonts w:ascii="Times New Roman" w:hAnsi="Times New Roman" w:cs="Times New Roman" w:eastAsia="Times New Roman" w:hint="default"/>
          <w:sz w:val="18"/>
          <w:szCs w:val="18"/>
        </w:rPr>
        <w:t>”</w:t>
      </w:r>
    </w:p>
    <w:p>
      <w:pPr>
        <w:spacing w:before="64"/>
        <w:ind w:left="153" w:right="0" w:firstLine="0"/>
        <w:jc w:val="both"/>
        <w:rPr>
          <w:rFonts w:ascii="宋体" w:hAnsi="宋体" w:cs="宋体" w:eastAsia="宋体" w:hint="default"/>
          <w:sz w:val="18"/>
          <w:szCs w:val="18"/>
        </w:rPr>
      </w:pPr>
      <w:r>
        <w:rPr>
          <w:rFonts w:ascii="宋体" w:hAnsi="宋体" w:cs="宋体" w:eastAsia="宋体" w:hint="default"/>
          <w:sz w:val="18"/>
          <w:szCs w:val="18"/>
        </w:rPr>
        <w:t>等大客户所在地设厂的经营模式，形成了以点带面的区域市场开拓体系。</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9" w:lineRule="auto" w:before="44"/>
        <w:ind w:left="153" w:right="1132" w:firstLine="360"/>
        <w:jc w:val="both"/>
        <w:rPr>
          <w:rFonts w:ascii="宋体" w:hAnsi="宋体" w:cs="宋体" w:eastAsia="宋体" w:hint="default"/>
          <w:sz w:val="18"/>
          <w:szCs w:val="18"/>
        </w:rPr>
      </w:pPr>
      <w:r>
        <w:rPr>
          <w:rFonts w:ascii="宋体" w:hAnsi="宋体" w:cs="宋体" w:eastAsia="宋体" w:hint="default"/>
          <w:spacing w:val="-2"/>
          <w:sz w:val="18"/>
          <w:szCs w:val="18"/>
        </w:rPr>
        <w:t>同时，公司充分发挥所形成的技术优势积极开发国际市场，公司出口业务逐年上升，公司的复合型防伪印刷铝板和防伪</w:t>
      </w:r>
      <w:r>
        <w:rPr>
          <w:rFonts w:ascii="宋体" w:hAnsi="宋体" w:cs="宋体" w:eastAsia="宋体" w:hint="default"/>
          <w:sz w:val="18"/>
          <w:szCs w:val="18"/>
        </w:rPr>
        <w:t> 瓶盖已进入俄罗斯、东南亚、中亚、澳大利亚、非洲、南北美洲等海外市场。</w:t>
      </w:r>
    </w:p>
    <w:p>
      <w:pPr>
        <w:spacing w:line="319" w:lineRule="auto" w:before="55"/>
        <w:ind w:left="154" w:right="1133" w:firstLine="360"/>
        <w:jc w:val="both"/>
        <w:rPr>
          <w:rFonts w:ascii="宋体" w:hAnsi="宋体" w:cs="宋体" w:eastAsia="宋体" w:hint="default"/>
          <w:sz w:val="18"/>
          <w:szCs w:val="18"/>
        </w:rPr>
      </w:pPr>
      <w:r>
        <w:rPr>
          <w:rFonts w:ascii="宋体" w:hAnsi="宋体" w:cs="宋体" w:eastAsia="宋体" w:hint="default"/>
          <w:spacing w:val="-2"/>
          <w:sz w:val="18"/>
          <w:szCs w:val="18"/>
        </w:rPr>
        <w:t>另外，公司密切关注铝防伪瓶盖在国外发达国家啤酒、葡萄酒等传统包装领域的应用与发展趋势，积极推动铝防伪瓶盖</w:t>
      </w:r>
      <w:r>
        <w:rPr>
          <w:rFonts w:ascii="宋体" w:hAnsi="宋体" w:cs="宋体" w:eastAsia="宋体" w:hint="default"/>
          <w:sz w:val="18"/>
          <w:szCs w:val="18"/>
        </w:rPr>
        <w:t> 在我国相关领域的市场开拓。公司已成功为蓝带啤酒配套了铝防伪瓶盖包装，还新增了保健饮料瓶盖、食用油盖等产品。</w:t>
      </w:r>
    </w:p>
    <w:p>
      <w:pPr>
        <w:spacing w:line="300" w:lineRule="auto" w:before="57"/>
        <w:ind w:left="153" w:right="1130" w:firstLine="360"/>
        <w:jc w:val="both"/>
        <w:rPr>
          <w:rFonts w:ascii="宋体" w:hAnsi="宋体" w:cs="宋体" w:eastAsia="宋体" w:hint="default"/>
          <w:sz w:val="18"/>
          <w:szCs w:val="18"/>
        </w:rPr>
      </w:pPr>
      <w:r>
        <w:rPr>
          <w:rFonts w:ascii="宋体" w:hAnsi="宋体" w:cs="宋体" w:eastAsia="宋体" w:hint="default"/>
          <w:sz w:val="18"/>
          <w:szCs w:val="18"/>
        </w:rPr>
        <w:t>华宇园林是少数已经开始在全国范围内开拓业务的公司之一，目前在全国范围内共设立了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家区域分公司，</w:t>
      </w:r>
      <w:r>
        <w:rPr>
          <w:rFonts w:ascii="Times New Roman" w:hAnsi="Times New Roman" w:cs="Times New Roman" w:eastAsia="Times New Roman" w:hint="default"/>
          <w:spacing w:val="-3"/>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家专业分 公司，</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家全资子公司。华宇园林业务范围以重庆为基础，逐步扩展到全国区域，重庆市内的项目占比例从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年以来逐 年降低，并在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年首次实现了外省地区的销售额超过公司所在地重庆地区的销售额，公司跨区域经营优势逐步显现。</w:t>
      </w:r>
    </w:p>
    <w:p>
      <w:pPr>
        <w:spacing w:line="319" w:lineRule="auto" w:before="51"/>
        <w:ind w:left="154" w:right="1133" w:firstLine="0"/>
        <w:jc w:val="both"/>
        <w:rPr>
          <w:rFonts w:ascii="宋体" w:hAnsi="宋体" w:cs="宋体" w:eastAsia="宋体" w:hint="default"/>
          <w:sz w:val="18"/>
          <w:szCs w:val="18"/>
        </w:rPr>
      </w:pPr>
      <w:r>
        <w:rPr>
          <w:rFonts w:ascii="宋体" w:hAnsi="宋体" w:cs="宋体" w:eastAsia="宋体" w:hint="default"/>
          <w:spacing w:val="-2"/>
          <w:sz w:val="18"/>
          <w:szCs w:val="18"/>
        </w:rPr>
        <w:t>大中型项目施工能力是园林绿化企业综合实力的体现。园林施工的技术水平、设计力量、艺术效果体现、人员配备、项目协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调、资金实力是决定大中型项目施工能力的重要因素。华宇园林近年来施工的项目大多数为大中型项目，在国内园林绿化市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场大中型项目的市场竞争中占据了一定的优势。</w:t>
      </w:r>
    </w:p>
    <w:p>
      <w:pPr>
        <w:spacing w:line="319" w:lineRule="auto" w:before="55"/>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另外，华宇园林积极顺应园林绿化生态化发展的趋势，在生态修复及园林绿化两个领域都可以施工，凭借生态修复领域</w:t>
      </w:r>
      <w:r>
        <w:rPr>
          <w:rFonts w:ascii="宋体" w:hAnsi="宋体" w:cs="宋体" w:eastAsia="宋体" w:hint="default"/>
          <w:sz w:val="18"/>
          <w:szCs w:val="18"/>
        </w:rPr>
        <w:t> </w:t>
      </w:r>
      <w:r>
        <w:rPr>
          <w:rFonts w:ascii="宋体" w:hAnsi="宋体" w:cs="宋体" w:eastAsia="宋体" w:hint="default"/>
          <w:spacing w:val="-2"/>
          <w:sz w:val="18"/>
          <w:szCs w:val="18"/>
        </w:rPr>
        <w:t>的综合优势积极拓展园林绿化领域业务，是少数有能力同时涉足生态修复及园林绿化领域的公司之一，并且在两个领域都有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较强的竞争优势，为公司未来快速发展提供可靠保障。</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bookmarkStart w:name="六、投资状况分析" w:id="32"/>
      <w:bookmarkEnd w:id="32"/>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对外股权投资情况" w:id="33"/>
      <w:bookmarkEnd w:id="33"/>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对外投资情况" w:id="34"/>
      <w:bookmarkEnd w:id="34"/>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四川泸美供应链有限公司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包装制品、包装材料、包装机械的技术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开发及销售，供应链管理咨询与服务等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13.00%</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持有金融企业股权情况" w:id="35"/>
      <w:bookmarkEnd w:id="35"/>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6"/>
        <w:gridCol w:w="880"/>
        <w:gridCol w:w="870"/>
        <w:gridCol w:w="870"/>
        <w:gridCol w:w="870"/>
        <w:gridCol w:w="869"/>
        <w:gridCol w:w="869"/>
        <w:gridCol w:w="869"/>
        <w:gridCol w:w="869"/>
        <w:gridCol w:w="869"/>
        <w:gridCol w:w="856"/>
      </w:tblGrid>
      <w:tr>
        <w:trPr>
          <w:trHeight w:val="1026"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3" w:right="161" w:hanging="180"/>
              <w:jc w:val="left"/>
              <w:rPr>
                <w:rFonts w:ascii="宋体" w:hAnsi="宋体" w:cs="宋体" w:eastAsia="宋体" w:hint="default"/>
                <w:sz w:val="18"/>
                <w:szCs w:val="18"/>
              </w:rPr>
            </w:pPr>
            <w:r>
              <w:rPr>
                <w:rFonts w:ascii="宋体" w:hAnsi="宋体" w:cs="宋体" w:eastAsia="宋体" w:hint="default"/>
                <w:sz w:val="18"/>
                <w:szCs w:val="18"/>
              </w:rPr>
              <w:t>公司名 称</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4" w:right="163" w:hanging="180"/>
              <w:jc w:val="left"/>
              <w:rPr>
                <w:rFonts w:ascii="宋体" w:hAnsi="宋体" w:cs="宋体" w:eastAsia="宋体" w:hint="default"/>
                <w:sz w:val="18"/>
                <w:szCs w:val="18"/>
              </w:rPr>
            </w:pPr>
            <w:r>
              <w:rPr>
                <w:rFonts w:ascii="宋体" w:hAnsi="宋体" w:cs="宋体" w:eastAsia="宋体" w:hint="default"/>
                <w:sz w:val="18"/>
                <w:szCs w:val="18"/>
              </w:rPr>
              <w:t>公司类 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left"/>
              <w:rPr>
                <w:rFonts w:ascii="宋体" w:hAnsi="宋体" w:cs="宋体" w:eastAsia="宋体" w:hint="default"/>
                <w:sz w:val="18"/>
                <w:szCs w:val="18"/>
              </w:rPr>
            </w:pPr>
            <w:r>
              <w:rPr>
                <w:rFonts w:ascii="宋体" w:hAnsi="宋体" w:cs="宋体" w:eastAsia="宋体" w:hint="default"/>
                <w:sz w:val="18"/>
                <w:szCs w:val="18"/>
              </w:rPr>
              <w:t>最初投 资成本</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left"/>
              <w:rPr>
                <w:rFonts w:ascii="宋体" w:hAnsi="宋体" w:cs="宋体" w:eastAsia="宋体" w:hint="default"/>
                <w:sz w:val="18"/>
                <w:szCs w:val="18"/>
              </w:rPr>
            </w:pPr>
            <w:r>
              <w:rPr>
                <w:rFonts w:ascii="宋体" w:hAnsi="宋体" w:cs="宋体" w:eastAsia="宋体" w:hint="default"/>
                <w:sz w:val="18"/>
                <w:szCs w:val="18"/>
              </w:rPr>
              <w:t>期初持 股数量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9"/>
              <w:jc w:val="left"/>
              <w:rPr>
                <w:rFonts w:ascii="宋体" w:hAnsi="宋体" w:cs="宋体" w:eastAsia="宋体" w:hint="default"/>
                <w:sz w:val="18"/>
                <w:szCs w:val="18"/>
              </w:rPr>
            </w:pPr>
            <w:r>
              <w:rPr>
                <w:rFonts w:ascii="宋体" w:hAnsi="宋体" w:cs="宋体" w:eastAsia="宋体" w:hint="default"/>
                <w:sz w:val="18"/>
                <w:szCs w:val="18"/>
              </w:rPr>
              <w:t>期初持 股比例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8" w:right="158"/>
              <w:jc w:val="left"/>
              <w:rPr>
                <w:rFonts w:ascii="宋体" w:hAnsi="宋体" w:cs="宋体" w:eastAsia="宋体" w:hint="default"/>
                <w:sz w:val="18"/>
                <w:szCs w:val="18"/>
              </w:rPr>
            </w:pPr>
            <w:r>
              <w:rPr>
                <w:rFonts w:ascii="宋体" w:hAnsi="宋体" w:cs="宋体" w:eastAsia="宋体" w:hint="default"/>
                <w:sz w:val="18"/>
                <w:szCs w:val="18"/>
              </w:rPr>
              <w:t>期末持 股数量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7"/>
              <w:jc w:val="left"/>
              <w:rPr>
                <w:rFonts w:ascii="宋体" w:hAnsi="宋体" w:cs="宋体" w:eastAsia="宋体" w:hint="default"/>
                <w:sz w:val="18"/>
                <w:szCs w:val="18"/>
              </w:rPr>
            </w:pPr>
            <w:r>
              <w:rPr>
                <w:rFonts w:ascii="宋体" w:hAnsi="宋体" w:cs="宋体" w:eastAsia="宋体" w:hint="default"/>
                <w:sz w:val="18"/>
                <w:szCs w:val="18"/>
              </w:rPr>
              <w:t>期末持 股比例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9" w:right="157" w:hanging="90"/>
              <w:jc w:val="left"/>
              <w:rPr>
                <w:rFonts w:ascii="宋体" w:hAnsi="宋体" w:cs="宋体" w:eastAsia="宋体" w:hint="default"/>
                <w:sz w:val="18"/>
                <w:szCs w:val="18"/>
              </w:rPr>
            </w:pPr>
            <w:r>
              <w:rPr>
                <w:rFonts w:ascii="宋体" w:hAnsi="宋体" w:cs="宋体" w:eastAsia="宋体" w:hint="default"/>
                <w:sz w:val="18"/>
                <w:szCs w:val="18"/>
              </w:rPr>
              <w:t>期末账 面值</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9" w:right="157" w:hanging="90"/>
              <w:jc w:val="left"/>
              <w:rPr>
                <w:rFonts w:ascii="宋体" w:hAnsi="宋体" w:cs="宋体" w:eastAsia="宋体" w:hint="default"/>
                <w:sz w:val="18"/>
                <w:szCs w:val="18"/>
              </w:rPr>
            </w:pPr>
            <w:r>
              <w:rPr>
                <w:rFonts w:ascii="宋体" w:hAnsi="宋体" w:cs="宋体" w:eastAsia="宋体" w:hint="default"/>
                <w:sz w:val="18"/>
                <w:szCs w:val="18"/>
              </w:rPr>
              <w:t>报告期 损益</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7"/>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2" w:right="151" w:hanging="180"/>
              <w:jc w:val="left"/>
              <w:rPr>
                <w:rFonts w:ascii="宋体" w:hAnsi="宋体" w:cs="宋体" w:eastAsia="宋体" w:hint="default"/>
                <w:sz w:val="18"/>
                <w:szCs w:val="18"/>
              </w:rPr>
            </w:pPr>
            <w:r>
              <w:rPr>
                <w:rFonts w:ascii="宋体" w:hAnsi="宋体" w:cs="宋体" w:eastAsia="宋体" w:hint="default"/>
                <w:sz w:val="18"/>
                <w:szCs w:val="18"/>
              </w:rPr>
              <w:t>股份来 源</w:t>
            </w:r>
          </w:p>
        </w:tc>
      </w:tr>
      <w:tr>
        <w:trPr>
          <w:trHeight w:val="1923" w:hRule="exact"/>
        </w:trPr>
        <w:tc>
          <w:tcPr>
            <w:tcW w:w="8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成都商 业银行 股份有 限公司 蒲江鹤 山分理</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103" w:right="224"/>
              <w:jc w:val="left"/>
              <w:rPr>
                <w:rFonts w:ascii="宋体" w:hAnsi="宋体" w:cs="宋体" w:eastAsia="宋体" w:hint="default"/>
                <w:sz w:val="18"/>
                <w:szCs w:val="18"/>
              </w:rPr>
            </w:pPr>
            <w:r>
              <w:rPr>
                <w:rFonts w:ascii="宋体" w:hAnsi="宋体" w:cs="宋体" w:eastAsia="宋体" w:hint="default"/>
                <w:sz w:val="18"/>
                <w:szCs w:val="18"/>
              </w:rPr>
              <w:t>商业银 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72" w:right="0"/>
              <w:jc w:val="left"/>
              <w:rPr>
                <w:rFonts w:ascii="Times New Roman" w:hAnsi="Times New Roman" w:cs="Times New Roman" w:eastAsia="Times New Roman" w:hint="default"/>
                <w:sz w:val="18"/>
                <w:szCs w:val="18"/>
              </w:rPr>
            </w:pPr>
            <w:r>
              <w:rPr>
                <w:rFonts w:ascii="Times New Roman"/>
                <w:sz w:val="18"/>
              </w:rPr>
              <w:t>550,000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91" w:right="0"/>
              <w:jc w:val="left"/>
              <w:rPr>
                <w:rFonts w:ascii="Times New Roman" w:hAnsi="Times New Roman" w:cs="Times New Roman" w:eastAsia="Times New Roman" w:hint="default"/>
                <w:sz w:val="18"/>
                <w:szCs w:val="18"/>
              </w:rPr>
            </w:pPr>
            <w:r>
              <w:rPr>
                <w:rFonts w:ascii="Times New Roman"/>
                <w:sz w:val="18"/>
              </w:rPr>
              <w:t>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70" w:right="0"/>
              <w:jc w:val="left"/>
              <w:rPr>
                <w:rFonts w:ascii="Times New Roman" w:hAnsi="Times New Roman" w:cs="Times New Roman" w:eastAsia="Times New Roman" w:hint="default"/>
                <w:sz w:val="18"/>
                <w:szCs w:val="18"/>
              </w:rPr>
            </w:pPr>
            <w:r>
              <w:rPr>
                <w:rFonts w:ascii="Times New Roman"/>
                <w:sz w:val="18"/>
              </w:rPr>
              <w:t>550,000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91" w:right="0"/>
              <w:jc w:val="left"/>
              <w:rPr>
                <w:rFonts w:ascii="Times New Roman" w:hAnsi="Times New Roman" w:cs="Times New Roman" w:eastAsia="Times New Roman" w:hint="default"/>
                <w:sz w:val="18"/>
                <w:szCs w:val="18"/>
              </w:rPr>
            </w:pPr>
            <w:r>
              <w:rPr>
                <w:rFonts w:ascii="Times New Roman"/>
                <w:sz w:val="18"/>
              </w:rPr>
              <w:t>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441"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103" w:right="215"/>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8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103" w:right="200"/>
              <w:jc w:val="left"/>
              <w:rPr>
                <w:rFonts w:ascii="宋体" w:hAnsi="宋体" w:cs="宋体" w:eastAsia="宋体" w:hint="default"/>
                <w:sz w:val="18"/>
                <w:szCs w:val="18"/>
              </w:rPr>
            </w:pPr>
            <w:r>
              <w:rPr>
                <w:rFonts w:ascii="宋体" w:hAnsi="宋体" w:cs="宋体" w:eastAsia="宋体" w:hint="default"/>
                <w:sz w:val="18"/>
                <w:szCs w:val="18"/>
              </w:rPr>
              <w:t>自筹资 金购买</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76"/>
        <w:gridCol w:w="880"/>
        <w:gridCol w:w="870"/>
        <w:gridCol w:w="871"/>
        <w:gridCol w:w="869"/>
        <w:gridCol w:w="869"/>
        <w:gridCol w:w="869"/>
        <w:gridCol w:w="869"/>
        <w:gridCol w:w="869"/>
        <w:gridCol w:w="869"/>
        <w:gridCol w:w="856"/>
      </w:tblGrid>
      <w:tr>
        <w:trPr>
          <w:trHeight w:val="362" w:hRule="exact"/>
        </w:trPr>
        <w:tc>
          <w:tcPr>
            <w:tcW w:w="8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处分红</w:t>
            </w:r>
          </w:p>
        </w:tc>
        <w:tc>
          <w:tcPr>
            <w:tcW w:w="88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7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550,000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550,000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914"/>
        <w:jc w:val="left"/>
        <w:rPr>
          <w:b w:val="0"/>
          <w:bCs w:val="0"/>
        </w:rPr>
      </w:pPr>
      <w:bookmarkStart w:name="（3）证券投资情况" w:id="36"/>
      <w:bookmarkEnd w:id="36"/>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公司报告期不存在证券投资。</w:t>
      </w:r>
    </w:p>
    <w:p>
      <w:pPr>
        <w:spacing w:line="240" w:lineRule="auto" w:before="1"/>
        <w:rPr>
          <w:rFonts w:ascii="宋体" w:hAnsi="宋体" w:cs="宋体" w:eastAsia="宋体" w:hint="default"/>
          <w:sz w:val="20"/>
          <w:szCs w:val="20"/>
        </w:rPr>
      </w:pPr>
    </w:p>
    <w:p>
      <w:pPr>
        <w:pStyle w:val="Heading4"/>
        <w:spacing w:line="240" w:lineRule="auto"/>
        <w:ind w:right="914"/>
        <w:jc w:val="left"/>
        <w:rPr>
          <w:b w:val="0"/>
          <w:bCs w:val="0"/>
        </w:rPr>
      </w:pPr>
      <w:bookmarkStart w:name="（4）持有其他上市公司股权情况的说明" w:id="37"/>
      <w:bookmarkEnd w:id="37"/>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公司报告期未持有其他上市公司股权。</w:t>
      </w:r>
    </w:p>
    <w:p>
      <w:pPr>
        <w:spacing w:line="240" w:lineRule="auto" w:before="11"/>
        <w:rPr>
          <w:rFonts w:ascii="宋体" w:hAnsi="宋体" w:cs="宋体" w:eastAsia="宋体" w:hint="default"/>
          <w:sz w:val="19"/>
          <w:szCs w:val="19"/>
        </w:rPr>
      </w:pPr>
    </w:p>
    <w:p>
      <w:pPr>
        <w:pStyle w:val="Heading4"/>
        <w:spacing w:line="240" w:lineRule="auto"/>
        <w:ind w:right="914"/>
        <w:jc w:val="left"/>
        <w:rPr>
          <w:b w:val="0"/>
          <w:bCs w:val="0"/>
        </w:rPr>
      </w:pPr>
      <w:bookmarkStart w:name="2、委托理财、衍生品投资和委托贷款情况" w:id="38"/>
      <w:bookmarkEnd w:id="38"/>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14"/>
        <w:jc w:val="left"/>
        <w:rPr>
          <w:b w:val="0"/>
          <w:bCs w:val="0"/>
        </w:rPr>
      </w:pPr>
      <w:bookmarkStart w:name="（1）委托理财情况" w:id="39"/>
      <w:bookmarkEnd w:id="3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公司报告期不存在委托理财。</w:t>
      </w:r>
    </w:p>
    <w:p>
      <w:pPr>
        <w:spacing w:line="240" w:lineRule="auto" w:before="1"/>
        <w:rPr>
          <w:rFonts w:ascii="宋体" w:hAnsi="宋体" w:cs="宋体" w:eastAsia="宋体" w:hint="default"/>
          <w:sz w:val="20"/>
          <w:szCs w:val="20"/>
        </w:rPr>
      </w:pPr>
    </w:p>
    <w:p>
      <w:pPr>
        <w:pStyle w:val="Heading4"/>
        <w:spacing w:line="240" w:lineRule="auto"/>
        <w:ind w:right="914"/>
        <w:jc w:val="left"/>
        <w:rPr>
          <w:b w:val="0"/>
          <w:bCs w:val="0"/>
        </w:rPr>
      </w:pPr>
      <w:bookmarkStart w:name="（2）衍生品投资情况" w:id="40"/>
      <w:bookmarkEnd w:id="4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2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公司报告期不存在衍生品投资。</w:t>
      </w:r>
    </w:p>
    <w:p>
      <w:pPr>
        <w:spacing w:line="240" w:lineRule="auto" w:before="11"/>
        <w:rPr>
          <w:rFonts w:ascii="宋体" w:hAnsi="宋体" w:cs="宋体" w:eastAsia="宋体" w:hint="default"/>
          <w:sz w:val="19"/>
          <w:szCs w:val="19"/>
        </w:rPr>
      </w:pPr>
    </w:p>
    <w:p>
      <w:pPr>
        <w:pStyle w:val="Heading4"/>
        <w:spacing w:line="240" w:lineRule="auto"/>
        <w:ind w:right="914"/>
        <w:jc w:val="left"/>
        <w:rPr>
          <w:b w:val="0"/>
          <w:bCs w:val="0"/>
        </w:rPr>
      </w:pPr>
      <w:bookmarkStart w:name="（3）委托贷款情况" w:id="41"/>
      <w:bookmarkEnd w:id="41"/>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line="240" w:lineRule="auto" w:before="13"/>
        <w:rPr>
          <w:rFonts w:ascii="宋体" w:hAnsi="宋体" w:cs="宋体" w:eastAsia="宋体" w:hint="default"/>
          <w:sz w:val="19"/>
          <w:szCs w:val="19"/>
        </w:rPr>
      </w:pPr>
    </w:p>
    <w:p>
      <w:pPr>
        <w:pStyle w:val="Heading4"/>
        <w:spacing w:line="240" w:lineRule="auto"/>
        <w:ind w:right="914"/>
        <w:jc w:val="left"/>
        <w:rPr>
          <w:b w:val="0"/>
          <w:bCs w:val="0"/>
        </w:rPr>
      </w:pPr>
      <w:bookmarkStart w:name="3、募集资金使用情况" w:id="42"/>
      <w:bookmarkEnd w:id="42"/>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spacing w:line="360"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公司报告期无募集资金使用情况。</w:t>
      </w:r>
    </w:p>
    <w:p>
      <w:pPr>
        <w:spacing w:line="240" w:lineRule="auto" w:before="11"/>
        <w:rPr>
          <w:rFonts w:ascii="宋体" w:hAnsi="宋体" w:cs="宋体" w:eastAsia="宋体" w:hint="default"/>
          <w:sz w:val="19"/>
          <w:szCs w:val="19"/>
        </w:rPr>
      </w:pPr>
    </w:p>
    <w:p>
      <w:pPr>
        <w:pStyle w:val="Heading4"/>
        <w:spacing w:line="240" w:lineRule="auto"/>
        <w:ind w:left="153" w:right="914"/>
        <w:jc w:val="left"/>
        <w:rPr>
          <w:b w:val="0"/>
          <w:bCs w:val="0"/>
        </w:rPr>
      </w:pPr>
      <w:bookmarkStart w:name="（1）募集资金总体使用情况" w:id="43"/>
      <w:bookmarkEnd w:id="43"/>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1"/>
        <w:gridCol w:w="5468"/>
      </w:tblGrid>
      <w:tr>
        <w:trPr>
          <w:trHeight w:val="403"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52,022.83</w:t>
            </w:r>
          </w:p>
        </w:tc>
      </w:tr>
      <w:tr>
        <w:trPr>
          <w:trHeight w:val="403"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24,788.63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01"/>
        <w:gridCol w:w="5468"/>
      </w:tblGrid>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40,746.66</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募集资金承诺项目情况" w:id="44"/>
      <w:bookmarkEnd w:id="44"/>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64"/>
        <w:gridCol w:w="775"/>
        <w:gridCol w:w="776"/>
        <w:gridCol w:w="776"/>
        <w:gridCol w:w="781"/>
        <w:gridCol w:w="782"/>
        <w:gridCol w:w="781"/>
        <w:gridCol w:w="782"/>
        <w:gridCol w:w="782"/>
        <w:gridCol w:w="782"/>
        <w:gridCol w:w="786"/>
      </w:tblGrid>
      <w:tr>
        <w:trPr>
          <w:trHeight w:val="165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27" w:right="155"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2"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2" w:right="11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1" w:right="11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5" w:right="11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6" w:right="1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116"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5" w:right="11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6" w:right="11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6" w:right="11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7" w:right="11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209"/>
              <w:jc w:val="both"/>
              <w:rPr>
                <w:rFonts w:ascii="宋体" w:hAnsi="宋体" w:cs="宋体" w:eastAsia="宋体" w:hint="default"/>
                <w:sz w:val="18"/>
                <w:szCs w:val="18"/>
              </w:rPr>
            </w:pPr>
            <w:r>
              <w:rPr>
                <w:rFonts w:ascii="宋体" w:hAnsi="宋体" w:cs="宋体" w:eastAsia="宋体" w:hint="default"/>
                <w:sz w:val="18"/>
                <w:szCs w:val="18"/>
              </w:rPr>
              <w:t>毫州丽鹏制盖有限 公司高档组合式防 伪瓶盖技术改造项 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12,000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9,946.7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1,818.4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9,266.1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93.16%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-284.58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103" w:right="209"/>
              <w:jc w:val="both"/>
              <w:rPr>
                <w:rFonts w:ascii="宋体" w:hAnsi="宋体" w:cs="宋体" w:eastAsia="宋体" w:hint="default"/>
                <w:sz w:val="18"/>
                <w:szCs w:val="18"/>
              </w:rPr>
            </w:pPr>
            <w:r>
              <w:rPr>
                <w:rFonts w:ascii="宋体" w:hAnsi="宋体" w:cs="宋体" w:eastAsia="宋体" w:hint="default"/>
                <w:sz w:val="18"/>
                <w:szCs w:val="18"/>
              </w:rPr>
              <w:t>瓶盖厂新增年产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亿只组合式防伪瓶 盖生产线建设项目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7,280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7,280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7,287.6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100.10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342.45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09"/>
              <w:jc w:val="left"/>
              <w:rPr>
                <w:rFonts w:ascii="宋体" w:hAnsi="宋体" w:cs="宋体" w:eastAsia="宋体" w:hint="default"/>
                <w:sz w:val="18"/>
                <w:szCs w:val="18"/>
              </w:rPr>
            </w:pPr>
            <w:r>
              <w:rPr>
                <w:rFonts w:ascii="宋体" w:hAnsi="宋体" w:cs="宋体" w:eastAsia="宋体" w:hint="default"/>
                <w:sz w:val="18"/>
                <w:szCs w:val="18"/>
              </w:rPr>
              <w:t>模具制造生产线扩 建项目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6,000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4,181.4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2,949.6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4,172.4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99.78%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209"/>
              <w:jc w:val="both"/>
              <w:rPr>
                <w:rFonts w:ascii="宋体" w:hAnsi="宋体" w:cs="宋体" w:eastAsia="宋体" w:hint="default"/>
                <w:sz w:val="18"/>
                <w:szCs w:val="18"/>
              </w:rPr>
            </w:pPr>
            <w:r>
              <w:rPr>
                <w:rFonts w:ascii="宋体" w:hAnsi="宋体" w:cs="宋体" w:eastAsia="宋体" w:hint="default"/>
                <w:sz w:val="18"/>
                <w:szCs w:val="18"/>
              </w:rPr>
              <w:t>发行股份及支付现 金购买资产并募集 配套资金项目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26,742.</w:t>
            </w:r>
          </w:p>
          <w:p>
            <w:pPr>
              <w:pStyle w:val="TableParagraph"/>
              <w:spacing w:line="240" w:lineRule="auto" w:before="106"/>
              <w:ind w:left="483" w:right="0"/>
              <w:jc w:val="left"/>
              <w:rPr>
                <w:rFonts w:ascii="Times New Roman" w:hAnsi="Times New Roman" w:cs="Times New Roman" w:eastAsia="Times New Roman" w:hint="default"/>
                <w:sz w:val="18"/>
                <w:szCs w:val="18"/>
              </w:rPr>
            </w:pPr>
            <w:r>
              <w:rPr>
                <w:rFonts w:ascii="Times New Roman"/>
                <w:sz w:val="18"/>
              </w:rPr>
              <w:t>84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26,742.</w:t>
            </w:r>
          </w:p>
          <w:p>
            <w:pPr>
              <w:pStyle w:val="TableParagraph"/>
              <w:spacing w:line="240" w:lineRule="auto" w:before="106"/>
              <w:ind w:left="482" w:right="0"/>
              <w:jc w:val="left"/>
              <w:rPr>
                <w:rFonts w:ascii="Times New Roman" w:hAnsi="Times New Roman" w:cs="Times New Roman" w:eastAsia="Times New Roman" w:hint="default"/>
                <w:sz w:val="18"/>
                <w:szCs w:val="18"/>
              </w:rPr>
            </w:pPr>
            <w:r>
              <w:rPr>
                <w:rFonts w:ascii="Times New Roman"/>
                <w:sz w:val="18"/>
              </w:rPr>
              <w:t>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20,020.</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49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20,020.</w:t>
            </w:r>
          </w:p>
          <w:p>
            <w:pPr>
              <w:pStyle w:val="TableParagraph"/>
              <w:spacing w:line="240" w:lineRule="auto" w:before="106"/>
              <w:ind w:left="489" w:right="0"/>
              <w:jc w:val="left"/>
              <w:rPr>
                <w:rFonts w:ascii="Times New Roman" w:hAnsi="Times New Roman" w:cs="Times New Roman" w:eastAsia="Times New Roman" w:hint="default"/>
                <w:sz w:val="18"/>
                <w:szCs w:val="18"/>
              </w:rPr>
            </w:pPr>
            <w:r>
              <w:rPr>
                <w:rFonts w:ascii="Times New Roman"/>
                <w:sz w:val="18"/>
              </w:rPr>
              <w:t>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74.86%</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0"/>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52,022.</w:t>
            </w:r>
          </w:p>
          <w:p>
            <w:pPr>
              <w:pStyle w:val="TableParagraph"/>
              <w:spacing w:line="240" w:lineRule="auto" w:before="106"/>
              <w:ind w:left="483" w:right="0"/>
              <w:jc w:val="left"/>
              <w:rPr>
                <w:rFonts w:ascii="Times New Roman" w:hAnsi="Times New Roman" w:cs="Times New Roman" w:eastAsia="Times New Roman" w:hint="default"/>
                <w:sz w:val="18"/>
                <w:szCs w:val="18"/>
              </w:rPr>
            </w:pPr>
            <w:r>
              <w:rPr>
                <w:rFonts w:ascii="Times New Roman"/>
                <w:sz w:val="18"/>
              </w:rPr>
              <w:t>84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48,150.</w:t>
            </w:r>
          </w:p>
          <w:p>
            <w:pPr>
              <w:pStyle w:val="TableParagraph"/>
              <w:spacing w:line="240" w:lineRule="auto" w:before="106"/>
              <w:ind w:left="482" w:right="0"/>
              <w:jc w:val="left"/>
              <w:rPr>
                <w:rFonts w:ascii="Times New Roman" w:hAnsi="Times New Roman" w:cs="Times New Roman" w:eastAsia="Times New Roman" w:hint="default"/>
                <w:sz w:val="18"/>
                <w:szCs w:val="18"/>
              </w:rPr>
            </w:pPr>
            <w:r>
              <w:rPr>
                <w:rFonts w:ascii="Times New Roman"/>
                <w:sz w:val="18"/>
              </w:rPr>
              <w:t>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24,788.</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63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40,746.</w:t>
            </w:r>
          </w:p>
          <w:p>
            <w:pPr>
              <w:pStyle w:val="TableParagraph"/>
              <w:spacing w:line="240" w:lineRule="auto" w:before="106"/>
              <w:ind w:left="489" w:right="0"/>
              <w:jc w:val="left"/>
              <w:rPr>
                <w:rFonts w:ascii="Times New Roman" w:hAnsi="Times New Roman" w:cs="Times New Roman" w:eastAsia="Times New Roman" w:hint="default"/>
                <w:sz w:val="18"/>
                <w:szCs w:val="18"/>
              </w:rPr>
            </w:pPr>
            <w:r>
              <w:rPr>
                <w:rFonts w:ascii="Times New Roman"/>
                <w:sz w:val="18"/>
              </w:rPr>
              <w:t>66</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57.87</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9"/>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0"/>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9"/>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0"/>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0"/>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0"/>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52,022.</w:t>
            </w:r>
          </w:p>
          <w:p>
            <w:pPr>
              <w:pStyle w:val="TableParagraph"/>
              <w:spacing w:line="240" w:lineRule="auto" w:before="106"/>
              <w:ind w:left="483" w:right="0"/>
              <w:jc w:val="left"/>
              <w:rPr>
                <w:rFonts w:ascii="Times New Roman" w:hAnsi="Times New Roman" w:cs="Times New Roman" w:eastAsia="Times New Roman" w:hint="default"/>
                <w:sz w:val="18"/>
                <w:szCs w:val="18"/>
              </w:rPr>
            </w:pPr>
            <w:r>
              <w:rPr>
                <w:rFonts w:ascii="Times New Roman"/>
                <w:sz w:val="18"/>
              </w:rPr>
              <w:t>84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48,150.</w:t>
            </w:r>
          </w:p>
          <w:p>
            <w:pPr>
              <w:pStyle w:val="TableParagraph"/>
              <w:spacing w:line="240" w:lineRule="auto" w:before="106"/>
              <w:ind w:left="482" w:right="0"/>
              <w:jc w:val="left"/>
              <w:rPr>
                <w:rFonts w:ascii="Times New Roman" w:hAnsi="Times New Roman" w:cs="Times New Roman" w:eastAsia="Times New Roman" w:hint="default"/>
                <w:sz w:val="18"/>
                <w:szCs w:val="18"/>
              </w:rPr>
            </w:pPr>
            <w:r>
              <w:rPr>
                <w:rFonts w:ascii="Times New Roman"/>
                <w:sz w:val="18"/>
              </w:rPr>
              <w:t>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24,788.</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63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40,746.</w:t>
            </w:r>
          </w:p>
          <w:p>
            <w:pPr>
              <w:pStyle w:val="TableParagraph"/>
              <w:spacing w:line="240" w:lineRule="auto" w:before="106"/>
              <w:ind w:left="489" w:right="0"/>
              <w:jc w:val="left"/>
              <w:rPr>
                <w:rFonts w:ascii="Times New Roman" w:hAnsi="Times New Roman" w:cs="Times New Roman" w:eastAsia="Times New Roman" w:hint="default"/>
                <w:sz w:val="18"/>
                <w:szCs w:val="18"/>
              </w:rPr>
            </w:pPr>
            <w:r>
              <w:rPr>
                <w:rFonts w:ascii="Times New Roman"/>
                <w:sz w:val="18"/>
              </w:rPr>
              <w:t>66</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57.87</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9"/>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80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80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z w:val="18"/>
                <w:szCs w:val="18"/>
              </w:rPr>
              <w:t> 途及使用进展情况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03" w:right="20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03" w:right="20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20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月，公司以募集资金置换了瓶盖厂新增年产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亿只组合式防伪瓶盖生产线建设项目前</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期投入资金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3,001.64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万，模具制造生产线扩建项目前期投入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229.58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万。毫州丽鹏制盖有限公司高</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档组合式防伪瓶盖技术制造项目前期投入资金为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1,285.01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月完成募集资金置换。</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20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103" w:right="20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54"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经公司第三届董事会第二次会议审计通过</w:t>
            </w:r>
            <w:r>
              <w:rPr>
                <w:rFonts w:ascii="Times New Roman" w:hAnsi="Times New Roman" w:cs="Times New Roman" w:eastAsia="Times New Roman" w:hint="default"/>
                <w:sz w:val="18"/>
                <w:szCs w:val="18"/>
              </w:rPr>
              <w:t>,</w:t>
            </w:r>
            <w:r>
              <w:rPr>
                <w:rFonts w:ascii="宋体" w:hAnsi="宋体" w:cs="宋体" w:eastAsia="宋体" w:hint="default"/>
                <w:sz w:val="18"/>
                <w:szCs w:val="18"/>
              </w:rPr>
              <w:t>公司将毫州丽鹏制盖有限公司高档</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组合式防伪瓶盖技术改造项目节余资金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20,538,527.41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元及其利息永久性补充流动资金。</w:t>
            </w:r>
          </w:p>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日，经公司第三届董事会第六次会议审议通过，公司将模具制造生产红扩建项</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目募集资金专用账户的实际节余资金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19,674,073.04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元及其利息收入永久性补充流动资金</w:t>
            </w:r>
          </w:p>
          <w:p>
            <w:pPr>
              <w:pStyle w:val="TableParagraph"/>
              <w:spacing w:line="300" w:lineRule="auto" w:before="101"/>
              <w:ind w:left="103" w:right="1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、“发行股份及支付现金购买资产并募集配套资金项目”用于收购汤于等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名华宇园林全体股东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持有华宇园林 </w:t>
            </w:r>
            <w:r>
              <w:rPr>
                <w:rFonts w:ascii="Times New Roman" w:hAnsi="Times New Roman" w:cs="Times New Roman" w:eastAsia="Times New Roman" w:hint="default"/>
                <w:spacing w:val="-3"/>
                <w:sz w:val="18"/>
                <w:szCs w:val="18"/>
              </w:rPr>
              <w:t>100.00%</w:t>
            </w:r>
            <w:r>
              <w:rPr>
                <w:rFonts w:ascii="宋体" w:hAnsi="宋体" w:cs="宋体" w:eastAsia="宋体" w:hint="default"/>
                <w:spacing w:val="-3"/>
                <w:sz w:val="18"/>
                <w:szCs w:val="18"/>
              </w:rPr>
              <w:t>的股份及补充华宇流动资金，该项目累计使用募集资金 </w:t>
            </w:r>
            <w:r>
              <w:rPr>
                <w:rFonts w:ascii="Times New Roman" w:hAnsi="Times New Roman" w:cs="Times New Roman" w:eastAsia="Times New Roman" w:hint="default"/>
                <w:sz w:val="18"/>
                <w:szCs w:val="18"/>
              </w:rPr>
              <w:t>200,204,856.11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 剩余部分主要为代扣代缴的个税及用于补充华宇园林营运资金。</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80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804"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3）募集资金变更项目情况" w:id="45"/>
      <w:bookmarkEnd w:id="45"/>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3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公司报告期不存在募集资金变更项目情况。</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914"/>
        <w:jc w:val="left"/>
        <w:rPr>
          <w:b w:val="0"/>
          <w:bCs w:val="0"/>
        </w:rPr>
      </w:pPr>
      <w:bookmarkStart w:name="4、主要子公司、参股公司分析" w:id="46"/>
      <w:bookmarkEnd w:id="46"/>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15" w:space="66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3" w:right="112"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5"/>
              <w:jc w:val="both"/>
              <w:rPr>
                <w:rFonts w:ascii="宋体" w:hAnsi="宋体" w:cs="宋体" w:eastAsia="宋体" w:hint="default"/>
                <w:sz w:val="18"/>
                <w:szCs w:val="18"/>
              </w:rPr>
            </w:pPr>
            <w:r>
              <w:rPr>
                <w:rFonts w:ascii="宋体" w:hAnsi="宋体" w:cs="宋体" w:eastAsia="宋体" w:hint="default"/>
                <w:sz w:val="18"/>
                <w:szCs w:val="18"/>
              </w:rPr>
              <w:t>成都海川 制盖有限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防伪瓶 盖、复合 型防伪印 刷铝板</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102,249,6</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35.90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59,395,88</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7.47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76,140,59</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8.90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4,571,868</w:t>
            </w:r>
          </w:p>
          <w:p>
            <w:pPr>
              <w:pStyle w:val="TableParagraph"/>
              <w:spacing w:line="240" w:lineRule="auto" w:before="106"/>
              <w:ind w:left="620" w:right="0"/>
              <w:jc w:val="left"/>
              <w:rPr>
                <w:rFonts w:ascii="Times New Roman" w:hAnsi="Times New Roman" w:cs="Times New Roman" w:eastAsia="Times New Roman" w:hint="default"/>
                <w:sz w:val="18"/>
                <w:szCs w:val="18"/>
              </w:rPr>
            </w:pPr>
            <w:r>
              <w:rPr>
                <w:rFonts w:ascii="Times New Roman"/>
                <w:sz w:val="18"/>
              </w:rPr>
              <w:t>.59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3,141,624</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.04</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大冶市劲 鹏制盖有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76,899,80</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2.40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70,066,79</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5.16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81,158,98</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1.79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6,281,403</w:t>
            </w:r>
          </w:p>
          <w:p>
            <w:pPr>
              <w:pStyle w:val="TableParagraph"/>
              <w:spacing w:line="240" w:lineRule="auto" w:before="106"/>
              <w:ind w:left="620" w:right="0"/>
              <w:jc w:val="left"/>
              <w:rPr>
                <w:rFonts w:ascii="Times New Roman" w:hAnsi="Times New Roman" w:cs="Times New Roman" w:eastAsia="Times New Roman" w:hint="default"/>
                <w:sz w:val="18"/>
                <w:szCs w:val="18"/>
              </w:rPr>
            </w:pPr>
            <w:r>
              <w:rPr>
                <w:rFonts w:ascii="Times New Roman"/>
                <w:sz w:val="18"/>
              </w:rPr>
              <w:t>.66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4,560,009</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.45</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北京鹏和 祥包装制 品有限公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19,879,64</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6.02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7,916,891</w:t>
            </w:r>
          </w:p>
          <w:p>
            <w:pPr>
              <w:pStyle w:val="TableParagraph"/>
              <w:spacing w:line="240" w:lineRule="auto" w:before="106"/>
              <w:ind w:left="620" w:right="0"/>
              <w:jc w:val="left"/>
              <w:rPr>
                <w:rFonts w:ascii="Times New Roman" w:hAnsi="Times New Roman" w:cs="Times New Roman" w:eastAsia="Times New Roman" w:hint="default"/>
                <w:sz w:val="18"/>
                <w:szCs w:val="18"/>
              </w:rPr>
            </w:pPr>
            <w:r>
              <w:rPr>
                <w:rFonts w:ascii="Times New Roman"/>
                <w:sz w:val="18"/>
              </w:rPr>
              <w:t>.27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17,756,85</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8.13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2,055,869</w:t>
            </w:r>
          </w:p>
          <w:p>
            <w:pPr>
              <w:pStyle w:val="TableParagraph"/>
              <w:spacing w:line="240" w:lineRule="auto" w:before="106"/>
              <w:ind w:left="620" w:right="0"/>
              <w:jc w:val="lef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1,563,935</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.61</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新疆军鹏 制盖有限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29,616,19</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1.87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20,766,58</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8.61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23,751,44</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3.22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4,618,910</w:t>
            </w:r>
          </w:p>
          <w:p>
            <w:pPr>
              <w:pStyle w:val="TableParagraph"/>
              <w:spacing w:line="240" w:lineRule="auto" w:before="106"/>
              <w:ind w:left="620" w:right="0"/>
              <w:jc w:val="left"/>
              <w:rPr>
                <w:rFonts w:ascii="Times New Roman" w:hAnsi="Times New Roman" w:cs="Times New Roman" w:eastAsia="Times New Roman" w:hint="default"/>
                <w:sz w:val="18"/>
                <w:szCs w:val="18"/>
              </w:rPr>
            </w:pPr>
            <w:r>
              <w:rPr>
                <w:rFonts w:ascii="Times New Roman"/>
                <w:sz w:val="18"/>
              </w:rPr>
              <w:t>.61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3,518,599</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.02</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5"/>
              <w:jc w:val="both"/>
              <w:rPr>
                <w:rFonts w:ascii="宋体" w:hAnsi="宋体" w:cs="宋体" w:eastAsia="宋体" w:hint="default"/>
                <w:sz w:val="18"/>
                <w:szCs w:val="18"/>
              </w:rPr>
            </w:pPr>
            <w:r>
              <w:rPr>
                <w:rFonts w:ascii="宋体" w:hAnsi="宋体" w:cs="宋体" w:eastAsia="宋体" w:hint="default"/>
                <w:sz w:val="18"/>
                <w:szCs w:val="18"/>
              </w:rPr>
              <w:t>亳州丽鹏 制盖有限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防伪瓶 盖、复合 型防伪印 刷铝板</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181,976,9</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78.38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132,004,2</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73.38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56,210,69</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5.75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-3,639,04</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4.00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-1,300,38</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4.75</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四川泸州 丽鹏制盖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82,076,33</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8.52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67,185,64</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1.69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38,417,03</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8.36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1,880,926</w:t>
            </w:r>
          </w:p>
          <w:p>
            <w:pPr>
              <w:pStyle w:val="TableParagraph"/>
              <w:spacing w:line="240" w:lineRule="auto" w:before="106"/>
              <w:ind w:left="620" w:right="0"/>
              <w:jc w:val="left"/>
              <w:rPr>
                <w:rFonts w:ascii="Times New Roman" w:hAnsi="Times New Roman" w:cs="Times New Roman" w:eastAsia="Times New Roman" w:hint="default"/>
                <w:sz w:val="18"/>
                <w:szCs w:val="18"/>
              </w:rPr>
            </w:pPr>
            <w:r>
              <w:rPr>
                <w:rFonts w:ascii="Times New Roman"/>
                <w:sz w:val="18"/>
              </w:rPr>
              <w:t>.02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1,319,341</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.34</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山东丽鹏 国际贸易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11,646,78</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2.25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10,591,90</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8.60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10,320,01</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3.80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803,189.0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597,586.0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烟台丽鹏 包装有限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8,307,019</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8,307,019</w:t>
            </w:r>
          </w:p>
          <w:p>
            <w:pPr>
              <w:pStyle w:val="TableParagraph"/>
              <w:spacing w:line="240" w:lineRule="auto" w:before="106"/>
              <w:ind w:left="620" w:right="0"/>
              <w:jc w:val="left"/>
              <w:rPr>
                <w:rFonts w:ascii="Times New Roman" w:hAnsi="Times New Roman" w:cs="Times New Roman" w:eastAsia="Times New Roman" w:hint="default"/>
                <w:sz w:val="18"/>
                <w:szCs w:val="18"/>
              </w:rPr>
            </w:pPr>
            <w:r>
              <w:rPr>
                <w:rFonts w:ascii="Times New Roman"/>
                <w:sz w:val="18"/>
              </w:rPr>
              <w:t>.34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2,257,354</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-795,145.</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-1,021,18</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6.79</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烟台和俊 制盖有限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03" w:right="121"/>
              <w:jc w:val="left"/>
              <w:rPr>
                <w:rFonts w:ascii="宋体" w:hAnsi="宋体" w:cs="宋体" w:eastAsia="宋体" w:hint="default"/>
                <w:sz w:val="18"/>
                <w:szCs w:val="18"/>
              </w:rPr>
            </w:pPr>
            <w:r>
              <w:rPr>
                <w:rFonts w:ascii="Times New Roman" w:hAnsi="Times New Roman" w:cs="Times New Roman" w:eastAsia="Times New Roman" w:hint="default"/>
                <w:sz w:val="18"/>
                <w:szCs w:val="18"/>
              </w:rPr>
              <w:t>247.26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美元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37,907,20</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0.10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32,011,31</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4.09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27,975,65</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6.74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14,103,72</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4.55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9,854,345</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.80</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重庆华宇 园林有限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1,241,692</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,317.04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715,223,5</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14.21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51,418,23</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9.54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14,428,58</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1.26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12,902,07</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6.48</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2"/>
              <w:ind w:left="103" w:right="118"/>
              <w:jc w:val="left"/>
              <w:rPr>
                <w:rFonts w:ascii="宋体" w:hAnsi="宋体" w:cs="宋体" w:eastAsia="宋体" w:hint="default"/>
                <w:sz w:val="18"/>
                <w:szCs w:val="18"/>
              </w:rPr>
            </w:pPr>
            <w:r>
              <w:rPr>
                <w:rFonts w:ascii="宋体" w:hAnsi="宋体" w:cs="宋体" w:eastAsia="宋体" w:hint="default"/>
                <w:sz w:val="18"/>
                <w:szCs w:val="18"/>
              </w:rPr>
              <w:t>瓶盖与园林双主业的多元化 发展</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并购重组</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2"/>
              <w:ind w:left="103" w:right="116"/>
              <w:jc w:val="left"/>
              <w:rPr>
                <w:rFonts w:ascii="宋体" w:hAnsi="宋体" w:cs="宋体" w:eastAsia="宋体" w:hint="default"/>
                <w:sz w:val="18"/>
                <w:szCs w:val="18"/>
              </w:rPr>
            </w:pPr>
            <w:r>
              <w:rPr>
                <w:rFonts w:ascii="宋体" w:hAnsi="宋体" w:cs="宋体" w:eastAsia="宋体" w:hint="default"/>
                <w:sz w:val="18"/>
                <w:szCs w:val="18"/>
              </w:rPr>
              <w:t>目前对公司整体生产和业绩 影响较小。</w:t>
            </w:r>
          </w:p>
        </w:tc>
      </w:tr>
    </w:tbl>
    <w:p>
      <w:pPr>
        <w:spacing w:line="240" w:lineRule="auto" w:before="3"/>
        <w:rPr>
          <w:rFonts w:ascii="宋体" w:hAnsi="宋体" w:cs="宋体" w:eastAsia="宋体" w:hint="default"/>
          <w:sz w:val="19"/>
          <w:szCs w:val="19"/>
        </w:rPr>
      </w:pPr>
    </w:p>
    <w:p>
      <w:pPr>
        <w:pStyle w:val="Heading4"/>
        <w:spacing w:line="240" w:lineRule="auto" w:before="35"/>
        <w:ind w:right="0"/>
        <w:jc w:val="both"/>
        <w:rPr>
          <w:b w:val="0"/>
          <w:bCs w:val="0"/>
        </w:rPr>
      </w:pPr>
      <w:bookmarkStart w:name="5、非募集资金投资的重大项目情况" w:id="47"/>
      <w:bookmarkEnd w:id="47"/>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3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公司报告期无非募集资金投资的重大项目。</w:t>
      </w:r>
    </w:p>
    <w:p>
      <w:pPr>
        <w:spacing w:line="240" w:lineRule="auto" w:before="3"/>
        <w:rPr>
          <w:rFonts w:ascii="宋体" w:hAnsi="宋体" w:cs="宋体" w:eastAsia="宋体" w:hint="default"/>
          <w:sz w:val="18"/>
          <w:szCs w:val="18"/>
        </w:rPr>
      </w:pPr>
    </w:p>
    <w:p>
      <w:pPr>
        <w:pStyle w:val="Heading2"/>
        <w:spacing w:line="240" w:lineRule="auto"/>
        <w:ind w:right="0"/>
        <w:jc w:val="both"/>
        <w:rPr>
          <w:b w:val="0"/>
          <w:bCs w:val="0"/>
        </w:rPr>
      </w:pPr>
      <w:bookmarkStart w:name="七、公司控制的特殊目的主体情况" w:id="48"/>
      <w:bookmarkEnd w:id="48"/>
      <w:r>
        <w:rPr>
          <w:b w:val="0"/>
          <w:bCs w:val="0"/>
        </w:rPr>
      </w:r>
      <w:r>
        <w:rPr/>
        <w:t>七、公司控制的特殊目的主体情况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八、公司未来发展的展望" w:id="49"/>
      <w:bookmarkEnd w:id="49"/>
      <w:r>
        <w:rPr>
          <w:b w:val="0"/>
          <w:bCs w:val="0"/>
        </w:rPr>
      </w:r>
      <w:r>
        <w:rPr/>
        <w:t>八、公司未来发展的展望</w:t>
      </w:r>
      <w:r>
        <w:rPr>
          <w:b w:val="0"/>
          <w:bCs w:val="0"/>
        </w:rPr>
      </w:r>
    </w:p>
    <w:p>
      <w:pPr>
        <w:spacing w:line="240" w:lineRule="auto" w:before="9"/>
        <w:rPr>
          <w:rFonts w:ascii="宋体" w:hAnsi="宋体" w:cs="宋体" w:eastAsia="宋体" w:hint="default"/>
          <w:b/>
          <w:bCs/>
          <w:sz w:val="26"/>
          <w:szCs w:val="26"/>
        </w:rPr>
      </w:pPr>
    </w:p>
    <w:p>
      <w:pPr>
        <w:spacing w:line="357" w:lineRule="auto" w:before="0"/>
        <w:ind w:left="514" w:right="914" w:firstLine="0"/>
        <w:jc w:val="left"/>
        <w:rPr>
          <w:rFonts w:ascii="宋体" w:hAnsi="宋体" w:cs="宋体" w:eastAsia="宋体" w:hint="default"/>
          <w:sz w:val="18"/>
          <w:szCs w:val="18"/>
        </w:rPr>
      </w:pPr>
      <w:r>
        <w:rPr>
          <w:rFonts w:ascii="宋体" w:hAnsi="宋体" w:cs="宋体" w:eastAsia="宋体" w:hint="default"/>
          <w:sz w:val="18"/>
          <w:szCs w:val="18"/>
        </w:rPr>
        <w:t>（一）公司所处行业的发展趋势 </w:t>
      </w:r>
      <w:r>
        <w:rPr>
          <w:rFonts w:ascii="宋体" w:hAnsi="宋体" w:cs="宋体" w:eastAsia="宋体" w:hint="default"/>
          <w:spacing w:val="-2"/>
          <w:sz w:val="18"/>
          <w:szCs w:val="18"/>
        </w:rPr>
        <w:t>我国的经济和消费增长带动了包装业的增长和包装产品质量的提高。金属包装因其良好的密封性和具有鲜艳的图案，在</w:t>
      </w:r>
    </w:p>
    <w:p>
      <w:pPr>
        <w:spacing w:line="224"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食品、饮料、日化用品和家庭用品等行业得到广泛应用，食品和饮料业已成为金属包装的最大市场。此外，化工品、化妆品</w:t>
      </w:r>
    </w:p>
    <w:p>
      <w:pPr>
        <w:spacing w:line="309" w:lineRule="auto" w:before="76"/>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和药品行业也是金属包装的重要市场，我国金属包装市场的空间还很大，金属制品及金属包装产业发展前景广阔。铝业协会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主席</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Heidi</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Brock</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表示，金属铝是迄今为止绿色饮料包装用品最好的选择，对具有环保意识的消费者来说极具吸引力。可持 续性更是铝工业发展首先考虑的问题。</w:t>
      </w:r>
    </w:p>
    <w:p>
      <w:pPr>
        <w:spacing w:line="319" w:lineRule="auto" w:before="62"/>
        <w:ind w:left="154" w:right="1032" w:firstLine="360"/>
        <w:jc w:val="left"/>
        <w:rPr>
          <w:rFonts w:ascii="宋体" w:hAnsi="宋体" w:cs="宋体" w:eastAsia="宋体" w:hint="default"/>
          <w:sz w:val="18"/>
          <w:szCs w:val="18"/>
        </w:rPr>
      </w:pPr>
      <w:r>
        <w:rPr>
          <w:rFonts w:ascii="宋体" w:hAnsi="宋体" w:cs="宋体" w:eastAsia="宋体" w:hint="default"/>
          <w:spacing w:val="-2"/>
          <w:sz w:val="18"/>
          <w:szCs w:val="18"/>
        </w:rPr>
        <w:t>国内金属包装在整个包装产业链中有着巨大的发展空间，但金属包装行业未来发展也面临挑战：国内金属包装产业集中</w:t>
      </w:r>
      <w:r>
        <w:rPr>
          <w:rFonts w:ascii="宋体" w:hAnsi="宋体" w:cs="宋体" w:eastAsia="宋体" w:hint="default"/>
          <w:sz w:val="18"/>
          <w:szCs w:val="18"/>
        </w:rPr>
        <w:t> </w:t>
      </w:r>
      <w:r>
        <w:rPr>
          <w:rFonts w:ascii="宋体" w:hAnsi="宋体" w:cs="宋体" w:eastAsia="宋体" w:hint="default"/>
          <w:spacing w:val="-2"/>
          <w:sz w:val="18"/>
          <w:szCs w:val="18"/>
        </w:rPr>
        <w:t>度不高，不具有规模效应，造就了金属包装行业整合者的扩张机遇；金属包装企业同质化竞争，创新能力欠缺，产品设计创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新的机会凸显；原材料持续上涨，资源浪费严重，减重降耗的成本创新效益将非常突出；我国金属包装产业品牌建设缺乏， 下游依赖度高，标准制定者将拥有真正的话语权。但客户满意不等于行业品牌，因此金属包装企业应该把握终端消费市场， 为客户创造价值，才能够领导行业发展。</w:t>
      </w:r>
    </w:p>
    <w:p>
      <w:pPr>
        <w:spacing w:line="300" w:lineRule="auto" w:before="55"/>
        <w:ind w:left="153" w:right="1041" w:firstLine="360"/>
        <w:jc w:val="left"/>
        <w:rPr>
          <w:rFonts w:ascii="宋体" w:hAnsi="宋体" w:cs="宋体" w:eastAsia="宋体" w:hint="default"/>
          <w:sz w:val="18"/>
          <w:szCs w:val="18"/>
        </w:rPr>
      </w:pPr>
      <w:r>
        <w:rPr>
          <w:rFonts w:ascii="宋体" w:hAnsi="宋体" w:cs="宋体" w:eastAsia="宋体" w:hint="default"/>
          <w:sz w:val="18"/>
          <w:szCs w:val="18"/>
        </w:rPr>
        <w:t>中共十八大报告提出要把生态文明建设放在突出地位，十八届三中全会要求紧紧围绕建设</w:t>
      </w:r>
      <w:r>
        <w:rPr>
          <w:rFonts w:ascii="Times New Roman" w:hAnsi="Times New Roman" w:cs="Times New Roman" w:eastAsia="Times New Roman" w:hint="default"/>
          <w:sz w:val="18"/>
          <w:szCs w:val="18"/>
        </w:rPr>
        <w:t>“</w:t>
      </w:r>
      <w:r>
        <w:rPr>
          <w:rFonts w:ascii="宋体" w:hAnsi="宋体" w:cs="宋体" w:eastAsia="宋体" w:hint="default"/>
          <w:sz w:val="18"/>
          <w:szCs w:val="18"/>
        </w:rPr>
        <w:t>美丽中国</w:t>
      </w:r>
      <w:r>
        <w:rPr>
          <w:rFonts w:ascii="Times New Roman" w:hAnsi="Times New Roman" w:cs="Times New Roman" w:eastAsia="Times New Roman" w:hint="default"/>
          <w:sz w:val="18"/>
          <w:szCs w:val="18"/>
        </w:rPr>
        <w:t>”</w:t>
      </w:r>
      <w:r>
        <w:rPr>
          <w:rFonts w:ascii="宋体" w:hAnsi="宋体" w:cs="宋体" w:eastAsia="宋体" w:hint="default"/>
          <w:sz w:val="18"/>
          <w:szCs w:val="18"/>
        </w:rPr>
        <w:t>深化生态文明体制 改革，允许社会资本通过特许经营等方式参与城市基础设施投资和运营。</w:t>
      </w:r>
      <w:r>
        <w:rPr>
          <w:rFonts w:ascii="Times New Roman" w:hAnsi="Times New Roman" w:cs="Times New Roman" w:eastAsia="Times New Roman" w:hint="default"/>
          <w:sz w:val="18"/>
          <w:szCs w:val="18"/>
        </w:rPr>
        <w:t>PPP</w:t>
      </w:r>
      <w:r>
        <w:rPr>
          <w:rFonts w:ascii="宋体" w:hAnsi="宋体" w:cs="宋体" w:eastAsia="宋体" w:hint="default"/>
          <w:sz w:val="18"/>
          <w:szCs w:val="18"/>
        </w:rPr>
        <w:t>（</w:t>
      </w:r>
      <w:r>
        <w:rPr>
          <w:rFonts w:ascii="Times New Roman" w:hAnsi="Times New Roman" w:cs="Times New Roman" w:eastAsia="Times New Roman" w:hint="default"/>
          <w:sz w:val="18"/>
          <w:szCs w:val="18"/>
        </w:rPr>
        <w:t>Public-Private-Partnership</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的缩写，意即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公共</w:t>
      </w:r>
      <w:r>
        <w:rPr>
          <w:rFonts w:ascii="宋体" w:hAnsi="宋体" w:cs="宋体" w:eastAsia="宋体" w:hint="default"/>
          <w:sz w:val="18"/>
          <w:szCs w:val="18"/>
        </w:rPr>
        <w:t> </w:t>
      </w:r>
      <w:r>
        <w:rPr>
          <w:rFonts w:ascii="宋体" w:hAnsi="宋体" w:cs="宋体" w:eastAsia="宋体" w:hint="default"/>
          <w:spacing w:val="-2"/>
          <w:sz w:val="18"/>
          <w:szCs w:val="18"/>
        </w:rPr>
        <w:t>私营合作制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）模式是贯彻十八届三中、四中全会精神，引入社会资本破解地方投融资难题，提升政府治理水平的重要抓手。</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国务院常务会议明确要求各地加快推进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项目的实施，财政部、发改委等相关职能部门已相继出台了《关于推广运用政 </w:t>
      </w:r>
      <w:r>
        <w:rPr>
          <w:rFonts w:ascii="宋体" w:hAnsi="宋体" w:cs="宋体" w:eastAsia="宋体" w:hint="default"/>
          <w:spacing w:val="-4"/>
          <w:sz w:val="18"/>
          <w:szCs w:val="18"/>
        </w:rPr>
        <w:t>府和社会资本合作模式有关问题的通知》（财金</w:t>
      </w:r>
      <w:r>
        <w:rPr>
          <w:rFonts w:ascii="Times New Roman" w:hAnsi="Times New Roman" w:cs="Times New Roman" w:eastAsia="Times New Roman" w:hint="default"/>
          <w:spacing w:val="-4"/>
          <w:sz w:val="18"/>
          <w:szCs w:val="18"/>
        </w:rPr>
        <w:t>[2014]76</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号）等一系列指导文件，使各地</w:t>
      </w:r>
      <w:r>
        <w:rPr>
          <w:rFonts w:ascii="宋体" w:hAnsi="宋体" w:cs="宋体" w:eastAsia="宋体" w:hint="default"/>
          <w:spacing w:val="-41"/>
          <w:sz w:val="18"/>
          <w:szCs w:val="18"/>
        </w:rPr>
        <w:t> </w:t>
      </w:r>
      <w:r>
        <w:rPr>
          <w:rFonts w:ascii="Times New Roman" w:hAnsi="Times New Roman" w:cs="Times New Roman" w:eastAsia="Times New Roman" w:hint="default"/>
          <w:w w:val="99"/>
          <w:sz w:val="18"/>
          <w:szCs w:val="18"/>
        </w:rPr>
        <w:t>PPP</w:t>
      </w:r>
      <w:r>
        <w:rPr>
          <w:rFonts w:ascii="Times New Roman" w:hAnsi="Times New Roman" w:cs="Times New Roman" w:eastAsia="Times New Roman" w:hint="default"/>
          <w:spacing w:val="4"/>
          <w:w w:val="99"/>
          <w:sz w:val="18"/>
          <w:szCs w:val="18"/>
        </w:rPr>
        <w:t> </w:t>
      </w:r>
      <w:r>
        <w:rPr>
          <w:rFonts w:ascii="宋体" w:hAnsi="宋体" w:cs="宋体" w:eastAsia="宋体" w:hint="default"/>
          <w:sz w:val="18"/>
          <w:szCs w:val="18"/>
        </w:rPr>
        <w:t>项目的落地正式进入实际运作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阶段，城市公共园林绿化、生态修复、河道治理相关领域也迎来了新的发展契机。</w:t>
      </w:r>
    </w:p>
    <w:p>
      <w:pPr>
        <w:spacing w:line="319" w:lineRule="auto" w:before="71"/>
        <w:ind w:left="154" w:right="914" w:firstLine="360"/>
        <w:jc w:val="left"/>
        <w:rPr>
          <w:rFonts w:ascii="宋体" w:hAnsi="宋体" w:cs="宋体" w:eastAsia="宋体" w:hint="default"/>
          <w:sz w:val="18"/>
          <w:szCs w:val="18"/>
        </w:rPr>
      </w:pPr>
      <w:r>
        <w:rPr>
          <w:rFonts w:ascii="宋体" w:hAnsi="宋体" w:cs="宋体" w:eastAsia="宋体" w:hint="default"/>
          <w:spacing w:val="-2"/>
          <w:sz w:val="18"/>
          <w:szCs w:val="18"/>
        </w:rPr>
        <w:t>同时，我国新型城镇化建设将带来巨大的园林绿化市场，加上新《环境保护法》的实施、社会公众环保意识的增强及有</w:t>
      </w:r>
      <w:r>
        <w:rPr>
          <w:rFonts w:ascii="宋体" w:hAnsi="宋体" w:cs="宋体" w:eastAsia="宋体" w:hint="default"/>
          <w:sz w:val="18"/>
          <w:szCs w:val="18"/>
        </w:rPr>
        <w:t> 力的舆论监督，我国园林绿化行业正处于新的发展机遇期。</w:t>
      </w:r>
    </w:p>
    <w:p>
      <w:pPr>
        <w:spacing w:line="357" w:lineRule="auto" w:before="56"/>
        <w:ind w:left="514" w:right="1132" w:firstLine="0"/>
        <w:jc w:val="left"/>
        <w:rPr>
          <w:rFonts w:ascii="宋体" w:hAnsi="宋体" w:cs="宋体" w:eastAsia="宋体" w:hint="default"/>
          <w:sz w:val="18"/>
          <w:szCs w:val="18"/>
        </w:rPr>
      </w:pPr>
      <w:r>
        <w:rPr>
          <w:rFonts w:ascii="宋体" w:hAnsi="宋体" w:cs="宋体" w:eastAsia="宋体" w:hint="default"/>
          <w:sz w:val="18"/>
          <w:szCs w:val="18"/>
        </w:rPr>
        <w:t>（二）公司发展战略及经营计划 受国际、国内经济环境的影响，中国经济告别了高歌猛进的时代，步入了</w:t>
      </w:r>
      <w:r>
        <w:rPr>
          <w:rFonts w:ascii="Times New Roman" w:hAnsi="Times New Roman" w:cs="Times New Roman" w:eastAsia="Times New Roman" w:hint="default"/>
          <w:sz w:val="18"/>
          <w:szCs w:val="18"/>
        </w:rPr>
        <w:t>“</w:t>
      </w:r>
      <w:r>
        <w:rPr>
          <w:rFonts w:ascii="宋体" w:hAnsi="宋体" w:cs="宋体" w:eastAsia="宋体" w:hint="default"/>
          <w:sz w:val="18"/>
          <w:szCs w:val="18"/>
        </w:rPr>
        <w:t>增速放缓、转型换挡、结构优化、全面提质</w:t>
      </w:r>
    </w:p>
    <w:p>
      <w:pPr>
        <w:spacing w:line="214"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的经济发展</w:t>
      </w:r>
      <w:r>
        <w:rPr>
          <w:rFonts w:ascii="Times New Roman" w:hAnsi="Times New Roman" w:cs="Times New Roman" w:eastAsia="Times New Roman" w:hint="default"/>
          <w:sz w:val="18"/>
          <w:szCs w:val="18"/>
        </w:rPr>
        <w:t>“</w:t>
      </w:r>
      <w:r>
        <w:rPr>
          <w:rFonts w:ascii="宋体" w:hAnsi="宋体" w:cs="宋体" w:eastAsia="宋体" w:hint="default"/>
          <w:sz w:val="18"/>
          <w:szCs w:val="18"/>
        </w:rPr>
        <w:t>新常态</w:t>
      </w:r>
      <w:r>
        <w:rPr>
          <w:rFonts w:ascii="Times New Roman" w:hAnsi="Times New Roman" w:cs="Times New Roman" w:eastAsia="Times New Roman" w:hint="default"/>
          <w:sz w:val="18"/>
          <w:szCs w:val="18"/>
        </w:rPr>
        <w:t>”</w:t>
      </w:r>
      <w:r>
        <w:rPr>
          <w:rFonts w:ascii="宋体" w:hAnsi="宋体" w:cs="宋体" w:eastAsia="宋体" w:hint="default"/>
          <w:sz w:val="18"/>
          <w:szCs w:val="18"/>
        </w:rPr>
        <w:t>，公司防伪瓶盖业务下游酒类行业进入了调整和转折期。酒类行业的</w:t>
      </w:r>
      <w:r>
        <w:rPr>
          <w:rFonts w:ascii="Times New Roman" w:hAnsi="Times New Roman" w:cs="Times New Roman" w:eastAsia="Times New Roman" w:hint="default"/>
          <w:sz w:val="18"/>
          <w:szCs w:val="18"/>
        </w:rPr>
        <w:t>“</w:t>
      </w:r>
      <w:r>
        <w:rPr>
          <w:rFonts w:ascii="宋体" w:hAnsi="宋体" w:cs="宋体" w:eastAsia="宋体" w:hint="default"/>
          <w:sz w:val="18"/>
          <w:szCs w:val="18"/>
        </w:rPr>
        <w:t>新常态</w:t>
      </w:r>
      <w:r>
        <w:rPr>
          <w:rFonts w:ascii="Times New Roman" w:hAnsi="Times New Roman" w:cs="Times New Roman" w:eastAsia="Times New Roman" w:hint="default"/>
          <w:sz w:val="18"/>
          <w:szCs w:val="18"/>
        </w:rPr>
        <w:t>”</w:t>
      </w:r>
      <w:r>
        <w:rPr>
          <w:rFonts w:ascii="宋体" w:hAnsi="宋体" w:cs="宋体" w:eastAsia="宋体" w:hint="default"/>
          <w:sz w:val="18"/>
          <w:szCs w:val="18"/>
        </w:rPr>
        <w:t>导致公司防伪瓶盖业务经</w:t>
      </w:r>
    </w:p>
    <w:p>
      <w:pPr>
        <w:spacing w:line="357" w:lineRule="auto" w:before="64"/>
        <w:ind w:left="514" w:right="1167" w:hanging="360"/>
        <w:jc w:val="left"/>
        <w:rPr>
          <w:rFonts w:ascii="宋体" w:hAnsi="宋体" w:cs="宋体" w:eastAsia="宋体" w:hint="default"/>
          <w:sz w:val="18"/>
          <w:szCs w:val="18"/>
        </w:rPr>
      </w:pPr>
      <w:r>
        <w:rPr>
          <w:rFonts w:ascii="宋体" w:hAnsi="宋体" w:cs="宋体" w:eastAsia="宋体" w:hint="default"/>
          <w:sz w:val="18"/>
          <w:szCs w:val="18"/>
        </w:rPr>
        <w:t>营业绩增速放缓。 为保持现有防伪瓶盖业务的稳定发展，提高防伪瓶盖业务的盈利水平</w:t>
      </w:r>
      <w:r>
        <w:rPr>
          <w:rFonts w:ascii="Times New Roman" w:hAnsi="Times New Roman" w:cs="Times New Roman" w:eastAsia="Times New Roman" w:hint="default"/>
          <w:sz w:val="18"/>
          <w:szCs w:val="18"/>
        </w:rPr>
        <w:t>,</w:t>
      </w:r>
      <w:r>
        <w:rPr>
          <w:rFonts w:ascii="宋体" w:hAnsi="宋体" w:cs="宋体" w:eastAsia="宋体" w:hint="default"/>
          <w:sz w:val="18"/>
          <w:szCs w:val="18"/>
        </w:rPr>
        <w:t>丽鹏股份在继续采取调整产品结构、拓展国内、</w:t>
      </w:r>
    </w:p>
    <w:p>
      <w:pPr>
        <w:spacing w:line="201"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国际市场领域、强化产品质量等多种措施的同时，进一步加大业务模式创新，提高终端消费者粘性，增加瓶盖附加值，为下</w:t>
      </w:r>
    </w:p>
    <w:p>
      <w:pPr>
        <w:spacing w:before="77"/>
        <w:ind w:left="153" w:right="0" w:firstLine="0"/>
        <w:jc w:val="both"/>
        <w:rPr>
          <w:rFonts w:ascii="宋体" w:hAnsi="宋体" w:cs="宋体" w:eastAsia="宋体" w:hint="default"/>
          <w:sz w:val="18"/>
          <w:szCs w:val="18"/>
        </w:rPr>
      </w:pPr>
      <w:r>
        <w:rPr>
          <w:rFonts w:ascii="宋体" w:hAnsi="宋体" w:cs="宋体" w:eastAsia="宋体" w:hint="default"/>
          <w:sz w:val="18"/>
          <w:szCs w:val="18"/>
        </w:rPr>
        <w:t>游客户提供更多服务。</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2" w:lineRule="auto" w:before="44"/>
        <w:ind w:left="154" w:right="1130" w:firstLine="360"/>
        <w:jc w:val="both"/>
        <w:rPr>
          <w:rFonts w:ascii="宋体" w:hAnsi="宋体" w:cs="宋体" w:eastAsia="宋体" w:hint="default"/>
          <w:sz w:val="18"/>
          <w:szCs w:val="18"/>
        </w:rPr>
      </w:pPr>
      <w:r>
        <w:rPr>
          <w:rFonts w:ascii="宋体" w:hAnsi="宋体" w:cs="宋体" w:eastAsia="宋体" w:hint="default"/>
          <w:sz w:val="18"/>
          <w:szCs w:val="18"/>
        </w:rPr>
        <w:t>丽鹏股份于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年完成了对华宇园林的收购，公司在铝板复合型防伪印刷和防伪瓶盖制造行业之外，新增园林工程施 </w:t>
      </w:r>
      <w:r>
        <w:rPr>
          <w:rFonts w:ascii="宋体" w:hAnsi="宋体" w:cs="宋体" w:eastAsia="宋体" w:hint="default"/>
          <w:spacing w:val="-2"/>
          <w:sz w:val="18"/>
          <w:szCs w:val="18"/>
        </w:rPr>
        <w:t>工、园林景观规划设计、绿化养护和苗木产销等业务。在园林业务发展前景广阔且面临历史性发展机遇的背景下。公司将践</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行双主业发展战略，在保持原有防伪瓶盖业务稳步增长的基础上，加大业务创新，积极推进园林绿化业务，进一步深化全国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性布局，开拓新的市场，探索新的业务模式。</w:t>
      </w:r>
    </w:p>
    <w:p>
      <w:pPr>
        <w:spacing w:before="62"/>
        <w:ind w:left="514" w:right="914" w:firstLine="0"/>
        <w:jc w:val="left"/>
        <w:rPr>
          <w:rFonts w:ascii="宋体" w:hAnsi="宋体" w:cs="宋体" w:eastAsia="宋体" w:hint="default"/>
          <w:sz w:val="18"/>
          <w:szCs w:val="18"/>
        </w:rPr>
      </w:pPr>
      <w:r>
        <w:rPr>
          <w:rFonts w:ascii="宋体" w:hAnsi="宋体" w:cs="宋体" w:eastAsia="宋体" w:hint="default"/>
          <w:sz w:val="18"/>
          <w:szCs w:val="18"/>
        </w:rPr>
        <w:t>（三）公司发展展望及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年工作计划</w:t>
      </w:r>
    </w:p>
    <w:p>
      <w:pPr>
        <w:spacing w:line="300" w:lineRule="auto" w:before="102"/>
        <w:ind w:left="153" w:right="1131" w:firstLine="360"/>
        <w:jc w:val="both"/>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年是我国经济和社会发展的重要转型期，而随着人们经济收入的不断提高和生活水平的不断改善，安全、环</w:t>
      </w:r>
      <w:r>
        <w:rPr>
          <w:rFonts w:ascii="宋体" w:hAnsi="宋体" w:cs="宋体" w:eastAsia="宋体" w:hint="default"/>
          <w:sz w:val="18"/>
          <w:szCs w:val="18"/>
        </w:rPr>
        <w:t> </w:t>
      </w:r>
      <w:r>
        <w:rPr>
          <w:rFonts w:ascii="宋体" w:hAnsi="宋体" w:cs="宋体" w:eastAsia="宋体" w:hint="default"/>
          <w:spacing w:val="-2"/>
          <w:sz w:val="18"/>
          <w:szCs w:val="18"/>
        </w:rPr>
        <w:t>保意识的不断增强，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绿色、高端、个性化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将是企业产品战略中的主旋律，金属包装行业及园林绿化行业在我国仍将具有广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阔的发展空间。公司将不断丰富和优化产品结构，继续加大创新力度，加快企业升级发展。</w:t>
      </w:r>
    </w:p>
    <w:p>
      <w:pPr>
        <w:spacing w:before="71"/>
        <w:ind w:left="514"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年，公司计划重点从以下几个方面开展工作：</w:t>
      </w:r>
    </w:p>
    <w:p>
      <w:pPr>
        <w:spacing w:line="302" w:lineRule="auto" w:before="101"/>
        <w:ind w:left="154" w:right="113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、通过技术、产品的双升级加速公司运行的转型升级。加速整合现有资源，充分发挥公司的渠道价值，以高品质、新 产品为载体，以管理及技术变革为推手，稳步实现运行升级。</w:t>
      </w:r>
    </w:p>
    <w:p>
      <w:pPr>
        <w:spacing w:line="302" w:lineRule="auto" w:before="69"/>
        <w:ind w:left="154" w:right="114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、有效发挥并持续强化公司既有优势。经过多年的发展，公司在防伪瓶盖行业领域及园林绿化、生态修复方面的竞争 优势非常明显，公司要时刻关注市场需求，充分发挥技术创新能力，走差异化市场道路，培养新的竞争优势。</w:t>
      </w:r>
    </w:p>
    <w:p>
      <w:pPr>
        <w:spacing w:line="309" w:lineRule="auto" w:before="68"/>
        <w:ind w:left="153" w:right="112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、打通人才成长通道，丰富企业文化建设内涵。继续加强企业文化建设，大力提升战略人力资源管理水平，提高员工 </w:t>
      </w:r>
      <w:r>
        <w:rPr>
          <w:rFonts w:ascii="宋体" w:hAnsi="宋体" w:cs="宋体" w:eastAsia="宋体" w:hint="default"/>
          <w:spacing w:val="-2"/>
          <w:sz w:val="18"/>
          <w:szCs w:val="18"/>
        </w:rPr>
        <w:t>激励效果，完善员工绩效评价体系，切实加强员工培训力度，并加强人才梯队建设，丰富人才引进的策略，积极培养、引进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符合公司战略发展的中高级人才。</w:t>
      </w:r>
    </w:p>
    <w:p>
      <w:pPr>
        <w:spacing w:before="64"/>
        <w:ind w:left="514" w:right="914" w:firstLine="0"/>
        <w:jc w:val="left"/>
        <w:rPr>
          <w:rFonts w:ascii="宋体" w:hAnsi="宋体" w:cs="宋体" w:eastAsia="宋体" w:hint="default"/>
          <w:sz w:val="18"/>
          <w:szCs w:val="18"/>
        </w:rPr>
      </w:pPr>
      <w:r>
        <w:rPr>
          <w:rFonts w:ascii="宋体" w:hAnsi="宋体" w:cs="宋体" w:eastAsia="宋体" w:hint="default"/>
          <w:sz w:val="18"/>
          <w:szCs w:val="18"/>
        </w:rPr>
        <w:t>（四）风险因素及对策</w:t>
      </w:r>
    </w:p>
    <w:p>
      <w:pPr>
        <w:spacing w:line="338" w:lineRule="auto" w:before="117"/>
        <w:ind w:left="514"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、宏观经济及行业政策风险 </w:t>
      </w:r>
      <w:r>
        <w:rPr>
          <w:rFonts w:ascii="宋体" w:hAnsi="宋体" w:cs="宋体" w:eastAsia="宋体" w:hint="default"/>
          <w:spacing w:val="-2"/>
          <w:sz w:val="18"/>
          <w:szCs w:val="18"/>
        </w:rPr>
        <w:t>公司园林业务主要为市政园林绿化和生态修复，而市政园林绿化和生态修复业务与政府对基础建设投资、环境保护等宏</w:t>
      </w:r>
    </w:p>
    <w:p>
      <w:pPr>
        <w:spacing w:line="319" w:lineRule="auto" w:before="2"/>
        <w:ind w:left="154" w:right="1132" w:firstLine="0"/>
        <w:jc w:val="both"/>
        <w:rPr>
          <w:rFonts w:ascii="宋体" w:hAnsi="宋体" w:cs="宋体" w:eastAsia="宋体" w:hint="default"/>
          <w:sz w:val="18"/>
          <w:szCs w:val="18"/>
        </w:rPr>
      </w:pPr>
      <w:r>
        <w:rPr>
          <w:rFonts w:ascii="宋体" w:hAnsi="宋体" w:cs="宋体" w:eastAsia="宋体" w:hint="default"/>
          <w:spacing w:val="-2"/>
          <w:sz w:val="18"/>
          <w:szCs w:val="18"/>
        </w:rPr>
        <w:t>观政策密切相关。面对突出的环境污染问题，各地政府积极响应十八大要求推进生态文明建设的精神，为园林绿化行业发展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提供了良好的政策环境。另一方面，公司业务增长在一定程度上将受到我国经济增速放缓的影响，加上近期中央加强了对地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方政府债务的审计力度，逐步规范地方市政工程建设，对市政园林工程的推进造成一定压力，进而对公司业务拓展造成一定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影响。公司未来将密切关注行业政策变化，牢牢抓住生态文明建设和城镇化推进的机会，及时调整市场布局以应对行业政策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变化。</w:t>
      </w:r>
    </w:p>
    <w:p>
      <w:pPr>
        <w:spacing w:line="319" w:lineRule="auto" w:before="55"/>
        <w:ind w:left="154" w:right="1133" w:firstLine="360"/>
        <w:jc w:val="both"/>
        <w:rPr>
          <w:rFonts w:ascii="宋体" w:hAnsi="宋体" w:cs="宋体" w:eastAsia="宋体" w:hint="default"/>
          <w:sz w:val="18"/>
          <w:szCs w:val="18"/>
        </w:rPr>
      </w:pPr>
      <w:r>
        <w:rPr>
          <w:rFonts w:ascii="宋体" w:hAnsi="宋体" w:cs="宋体" w:eastAsia="宋体" w:hint="default"/>
          <w:spacing w:val="-2"/>
          <w:sz w:val="18"/>
          <w:szCs w:val="18"/>
        </w:rPr>
        <w:t>同时，受国际、国内经济环境的影响，酒类行业进入了调整和转折期，公司瓶盖业务发展亦受到一定程度的影响。公司</w:t>
      </w:r>
      <w:r>
        <w:rPr>
          <w:rFonts w:ascii="宋体" w:hAnsi="宋体" w:cs="宋体" w:eastAsia="宋体" w:hint="default"/>
          <w:sz w:val="18"/>
          <w:szCs w:val="18"/>
        </w:rPr>
        <w:t> </w:t>
      </w:r>
      <w:r>
        <w:rPr>
          <w:rFonts w:ascii="宋体" w:hAnsi="宋体" w:cs="宋体" w:eastAsia="宋体" w:hint="default"/>
          <w:spacing w:val="-2"/>
          <w:sz w:val="18"/>
          <w:szCs w:val="18"/>
        </w:rPr>
        <w:t>将继续采取调整产品结构、拓展国内、国际市场领域、强化产品质量、加大工艺创新等多种措施，在保持原有防伪瓶盖业务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稳步增长的基础上，不断加大业务创新，提供瓶盖产品附加值。</w:t>
      </w:r>
    </w:p>
    <w:p>
      <w:pPr>
        <w:spacing w:line="338" w:lineRule="auto" w:before="58"/>
        <w:ind w:left="514" w:right="10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、市场竞争加剧风险 我国城市园林景观建设工程行业起步较晚，行业标准体系不够健全，行业进入门槛不高，存在大量的中小型园林企业，</w:t>
      </w:r>
    </w:p>
    <w:p>
      <w:pPr>
        <w:spacing w:line="319" w:lineRule="auto" w:before="2"/>
        <w:ind w:left="153" w:right="1050" w:firstLine="0"/>
        <w:jc w:val="both"/>
        <w:rPr>
          <w:rFonts w:ascii="宋体" w:hAnsi="宋体" w:cs="宋体" w:eastAsia="宋体" w:hint="default"/>
          <w:sz w:val="18"/>
          <w:szCs w:val="18"/>
        </w:rPr>
      </w:pPr>
      <w:r>
        <w:rPr>
          <w:rFonts w:ascii="宋体" w:hAnsi="宋体" w:cs="宋体" w:eastAsia="宋体" w:hint="default"/>
          <w:sz w:val="18"/>
          <w:szCs w:val="18"/>
        </w:rPr>
        <w:t>行业集中度较低，区域性经营特征明显，市场竞争激烈。另外，行业中的龙头企业通过上市公司平台拥有强大的资金实力， 实现了业绩和价值双提升的正循环，逐步打破区域限制，开始了全国化发展战略布局，形成了跨区经营的新竞争势态。</w:t>
      </w:r>
    </w:p>
    <w:p>
      <w:pPr>
        <w:spacing w:line="319" w:lineRule="auto" w:before="55"/>
        <w:ind w:left="154" w:right="1132" w:firstLine="360"/>
        <w:jc w:val="both"/>
        <w:rPr>
          <w:rFonts w:ascii="宋体" w:hAnsi="宋体" w:cs="宋体" w:eastAsia="宋体" w:hint="default"/>
          <w:sz w:val="18"/>
          <w:szCs w:val="18"/>
        </w:rPr>
      </w:pPr>
      <w:r>
        <w:rPr>
          <w:rFonts w:ascii="宋体" w:hAnsi="宋体" w:cs="宋体" w:eastAsia="宋体" w:hint="default"/>
          <w:spacing w:val="-2"/>
          <w:sz w:val="18"/>
          <w:szCs w:val="18"/>
        </w:rPr>
        <w:t>公司园林业务具有城市园林绿化壹级资质、环境污染治理甲级资质和风景园林工程设计专项乙级资质，主要业务为市政</w:t>
      </w:r>
      <w:r>
        <w:rPr>
          <w:rFonts w:ascii="宋体" w:hAnsi="宋体" w:cs="宋体" w:eastAsia="宋体" w:hint="default"/>
          <w:sz w:val="18"/>
          <w:szCs w:val="18"/>
        </w:rPr>
        <w:t> </w:t>
      </w:r>
      <w:r>
        <w:rPr>
          <w:rFonts w:ascii="宋体" w:hAnsi="宋体" w:cs="宋体" w:eastAsia="宋体" w:hint="default"/>
          <w:spacing w:val="-2"/>
          <w:sz w:val="18"/>
          <w:szCs w:val="18"/>
        </w:rPr>
        <w:t>工程和生态修复项目。如果公司未来不能适应市场变化，不能及时根据市场竞争环境调整发展战略，则可能在未来的竞争中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处于不利地位，导致业务拓展能力和盈利能力下降。</w:t>
      </w:r>
    </w:p>
    <w:p>
      <w:pPr>
        <w:spacing w:line="338" w:lineRule="auto" w:before="58"/>
        <w:ind w:left="514" w:right="10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、原材料及劳务成本上升风险 园林工程施工业务是丽鹏股份园林业务的核心业务。园林工程施工的主要成本是苗木、石材等建筑材料以及劳务成本。</w:t>
      </w:r>
    </w:p>
    <w:p>
      <w:pPr>
        <w:spacing w:line="319" w:lineRule="auto" w:before="2"/>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由于工程项目合同周期较长，在项目合同期内，如果原材料和劳务成本上升幅度超过预期，致使项目成本上升，将对公司园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林业务的盈利水平造成不利影响。</w:t>
      </w:r>
    </w:p>
    <w:p>
      <w:pPr>
        <w:spacing w:line="319" w:lineRule="auto" w:before="56"/>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公司防伪瓶盖制造业务主要原材料为铝板、涂料、油墨和塑料等。铝作为基础原材料，价格随宏观经济波动表现出相应</w:t>
      </w:r>
      <w:r>
        <w:rPr>
          <w:rFonts w:ascii="宋体" w:hAnsi="宋体" w:cs="宋体" w:eastAsia="宋体" w:hint="default"/>
          <w:sz w:val="18"/>
          <w:szCs w:val="18"/>
        </w:rPr>
        <w:t> </w:t>
      </w:r>
      <w:r>
        <w:rPr>
          <w:rFonts w:ascii="宋体" w:hAnsi="宋体" w:cs="宋体" w:eastAsia="宋体" w:hint="default"/>
          <w:spacing w:val="-2"/>
          <w:sz w:val="18"/>
          <w:szCs w:val="18"/>
        </w:rPr>
        <w:t>的周期性变动规律。近年来，铝价格呈现震荡下滑趋势，但若上述原材料的价格出现较大波动，仍将对公司的生产经营产生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较大影响，从而影响到公司盈利水平和经营业绩。</w:t>
      </w:r>
    </w:p>
    <w:p>
      <w:pPr>
        <w:spacing w:before="56"/>
        <w:ind w:left="514" w:right="914" w:firstLine="0"/>
        <w:jc w:val="left"/>
        <w:rPr>
          <w:rFonts w:ascii="宋体" w:hAnsi="宋体" w:cs="宋体" w:eastAsia="宋体" w:hint="default"/>
          <w:sz w:val="18"/>
          <w:szCs w:val="18"/>
        </w:rPr>
      </w:pPr>
      <w:r>
        <w:rPr>
          <w:rFonts w:ascii="宋体" w:hAnsi="宋体" w:cs="宋体" w:eastAsia="宋体" w:hint="default"/>
          <w:sz w:val="18"/>
          <w:szCs w:val="18"/>
        </w:rPr>
        <w:t>园林工程施工及防伪瓶盖制造均有劳动密集特征，近年来随着我国劳动力成本的不断上涨，对企业的盈利水平造成了一</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914" w:firstLine="0"/>
        <w:jc w:val="left"/>
        <w:rPr>
          <w:rFonts w:ascii="宋体" w:hAnsi="宋体" w:cs="宋体" w:eastAsia="宋体" w:hint="default"/>
          <w:sz w:val="18"/>
          <w:szCs w:val="18"/>
        </w:rPr>
      </w:pPr>
      <w:r>
        <w:rPr>
          <w:rFonts w:ascii="宋体" w:hAnsi="宋体" w:cs="宋体" w:eastAsia="宋体" w:hint="default"/>
          <w:sz w:val="18"/>
          <w:szCs w:val="18"/>
        </w:rPr>
        <w:t>定的影响。公司面临着劳动力成本上升的风险。</w:t>
      </w:r>
    </w:p>
    <w:p>
      <w:pPr>
        <w:spacing w:line="338" w:lineRule="auto" w:before="116"/>
        <w:ind w:left="514"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、自然灾害风险 </w:t>
      </w:r>
      <w:r>
        <w:rPr>
          <w:rFonts w:ascii="宋体" w:hAnsi="宋体" w:cs="宋体" w:eastAsia="宋体" w:hint="default"/>
          <w:spacing w:val="-2"/>
          <w:sz w:val="18"/>
          <w:szCs w:val="18"/>
        </w:rPr>
        <w:t>园林施工业务受到极端天气等其他不可预测的自然灾害的影响较大。不良天气状况（如严寒、暴雨、高温、台风等）及</w:t>
      </w:r>
    </w:p>
    <w:p>
      <w:pPr>
        <w:spacing w:line="319" w:lineRule="auto" w:before="2"/>
        <w:ind w:left="154" w:right="914" w:firstLine="0"/>
        <w:jc w:val="left"/>
        <w:rPr>
          <w:rFonts w:ascii="宋体" w:hAnsi="宋体" w:cs="宋体" w:eastAsia="宋体" w:hint="default"/>
          <w:sz w:val="18"/>
          <w:szCs w:val="18"/>
        </w:rPr>
      </w:pPr>
      <w:r>
        <w:rPr>
          <w:rFonts w:ascii="宋体" w:hAnsi="宋体" w:cs="宋体" w:eastAsia="宋体" w:hint="default"/>
          <w:spacing w:val="-2"/>
          <w:sz w:val="18"/>
          <w:szCs w:val="18"/>
        </w:rPr>
        <w:t>自然灾害（如地震、滑坡或泥石流等）均会影响到项目施工的正常进度。如果异常严峻的气候状况持续时间较长，则可能对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公司园林工程施工业务开展及经营成果造成重大不利影响。</w:t>
      </w:r>
    </w:p>
    <w:p>
      <w:pPr>
        <w:spacing w:line="338" w:lineRule="auto" w:before="56"/>
        <w:ind w:left="514"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、其他风险 </w:t>
      </w:r>
      <w:r>
        <w:rPr>
          <w:rFonts w:ascii="宋体" w:hAnsi="宋体" w:cs="宋体" w:eastAsia="宋体" w:hint="default"/>
          <w:spacing w:val="-2"/>
          <w:sz w:val="18"/>
          <w:szCs w:val="18"/>
        </w:rPr>
        <w:t>本报告中如有涉及未来的计划、业绩预测等方面的内容，均不构成本公司对任何投资者及相关人士的承诺。投资者及相</w:t>
      </w:r>
    </w:p>
    <w:p>
      <w:pPr>
        <w:spacing w:before="4"/>
        <w:ind w:left="154" w:right="914" w:firstLine="0"/>
        <w:jc w:val="left"/>
        <w:rPr>
          <w:rFonts w:ascii="宋体" w:hAnsi="宋体" w:cs="宋体" w:eastAsia="宋体" w:hint="default"/>
          <w:sz w:val="18"/>
          <w:szCs w:val="18"/>
        </w:rPr>
      </w:pPr>
      <w:r>
        <w:rPr>
          <w:rFonts w:ascii="宋体" w:hAnsi="宋体" w:cs="宋体" w:eastAsia="宋体" w:hint="default"/>
          <w:sz w:val="18"/>
          <w:szCs w:val="18"/>
        </w:rPr>
        <w:t>关人士均应对此保持足够的风险认识，并应当理解计划、预测与承诺之间的差异。</w:t>
      </w:r>
    </w:p>
    <w:p>
      <w:pPr>
        <w:spacing w:line="240" w:lineRule="auto" w:before="1"/>
        <w:rPr>
          <w:rFonts w:ascii="宋体" w:hAnsi="宋体" w:cs="宋体" w:eastAsia="宋体" w:hint="default"/>
          <w:sz w:val="25"/>
          <w:szCs w:val="25"/>
        </w:rPr>
      </w:pPr>
    </w:p>
    <w:p>
      <w:pPr>
        <w:pStyle w:val="Heading2"/>
        <w:spacing w:line="240" w:lineRule="auto"/>
        <w:ind w:left="153" w:right="914"/>
        <w:jc w:val="left"/>
        <w:rPr>
          <w:b w:val="0"/>
          <w:bCs w:val="0"/>
        </w:rPr>
      </w:pPr>
      <w:bookmarkStart w:name="九、董事会、监事会对会计师事务所本报告期“非标准审计报告”的说明" w:id="50"/>
      <w:bookmarkEnd w:id="50"/>
      <w:r>
        <w:rPr>
          <w:b w:val="0"/>
          <w:bCs w:val="0"/>
        </w:rPr>
      </w:r>
      <w:r>
        <w:rPr/>
        <w:t>九、董事会、监事会对会计师事务所本报告期“非标准审计报告”的说明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914"/>
        <w:jc w:val="left"/>
        <w:rPr>
          <w:b w:val="0"/>
          <w:bCs w:val="0"/>
        </w:rPr>
      </w:pPr>
      <w:bookmarkStart w:name="十、与上年度财务报告相比，会计政策、会计估计和核算方法发生变化的情况说明" w:id="51"/>
      <w:bookmarkEnd w:id="51"/>
      <w:r>
        <w:rPr>
          <w:b w:val="0"/>
          <w:bCs w:val="0"/>
        </w:rPr>
      </w:r>
      <w:r>
        <w:rPr/>
        <w:t>十、与上年度财务报告相比，会计政策、会计估计和核算方法发生变化的情况说明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90"/>
        <w:ind w:right="914" w:firstLine="423"/>
        <w:jc w:val="left"/>
      </w:pPr>
      <w:r>
        <w:rPr>
          <w:spacing w:val="-1"/>
        </w:rPr>
        <w:t>本公司的应收款项以账龄为风险特征划分信用风险组合，本期进行了会计估计变更，应收款项坏账准</w:t>
      </w:r>
      <w:r>
        <w:rPr/>
        <w:t> 备计提比例发生变更，本次变更会计估计自</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日起执行。变更前后坏账准备计提比例如下：</w:t>
      </w:r>
    </w:p>
    <w:p>
      <w:pPr>
        <w:pStyle w:val="BodyText"/>
        <w:spacing w:line="240" w:lineRule="auto"/>
        <w:ind w:left="577" w:right="914"/>
        <w:jc w:val="left"/>
      </w:pPr>
      <w:r>
        <w:rPr/>
        <w:t>变更前：</w:t>
      </w:r>
    </w:p>
    <w:p>
      <w:pPr>
        <w:spacing w:line="240" w:lineRule="auto" w:before="9"/>
        <w:rPr>
          <w:rFonts w:ascii="宋体" w:hAnsi="宋体" w:cs="宋体" w:eastAsia="宋体" w:hint="default"/>
          <w:sz w:val="12"/>
          <w:szCs w:val="12"/>
        </w:rPr>
      </w:pPr>
    </w:p>
    <w:p>
      <w:pPr>
        <w:spacing w:line="7260" w:lineRule="exact"/>
        <w:ind w:left="154" w:right="0" w:firstLine="0"/>
        <w:rPr>
          <w:rFonts w:ascii="宋体" w:hAnsi="宋体" w:cs="宋体" w:eastAsia="宋体" w:hint="default"/>
          <w:sz w:val="20"/>
          <w:szCs w:val="20"/>
        </w:rPr>
      </w:pPr>
      <w:r>
        <w:rPr>
          <w:rFonts w:ascii="宋体" w:hAnsi="宋体" w:cs="宋体" w:eastAsia="宋体" w:hint="default"/>
          <w:position w:val="-144"/>
          <w:sz w:val="20"/>
          <w:szCs w:val="20"/>
        </w:rPr>
        <w:drawing>
          <wp:inline distT="0" distB="0" distL="0" distR="0">
            <wp:extent cx="5924550" cy="461010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5924550" cy="4610100"/>
                    </a:xfrm>
                    <a:prstGeom prst="rect">
                      <a:avLst/>
                    </a:prstGeom>
                  </pic:spPr>
                </pic:pic>
              </a:graphicData>
            </a:graphic>
          </wp:inline>
        </w:drawing>
      </w:r>
      <w:r>
        <w:rPr>
          <w:rFonts w:ascii="宋体" w:hAnsi="宋体" w:cs="宋体" w:eastAsia="宋体" w:hint="default"/>
          <w:position w:val="-144"/>
          <w:sz w:val="20"/>
          <w:szCs w:val="20"/>
        </w:rPr>
      </w:r>
    </w:p>
    <w:p>
      <w:pPr>
        <w:spacing w:after="0" w:line="7260"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left="153" w:right="914"/>
        <w:jc w:val="left"/>
        <w:rPr>
          <w:b w:val="0"/>
          <w:bCs w:val="0"/>
        </w:rPr>
      </w:pPr>
      <w:bookmarkStart w:name="十一、报告期内发生重大会计差错更正需追溯重述的情况说明" w:id="52"/>
      <w:bookmarkEnd w:id="52"/>
      <w:r>
        <w:rPr>
          <w:b w:val="0"/>
          <w:bCs w:val="0"/>
        </w:rPr>
      </w: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5"/>
        <w:rPr>
          <w:rFonts w:ascii="宋体" w:hAnsi="宋体" w:cs="宋体" w:eastAsia="宋体" w:hint="default"/>
          <w:sz w:val="18"/>
          <w:szCs w:val="18"/>
        </w:rPr>
      </w:pPr>
    </w:p>
    <w:p>
      <w:pPr>
        <w:pStyle w:val="Heading2"/>
        <w:spacing w:line="240" w:lineRule="auto"/>
        <w:ind w:right="914"/>
        <w:jc w:val="left"/>
        <w:rPr>
          <w:b w:val="0"/>
          <w:bCs w:val="0"/>
        </w:rPr>
      </w:pPr>
      <w:bookmarkStart w:name="十二、与上年度财务报告相比，合并报表范围发生变化的情况说明" w:id="53"/>
      <w:bookmarkEnd w:id="53"/>
      <w:r>
        <w:rPr>
          <w:b w:val="0"/>
          <w:bCs w:val="0"/>
        </w:rPr>
      </w:r>
      <w:r>
        <w:rPr/>
        <w:t>十二、与上年度财务报告相比，合并报表范围发生变化的情况说明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4092" w:firstLine="0"/>
        <w:jc w:val="left"/>
        <w:rPr>
          <w:rFonts w:ascii="宋体" w:hAnsi="宋体" w:cs="宋体" w:eastAsia="宋体" w:hint="default"/>
          <w:sz w:val="18"/>
          <w:szCs w:val="18"/>
        </w:rPr>
      </w:pPr>
      <w:r>
        <w:rPr>
          <w:rFonts w:ascii="宋体" w:hAnsi="宋体" w:cs="宋体" w:eastAsia="宋体" w:hint="default"/>
          <w:sz w:val="18"/>
          <w:szCs w:val="18"/>
        </w:rPr>
        <w:t>√ 适用 □ 不适用 与上年度财务报告相比，报告期合并报表范围增加了收购的重庆华宇园林有限公司。</w:t>
      </w:r>
    </w:p>
    <w:p>
      <w:pPr>
        <w:spacing w:line="240" w:lineRule="auto" w:before="5"/>
        <w:rPr>
          <w:rFonts w:ascii="宋体" w:hAnsi="宋体" w:cs="宋体" w:eastAsia="宋体" w:hint="default"/>
          <w:sz w:val="18"/>
          <w:szCs w:val="18"/>
        </w:rPr>
      </w:pPr>
    </w:p>
    <w:p>
      <w:pPr>
        <w:pStyle w:val="Heading2"/>
        <w:spacing w:line="240" w:lineRule="auto"/>
        <w:ind w:left="153" w:right="914"/>
        <w:jc w:val="left"/>
        <w:rPr>
          <w:b w:val="0"/>
          <w:bCs w:val="0"/>
        </w:rPr>
      </w:pPr>
      <w:bookmarkStart w:name="十三、公司利润分配及分红派息情况" w:id="54"/>
      <w:bookmarkEnd w:id="54"/>
      <w:r>
        <w:rPr>
          <w:b w:val="0"/>
          <w:bCs w:val="0"/>
        </w:rPr>
      </w: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line="357" w:lineRule="auto" w:before="116"/>
        <w:ind w:left="573" w:right="914" w:hanging="42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1"/>
          <w:sz w:val="18"/>
          <w:szCs w:val="18"/>
        </w:rPr>
        <w:t>公司自上市以来，在兼顾公司可持续发展的前提下，我们本着</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真诚、真实、信用、诚恳</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的原则，履行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立足报国、服</w:t>
      </w:r>
    </w:p>
    <w:p>
      <w:pPr>
        <w:spacing w:line="216" w:lineRule="exact"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务社会、回报股东、造福职工</w:t>
      </w:r>
      <w:r>
        <w:rPr>
          <w:rFonts w:ascii="Times New Roman" w:hAnsi="Times New Roman" w:cs="Times New Roman" w:eastAsia="Times New Roman" w:hint="default"/>
          <w:sz w:val="18"/>
          <w:szCs w:val="18"/>
        </w:rPr>
        <w:t>”</w:t>
      </w:r>
      <w:r>
        <w:rPr>
          <w:rFonts w:ascii="宋体" w:hAnsi="宋体" w:cs="宋体" w:eastAsia="宋体" w:hint="default"/>
          <w:sz w:val="18"/>
          <w:szCs w:val="18"/>
        </w:rPr>
        <w:t>的社会责任，在《公司章程》中完备了现金分红相关条款。</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spacing w:before="102"/>
        <w:ind w:left="559" w:right="91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10"/>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年</w:t>
      </w:r>
      <w:r>
        <w:rPr>
          <w:rFonts w:ascii="宋体" w:hAnsi="宋体" w:cs="宋体" w:eastAsia="宋体" w:hint="default"/>
          <w:sz w:val="18"/>
          <w:szCs w:val="18"/>
        </w:rPr>
        <w:t>度股东大会审议通过</w:t>
      </w:r>
      <w:r>
        <w:rPr>
          <w:rFonts w:ascii="宋体" w:hAnsi="宋体" w:cs="宋体" w:eastAsia="宋体" w:hint="default"/>
          <w:spacing w:val="-10"/>
          <w:sz w:val="18"/>
          <w:szCs w:val="18"/>
        </w:rPr>
        <w:t>了</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利</w:t>
      </w:r>
      <w:r>
        <w:rPr>
          <w:rFonts w:ascii="宋体" w:hAnsi="宋体" w:cs="宋体" w:eastAsia="宋体" w:hint="default"/>
          <w:sz w:val="18"/>
          <w:szCs w:val="18"/>
        </w:rPr>
        <w:t>润分配预案</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z w:val="18"/>
          <w:szCs w:val="18"/>
        </w:rPr>
      </w:r>
    </w:p>
    <w:p>
      <w:pPr>
        <w:spacing w:before="63"/>
        <w:ind w:left="153" w:right="91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106,338,461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为</w:t>
      </w:r>
      <w:r>
        <w:rPr>
          <w:rFonts w:ascii="宋体" w:hAnsi="宋体" w:cs="宋体" w:eastAsia="宋体" w:hint="default"/>
          <w:sz w:val="18"/>
          <w:szCs w:val="18"/>
        </w:rPr>
        <w:t>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，派发现金股利共计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31,901,53</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.3</w:t>
      </w:r>
    </w:p>
    <w:p>
      <w:pPr>
        <w:spacing w:before="63"/>
        <w:ind w:left="153" w:right="914" w:firstLine="0"/>
        <w:jc w:val="left"/>
        <w:rPr>
          <w:rFonts w:ascii="宋体" w:hAnsi="宋体" w:cs="宋体" w:eastAsia="宋体" w:hint="default"/>
          <w:sz w:val="18"/>
          <w:szCs w:val="18"/>
        </w:rPr>
      </w:pPr>
      <w:r>
        <w:rPr>
          <w:rFonts w:ascii="宋体" w:hAnsi="宋体" w:cs="宋体" w:eastAsia="宋体" w:hint="default"/>
          <w:spacing w:val="-3"/>
          <w:sz w:val="18"/>
          <w:szCs w:val="18"/>
        </w:rPr>
        <w:t>元，剩余未分配利润结转下一年度；以截至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106,338,461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股为基数，向全体股东以资本公积每</w:t>
      </w:r>
    </w:p>
    <w:p>
      <w:pPr>
        <w:spacing w:before="64"/>
        <w:ind w:left="154"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股，转增后总股本将为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191,409,229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日，公司实施了该方案。</w:t>
      </w:r>
    </w:p>
    <w:p>
      <w:pPr>
        <w:spacing w:before="101"/>
        <w:ind w:left="514" w:right="91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20"/>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年</w:t>
      </w:r>
      <w:r>
        <w:rPr>
          <w:rFonts w:ascii="宋体" w:hAnsi="宋体" w:cs="宋体" w:eastAsia="宋体" w:hint="default"/>
          <w:sz w:val="18"/>
          <w:szCs w:val="18"/>
        </w:rPr>
        <w:t>度股东大会审议通过</w:t>
      </w:r>
      <w:r>
        <w:rPr>
          <w:rFonts w:ascii="宋体" w:hAnsi="宋体" w:cs="宋体" w:eastAsia="宋体" w:hint="default"/>
          <w:spacing w:val="-21"/>
          <w:sz w:val="18"/>
          <w:szCs w:val="18"/>
        </w:rPr>
        <w:t>了</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利</w:t>
      </w:r>
      <w:r>
        <w:rPr>
          <w:rFonts w:ascii="宋体" w:hAnsi="宋体" w:cs="宋体" w:eastAsia="宋体" w:hint="default"/>
          <w:sz w:val="18"/>
          <w:szCs w:val="18"/>
        </w:rPr>
        <w:t>润分配预案</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spacing w:before="63"/>
        <w:ind w:left="154" w:right="914" w:firstLine="0"/>
        <w:jc w:val="left"/>
        <w:rPr>
          <w:rFonts w:ascii="宋体" w:hAnsi="宋体" w:cs="宋体" w:eastAsia="宋体" w:hint="default"/>
          <w:sz w:val="18"/>
          <w:szCs w:val="18"/>
        </w:rPr>
      </w:pP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191,409,229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为</w:t>
      </w:r>
      <w:r>
        <w:rPr>
          <w:rFonts w:ascii="宋体" w:hAnsi="宋体" w:cs="宋体" w:eastAsia="宋体" w:hint="default"/>
          <w:sz w:val="18"/>
          <w:szCs w:val="18"/>
        </w:rPr>
        <w:t>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，派发现金红利共计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9,570,461</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02" w:lineRule="auto" w:before="63"/>
        <w:ind w:left="154" w:right="1124" w:firstLine="0"/>
        <w:jc w:val="left"/>
        <w:rPr>
          <w:rFonts w:ascii="宋体" w:hAnsi="宋体" w:cs="宋体" w:eastAsia="宋体" w:hint="default"/>
          <w:sz w:val="18"/>
          <w:szCs w:val="18"/>
        </w:rPr>
      </w:pPr>
      <w:r>
        <w:rPr>
          <w:rFonts w:ascii="宋体" w:hAnsi="宋体" w:cs="宋体" w:eastAsia="宋体" w:hint="default"/>
          <w:spacing w:val="-3"/>
          <w:sz w:val="18"/>
          <w:szCs w:val="18"/>
        </w:rPr>
        <w:t>（含税），剩余未分配利润剩余部分结转下一年度。本次利润分配不送股，不转增股本。</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pacing w:val="-1"/>
          <w:sz w:val="18"/>
          <w:szCs w:val="18"/>
        </w:rPr>
        <w:t>日，公司实施了该方</w:t>
      </w:r>
      <w:r>
        <w:rPr>
          <w:rFonts w:ascii="宋体" w:hAnsi="宋体" w:cs="宋体" w:eastAsia="宋体" w:hint="default"/>
          <w:sz w:val="18"/>
          <w:szCs w:val="18"/>
        </w:rPr>
        <w:t> 案。</w:t>
      </w:r>
    </w:p>
    <w:p>
      <w:pPr>
        <w:spacing w:before="70"/>
        <w:ind w:left="154" w:right="914"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12" w:right="101" w:hanging="509"/>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z w:val="18"/>
                <w:szCs w:val="18"/>
              </w:rPr>
              <w:t>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1" w:right="161"/>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公司股东的净利 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1" w:right="161"/>
              <w:jc w:val="center"/>
              <w:rPr>
                <w:rFonts w:ascii="宋体" w:hAnsi="宋体" w:cs="宋体" w:eastAsia="宋体" w:hint="default"/>
                <w:sz w:val="18"/>
                <w:szCs w:val="18"/>
              </w:rPr>
            </w:pPr>
            <w:r>
              <w:rPr>
                <w:rFonts w:ascii="宋体" w:hAnsi="宋体" w:cs="宋体" w:eastAsia="宋体" w:hint="default"/>
                <w:sz w:val="18"/>
                <w:szCs w:val="18"/>
              </w:rPr>
              <w:t>占合并报表中归 属于上市公司股 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2" w:right="160"/>
              <w:jc w:val="center"/>
              <w:rPr>
                <w:rFonts w:ascii="宋体" w:hAnsi="宋体" w:cs="宋体" w:eastAsia="宋体" w:hint="default"/>
                <w:sz w:val="18"/>
                <w:szCs w:val="18"/>
              </w:rPr>
            </w:pPr>
            <w:r>
              <w:rPr>
                <w:rFonts w:ascii="宋体" w:hAnsi="宋体" w:cs="宋体" w:eastAsia="宋体" w:hint="default"/>
                <w:sz w:val="18"/>
                <w:szCs w:val="18"/>
              </w:rPr>
              <w:t>以现金方式要约 回购股份资金计 入现金分红的金 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2" w:right="161"/>
              <w:jc w:val="center"/>
              <w:rPr>
                <w:rFonts w:ascii="宋体" w:hAnsi="宋体" w:cs="宋体" w:eastAsia="宋体" w:hint="default"/>
                <w:sz w:val="18"/>
                <w:szCs w:val="18"/>
              </w:rPr>
            </w:pPr>
            <w:r>
              <w:rPr>
                <w:rFonts w:ascii="宋体" w:hAnsi="宋体" w:cs="宋体" w:eastAsia="宋体" w:hint="default"/>
                <w:sz w:val="18"/>
                <w:szCs w:val="18"/>
              </w:rPr>
              <w:t>以现金方式要约 回购股份资金计 入现金分红的比 例</w:t>
            </w:r>
          </w:p>
        </w:tc>
      </w:tr>
    </w:tbl>
    <w:p>
      <w:pPr>
        <w:spacing w:after="0" w:line="319"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31,350,531.97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9,570,461.45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37,836,354.03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31,901,538.30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41,175,191.23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57" w:right="136" w:hanging="1621"/>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 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103"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年度，公司发行股份及支付现金购买资产并募集配套 资金收购重庆华宇园林股份有限公司，华宇园林目前仍处 于产业高速发展期，预期</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年业务对流动资金有进一步</w:t>
            </w:r>
          </w:p>
          <w:p>
            <w:pPr>
              <w:pStyle w:val="TableParagraph"/>
              <w:spacing w:line="302" w:lineRule="auto" w:before="5"/>
              <w:ind w:left="103" w:right="80"/>
              <w:jc w:val="both"/>
              <w:rPr>
                <w:rFonts w:ascii="宋体" w:hAnsi="宋体" w:cs="宋体" w:eastAsia="宋体" w:hint="default"/>
                <w:sz w:val="18"/>
                <w:szCs w:val="18"/>
              </w:rPr>
            </w:pPr>
            <w:r>
              <w:rPr>
                <w:rFonts w:ascii="宋体" w:hAnsi="宋体" w:cs="宋体" w:eastAsia="宋体" w:hint="default"/>
                <w:sz w:val="18"/>
                <w:szCs w:val="18"/>
              </w:rPr>
              <w:t>需求，因此公司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年度拟不派发现金红利、不送红股、 不以公积金转增股本。</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2"/>
              <w:ind w:left="103" w:right="100" w:firstLine="90"/>
              <w:jc w:val="left"/>
              <w:rPr>
                <w:rFonts w:ascii="宋体" w:hAnsi="宋体" w:cs="宋体" w:eastAsia="宋体" w:hint="default"/>
                <w:sz w:val="18"/>
                <w:szCs w:val="18"/>
              </w:rPr>
            </w:pPr>
            <w:r>
              <w:rPr>
                <w:rFonts w:ascii="宋体" w:hAnsi="宋体" w:cs="宋体" w:eastAsia="宋体" w:hint="default"/>
                <w:spacing w:val="-1"/>
                <w:sz w:val="18"/>
                <w:szCs w:val="18"/>
              </w:rPr>
              <w:t>公司未分配利润将全部用于公司运营及发展。今后，公司</w:t>
            </w:r>
            <w:r>
              <w:rPr>
                <w:rFonts w:ascii="宋体" w:hAnsi="宋体" w:cs="宋体" w:eastAsia="宋体" w:hint="default"/>
                <w:sz w:val="18"/>
                <w:szCs w:val="18"/>
              </w:rPr>
              <w:t> 将一如既往地重视以现金分红形式对投资者进行回报，严 格按照法律法规和《公司章程》以及《未来三年股东回报 规划（</w:t>
            </w:r>
            <w:r>
              <w:rPr>
                <w:rFonts w:ascii="Times New Roman" w:hAnsi="Times New Roman" w:cs="Times New Roman" w:eastAsia="Times New Roman" w:hint="default"/>
                <w:sz w:val="18"/>
                <w:szCs w:val="18"/>
              </w:rPr>
              <w:t>2015-2017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年）》等规定，综合考虑与利润分配相关</w:t>
            </w:r>
            <w:r>
              <w:rPr>
                <w:rFonts w:ascii="宋体" w:hAnsi="宋体" w:cs="宋体" w:eastAsia="宋体" w:hint="default"/>
                <w:sz w:val="18"/>
                <w:szCs w:val="18"/>
              </w:rPr>
              <w:t> 的各种因素，积极履行公司的利润分配制度，与投资者共 享公司发展的成果</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十四、本报告期利润分配及资本公积金转增股本预案" w:id="55"/>
      <w:bookmarkEnd w:id="55"/>
      <w:r>
        <w:rPr>
          <w:b w:val="0"/>
          <w:bCs w:val="0"/>
        </w:rPr>
      </w:r>
      <w:r>
        <w:rPr/>
        <w:t>十四、本报告期利润分配及资本公积金转增股本预案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5532" w:firstLine="0"/>
        <w:jc w:val="left"/>
        <w:rPr>
          <w:rFonts w:ascii="宋体" w:hAnsi="宋体" w:cs="宋体" w:eastAsia="宋体" w:hint="default"/>
          <w:sz w:val="18"/>
          <w:szCs w:val="18"/>
        </w:rPr>
      </w:pPr>
      <w:r>
        <w:rPr>
          <w:rFonts w:ascii="宋体" w:hAnsi="宋体" w:cs="宋体" w:eastAsia="宋体" w:hint="default"/>
          <w:sz w:val="18"/>
          <w:szCs w:val="18"/>
        </w:rPr>
        <w:t>□ 适用 √ 不适用 公司计划年度不派发现金红利，不送红股，不以公积金转增股本。</w:t>
      </w:r>
    </w:p>
    <w:p>
      <w:pPr>
        <w:spacing w:line="240" w:lineRule="auto" w:before="3"/>
        <w:rPr>
          <w:rFonts w:ascii="宋体" w:hAnsi="宋体" w:cs="宋体" w:eastAsia="宋体" w:hint="default"/>
          <w:sz w:val="18"/>
          <w:szCs w:val="18"/>
        </w:rPr>
      </w:pPr>
    </w:p>
    <w:p>
      <w:pPr>
        <w:pStyle w:val="Heading2"/>
        <w:spacing w:line="240" w:lineRule="auto"/>
        <w:ind w:left="153" w:right="0"/>
        <w:jc w:val="both"/>
        <w:rPr>
          <w:b w:val="0"/>
          <w:bCs w:val="0"/>
        </w:rPr>
      </w:pPr>
      <w:bookmarkStart w:name="十五、社会责任情况" w:id="56"/>
      <w:bookmarkEnd w:id="56"/>
      <w:r>
        <w:rPr>
          <w:b w:val="0"/>
          <w:bCs w:val="0"/>
        </w:rPr>
      </w:r>
      <w:r>
        <w:rPr/>
        <w:t>十五、社会责任情况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514" w:right="914"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企业存在的前提是盈利，盈利的最终目的是承担社会责任。作为一家上市公司，在发展壮大的过程中，在实践中追求企</w:t>
      </w:r>
    </w:p>
    <w:p>
      <w:pPr>
        <w:spacing w:line="237"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业与员工、社会、自然的和谐发展，以实际行动回报社会，创建和谐的企业发展环境。公司以</w:t>
      </w:r>
      <w:r>
        <w:rPr>
          <w:rFonts w:ascii="Times New Roman" w:hAnsi="Times New Roman" w:cs="Times New Roman" w:eastAsia="Times New Roman" w:hint="default"/>
          <w:sz w:val="18"/>
          <w:szCs w:val="18"/>
        </w:rPr>
        <w:t>“</w:t>
      </w:r>
      <w:r>
        <w:rPr>
          <w:rFonts w:ascii="宋体" w:hAnsi="宋体" w:cs="宋体" w:eastAsia="宋体" w:hint="default"/>
          <w:sz w:val="18"/>
          <w:szCs w:val="18"/>
        </w:rPr>
        <w:t>立足报国、服务社会、回报</w:t>
      </w:r>
    </w:p>
    <w:p>
      <w:pPr>
        <w:spacing w:before="64"/>
        <w:ind w:left="153" w:right="0" w:firstLine="0"/>
        <w:jc w:val="both"/>
        <w:rPr>
          <w:rFonts w:ascii="宋体" w:hAnsi="宋体" w:cs="宋体" w:eastAsia="宋体" w:hint="default"/>
          <w:sz w:val="18"/>
          <w:szCs w:val="18"/>
        </w:rPr>
      </w:pPr>
      <w:r>
        <w:rPr>
          <w:rFonts w:ascii="宋体" w:hAnsi="宋体" w:cs="宋体" w:eastAsia="宋体" w:hint="default"/>
          <w:sz w:val="18"/>
          <w:szCs w:val="18"/>
        </w:rPr>
        <w:t>股东、造福职工</w:t>
      </w:r>
      <w:r>
        <w:rPr>
          <w:rFonts w:ascii="Times New Roman" w:hAnsi="Times New Roman" w:cs="Times New Roman" w:eastAsia="Times New Roman" w:hint="default"/>
          <w:sz w:val="18"/>
          <w:szCs w:val="18"/>
        </w:rPr>
        <w:t>”</w:t>
      </w:r>
      <w:r>
        <w:rPr>
          <w:rFonts w:ascii="宋体" w:hAnsi="宋体" w:cs="宋体" w:eastAsia="宋体" w:hint="default"/>
          <w:sz w:val="18"/>
          <w:szCs w:val="18"/>
        </w:rPr>
        <w:t>为己任，从各个层面履行社会责任。</w:t>
      </w:r>
    </w:p>
    <w:p>
      <w:pPr>
        <w:spacing w:line="357" w:lineRule="auto" w:before="103"/>
        <w:ind w:left="514" w:right="914" w:firstLine="0"/>
        <w:jc w:val="left"/>
        <w:rPr>
          <w:rFonts w:ascii="宋体" w:hAnsi="宋体" w:cs="宋体" w:eastAsia="宋体" w:hint="default"/>
          <w:sz w:val="18"/>
          <w:szCs w:val="18"/>
        </w:rPr>
      </w:pPr>
      <w:r>
        <w:rPr>
          <w:rFonts w:ascii="宋体" w:hAnsi="宋体" w:cs="宋体" w:eastAsia="宋体" w:hint="default"/>
          <w:sz w:val="18"/>
          <w:szCs w:val="18"/>
        </w:rPr>
        <w:t>（一）社会人文环境责任 </w:t>
      </w:r>
      <w:r>
        <w:rPr>
          <w:rFonts w:ascii="宋体" w:hAnsi="宋体" w:cs="宋体" w:eastAsia="宋体" w:hint="default"/>
          <w:spacing w:val="-2"/>
          <w:sz w:val="18"/>
          <w:szCs w:val="18"/>
        </w:rPr>
        <w:t>公司坚持以人为本，把对员工负责视为自身的责任，把为员工创造未来当成长期坚持的重要使命。公司提出对待职工的</w:t>
      </w:r>
    </w:p>
    <w:p>
      <w:pPr>
        <w:spacing w:line="237" w:lineRule="exact"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三三法宝</w:t>
      </w:r>
      <w:r>
        <w:rPr>
          <w:rFonts w:ascii="Times New Roman" w:hAnsi="Times New Roman" w:cs="Times New Roman" w:eastAsia="Times New Roman" w:hint="default"/>
          <w:sz w:val="18"/>
          <w:szCs w:val="18"/>
        </w:rPr>
        <w:t>”——</w:t>
      </w:r>
      <w:r>
        <w:rPr>
          <w:rFonts w:ascii="宋体" w:hAnsi="宋体" w:cs="宋体" w:eastAsia="宋体" w:hint="default"/>
          <w:sz w:val="18"/>
          <w:szCs w:val="18"/>
        </w:rPr>
        <w:t>对待我们的员工像对待我们的父母一样，像对待我们的子女一样，像对待我们的兄弟姐妹一样；不断改善职</w:t>
      </w:r>
    </w:p>
    <w:p>
      <w:pPr>
        <w:spacing w:line="319" w:lineRule="auto" w:before="63"/>
        <w:ind w:left="153" w:right="914" w:firstLine="0"/>
        <w:jc w:val="left"/>
        <w:rPr>
          <w:rFonts w:ascii="宋体" w:hAnsi="宋体" w:cs="宋体" w:eastAsia="宋体" w:hint="default"/>
          <w:sz w:val="18"/>
          <w:szCs w:val="18"/>
        </w:rPr>
      </w:pPr>
      <w:r>
        <w:rPr>
          <w:rFonts w:ascii="宋体" w:hAnsi="宋体" w:cs="宋体" w:eastAsia="宋体" w:hint="default"/>
          <w:spacing w:val="-2"/>
          <w:sz w:val="18"/>
          <w:szCs w:val="18"/>
        </w:rPr>
        <w:t>工的工作环境，不断降低职工的劳动强度，不断提高职工的工资福利；保证让我们的职工体面的活着，快乐的工作，幸福的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生活。公司注重对员工职业发展进行规划，为员工提供平等的发展机会，尊重和维护员工的个人利益。</w:t>
      </w:r>
    </w:p>
    <w:p>
      <w:pPr>
        <w:spacing w:line="319" w:lineRule="auto" w:before="55"/>
        <w:ind w:left="154" w:right="1133" w:firstLine="360"/>
        <w:jc w:val="both"/>
        <w:rPr>
          <w:rFonts w:ascii="宋体" w:hAnsi="宋体" w:cs="宋体" w:eastAsia="宋体" w:hint="default"/>
          <w:sz w:val="18"/>
          <w:szCs w:val="18"/>
        </w:rPr>
      </w:pPr>
      <w:r>
        <w:rPr>
          <w:rFonts w:ascii="宋体" w:hAnsi="宋体" w:cs="宋体" w:eastAsia="宋体" w:hint="default"/>
          <w:spacing w:val="-2"/>
          <w:sz w:val="18"/>
          <w:szCs w:val="18"/>
        </w:rPr>
        <w:t>生活环境的改善：环境污染是一个国家在发展的过程中必然要面对的课题，中国自改革开放以来，经济增长的步伐迈的</w:t>
      </w:r>
      <w:r>
        <w:rPr>
          <w:rFonts w:ascii="宋体" w:hAnsi="宋体" w:cs="宋体" w:eastAsia="宋体" w:hint="default"/>
          <w:sz w:val="18"/>
          <w:szCs w:val="18"/>
        </w:rPr>
        <w:t> </w:t>
      </w:r>
      <w:r>
        <w:rPr>
          <w:rFonts w:ascii="宋体" w:hAnsi="宋体" w:cs="宋体" w:eastAsia="宋体" w:hint="default"/>
          <w:spacing w:val="-2"/>
          <w:sz w:val="18"/>
          <w:szCs w:val="18"/>
        </w:rPr>
        <w:t>很大很大，同时在一定程度上也忽略了生态环境的保护，丽鹏在发展的道路上无时不在努力着，使用天然气、循环水，让我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们的家园更加纯净，让我们的家园更加温暖。</w:t>
      </w:r>
    </w:p>
    <w:p>
      <w:pPr>
        <w:spacing w:line="357" w:lineRule="auto" w:before="58"/>
        <w:ind w:left="514" w:right="914" w:firstLine="0"/>
        <w:jc w:val="left"/>
        <w:rPr>
          <w:rFonts w:ascii="宋体" w:hAnsi="宋体" w:cs="宋体" w:eastAsia="宋体" w:hint="default"/>
          <w:sz w:val="18"/>
          <w:szCs w:val="18"/>
        </w:rPr>
      </w:pPr>
      <w:r>
        <w:rPr>
          <w:rFonts w:ascii="宋体" w:hAnsi="宋体" w:cs="宋体" w:eastAsia="宋体" w:hint="default"/>
          <w:sz w:val="18"/>
          <w:szCs w:val="18"/>
        </w:rPr>
        <w:t>（二）利益相关者责任 </w:t>
      </w:r>
      <w:r>
        <w:rPr>
          <w:rFonts w:ascii="宋体" w:hAnsi="宋体" w:cs="宋体" w:eastAsia="宋体" w:hint="default"/>
          <w:spacing w:val="-2"/>
          <w:sz w:val="18"/>
          <w:szCs w:val="18"/>
        </w:rPr>
        <w:t>丽鹏有三类最主要的利益相关者：一是客户，二是投资者，三是我们自己。客户是我们的衣食父母，投资者是我们发展</w:t>
      </w:r>
    </w:p>
    <w:p>
      <w:pPr>
        <w:spacing w:line="224"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壮大的基础，而我们自己则是企业存在的基础。这是丽鹏赖以生存的三大利益相关者，也是我们承担责任的最直接表现。公</w:t>
      </w:r>
    </w:p>
    <w:p>
      <w:pPr>
        <w:spacing w:line="314" w:lineRule="auto" w:before="76"/>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司坚持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客户至上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原则，为客户提供优质的产品；加强与供应商的沟通合作，实现互惠共赢；严格把控产品质量，注重产品</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5"/>
          <w:sz w:val="18"/>
          <w:szCs w:val="18"/>
        </w:rPr>
        <w:t>安全，保护消费者利益。保障股东特别是中小股东的权益，是公司最基本的社会责任。公司严格按照《公司章程》、《股东大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会议事规则》的规定和要求，规范股东大会的召集、召开、表决程序，通过合法有效的方式，让更多的股东能够参加股东大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会，确保股东对公司重大事项的知情权、参与权和表决权；认真履行信息披露义务，秉持公平、公正、公开的原则对待全体</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投资者。</w:t>
      </w:r>
    </w:p>
    <w:p>
      <w:pPr>
        <w:spacing w:before="59"/>
        <w:ind w:left="514" w:right="914" w:firstLine="0"/>
        <w:jc w:val="left"/>
        <w:rPr>
          <w:rFonts w:ascii="宋体" w:hAnsi="宋体" w:cs="宋体" w:eastAsia="宋体" w:hint="default"/>
          <w:sz w:val="18"/>
          <w:szCs w:val="18"/>
        </w:rPr>
      </w:pPr>
      <w:r>
        <w:rPr>
          <w:rFonts w:ascii="宋体" w:hAnsi="宋体" w:cs="宋体" w:eastAsia="宋体" w:hint="default"/>
          <w:sz w:val="18"/>
          <w:szCs w:val="18"/>
        </w:rPr>
        <w:t>未来，公司将积极履行社会责任，在兼顾环境保护的同时，致力于打造广受客户青睐、赢得社会信赖的知名品牌，实现</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9" w:lineRule="auto" w:before="44"/>
        <w:ind w:left="153" w:right="914" w:firstLine="0"/>
        <w:jc w:val="left"/>
        <w:rPr>
          <w:rFonts w:ascii="宋体" w:hAnsi="宋体" w:cs="宋体" w:eastAsia="宋体" w:hint="default"/>
          <w:sz w:val="18"/>
          <w:szCs w:val="18"/>
        </w:rPr>
      </w:pPr>
      <w:r>
        <w:rPr>
          <w:rFonts w:ascii="宋体" w:hAnsi="宋体" w:cs="宋体" w:eastAsia="宋体" w:hint="default"/>
          <w:spacing w:val="-2"/>
          <w:sz w:val="18"/>
          <w:szCs w:val="18"/>
        </w:rPr>
        <w:t>商业利益与社会责任的高度统一。我们一定要全力以赴分阶段、分步骤、持续、稳定的完成丽鹏的事业，才能兑现对重要利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益相关者的责任和义务。让客户的价值实现最大化，让投资者的利益实现最大化，让员工流血流汗不流泪，吃苦吃亏不吃气，</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实现自己的幸福的、有价值的人生。</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57" w:lineRule="auto" w:before="117"/>
        <w:ind w:left="154" w:right="6612" w:firstLine="0"/>
        <w:jc w:val="left"/>
        <w:rPr>
          <w:rFonts w:ascii="宋体" w:hAnsi="宋体" w:cs="宋体" w:eastAsia="宋体" w:hint="default"/>
          <w:sz w:val="18"/>
          <w:szCs w:val="18"/>
        </w:rPr>
      </w:pPr>
      <w:r>
        <w:rPr>
          <w:rFonts w:ascii="宋体" w:hAnsi="宋体" w:cs="宋体" w:eastAsia="宋体" w:hint="default"/>
          <w:sz w:val="18"/>
          <w:szCs w:val="18"/>
        </w:rPr>
        <w:t>□ 是 √ 否 □ 不适用 上市公司及其子公司是否存在其他重大社会安全问题</w:t>
      </w:r>
    </w:p>
    <w:p>
      <w:pPr>
        <w:spacing w:line="357" w:lineRule="auto" w:before="29"/>
        <w:ind w:left="154" w:right="8772" w:firstLine="0"/>
        <w:jc w:val="left"/>
        <w:rPr>
          <w:rFonts w:ascii="宋体" w:hAnsi="宋体" w:cs="宋体" w:eastAsia="宋体" w:hint="default"/>
          <w:sz w:val="18"/>
          <w:szCs w:val="18"/>
        </w:rPr>
      </w:pPr>
      <w:r>
        <w:rPr>
          <w:rFonts w:ascii="宋体" w:hAnsi="宋体" w:cs="宋体" w:eastAsia="宋体" w:hint="default"/>
          <w:sz w:val="18"/>
          <w:szCs w:val="18"/>
        </w:rPr>
        <w:t>□ 是 √ 否 □ 不适用 报告期内是否被行政处罚</w:t>
      </w:r>
    </w:p>
    <w:p>
      <w:pPr>
        <w:spacing w:before="28"/>
        <w:ind w:left="154" w:right="914" w:firstLine="0"/>
        <w:jc w:val="left"/>
        <w:rPr>
          <w:rFonts w:ascii="宋体" w:hAnsi="宋体" w:cs="宋体" w:eastAsia="宋体" w:hint="default"/>
          <w:sz w:val="18"/>
          <w:szCs w:val="18"/>
        </w:rPr>
      </w:pPr>
      <w:r>
        <w:rPr>
          <w:rFonts w:ascii="宋体" w:hAnsi="宋体" w:cs="宋体" w:eastAsia="宋体" w:hint="default"/>
          <w:sz w:val="18"/>
          <w:szCs w:val="18"/>
        </w:rPr>
        <w:t>□ 是 √ 否 □ 不适用</w:t>
      </w:r>
    </w:p>
    <w:p>
      <w:pPr>
        <w:spacing w:line="240" w:lineRule="auto" w:before="1"/>
        <w:rPr>
          <w:rFonts w:ascii="宋体" w:hAnsi="宋体" w:cs="宋体" w:eastAsia="宋体" w:hint="default"/>
          <w:sz w:val="25"/>
          <w:szCs w:val="25"/>
        </w:rPr>
      </w:pPr>
    </w:p>
    <w:p>
      <w:pPr>
        <w:pStyle w:val="Heading2"/>
        <w:spacing w:line="240" w:lineRule="auto"/>
        <w:ind w:right="914"/>
        <w:jc w:val="left"/>
        <w:rPr>
          <w:b w:val="0"/>
          <w:bCs w:val="0"/>
        </w:rPr>
      </w:pPr>
      <w:bookmarkStart w:name="十六、报告期内接待调研、沟通、采访等活动登记表" w:id="57"/>
      <w:bookmarkEnd w:id="57"/>
      <w:r>
        <w:rPr>
          <w:b w:val="0"/>
          <w:bCs w:val="0"/>
        </w:rPr>
      </w:r>
      <w:r>
        <w:rPr/>
        <w:t>十六、报告期内接待调研、沟通、采访等活动登记表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09"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7" w:right="137" w:hanging="630"/>
              <w:jc w:val="left"/>
              <w:rPr>
                <w:rFonts w:ascii="宋体" w:hAnsi="宋体" w:cs="宋体" w:eastAsia="宋体" w:hint="default"/>
                <w:sz w:val="18"/>
                <w:szCs w:val="18"/>
              </w:rPr>
            </w:pPr>
            <w:r>
              <w:rPr>
                <w:rFonts w:ascii="宋体" w:hAnsi="宋体" w:cs="宋体" w:eastAsia="宋体" w:hint="default"/>
                <w:sz w:val="18"/>
                <w:szCs w:val="18"/>
              </w:rPr>
              <w:t>谈论的主要内容及提供 的资料</w:t>
            </w:r>
          </w:p>
        </w:tc>
      </w:tr>
      <w:tr>
        <w:trPr>
          <w:trHeight w:val="719"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6"/>
              <w:ind w:left="103" w:right="122"/>
              <w:jc w:val="left"/>
              <w:rPr>
                <w:rFonts w:ascii="宋体" w:hAnsi="宋体" w:cs="宋体" w:eastAsia="宋体" w:hint="default"/>
                <w:sz w:val="18"/>
                <w:szCs w:val="18"/>
              </w:rPr>
            </w:pPr>
            <w:r>
              <w:rPr>
                <w:rFonts w:ascii="宋体" w:hAnsi="宋体" w:cs="宋体" w:eastAsia="宋体" w:hint="default"/>
                <w:sz w:val="18"/>
                <w:szCs w:val="18"/>
              </w:rPr>
              <w:t>山东丽鹏股份有 限公司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6"/>
              <w:ind w:left="102" w:right="123"/>
              <w:jc w:val="left"/>
              <w:rPr>
                <w:rFonts w:ascii="宋体" w:hAnsi="宋体" w:cs="宋体" w:eastAsia="宋体" w:hint="default"/>
                <w:sz w:val="18"/>
                <w:szCs w:val="18"/>
              </w:rPr>
            </w:pPr>
            <w:r>
              <w:rPr>
                <w:rFonts w:ascii="宋体" w:hAnsi="宋体" w:cs="宋体" w:eastAsia="宋体" w:hint="default"/>
                <w:sz w:val="18"/>
                <w:szCs w:val="18"/>
              </w:rPr>
              <w:t>河南默名资产管 理有限公司</w:t>
            </w:r>
          </w:p>
        </w:tc>
        <w:tc>
          <w:tcPr>
            <w:tcW w:w="20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行业及公司发展情况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第五节 重要事项" w:id="58"/>
      <w:bookmarkEnd w:id="58"/>
      <w:r>
        <w:rPr>
          <w:b w:val="0"/>
          <w:bCs w:val="0"/>
        </w:rPr>
      </w:r>
      <w:bookmarkStart w:name="_bookmark3" w:id="59"/>
      <w:bookmarkEnd w:id="59"/>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914"/>
        <w:jc w:val="left"/>
        <w:rPr>
          <w:b w:val="0"/>
          <w:bCs w:val="0"/>
        </w:rPr>
      </w:pPr>
      <w:bookmarkStart w:name="一、重大诉讼仲裁事项" w:id="60"/>
      <w:bookmarkEnd w:id="60"/>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本报告期公司无重大诉讼、仲裁事项。</w:t>
      </w:r>
    </w:p>
    <w:p>
      <w:pPr>
        <w:spacing w:line="240" w:lineRule="auto" w:before="1"/>
        <w:rPr>
          <w:rFonts w:ascii="宋体" w:hAnsi="宋体" w:cs="宋体" w:eastAsia="宋体" w:hint="default"/>
          <w:sz w:val="18"/>
          <w:szCs w:val="18"/>
        </w:rPr>
      </w:pPr>
    </w:p>
    <w:p>
      <w:pPr>
        <w:pStyle w:val="Heading2"/>
        <w:spacing w:line="240" w:lineRule="auto"/>
        <w:ind w:right="914"/>
        <w:jc w:val="left"/>
        <w:rPr>
          <w:b w:val="0"/>
          <w:bCs w:val="0"/>
        </w:rPr>
      </w:pPr>
      <w:bookmarkStart w:name="二、媒体质疑情况" w:id="61"/>
      <w:bookmarkEnd w:id="61"/>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872"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本报告期公司无媒体普遍质疑事项。</w:t>
      </w:r>
    </w:p>
    <w:p>
      <w:pPr>
        <w:spacing w:line="240" w:lineRule="auto" w:before="3"/>
        <w:rPr>
          <w:rFonts w:ascii="宋体" w:hAnsi="宋体" w:cs="宋体" w:eastAsia="宋体" w:hint="default"/>
          <w:sz w:val="18"/>
          <w:szCs w:val="18"/>
        </w:rPr>
      </w:pPr>
    </w:p>
    <w:p>
      <w:pPr>
        <w:pStyle w:val="Heading2"/>
        <w:spacing w:line="240" w:lineRule="auto"/>
        <w:ind w:right="914"/>
        <w:jc w:val="left"/>
        <w:rPr>
          <w:b w:val="0"/>
          <w:bCs w:val="0"/>
        </w:rPr>
      </w:pPr>
      <w:bookmarkStart w:name="三、控股股东及其关联方对上市公司的非经营性占用资金情况" w:id="62"/>
      <w:bookmarkEnd w:id="62"/>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49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4"/>
        <w:rPr>
          <w:rFonts w:ascii="宋体" w:hAnsi="宋体" w:cs="宋体" w:eastAsia="宋体" w:hint="default"/>
          <w:sz w:val="18"/>
          <w:szCs w:val="18"/>
        </w:rPr>
      </w:pPr>
    </w:p>
    <w:p>
      <w:pPr>
        <w:pStyle w:val="Heading2"/>
        <w:spacing w:line="240" w:lineRule="auto"/>
        <w:ind w:left="153" w:right="914"/>
        <w:jc w:val="left"/>
        <w:rPr>
          <w:b w:val="0"/>
          <w:bCs w:val="0"/>
        </w:rPr>
      </w:pPr>
      <w:bookmarkStart w:name="四、破产重整相关事项" w:id="63"/>
      <w:bookmarkEnd w:id="63"/>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1"/>
        <w:rPr>
          <w:rFonts w:ascii="宋体" w:hAnsi="宋体" w:cs="宋体" w:eastAsia="宋体" w:hint="default"/>
          <w:sz w:val="18"/>
          <w:szCs w:val="18"/>
        </w:rPr>
      </w:pPr>
    </w:p>
    <w:p>
      <w:pPr>
        <w:pStyle w:val="Heading2"/>
        <w:spacing w:line="240" w:lineRule="auto"/>
        <w:ind w:right="914"/>
        <w:jc w:val="left"/>
        <w:rPr>
          <w:b w:val="0"/>
          <w:bCs w:val="0"/>
        </w:rPr>
      </w:pPr>
      <w:bookmarkStart w:name="五、资产交易事项" w:id="64"/>
      <w:bookmarkEnd w:id="64"/>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14"/>
        <w:jc w:val="left"/>
        <w:rPr>
          <w:b w:val="0"/>
          <w:bCs w:val="0"/>
        </w:rPr>
      </w:pPr>
      <w:bookmarkStart w:name="1、收购资产情况" w:id="65"/>
      <w:bookmarkEnd w:id="65"/>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258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7" w:right="155"/>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59" w:right="15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59" w:right="15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1" w:firstLine="56"/>
              <w:jc w:val="left"/>
              <w:rPr>
                <w:rFonts w:ascii="宋体" w:hAnsi="宋体" w:cs="宋体" w:eastAsia="宋体" w:hint="default"/>
                <w:sz w:val="18"/>
                <w:szCs w:val="18"/>
              </w:rPr>
            </w:pPr>
            <w:r>
              <w:rPr>
                <w:rFonts w:ascii="宋体" w:hAnsi="宋体" w:cs="宋体" w:eastAsia="宋体" w:hint="default"/>
                <w:sz w:val="18"/>
                <w:szCs w:val="18"/>
              </w:rPr>
              <w:t>进展情 </w:t>
            </w:r>
            <w:r>
              <w:rPr>
                <w:rFonts w:ascii="宋体" w:hAnsi="宋体" w:cs="宋体" w:eastAsia="宋体" w:hint="default"/>
                <w:spacing w:val="-30"/>
                <w:sz w:val="18"/>
                <w:szCs w:val="18"/>
              </w:rPr>
              <w:t>况（注</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hanging="2"/>
              <w:jc w:val="center"/>
              <w:rPr>
                <w:rFonts w:ascii="宋体" w:hAnsi="宋体" w:cs="宋体" w:eastAsia="宋体" w:hint="default"/>
                <w:sz w:val="18"/>
                <w:szCs w:val="18"/>
              </w:rPr>
            </w:pPr>
            <w:r>
              <w:rPr>
                <w:rFonts w:ascii="宋体" w:hAnsi="宋体" w:cs="宋体" w:eastAsia="宋体" w:hint="default"/>
                <w:sz w:val="18"/>
                <w:szCs w:val="18"/>
              </w:rPr>
              <w:t>对公司 经营的 </w:t>
            </w:r>
            <w:r>
              <w:rPr>
                <w:rFonts w:ascii="宋体" w:hAnsi="宋体" w:cs="宋体" w:eastAsia="宋体" w:hint="default"/>
                <w:spacing w:val="-17"/>
                <w:sz w:val="18"/>
                <w:szCs w:val="18"/>
              </w:rPr>
              <w:t>影响（注</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hanging="1"/>
              <w:jc w:val="center"/>
              <w:rPr>
                <w:rFonts w:ascii="宋体" w:hAnsi="宋体" w:cs="宋体" w:eastAsia="宋体" w:hint="default"/>
                <w:sz w:val="18"/>
                <w:szCs w:val="18"/>
              </w:rPr>
            </w:pPr>
            <w:r>
              <w:rPr>
                <w:rFonts w:ascii="宋体" w:hAnsi="宋体" w:cs="宋体" w:eastAsia="宋体" w:hint="default"/>
                <w:sz w:val="18"/>
                <w:szCs w:val="18"/>
              </w:rPr>
              <w:t>对公司 损益的 </w:t>
            </w:r>
            <w:r>
              <w:rPr>
                <w:rFonts w:ascii="宋体" w:hAnsi="宋体" w:cs="宋体" w:eastAsia="宋体" w:hint="default"/>
                <w:spacing w:val="-17"/>
                <w:sz w:val="18"/>
                <w:szCs w:val="18"/>
              </w:rPr>
              <w:t>影响（注</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9" w:right="158"/>
              <w:jc w:val="both"/>
              <w:rPr>
                <w:rFonts w:ascii="宋体" w:hAnsi="宋体" w:cs="宋体" w:eastAsia="宋体" w:hint="default"/>
                <w:sz w:val="18"/>
                <w:szCs w:val="18"/>
              </w:rPr>
            </w:pPr>
            <w:r>
              <w:rPr>
                <w:rFonts w:ascii="宋体" w:hAnsi="宋体" w:cs="宋体" w:eastAsia="宋体" w:hint="default"/>
                <w:sz w:val="18"/>
                <w:szCs w:val="18"/>
              </w:rPr>
              <w:t>该资产 为上市 公司贡 献的净 利润占 净利润 总额的 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59" w:right="158"/>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firstLine="56"/>
              <w:jc w:val="both"/>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7"/>
                <w:sz w:val="18"/>
                <w:szCs w:val="18"/>
              </w:rPr>
              <w:t>系（适用</w:t>
            </w:r>
            <w:r>
              <w:rPr>
                <w:rFonts w:ascii="宋体" w:hAnsi="宋体" w:cs="宋体" w:eastAsia="宋体" w:hint="default"/>
                <w:sz w:val="18"/>
                <w:szCs w:val="18"/>
              </w:rPr>
              <w:t> 关联交 易情形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1" w:firstLine="56"/>
              <w:jc w:val="left"/>
              <w:rPr>
                <w:rFonts w:ascii="宋体" w:hAnsi="宋体" w:cs="宋体" w:eastAsia="宋体" w:hint="default"/>
                <w:sz w:val="18"/>
                <w:szCs w:val="18"/>
              </w:rPr>
            </w:pPr>
            <w:r>
              <w:rPr>
                <w:rFonts w:ascii="宋体" w:hAnsi="宋体" w:cs="宋体" w:eastAsia="宋体" w:hint="default"/>
                <w:sz w:val="18"/>
                <w:szCs w:val="18"/>
              </w:rPr>
              <w:t>披露日 </w:t>
            </w:r>
            <w:r>
              <w:rPr>
                <w:rFonts w:ascii="宋体" w:hAnsi="宋体" w:cs="宋体" w:eastAsia="宋体" w:hint="default"/>
                <w:spacing w:val="-30"/>
                <w:sz w:val="18"/>
                <w:szCs w:val="18"/>
              </w:rPr>
              <w:t>期（注</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28"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26"/>
                <w:szCs w:val="26"/>
              </w:rPr>
            </w:pPr>
          </w:p>
          <w:p>
            <w:pPr>
              <w:pStyle w:val="TableParagraph"/>
              <w:spacing w:line="312" w:lineRule="auto"/>
              <w:ind w:left="103" w:right="120"/>
              <w:jc w:val="left"/>
              <w:rPr>
                <w:rFonts w:ascii="宋体" w:hAnsi="宋体" w:cs="宋体" w:eastAsia="宋体" w:hint="default"/>
                <w:sz w:val="18"/>
                <w:szCs w:val="18"/>
              </w:rPr>
            </w:pPr>
            <w:r>
              <w:rPr>
                <w:rFonts w:ascii="宋体" w:hAnsi="宋体" w:cs="宋体" w:eastAsia="宋体" w:hint="default"/>
                <w:sz w:val="18"/>
                <w:szCs w:val="18"/>
              </w:rPr>
              <w:t>汤于等 华宇园 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26"/>
                <w:szCs w:val="26"/>
              </w:rPr>
            </w:pPr>
          </w:p>
          <w:p>
            <w:pPr>
              <w:pStyle w:val="TableParagraph"/>
              <w:spacing w:line="319" w:lineRule="auto"/>
              <w:ind w:left="103" w:right="215"/>
              <w:jc w:val="both"/>
              <w:rPr>
                <w:rFonts w:ascii="宋体" w:hAnsi="宋体" w:cs="宋体" w:eastAsia="宋体" w:hint="default"/>
                <w:sz w:val="18"/>
                <w:szCs w:val="18"/>
              </w:rPr>
            </w:pPr>
            <w:r>
              <w:rPr>
                <w:rFonts w:ascii="宋体" w:hAnsi="宋体" w:cs="宋体" w:eastAsia="宋体" w:hint="default"/>
                <w:sz w:val="18"/>
                <w:szCs w:val="18"/>
              </w:rPr>
              <w:t>重庆华 宇园林 股份有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62" w:right="0"/>
              <w:jc w:val="left"/>
              <w:rPr>
                <w:rFonts w:ascii="Times New Roman" w:hAnsi="Times New Roman" w:cs="Times New Roman" w:eastAsia="Times New Roman" w:hint="default"/>
                <w:sz w:val="18"/>
                <w:szCs w:val="18"/>
              </w:rPr>
            </w:pPr>
            <w:r>
              <w:rPr>
                <w:rFonts w:ascii="Times New Roman"/>
                <w:sz w:val="18"/>
              </w:rPr>
              <w:t>99,860</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9" w:lineRule="auto"/>
              <w:ind w:left="103" w:right="215"/>
              <w:jc w:val="both"/>
              <w:rPr>
                <w:rFonts w:ascii="宋体" w:hAnsi="宋体" w:cs="宋体" w:eastAsia="宋体" w:hint="default"/>
                <w:sz w:val="18"/>
                <w:szCs w:val="18"/>
              </w:rPr>
            </w:pPr>
            <w:r>
              <w:rPr>
                <w:rFonts w:ascii="宋体" w:hAnsi="宋体" w:cs="宋体" w:eastAsia="宋体" w:hint="default"/>
                <w:sz w:val="18"/>
                <w:szCs w:val="18"/>
              </w:rPr>
              <w:t>已全部 过户完 成</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316" w:lineRule="auto" w:before="63"/>
              <w:ind w:left="103" w:right="101"/>
              <w:jc w:val="left"/>
              <w:rPr>
                <w:rFonts w:ascii="宋体" w:hAnsi="宋体" w:cs="宋体" w:eastAsia="宋体" w:hint="default"/>
                <w:sz w:val="18"/>
                <w:szCs w:val="18"/>
              </w:rPr>
            </w:pPr>
            <w:r>
              <w:rPr>
                <w:rFonts w:ascii="宋体" w:hAnsi="宋体" w:cs="宋体" w:eastAsia="宋体" w:hint="default"/>
                <w:spacing w:val="-17"/>
                <w:sz w:val="18"/>
                <w:szCs w:val="18"/>
              </w:rPr>
              <w:t>日，公司</w:t>
            </w:r>
            <w:r>
              <w:rPr>
                <w:rFonts w:ascii="宋体" w:hAnsi="宋体" w:cs="宋体" w:eastAsia="宋体" w:hint="default"/>
                <w:sz w:val="18"/>
                <w:szCs w:val="18"/>
              </w:rPr>
              <w:t> 在巨潮 资讯网 披露了</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17" w:hRule="exact"/>
        </w:trPr>
        <w:tc>
          <w:tcPr>
            <w:tcW w:w="864" w:type="dxa"/>
            <w:vMerge w:val="restart"/>
            <w:tcBorders>
              <w:top w:val="single" w:sz="4" w:space="0" w:color="000000"/>
              <w:left w:val="single" w:sz="4" w:space="0" w:color="000000"/>
              <w:right w:val="single" w:sz="4" w:space="0" w:color="000000"/>
            </w:tcBorders>
            <w:shd w:val="clear" w:color="auto" w:fill="C6ECCC"/>
          </w:tcPr>
          <w:p>
            <w:pPr/>
          </w:p>
        </w:tc>
        <w:tc>
          <w:tcPr>
            <w:tcW w:w="870" w:type="dxa"/>
            <w:vMerge w:val="restart"/>
            <w:tcBorders>
              <w:top w:val="single" w:sz="4" w:space="0" w:color="000000"/>
              <w:left w:val="single" w:sz="4" w:space="0" w:color="000000"/>
              <w:right w:val="single" w:sz="4" w:space="0" w:color="000000"/>
            </w:tcBorders>
            <w:shd w:val="clear" w:color="auto" w:fill="C6ECCC"/>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shd w:val="clear" w:color="auto" w:fill="C6ECCC"/>
          </w:tcPr>
          <w:p>
            <w:pPr/>
          </w:p>
        </w:tc>
        <w:tc>
          <w:tcPr>
            <w:tcW w:w="870" w:type="dxa"/>
            <w:vMerge w:val="restart"/>
            <w:tcBorders>
              <w:top w:val="single" w:sz="4" w:space="0" w:color="000000"/>
              <w:left w:val="single" w:sz="4" w:space="0" w:color="000000"/>
              <w:right w:val="single" w:sz="4" w:space="0" w:color="000000"/>
            </w:tcBorders>
            <w:shd w:val="clear" w:color="auto" w:fill="C6ECCC"/>
          </w:tcPr>
          <w:p>
            <w:pPr/>
          </w:p>
        </w:tc>
        <w:tc>
          <w:tcPr>
            <w:tcW w:w="869" w:type="dxa"/>
            <w:vMerge w:val="restart"/>
            <w:tcBorders>
              <w:top w:val="single" w:sz="4" w:space="0" w:color="000000"/>
              <w:left w:val="single" w:sz="4" w:space="0" w:color="000000"/>
              <w:right w:val="single" w:sz="4" w:space="0" w:color="000000"/>
            </w:tcBorders>
            <w:shd w:val="clear" w:color="auto" w:fill="C6ECCC"/>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shd w:val="clear" w:color="auto" w:fill="C6ECCC"/>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《发行</w:t>
            </w:r>
          </w:p>
        </w:tc>
      </w:tr>
      <w:tr>
        <w:trPr>
          <w:trHeight w:val="312" w:hRule="exact"/>
        </w:trPr>
        <w:tc>
          <w:tcPr>
            <w:tcW w:w="864"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69"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股份及</w:t>
            </w:r>
          </w:p>
        </w:tc>
      </w:tr>
      <w:tr>
        <w:trPr>
          <w:trHeight w:val="312" w:hRule="exact"/>
        </w:trPr>
        <w:tc>
          <w:tcPr>
            <w:tcW w:w="864"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69"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支付现</w:t>
            </w:r>
          </w:p>
        </w:tc>
      </w:tr>
      <w:tr>
        <w:trPr>
          <w:trHeight w:val="312" w:hRule="exact"/>
        </w:trPr>
        <w:tc>
          <w:tcPr>
            <w:tcW w:w="864"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69"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金购买</w:t>
            </w:r>
          </w:p>
        </w:tc>
      </w:tr>
      <w:tr>
        <w:trPr>
          <w:trHeight w:val="312" w:hRule="exact"/>
        </w:trPr>
        <w:tc>
          <w:tcPr>
            <w:tcW w:w="864"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69"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资产并</w:t>
            </w:r>
          </w:p>
        </w:tc>
      </w:tr>
      <w:tr>
        <w:trPr>
          <w:trHeight w:val="312" w:hRule="exact"/>
        </w:trPr>
        <w:tc>
          <w:tcPr>
            <w:tcW w:w="864"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69"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募集配</w:t>
            </w:r>
          </w:p>
        </w:tc>
      </w:tr>
      <w:tr>
        <w:trPr>
          <w:trHeight w:val="312" w:hRule="exact"/>
        </w:trPr>
        <w:tc>
          <w:tcPr>
            <w:tcW w:w="864"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69"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套资金</w:t>
            </w:r>
          </w:p>
        </w:tc>
      </w:tr>
      <w:tr>
        <w:trPr>
          <w:trHeight w:val="312" w:hRule="exact"/>
        </w:trPr>
        <w:tc>
          <w:tcPr>
            <w:tcW w:w="864"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69"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暨关联</w:t>
            </w:r>
          </w:p>
        </w:tc>
      </w:tr>
      <w:tr>
        <w:trPr>
          <w:trHeight w:val="312" w:hRule="exact"/>
        </w:trPr>
        <w:tc>
          <w:tcPr>
            <w:tcW w:w="864"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69"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交易实</w:t>
            </w:r>
          </w:p>
        </w:tc>
      </w:tr>
      <w:tr>
        <w:trPr>
          <w:trHeight w:val="312" w:hRule="exact"/>
        </w:trPr>
        <w:tc>
          <w:tcPr>
            <w:tcW w:w="864"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69"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施情况</w:t>
            </w:r>
          </w:p>
        </w:tc>
      </w:tr>
      <w:tr>
        <w:trPr>
          <w:trHeight w:val="312" w:hRule="exact"/>
        </w:trPr>
        <w:tc>
          <w:tcPr>
            <w:tcW w:w="864"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69"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暨新增</w:t>
            </w:r>
          </w:p>
        </w:tc>
      </w:tr>
      <w:tr>
        <w:trPr>
          <w:trHeight w:val="312" w:hRule="exact"/>
        </w:trPr>
        <w:tc>
          <w:tcPr>
            <w:tcW w:w="864"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69"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股份上</w:t>
            </w:r>
          </w:p>
        </w:tc>
      </w:tr>
      <w:tr>
        <w:trPr>
          <w:trHeight w:val="313" w:hRule="exact"/>
        </w:trPr>
        <w:tc>
          <w:tcPr>
            <w:tcW w:w="864"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shd w:val="clear" w:color="auto" w:fill="C6ECCC"/>
          </w:tcPr>
          <w:p>
            <w:pPr/>
          </w:p>
        </w:tc>
        <w:tc>
          <w:tcPr>
            <w:tcW w:w="869"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shd w:val="clear" w:color="auto" w:fill="C6ECCC"/>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市公告</w:t>
            </w:r>
          </w:p>
        </w:tc>
      </w:tr>
      <w:tr>
        <w:trPr>
          <w:trHeight w:val="357" w:hRule="exact"/>
        </w:trPr>
        <w:tc>
          <w:tcPr>
            <w:tcW w:w="864" w:type="dxa"/>
            <w:vMerge/>
            <w:tcBorders>
              <w:left w:val="single" w:sz="4" w:space="0" w:color="000000"/>
              <w:bottom w:val="single" w:sz="4" w:space="0" w:color="000000"/>
              <w:right w:val="single" w:sz="4" w:space="0" w:color="000000"/>
            </w:tcBorders>
            <w:shd w:val="clear" w:color="auto" w:fill="C6ECCC"/>
          </w:tcPr>
          <w:p>
            <w:pPr/>
          </w:p>
        </w:tc>
        <w:tc>
          <w:tcPr>
            <w:tcW w:w="870" w:type="dxa"/>
            <w:vMerge/>
            <w:tcBorders>
              <w:left w:val="single" w:sz="4" w:space="0" w:color="000000"/>
              <w:bottom w:val="single" w:sz="4" w:space="0" w:color="000000"/>
              <w:right w:val="single" w:sz="4" w:space="0" w:color="000000"/>
            </w:tcBorders>
            <w:shd w:val="clear" w:color="auto" w:fill="C6ECCC"/>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shd w:val="clear" w:color="auto" w:fill="C6ECCC"/>
          </w:tcPr>
          <w:p>
            <w:pPr/>
          </w:p>
        </w:tc>
        <w:tc>
          <w:tcPr>
            <w:tcW w:w="870" w:type="dxa"/>
            <w:vMerge/>
            <w:tcBorders>
              <w:left w:val="single" w:sz="4" w:space="0" w:color="000000"/>
              <w:bottom w:val="single" w:sz="4" w:space="0" w:color="000000"/>
              <w:right w:val="single" w:sz="4" w:space="0" w:color="000000"/>
            </w:tcBorders>
            <w:shd w:val="clear" w:color="auto" w:fill="C6ECCC"/>
          </w:tcPr>
          <w:p>
            <w:pPr/>
          </w:p>
        </w:tc>
        <w:tc>
          <w:tcPr>
            <w:tcW w:w="869" w:type="dxa"/>
            <w:vMerge/>
            <w:tcBorders>
              <w:left w:val="single" w:sz="4" w:space="0" w:color="000000"/>
              <w:bottom w:val="single" w:sz="4" w:space="0" w:color="000000"/>
              <w:right w:val="single" w:sz="4" w:space="0" w:color="000000"/>
            </w:tcBorders>
            <w:shd w:val="clear" w:color="auto" w:fill="C6ECCC"/>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shd w:val="clear" w:color="auto" w:fill="C6ECCC"/>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书》</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出售资产情况" w:id="66"/>
      <w:bookmarkEnd w:id="66"/>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87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公司报告期未出售资产。</w:t>
      </w:r>
    </w:p>
    <w:p>
      <w:pPr>
        <w:spacing w:line="240" w:lineRule="auto" w:before="1"/>
        <w:rPr>
          <w:rFonts w:ascii="宋体" w:hAnsi="宋体" w:cs="宋体" w:eastAsia="宋体" w:hint="default"/>
          <w:sz w:val="20"/>
          <w:szCs w:val="20"/>
        </w:rPr>
      </w:pPr>
    </w:p>
    <w:p>
      <w:pPr>
        <w:pStyle w:val="Heading4"/>
        <w:spacing w:line="240" w:lineRule="auto"/>
        <w:ind w:right="914"/>
        <w:jc w:val="left"/>
        <w:rPr>
          <w:b w:val="0"/>
          <w:bCs w:val="0"/>
        </w:rPr>
      </w:pPr>
      <w:bookmarkStart w:name="3、企业合并情况" w:id="67"/>
      <w:bookmarkEnd w:id="67"/>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公司报告期未发生企业合并情况。</w:t>
      </w:r>
    </w:p>
    <w:p>
      <w:pPr>
        <w:spacing w:line="240" w:lineRule="auto" w:before="1"/>
        <w:rPr>
          <w:rFonts w:ascii="宋体" w:hAnsi="宋体" w:cs="宋体" w:eastAsia="宋体" w:hint="default"/>
          <w:sz w:val="18"/>
          <w:szCs w:val="18"/>
        </w:rPr>
      </w:pPr>
    </w:p>
    <w:p>
      <w:pPr>
        <w:pStyle w:val="Heading2"/>
        <w:spacing w:line="240" w:lineRule="auto"/>
        <w:ind w:right="914"/>
        <w:jc w:val="left"/>
        <w:rPr>
          <w:b w:val="0"/>
          <w:bCs w:val="0"/>
        </w:rPr>
      </w:pPr>
      <w:bookmarkStart w:name="六、公司股权激励的实施情况及其影响" w:id="68"/>
      <w:bookmarkEnd w:id="68"/>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3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公司报告期无股权激励计划及其实施情况。</w:t>
      </w:r>
    </w:p>
    <w:p>
      <w:pPr>
        <w:spacing w:line="240" w:lineRule="auto" w:before="4"/>
        <w:rPr>
          <w:rFonts w:ascii="宋体" w:hAnsi="宋体" w:cs="宋体" w:eastAsia="宋体" w:hint="default"/>
          <w:sz w:val="18"/>
          <w:szCs w:val="18"/>
        </w:rPr>
      </w:pPr>
    </w:p>
    <w:p>
      <w:pPr>
        <w:pStyle w:val="Heading2"/>
        <w:spacing w:line="240" w:lineRule="auto"/>
        <w:ind w:right="914"/>
        <w:jc w:val="left"/>
        <w:rPr>
          <w:b w:val="0"/>
          <w:bCs w:val="0"/>
        </w:rPr>
      </w:pPr>
      <w:bookmarkStart w:name="七、重大关联交易" w:id="69"/>
      <w:bookmarkEnd w:id="69"/>
      <w:r>
        <w:rPr>
          <w:b w:val="0"/>
          <w:bCs w:val="0"/>
        </w:rPr>
      </w:r>
      <w:r>
        <w:rPr/>
        <w:t>七、重大关联交易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与日常经营相关的关联交易" w:id="70"/>
      <w:bookmarkEnd w:id="7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69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line="240" w:lineRule="auto" w:before="11"/>
        <w:rPr>
          <w:rFonts w:ascii="宋体" w:hAnsi="宋体" w:cs="宋体" w:eastAsia="宋体" w:hint="default"/>
          <w:sz w:val="19"/>
          <w:szCs w:val="19"/>
        </w:rPr>
      </w:pPr>
    </w:p>
    <w:p>
      <w:pPr>
        <w:pStyle w:val="Heading4"/>
        <w:spacing w:line="240" w:lineRule="auto"/>
        <w:ind w:right="914"/>
        <w:jc w:val="left"/>
        <w:rPr>
          <w:b w:val="0"/>
          <w:bCs w:val="0"/>
        </w:rPr>
      </w:pPr>
      <w:bookmarkStart w:name="2、资产收购、出售发生的关联交易" w:id="71"/>
      <w:bookmarkEnd w:id="71"/>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69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公司报告期未发生资产收购、出售的关联交易。</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914"/>
        <w:jc w:val="left"/>
        <w:rPr>
          <w:b w:val="0"/>
          <w:bCs w:val="0"/>
        </w:rPr>
      </w:pPr>
      <w:bookmarkStart w:name="3、共同对外投资的关联交易" w:id="72"/>
      <w:bookmarkEnd w:id="7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1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line="240" w:lineRule="auto" w:before="1"/>
        <w:rPr>
          <w:rFonts w:ascii="宋体" w:hAnsi="宋体" w:cs="宋体" w:eastAsia="宋体" w:hint="default"/>
          <w:sz w:val="20"/>
          <w:szCs w:val="20"/>
        </w:rPr>
      </w:pPr>
    </w:p>
    <w:p>
      <w:pPr>
        <w:pStyle w:val="Heading4"/>
        <w:spacing w:line="240" w:lineRule="auto"/>
        <w:ind w:right="914"/>
        <w:jc w:val="left"/>
        <w:rPr>
          <w:b w:val="0"/>
          <w:bCs w:val="0"/>
        </w:rPr>
      </w:pPr>
      <w:bookmarkStart w:name="4、关联债权债务往来" w:id="73"/>
      <w:bookmarkEnd w:id="7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1"/>
        <w:rPr>
          <w:rFonts w:ascii="宋体" w:hAnsi="宋体" w:cs="宋体" w:eastAsia="宋体" w:hint="default"/>
          <w:sz w:val="19"/>
          <w:szCs w:val="19"/>
        </w:rPr>
      </w:pPr>
    </w:p>
    <w:p>
      <w:pPr>
        <w:pStyle w:val="Heading4"/>
        <w:spacing w:line="240" w:lineRule="auto"/>
        <w:ind w:right="914"/>
        <w:jc w:val="left"/>
        <w:rPr>
          <w:b w:val="0"/>
          <w:bCs w:val="0"/>
        </w:rPr>
      </w:pPr>
      <w:bookmarkStart w:name="5、其他关联交易" w:id="74"/>
      <w:bookmarkEnd w:id="74"/>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9"/>
        <w:rPr>
          <w:rFonts w:ascii="宋体" w:hAnsi="宋体" w:cs="宋体" w:eastAsia="宋体" w:hint="default"/>
          <w:b/>
          <w:bCs/>
          <w:sz w:val="26"/>
          <w:szCs w:val="26"/>
        </w:rPr>
      </w:pPr>
    </w:p>
    <w:p>
      <w:pPr>
        <w:spacing w:line="357" w:lineRule="auto" w:before="0"/>
        <w:ind w:left="514" w:right="1032"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日，公司完成发行股份及支付现金购买资产并募集配套资金暨关联交易事项，配套募集资金认购对象中，</w:t>
      </w:r>
    </w:p>
    <w:p>
      <w:pPr>
        <w:spacing w:line="224" w:lineRule="exact"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孙世尧、孙鲲鹏、霍文菊、孙红丽为公司实际控制人家族，该事项构成关联交易。</w:t>
      </w:r>
    </w:p>
    <w:p>
      <w:pPr>
        <w:spacing w:before="117"/>
        <w:ind w:left="153" w:right="914" w:firstLine="0"/>
        <w:jc w:val="left"/>
        <w:rPr>
          <w:rFonts w:ascii="宋体" w:hAnsi="宋体" w:cs="宋体" w:eastAsia="宋体" w:hint="default"/>
          <w:sz w:val="18"/>
          <w:szCs w:val="18"/>
        </w:rPr>
      </w:pPr>
      <w:r>
        <w:rPr>
          <w:rFonts w:ascii="宋体" w:hAnsi="宋体" w:cs="宋体" w:eastAsia="宋体" w:hint="default"/>
          <w:sz w:val="18"/>
          <w:szCs w:val="18"/>
        </w:rPr>
        <w:t>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发行股份及支付现金购买资产并募集配套 资金暨关联交易实施情况暨新增股份上市 公告书</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right="914"/>
        <w:jc w:val="left"/>
        <w:rPr>
          <w:b w:val="0"/>
          <w:bCs w:val="0"/>
        </w:rPr>
      </w:pPr>
      <w:bookmarkStart w:name="八、重大合同及其履行情况" w:id="75"/>
      <w:bookmarkEnd w:id="75"/>
      <w:r>
        <w:rPr>
          <w:b w:val="0"/>
          <w:bCs w:val="0"/>
        </w:rPr>
      </w:r>
      <w:r>
        <w:rPr/>
        <w:t>八、重大合同及其履行情况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托管、承包、租赁事项情况" w:id="76"/>
      <w:bookmarkEnd w:id="7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托管情况" w:id="77"/>
      <w:bookmarkEnd w:id="7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11"/>
        <w:rPr>
          <w:rFonts w:ascii="宋体" w:hAnsi="宋体" w:cs="宋体" w:eastAsia="宋体" w:hint="default"/>
          <w:sz w:val="19"/>
          <w:szCs w:val="19"/>
        </w:rPr>
      </w:pPr>
    </w:p>
    <w:p>
      <w:pPr>
        <w:pStyle w:val="Heading4"/>
        <w:spacing w:line="240" w:lineRule="auto"/>
        <w:ind w:right="914"/>
        <w:jc w:val="left"/>
        <w:rPr>
          <w:b w:val="0"/>
          <w:bCs w:val="0"/>
        </w:rPr>
      </w:pPr>
      <w:bookmarkStart w:name="（2）承包情况" w:id="78"/>
      <w:bookmarkEnd w:id="7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
        <w:rPr>
          <w:rFonts w:ascii="宋体" w:hAnsi="宋体" w:cs="宋体" w:eastAsia="宋体" w:hint="default"/>
          <w:sz w:val="20"/>
          <w:szCs w:val="20"/>
        </w:rPr>
      </w:pPr>
    </w:p>
    <w:p>
      <w:pPr>
        <w:pStyle w:val="Heading4"/>
        <w:spacing w:line="240" w:lineRule="auto"/>
        <w:ind w:right="914"/>
        <w:jc w:val="left"/>
        <w:rPr>
          <w:b w:val="0"/>
          <w:bCs w:val="0"/>
        </w:rPr>
      </w:pPr>
      <w:bookmarkStart w:name="（3）租赁情况" w:id="79"/>
      <w:bookmarkEnd w:id="7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公司报告期不存在租赁情况。</w:t>
      </w:r>
    </w:p>
    <w:p>
      <w:pPr>
        <w:spacing w:line="240" w:lineRule="auto" w:before="12"/>
        <w:rPr>
          <w:rFonts w:ascii="宋体" w:hAnsi="宋体" w:cs="宋体" w:eastAsia="宋体" w:hint="default"/>
          <w:sz w:val="19"/>
          <w:szCs w:val="19"/>
        </w:rPr>
      </w:pPr>
    </w:p>
    <w:p>
      <w:pPr>
        <w:pStyle w:val="Heading4"/>
        <w:spacing w:line="240" w:lineRule="auto"/>
        <w:ind w:right="914"/>
        <w:jc w:val="left"/>
        <w:rPr>
          <w:b w:val="0"/>
          <w:bCs w:val="0"/>
        </w:rPr>
      </w:pPr>
      <w:bookmarkStart w:name="2、担保情况" w:id="80"/>
      <w:bookmarkEnd w:id="80"/>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914" w:firstLine="0"/>
        <w:jc w:val="left"/>
        <w:rPr>
          <w:rFonts w:ascii="宋体" w:hAnsi="宋体" w:cs="宋体" w:eastAsia="宋体" w:hint="default"/>
          <w:sz w:val="18"/>
          <w:szCs w:val="18"/>
        </w:rPr>
      </w:pPr>
      <w:r>
        <w:rPr>
          <w:rFonts w:ascii="宋体" w:hAnsi="宋体" w:cs="宋体" w:eastAsia="宋体" w:hint="default"/>
          <w:sz w:val="18"/>
          <w:szCs w:val="18"/>
        </w:rPr>
        <w:t>公司报告期不存在担保情况。</w:t>
      </w:r>
    </w:p>
    <w:p>
      <w:pPr>
        <w:spacing w:line="240" w:lineRule="auto" w:before="10"/>
        <w:rPr>
          <w:rFonts w:ascii="宋体" w:hAnsi="宋体" w:cs="宋体" w:eastAsia="宋体" w:hint="default"/>
          <w:sz w:val="26"/>
          <w:szCs w:val="26"/>
        </w:rPr>
      </w:pPr>
    </w:p>
    <w:p>
      <w:pPr>
        <w:pStyle w:val="Heading4"/>
        <w:spacing w:line="240" w:lineRule="auto"/>
        <w:ind w:left="153" w:right="914"/>
        <w:jc w:val="left"/>
        <w:rPr>
          <w:b w:val="0"/>
          <w:bCs w:val="0"/>
        </w:rPr>
      </w:pPr>
      <w:bookmarkStart w:name="3、其他重大合同" w:id="81"/>
      <w:bookmarkEnd w:id="81"/>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公司报告期不存在其他重大合同。</w:t>
      </w:r>
    </w:p>
    <w:p>
      <w:pPr>
        <w:spacing w:line="240" w:lineRule="auto" w:before="1"/>
        <w:rPr>
          <w:rFonts w:ascii="宋体" w:hAnsi="宋体" w:cs="宋体" w:eastAsia="宋体" w:hint="default"/>
          <w:sz w:val="20"/>
          <w:szCs w:val="20"/>
        </w:rPr>
      </w:pPr>
    </w:p>
    <w:p>
      <w:pPr>
        <w:pStyle w:val="Heading4"/>
        <w:spacing w:line="240" w:lineRule="auto"/>
        <w:ind w:right="914"/>
        <w:jc w:val="left"/>
        <w:rPr>
          <w:b w:val="0"/>
          <w:bCs w:val="0"/>
        </w:rPr>
      </w:pPr>
      <w:bookmarkStart w:name="4、其他重大交易" w:id="82"/>
      <w:bookmarkEnd w:id="82"/>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公司报告期不存在其他重大交易。</w:t>
      </w:r>
    </w:p>
    <w:p>
      <w:pPr>
        <w:spacing w:line="240" w:lineRule="auto" w:before="1"/>
        <w:rPr>
          <w:rFonts w:ascii="宋体" w:hAnsi="宋体" w:cs="宋体" w:eastAsia="宋体" w:hint="default"/>
          <w:sz w:val="18"/>
          <w:szCs w:val="18"/>
        </w:rPr>
      </w:pPr>
    </w:p>
    <w:p>
      <w:pPr>
        <w:pStyle w:val="Heading2"/>
        <w:spacing w:line="240" w:lineRule="auto"/>
        <w:ind w:right="914"/>
        <w:jc w:val="left"/>
        <w:rPr>
          <w:b w:val="0"/>
          <w:bCs w:val="0"/>
        </w:rPr>
      </w:pPr>
      <w:bookmarkStart w:name="九、承诺事项履行情况" w:id="83"/>
      <w:bookmarkEnd w:id="83"/>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14"/>
        <w:jc w:val="left"/>
        <w:rPr>
          <w:b w:val="0"/>
          <w:bCs w:val="0"/>
        </w:rPr>
      </w:pPr>
      <w:bookmarkStart w:name="1、公司或持股5%以上股东在报告期内发生或以前期间发生但持续到报告期内的承诺事项" w:id="84"/>
      <w:bookmarkEnd w:id="84"/>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59"/>
      </w:tblGrid>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5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 承诺</w:t>
            </w: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5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383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81"/>
              <w:jc w:val="left"/>
              <w:rPr>
                <w:rFonts w:ascii="宋体" w:hAnsi="宋体" w:cs="宋体" w:eastAsia="宋体" w:hint="default"/>
                <w:sz w:val="18"/>
                <w:szCs w:val="18"/>
              </w:rPr>
            </w:pPr>
            <w:r>
              <w:rPr>
                <w:rFonts w:ascii="宋体" w:hAnsi="宋体" w:cs="宋体" w:eastAsia="宋体" w:hint="default"/>
                <w:sz w:val="18"/>
                <w:szCs w:val="18"/>
              </w:rPr>
              <w:t>汤于、赖力、 </w:t>
            </w:r>
            <w:r>
              <w:rPr>
                <w:rFonts w:ascii="宋体" w:hAnsi="宋体" w:cs="宋体" w:eastAsia="宋体" w:hint="default"/>
                <w:spacing w:val="-4"/>
                <w:sz w:val="18"/>
                <w:szCs w:val="18"/>
              </w:rPr>
              <w:t>汤洪波、丁小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玲、成都富恩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德股权投资 基金合伙企</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业</w:t>
            </w: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华宇园林于</w:t>
            </w:r>
          </w:p>
          <w:p>
            <w:pPr>
              <w:pStyle w:val="TableParagraph"/>
              <w:spacing w:line="240" w:lineRule="auto" w:before="7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p>
          <w:p>
            <w:pPr>
              <w:pStyle w:val="TableParagraph"/>
              <w:spacing w:line="314" w:lineRule="auto" w:before="63"/>
              <w:ind w:left="101"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年扣除 非经常性损 益后归属于 母公司所有 者的净利润 分别不低于 </w:t>
            </w:r>
            <w:r>
              <w:rPr>
                <w:rFonts w:ascii="Times New Roman" w:hAnsi="Times New Roman" w:cs="Times New Roman" w:eastAsia="Times New Roman" w:hint="default"/>
                <w:sz w:val="18"/>
                <w:szCs w:val="18"/>
              </w:rPr>
              <w:t>10,500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万元和</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5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227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spacing w:val="-4"/>
                <w:sz w:val="18"/>
                <w:szCs w:val="18"/>
              </w:rPr>
              <w:t>孙世尧、孙鲲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鹏、汤于、霍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文菊、孙红丽</w:t>
            </w: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1" w:right="102"/>
              <w:jc w:val="left"/>
              <w:rPr>
                <w:rFonts w:ascii="宋体" w:hAnsi="宋体" w:cs="宋体" w:eastAsia="宋体" w:hint="default"/>
                <w:sz w:val="18"/>
                <w:szCs w:val="18"/>
              </w:rPr>
            </w:pPr>
            <w:r>
              <w:rPr>
                <w:rFonts w:ascii="宋体" w:hAnsi="宋体" w:cs="宋体" w:eastAsia="宋体" w:hint="default"/>
                <w:sz w:val="18"/>
                <w:szCs w:val="18"/>
              </w:rPr>
              <w:t>自丽鹏股份 本次发行股 份上市之日 </w:t>
            </w:r>
            <w:r>
              <w:rPr>
                <w:rFonts w:ascii="宋体" w:hAnsi="宋体" w:cs="宋体" w:eastAsia="宋体" w:hint="default"/>
                <w:spacing w:val="-4"/>
                <w:sz w:val="18"/>
                <w:szCs w:val="18"/>
              </w:rPr>
              <w:t>起，三十六个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月内不转让 本次认购的 股份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5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5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204"/>
        <w:gridCol w:w="6364"/>
      </w:tblGrid>
      <w:tr>
        <w:trPr>
          <w:trHeight w:val="332" w:hRule="exact"/>
        </w:trPr>
        <w:tc>
          <w:tcPr>
            <w:tcW w:w="3204" w:type="dxa"/>
            <w:tcBorders>
              <w:top w:val="nil" w:sz="6" w:space="0" w:color="auto"/>
              <w:left w:val="nil" w:sz="6" w:space="0" w:color="auto"/>
              <w:bottom w:val="single" w:sz="4" w:space="0" w:color="000000"/>
              <w:right w:val="nil" w:sz="6" w:space="0" w:color="auto"/>
            </w:tcBorders>
          </w:tcPr>
          <w:p>
            <w:pPr/>
          </w:p>
        </w:tc>
        <w:tc>
          <w:tcPr>
            <w:tcW w:w="6364" w:type="dxa"/>
            <w:tcBorders>
              <w:top w:val="nil" w:sz="6" w:space="0" w:color="auto"/>
              <w:left w:val="nil" w:sz="6" w:space="0" w:color="auto"/>
              <w:bottom w:val="single" w:sz="4" w:space="0" w:color="000000"/>
              <w:right w:val="nil" w:sz="6" w:space="0" w:color="auto"/>
            </w:tcBorders>
          </w:tcPr>
          <w:p>
            <w:pP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59" w:lineRule="auto" w:before="35"/>
        <w:ind w:right="914"/>
        <w:jc w:val="left"/>
        <w:rPr>
          <w:b w:val="0"/>
          <w:bCs w:val="0"/>
        </w:rPr>
      </w:pPr>
      <w:r>
        <w:rPr/>
        <w:pict>
          <v:group style="position:absolute;margin-left:55.200001pt;margin-top:-65.126358pt;width:485pt;height:.1pt;mso-position-horizontal-relative:page;mso-position-vertical-relative:paragraph;z-index:-749872" coordorigin="1104,-1303" coordsize="9700,2">
            <v:shape style="position:absolute;left:1104;top:-1303;width:9700;height:2" coordorigin="1104,-1303" coordsize="9700,0" path="m1104,-1303l10804,-1303e" filled="false" stroked="true" strokeweight=".72pt" strokecolor="#000000">
              <v:path arrowok="t"/>
            </v:shape>
            <w10:wrap type="none"/>
          </v:group>
        </w:pict>
      </w:r>
      <w:bookmarkStart w:name="2、公司资产或项目存在盈利预测，且报告期仍处在盈利预测期间，公司就资产或项目达到" w:id="85"/>
      <w:bookmarkEnd w:id="8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7"/>
        <w:gridCol w:w="1196"/>
        <w:gridCol w:w="1196"/>
        <w:gridCol w:w="1199"/>
        <w:gridCol w:w="1195"/>
      </w:tblGrid>
      <w:tr>
        <w:trPr>
          <w:trHeight w:val="102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141"/>
              <w:jc w:val="center"/>
              <w:rPr>
                <w:rFonts w:ascii="宋体" w:hAnsi="宋体" w:cs="宋体" w:eastAsia="宋体" w:hint="default"/>
                <w:sz w:val="18"/>
                <w:szCs w:val="18"/>
              </w:rPr>
            </w:pPr>
            <w:r>
              <w:rPr>
                <w:rFonts w:ascii="宋体" w:hAnsi="宋体" w:cs="宋体" w:eastAsia="宋体" w:hint="default"/>
                <w:sz w:val="18"/>
                <w:szCs w:val="18"/>
              </w:rPr>
              <w:t>盈利预测资 产或项目名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2" w:right="140"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2" w:right="140"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2" w:right="142"/>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2" w:right="143"/>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141"/>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3" w:right="143" w:hanging="270"/>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140"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重庆华宇园 林有限公司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9" w:right="0"/>
              <w:jc w:val="left"/>
              <w:rPr>
                <w:rFonts w:ascii="Times New Roman" w:hAnsi="Times New Roman" w:cs="Times New Roman" w:eastAsia="Times New Roman" w:hint="default"/>
                <w:sz w:val="18"/>
                <w:szCs w:val="18"/>
              </w:rPr>
            </w:pPr>
            <w:r>
              <w:rPr>
                <w:rFonts w:ascii="Times New Roman"/>
                <w:sz w:val="18"/>
              </w:rPr>
              <w:t>10,500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11,035.98</w:t>
            </w:r>
          </w:p>
        </w:tc>
        <w:tc>
          <w:tcPr>
            <w:tcW w:w="1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2014-35</w:t>
            </w:r>
          </w:p>
        </w:tc>
      </w:tr>
    </w:tbl>
    <w:p>
      <w:pPr>
        <w:spacing w:line="240" w:lineRule="auto" w:before="2"/>
        <w:rPr>
          <w:rFonts w:ascii="宋体" w:hAnsi="宋体" w:cs="宋体" w:eastAsia="宋体" w:hint="default"/>
          <w:sz w:val="18"/>
          <w:szCs w:val="18"/>
        </w:rPr>
      </w:pPr>
    </w:p>
    <w:p>
      <w:pPr>
        <w:pStyle w:val="Heading2"/>
        <w:spacing w:line="240" w:lineRule="auto" w:before="26"/>
        <w:ind w:right="914"/>
        <w:jc w:val="left"/>
        <w:rPr>
          <w:b w:val="0"/>
          <w:bCs w:val="0"/>
        </w:rPr>
      </w:pPr>
      <w:bookmarkStart w:name="十、聘任、解聘会计师事务所情况" w:id="86"/>
      <w:bookmarkEnd w:id="86"/>
      <w:r>
        <w:rPr>
          <w:b w:val="0"/>
          <w:bCs w:val="0"/>
        </w:rPr>
      </w:r>
      <w:r>
        <w:rPr/>
        <w:t>十、聘任、解聘会计师事务所情况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3"/>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王丽敏、刘学伟</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57" w:lineRule="auto" w:before="117"/>
        <w:ind w:left="153" w:right="6253"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before="28"/>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914"/>
        <w:jc w:val="left"/>
        <w:rPr>
          <w:b w:val="0"/>
          <w:bCs w:val="0"/>
        </w:rPr>
      </w:pPr>
      <w:bookmarkStart w:name="十一、监事会、独立董事（如适用）对会计师事务所本报告期“非标准审计报告”的说明" w:id="87"/>
      <w:bookmarkEnd w:id="87"/>
      <w:r>
        <w:rPr>
          <w:b w:val="0"/>
          <w:bCs w:val="0"/>
        </w:rPr>
      </w:r>
      <w:r>
        <w:rPr/>
        <w:t>十一、监事会、独立董事（如适用）对会计师事务所本报告期“非标准审计报告”的说明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914"/>
        <w:jc w:val="left"/>
        <w:rPr>
          <w:b w:val="0"/>
          <w:bCs w:val="0"/>
        </w:rPr>
      </w:pPr>
      <w:bookmarkStart w:name="十二、处罚及整改情况" w:id="88"/>
      <w:bookmarkEnd w:id="88"/>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8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line="240" w:lineRule="auto" w:before="1"/>
        <w:rPr>
          <w:rFonts w:ascii="宋体" w:hAnsi="宋体" w:cs="宋体" w:eastAsia="宋体" w:hint="default"/>
          <w:sz w:val="18"/>
          <w:szCs w:val="18"/>
        </w:rPr>
      </w:pPr>
    </w:p>
    <w:p>
      <w:pPr>
        <w:pStyle w:val="Heading2"/>
        <w:spacing w:line="240" w:lineRule="auto"/>
        <w:ind w:right="914"/>
        <w:jc w:val="left"/>
        <w:rPr>
          <w:b w:val="0"/>
          <w:bCs w:val="0"/>
        </w:rPr>
      </w:pPr>
      <w:bookmarkStart w:name="十三、年度报告披露后面临暂停上市和终止上市情况" w:id="89"/>
      <w:bookmarkEnd w:id="89"/>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right="914"/>
        <w:jc w:val="left"/>
        <w:rPr>
          <w:b w:val="0"/>
          <w:bCs w:val="0"/>
        </w:rPr>
      </w:pPr>
      <w:bookmarkStart w:name="十四、其他重大事项的说明" w:id="90"/>
      <w:bookmarkEnd w:id="90"/>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1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公司报告期不存在需要说明的其他重大事项。</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2"/>
        <w:spacing w:line="240" w:lineRule="auto" w:before="26"/>
        <w:ind w:left="153" w:right="914"/>
        <w:jc w:val="left"/>
        <w:rPr>
          <w:b w:val="0"/>
          <w:bCs w:val="0"/>
        </w:rPr>
      </w:pPr>
      <w:bookmarkStart w:name="十五、公司子公司重要事项" w:id="91"/>
      <w:bookmarkEnd w:id="91"/>
      <w:r>
        <w:rPr>
          <w:b w:val="0"/>
          <w:bCs w:val="0"/>
        </w:rPr>
      </w:r>
      <w:r>
        <w:rPr/>
        <w:t>十五、公司子公司重要事项</w:t>
      </w:r>
      <w:r>
        <w:rPr>
          <w:b w:val="0"/>
          <w:bCs w:val="0"/>
        </w:rPr>
      </w:r>
    </w:p>
    <w:p>
      <w:pPr>
        <w:spacing w:line="240" w:lineRule="auto" w:before="9"/>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right="914"/>
        <w:jc w:val="left"/>
        <w:rPr>
          <w:b w:val="0"/>
          <w:bCs w:val="0"/>
        </w:rPr>
      </w:pPr>
      <w:bookmarkStart w:name="十六、公司发行公司债券的情况" w:id="92"/>
      <w:bookmarkEnd w:id="92"/>
      <w:r>
        <w:rPr>
          <w:b w:val="0"/>
          <w:bCs w:val="0"/>
        </w:rPr>
      </w:r>
      <w:r>
        <w:rPr/>
        <w:t>十六、公司发行公司债券的情况</w:t>
      </w:r>
      <w:r>
        <w:rPr>
          <w:b w:val="0"/>
          <w:bCs w:val="0"/>
        </w:rPr>
      </w:r>
    </w:p>
    <w:p>
      <w:pPr>
        <w:spacing w:line="240" w:lineRule="auto" w:before="9"/>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914"/>
        <w:jc w:val="left"/>
        <w:rPr>
          <w:b w:val="0"/>
          <w:bCs w:val="0"/>
        </w:rPr>
      </w:pPr>
      <w:bookmarkStart w:name="第六节 股份变动及股东情况" w:id="93"/>
      <w:bookmarkEnd w:id="93"/>
      <w:r>
        <w:rPr>
          <w:b w:val="0"/>
          <w:bCs w:val="0"/>
        </w:rPr>
      </w:r>
      <w:bookmarkStart w:name="_bookmark4" w:id="94"/>
      <w:bookmarkEnd w:id="9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914"/>
        <w:jc w:val="left"/>
        <w:rPr>
          <w:b w:val="0"/>
          <w:bCs w:val="0"/>
        </w:rPr>
      </w:pPr>
      <w:bookmarkStart w:name="一、股份变动情况" w:id="95"/>
      <w:bookmarkEnd w:id="95"/>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33"/>
        <w:gridCol w:w="842"/>
        <w:gridCol w:w="842"/>
        <w:gridCol w:w="842"/>
        <w:gridCol w:w="844"/>
        <w:gridCol w:w="842"/>
        <w:gridCol w:w="844"/>
        <w:gridCol w:w="842"/>
        <w:gridCol w:w="815"/>
        <w:gridCol w:w="820"/>
      </w:tblGrid>
      <w:tr>
        <w:trPr>
          <w:trHeight w:val="402" w:hRule="exact"/>
        </w:trPr>
        <w:tc>
          <w:tcPr>
            <w:tcW w:w="2033" w:type="dxa"/>
            <w:vMerge w:val="restart"/>
            <w:tcBorders>
              <w:top w:val="single" w:sz="4" w:space="0" w:color="000000"/>
              <w:left w:val="single" w:sz="4" w:space="0" w:color="000000"/>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3"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5" w:right="14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6" w:right="14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66,702,</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sz w:val="18"/>
              </w:rPr>
              <w:t>720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34.85%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138,243</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,992</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-30,008,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340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108,235</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,652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174,938</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,372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53.07%</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66,702,</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sz w:val="18"/>
              </w:rPr>
              <w:t>720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34.85%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138,243</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,992</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-30,008,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340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108,235</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,652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174,938</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,372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53.07%</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34,258,</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276</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34,258,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276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34,258,</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276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10.39%</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66,702,</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sz w:val="18"/>
              </w:rPr>
              <w:t>720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34.85%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103,985</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,716</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-30,008,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340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73,977,</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376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140,680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,096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42.67%</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124,706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65.15%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30,008,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340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30,008,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340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154,714</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,849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46.93%</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124,706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65.15%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30,008,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340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30,008,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340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154,714</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,849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46.93%</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191,409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,229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138,243</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,992</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138,243</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,992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329,653</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,221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514"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年公司进行发行股份及支付现金购买资产并募集配套资金工作，截止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日，相关资产交割和非</w:t>
      </w:r>
    </w:p>
    <w:p>
      <w:pPr>
        <w:spacing w:before="64"/>
        <w:ind w:left="153" w:right="914" w:firstLine="0"/>
        <w:jc w:val="left"/>
        <w:rPr>
          <w:rFonts w:ascii="宋体" w:hAnsi="宋体" w:cs="宋体" w:eastAsia="宋体" w:hint="default"/>
          <w:sz w:val="18"/>
          <w:szCs w:val="18"/>
        </w:rPr>
      </w:pPr>
      <w:r>
        <w:rPr>
          <w:rFonts w:ascii="宋体" w:hAnsi="宋体" w:cs="宋体" w:eastAsia="宋体" w:hint="default"/>
          <w:sz w:val="18"/>
          <w:szCs w:val="18"/>
        </w:rPr>
        <w:t>公开发行股票的登记上市工作均已完成，增加有限售条件流通股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138,243,992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股，总股本变为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329,653,221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line="302" w:lineRule="auto" w:before="101"/>
        <w:ind w:left="153" w:right="117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月，公司董事会、监事会换届，部分董事、监事、高级管理人员发生变动，根据相关规定，离任人员报 告期内锁定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股份。</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914"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57" w:lineRule="auto" w:before="116"/>
        <w:ind w:left="514" w:right="914"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日收到中国证券监督管理委员会《关于核准山东丽鹏股份有限公司向汤于等发行股份购买资产并募</w:t>
      </w:r>
    </w:p>
    <w:p>
      <w:pPr>
        <w:spacing w:line="214" w:lineRule="exact"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集配套资金的批复</w:t>
      </w:r>
      <w:r>
        <w:rPr>
          <w:rFonts w:ascii="宋体" w:hAnsi="宋体" w:cs="宋体" w:eastAsia="宋体" w:hint="default"/>
          <w:spacing w:val="-101"/>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1256</w:t>
      </w:r>
      <w:r>
        <w:rPr>
          <w:rFonts w:ascii="宋体" w:hAnsi="宋体" w:cs="宋体" w:eastAsia="宋体" w:hint="default"/>
          <w:spacing w:val="1"/>
          <w:sz w:val="18"/>
          <w:szCs w:val="18"/>
        </w:rPr>
        <w:t>号</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核准向汤于等重庆华宇园林股份有限公司</w:t>
      </w:r>
      <w:r>
        <w:rPr>
          <w:rFonts w:ascii="Times New Roman" w:hAnsi="Times New Roman" w:cs="Times New Roman" w:eastAsia="Times New Roman" w:hint="default"/>
          <w:sz w:val="18"/>
          <w:szCs w:val="18"/>
        </w:rPr>
        <w:t>58</w:t>
      </w:r>
      <w:r>
        <w:rPr>
          <w:rFonts w:ascii="宋体" w:hAnsi="宋体" w:cs="宋体" w:eastAsia="宋体" w:hint="default"/>
          <w:sz w:val="18"/>
          <w:szCs w:val="18"/>
        </w:rPr>
        <w:t>名股东共计发行</w:t>
      </w:r>
      <w:r>
        <w:rPr>
          <w:rFonts w:ascii="Times New Roman" w:hAnsi="Times New Roman" w:cs="Times New Roman" w:eastAsia="Times New Roman" w:hint="default"/>
          <w:sz w:val="18"/>
          <w:szCs w:val="18"/>
        </w:rPr>
        <w:t>101,553</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992</w:t>
      </w:r>
      <w:r>
        <w:rPr>
          <w:rFonts w:ascii="宋体" w:hAnsi="宋体" w:cs="宋体" w:eastAsia="宋体" w:hint="default"/>
          <w:sz w:val="18"/>
          <w:szCs w:val="18"/>
        </w:rPr>
        <w:t>股股</w:t>
      </w:r>
    </w:p>
    <w:p>
      <w:pPr>
        <w:spacing w:line="340" w:lineRule="auto" w:before="63"/>
        <w:ind w:left="153" w:right="4003" w:firstLine="0"/>
        <w:jc w:val="left"/>
        <w:rPr>
          <w:rFonts w:ascii="宋体" w:hAnsi="宋体" w:cs="宋体" w:eastAsia="宋体" w:hint="default"/>
          <w:sz w:val="18"/>
          <w:szCs w:val="18"/>
        </w:rPr>
      </w:pPr>
      <w:r>
        <w:rPr>
          <w:rFonts w:ascii="宋体" w:hAnsi="宋体" w:cs="宋体" w:eastAsia="宋体" w:hint="default"/>
          <w:sz w:val="18"/>
          <w:szCs w:val="18"/>
        </w:rPr>
        <w:t>份，同时非公开发行不超过</w:t>
      </w:r>
      <w:r>
        <w:rPr>
          <w:rFonts w:ascii="Times New Roman" w:hAnsi="Times New Roman" w:cs="Times New Roman" w:eastAsia="Times New Roman" w:hint="default"/>
          <w:sz w:val="18"/>
          <w:szCs w:val="18"/>
        </w:rPr>
        <w:t>36,690,000</w:t>
      </w:r>
      <w:r>
        <w:rPr>
          <w:rFonts w:ascii="宋体" w:hAnsi="宋体" w:cs="宋体" w:eastAsia="宋体" w:hint="default"/>
          <w:sz w:val="18"/>
          <w:szCs w:val="18"/>
        </w:rPr>
        <w:t>股新股募集本次发行股份购买资产的配套资金。 股份变动的过户情况</w:t>
      </w:r>
    </w:p>
    <w:p>
      <w:pPr>
        <w:spacing w:line="357" w:lineRule="auto" w:before="40"/>
        <w:ind w:left="514" w:right="914"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发行股份及支付现金购买资产的股份及非公开发行募集配套资金的股份已于</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日完成登记和发行工作，已在</w:t>
      </w:r>
    </w:p>
    <w:p>
      <w:pPr>
        <w:spacing w:line="201" w:lineRule="exact"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深圳证券交易所上市交易。</w:t>
      </w:r>
    </w:p>
    <w:p>
      <w:pPr>
        <w:spacing w:before="117"/>
        <w:ind w:left="153" w:right="914"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57" w:lineRule="auto" w:before="116"/>
        <w:ind w:left="514" w:right="1122" w:hanging="360"/>
        <w:jc w:val="left"/>
        <w:rPr>
          <w:rFonts w:ascii="宋体" w:hAnsi="宋体" w:cs="宋体" w:eastAsia="宋体" w:hint="default"/>
          <w:sz w:val="18"/>
          <w:szCs w:val="18"/>
        </w:rPr>
      </w:pPr>
      <w:r>
        <w:rPr>
          <w:rFonts w:ascii="宋体" w:hAnsi="宋体" w:cs="宋体" w:eastAsia="宋体" w:hint="default"/>
          <w:sz w:val="18"/>
          <w:szCs w:val="18"/>
        </w:rPr>
        <w:t>√ 适用 □ 不适用 此次新增股份在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月完成发行工作，根据《公开发行证券的公司信息披露编报规则第</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净资产收益率和每股</w:t>
      </w:r>
    </w:p>
    <w:p>
      <w:pPr>
        <w:spacing w:line="214" w:lineRule="exact"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收益的计算及披露</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年修订）的有关规定，不影响</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年基本每股收益和稀释每股收益的计算。</w:t>
      </w:r>
    </w:p>
    <w:p>
      <w:pPr>
        <w:spacing w:line="300" w:lineRule="auto" w:before="63"/>
        <w:ind w:left="153" w:right="914" w:firstLine="360"/>
        <w:jc w:val="left"/>
        <w:rPr>
          <w:rFonts w:ascii="宋体" w:hAnsi="宋体" w:cs="宋体" w:eastAsia="宋体" w:hint="default"/>
          <w:sz w:val="18"/>
          <w:szCs w:val="18"/>
        </w:rPr>
      </w:pPr>
      <w:r>
        <w:rPr>
          <w:rFonts w:ascii="宋体" w:hAnsi="宋体" w:cs="宋体" w:eastAsia="宋体" w:hint="default"/>
          <w:spacing w:val="-1"/>
          <w:sz w:val="18"/>
          <w:szCs w:val="18"/>
        </w:rPr>
        <w:t>增发新股对归属于公司普通股股东的每股净资产影响如下：公司</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年年末每股净资产</w:t>
      </w:r>
      <w:r>
        <w:rPr>
          <w:rFonts w:ascii="Times New Roman" w:hAnsi="Times New Roman" w:cs="Times New Roman" w:eastAsia="Times New Roman" w:hint="default"/>
          <w:spacing w:val="-1"/>
          <w:sz w:val="18"/>
          <w:szCs w:val="18"/>
        </w:rPr>
        <w:t>5.66</w:t>
      </w:r>
      <w:r>
        <w:rPr>
          <w:rFonts w:ascii="宋体" w:hAnsi="宋体" w:cs="宋体" w:eastAsia="宋体" w:hint="default"/>
          <w:spacing w:val="-1"/>
          <w:sz w:val="18"/>
          <w:szCs w:val="18"/>
        </w:rPr>
        <w:t>元，较</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年年末每股净资</w:t>
      </w:r>
      <w:r>
        <w:rPr>
          <w:rFonts w:ascii="宋体" w:hAnsi="宋体" w:cs="宋体" w:eastAsia="宋体" w:hint="default"/>
          <w:sz w:val="18"/>
          <w:szCs w:val="18"/>
        </w:rPr>
        <w:t> 产</w:t>
      </w:r>
      <w:r>
        <w:rPr>
          <w:rFonts w:ascii="Times New Roman" w:hAnsi="Times New Roman" w:cs="Times New Roman" w:eastAsia="Times New Roman" w:hint="default"/>
          <w:sz w:val="18"/>
          <w:szCs w:val="18"/>
        </w:rPr>
        <w:t>4.23</w:t>
      </w:r>
      <w:r>
        <w:rPr>
          <w:rFonts w:ascii="宋体" w:hAnsi="宋体" w:cs="宋体" w:eastAsia="宋体" w:hint="default"/>
          <w:sz w:val="18"/>
          <w:szCs w:val="18"/>
        </w:rPr>
        <w:t>增加了</w:t>
      </w:r>
      <w:r>
        <w:rPr>
          <w:rFonts w:ascii="Times New Roman" w:hAnsi="Times New Roman" w:cs="Times New Roman" w:eastAsia="Times New Roman" w:hint="default"/>
          <w:sz w:val="18"/>
          <w:szCs w:val="18"/>
        </w:rPr>
        <w:t>1.43</w:t>
      </w:r>
      <w:r>
        <w:rPr>
          <w:rFonts w:ascii="宋体" w:hAnsi="宋体" w:cs="宋体" w:eastAsia="宋体" w:hint="default"/>
          <w:sz w:val="18"/>
          <w:szCs w:val="18"/>
        </w:rPr>
        <w:t>元。</w:t>
      </w:r>
    </w:p>
    <w:p>
      <w:pPr>
        <w:spacing w:before="53"/>
        <w:ind w:left="154" w:right="914"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6"/>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914"/>
        <w:jc w:val="left"/>
        <w:rPr>
          <w:b w:val="0"/>
          <w:bCs w:val="0"/>
        </w:rPr>
      </w:pPr>
      <w:bookmarkStart w:name="二、证券发行与上市情况" w:id="96"/>
      <w:bookmarkEnd w:id="9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报告期末近三年历次证券发行情况" w:id="97"/>
      <w:bookmarkEnd w:id="97"/>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137"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136" w:hanging="270"/>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8" w:right="136"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397"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9"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20,738,461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20,738,461</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138,243,992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8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138,243,992</w:t>
            </w: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spacing w:before="117"/>
        <w:ind w:left="514"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日，公司非公开发行股票上市，增加有限售条件流通股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20,738,461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股，总股本增至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106,338,461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spacing w:before="101"/>
        <w:ind w:left="514" w:right="91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日，公司发行股份及支付现金购买资产并募集配套资金股份上市，增加有限售条件流通股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138,243,992</w:t>
      </w:r>
    </w:p>
    <w:p>
      <w:pPr>
        <w:spacing w:before="64"/>
        <w:ind w:left="153" w:right="914" w:firstLine="0"/>
        <w:jc w:val="left"/>
        <w:rPr>
          <w:rFonts w:ascii="宋体" w:hAnsi="宋体" w:cs="宋体" w:eastAsia="宋体" w:hint="default"/>
          <w:sz w:val="18"/>
          <w:szCs w:val="18"/>
        </w:rPr>
      </w:pPr>
      <w:r>
        <w:rPr>
          <w:rFonts w:ascii="宋体" w:hAnsi="宋体" w:cs="宋体" w:eastAsia="宋体" w:hint="default"/>
          <w:sz w:val="18"/>
          <w:szCs w:val="18"/>
        </w:rPr>
        <w:t>股，总股本增至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329,653,221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line="240" w:lineRule="auto" w:before="9"/>
        <w:rPr>
          <w:rFonts w:ascii="宋体" w:hAnsi="宋体" w:cs="宋体" w:eastAsia="宋体" w:hint="default"/>
          <w:sz w:val="25"/>
          <w:szCs w:val="25"/>
        </w:rPr>
      </w:pPr>
    </w:p>
    <w:p>
      <w:pPr>
        <w:pStyle w:val="Heading4"/>
        <w:spacing w:line="240" w:lineRule="auto"/>
        <w:ind w:left="153" w:right="914"/>
        <w:jc w:val="left"/>
        <w:rPr>
          <w:b w:val="0"/>
          <w:bCs w:val="0"/>
        </w:rPr>
      </w:pPr>
      <w:bookmarkStart w:name="2、公司股份总数及股东结构的变动、公司资产和负债结构的变动情况说明" w:id="98"/>
      <w:bookmarkEnd w:id="9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514" w:right="914"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经过此次发行股份及支付现金购买资产并募集配套资金暨关联交易后，公司股本由原来的</w:t>
      </w:r>
      <w:r>
        <w:rPr>
          <w:rFonts w:ascii="Times New Roman" w:hAnsi="Times New Roman" w:cs="Times New Roman" w:eastAsia="Times New Roman" w:hint="default"/>
          <w:spacing w:val="-2"/>
          <w:sz w:val="18"/>
          <w:szCs w:val="18"/>
        </w:rPr>
        <w:t>191,409,229</w:t>
      </w:r>
      <w:r>
        <w:rPr>
          <w:rFonts w:ascii="宋体" w:hAnsi="宋体" w:cs="宋体" w:eastAsia="宋体" w:hint="default"/>
          <w:spacing w:val="-2"/>
          <w:sz w:val="18"/>
          <w:szCs w:val="18"/>
        </w:rPr>
        <w:t>股增至</w:t>
      </w:r>
      <w:r>
        <w:rPr>
          <w:rFonts w:ascii="Times New Roman" w:hAnsi="Times New Roman" w:cs="Times New Roman" w:eastAsia="Times New Roman" w:hint="default"/>
          <w:spacing w:val="-2"/>
          <w:sz w:val="18"/>
          <w:szCs w:val="18"/>
        </w:rPr>
        <w:t>329,653,221</w:t>
      </w:r>
    </w:p>
    <w:p>
      <w:pPr>
        <w:spacing w:line="214" w:lineRule="exact"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公司控股股东及实际控制人未发生变化。公司资产结构有效改善，资产实力大幅增强，负债率大幅降低，有效的提高了</w:t>
      </w:r>
    </w:p>
    <w:p>
      <w:pPr>
        <w:spacing w:before="63"/>
        <w:ind w:left="153" w:right="914" w:firstLine="0"/>
        <w:jc w:val="left"/>
        <w:rPr>
          <w:rFonts w:ascii="宋体" w:hAnsi="宋体" w:cs="宋体" w:eastAsia="宋体" w:hint="default"/>
          <w:sz w:val="18"/>
          <w:szCs w:val="18"/>
        </w:rPr>
      </w:pPr>
      <w:r>
        <w:rPr>
          <w:rFonts w:ascii="宋体" w:hAnsi="宋体" w:cs="宋体" w:eastAsia="宋体" w:hint="default"/>
          <w:sz w:val="18"/>
          <w:szCs w:val="18"/>
        </w:rPr>
        <w:t>公司后续的发展潜力和市场竞争力。</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914"/>
        <w:jc w:val="left"/>
        <w:rPr>
          <w:b w:val="0"/>
          <w:bCs w:val="0"/>
        </w:rPr>
      </w:pPr>
      <w:bookmarkStart w:name="3、现存的内部职工股情况" w:id="99"/>
      <w:bookmarkEnd w:id="9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right="914"/>
        <w:jc w:val="left"/>
        <w:rPr>
          <w:b w:val="0"/>
          <w:bCs w:val="0"/>
        </w:rPr>
      </w:pPr>
      <w:bookmarkStart w:name="三、股东和实际控制人情况" w:id="100"/>
      <w:bookmarkEnd w:id="10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914"/>
        <w:jc w:val="left"/>
        <w:rPr>
          <w:b w:val="0"/>
          <w:bCs w:val="0"/>
        </w:rPr>
      </w:pPr>
      <w:bookmarkStart w:name="1、公司股东数量及持股情况" w:id="101"/>
      <w:bookmarkEnd w:id="10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62"/>
        <w:gridCol w:w="401"/>
        <w:gridCol w:w="798"/>
        <w:gridCol w:w="394"/>
        <w:gridCol w:w="403"/>
        <w:gridCol w:w="797"/>
        <w:gridCol w:w="395"/>
        <w:gridCol w:w="456"/>
        <w:gridCol w:w="1139"/>
        <w:gridCol w:w="229"/>
        <w:gridCol w:w="1367"/>
      </w:tblGrid>
      <w:tr>
        <w:trPr>
          <w:trHeight w:val="1343" w:hRule="exact"/>
        </w:trPr>
        <w:tc>
          <w:tcPr>
            <w:tcW w:w="15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2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94" w:right="0"/>
              <w:jc w:val="left"/>
              <w:rPr>
                <w:rFonts w:ascii="Times New Roman" w:hAnsi="Times New Roman" w:cs="Times New Roman" w:eastAsia="Times New Roman" w:hint="default"/>
                <w:sz w:val="18"/>
                <w:szCs w:val="18"/>
              </w:rPr>
            </w:pPr>
            <w:r>
              <w:rPr>
                <w:rFonts w:ascii="Times New Roman"/>
                <w:sz w:val="18"/>
              </w:rPr>
              <w:t>11,289</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3" w:right="218"/>
              <w:jc w:val="both"/>
              <w:rPr>
                <w:rFonts w:ascii="宋体" w:hAnsi="宋体" w:cs="宋体" w:eastAsia="宋体" w:hint="default"/>
                <w:sz w:val="18"/>
                <w:szCs w:val="18"/>
              </w:rPr>
            </w:pPr>
            <w:r>
              <w:rPr>
                <w:rFonts w:ascii="宋体" w:hAnsi="宋体" w:cs="宋体" w:eastAsia="宋体" w:hint="default"/>
                <w:sz w:val="18"/>
                <w:szCs w:val="18"/>
              </w:rPr>
              <w:t>年度报告披露日 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末普通股股东总 数</w:t>
            </w:r>
          </w:p>
        </w:tc>
        <w:tc>
          <w:tcPr>
            <w:tcW w:w="15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6" w:right="0"/>
              <w:jc w:val="left"/>
              <w:rPr>
                <w:rFonts w:ascii="Times New Roman" w:hAnsi="Times New Roman" w:cs="Times New Roman" w:eastAsia="Times New Roman" w:hint="default"/>
                <w:sz w:val="18"/>
                <w:szCs w:val="18"/>
              </w:rPr>
            </w:pPr>
            <w:r>
              <w:rPr>
                <w:rFonts w:ascii="Times New Roman"/>
                <w:sz w:val="18"/>
              </w:rPr>
              <w:t>13,461</w:t>
            </w:r>
          </w:p>
        </w:tc>
        <w:tc>
          <w:tcPr>
            <w:tcW w:w="15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7"/>
                <w:sz w:val="18"/>
                <w:szCs w:val="18"/>
              </w:rPr>
              <w:t>东总数（如有）（参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6" w:right="1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3"/>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22" w:right="122"/>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23" w:right="121"/>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49" w:right="149"/>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16.14%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53,200,</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000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31,600,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21,600,0</w:t>
            </w:r>
          </w:p>
          <w:p>
            <w:pPr>
              <w:pStyle w:val="TableParagraph"/>
              <w:spacing w:line="240" w:lineRule="auto" w:before="105"/>
              <w:ind w:left="557" w:right="0"/>
              <w:jc w:val="left"/>
              <w:rPr>
                <w:rFonts w:ascii="Times New Roman" w:hAnsi="Times New Roman" w:cs="Times New Roman" w:eastAsia="Times New Roman" w:hint="default"/>
                <w:sz w:val="18"/>
                <w:szCs w:val="18"/>
              </w:rPr>
            </w:pPr>
            <w:r>
              <w:rPr>
                <w:rFonts w:ascii="Times New Roman"/>
                <w:sz w:val="18"/>
              </w:rPr>
              <w:t>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40,600,000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14.88%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49,066,</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587</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490665</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49,066,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587</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上海金融发展 投资基金（有 限合伙）</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4.81%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15,859,</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306</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158593</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15,859,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306</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4.02%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13,240,</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000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11,055,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2,185,00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8,740,000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西藏坤德投资 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3.86%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12,738,</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100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-26900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12,738,1</w:t>
            </w:r>
          </w:p>
          <w:p>
            <w:pPr>
              <w:pStyle w:val="TableParagraph"/>
              <w:spacing w:line="240" w:lineRule="auto" w:before="105"/>
              <w:ind w:left="557" w:right="0"/>
              <w:jc w:val="left"/>
              <w:rPr>
                <w:rFonts w:ascii="Times New Roman" w:hAnsi="Times New Roman" w:cs="Times New Roman" w:eastAsia="Times New Roman" w:hint="default"/>
                <w:sz w:val="18"/>
                <w:szCs w:val="18"/>
              </w:rPr>
            </w:pPr>
            <w:r>
              <w:rPr>
                <w:rFonts w:ascii="Times New Roman"/>
                <w:sz w:val="18"/>
              </w:rPr>
              <w:t>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3.68%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12,140,</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000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7,820,0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4,320,00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8,640,000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曲维强</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3.39%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11,176,</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680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7,088,3</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40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4,088,34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6,050,000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3.23%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10,640,</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000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7" w:right="0"/>
              <w:jc w:val="left"/>
              <w:rPr>
                <w:rFonts w:ascii="Times New Roman" w:hAnsi="Times New Roman" w:cs="Times New Roman" w:eastAsia="Times New Roman" w:hint="default"/>
                <w:sz w:val="18"/>
                <w:szCs w:val="18"/>
              </w:rPr>
            </w:pPr>
            <w:r>
              <w:rPr>
                <w:rFonts w:ascii="Times New Roman"/>
                <w:sz w:val="18"/>
              </w:rPr>
              <w:t>864</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齐鲁证券资管</w:t>
            </w:r>
          </w:p>
          <w:p>
            <w:pPr>
              <w:pStyle w:val="TableParagraph"/>
              <w:spacing w:line="312" w:lineRule="auto" w:before="75"/>
              <w:ind w:left="103" w:right="167"/>
              <w:jc w:val="both"/>
              <w:rPr>
                <w:rFonts w:ascii="宋体" w:hAnsi="宋体" w:cs="宋体" w:eastAsia="宋体" w:hint="default"/>
                <w:sz w:val="18"/>
                <w:szCs w:val="18"/>
              </w:rPr>
            </w:pPr>
            <w:r>
              <w:rPr>
                <w:rFonts w:ascii="宋体" w:hAnsi="宋体" w:cs="宋体" w:eastAsia="宋体" w:hint="default"/>
                <w:sz w:val="18"/>
                <w:szCs w:val="18"/>
              </w:rPr>
              <w:t>—工商银行— 齐鲁定增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集合资产管理 计划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2.18%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7,190,0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719000</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7,190,0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1367"/>
        <w:gridCol w:w="863"/>
        <w:gridCol w:w="798"/>
        <w:gridCol w:w="797"/>
        <w:gridCol w:w="797"/>
        <w:gridCol w:w="851"/>
        <w:gridCol w:w="1368"/>
        <w:gridCol w:w="1367"/>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汤洪波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2.06%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6,776,6</w:t>
            </w:r>
          </w:p>
          <w:p>
            <w:pPr>
              <w:pStyle w:val="TableParagraph"/>
              <w:spacing w:line="240" w:lineRule="auto" w:before="106"/>
              <w:ind w:left="504" w:right="0"/>
              <w:jc w:val="left"/>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677662</w:t>
            </w:r>
          </w:p>
          <w:p>
            <w:pPr>
              <w:pStyle w:val="TableParagraph"/>
              <w:spacing w:line="240" w:lineRule="auto" w:before="106"/>
              <w:ind w:left="101" w:right="0"/>
              <w:jc w:val="lef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6,776,6</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1" w:type="dxa"/>
            <w:gridSpan w:val="7"/>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7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6841" w:type="dxa"/>
            <w:gridSpan w:val="7"/>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pacing w:val="-2"/>
                <w:sz w:val="18"/>
                <w:szCs w:val="18"/>
              </w:rPr>
              <w:t>上述股东中，孙世尧为孙鲲鹏、孙红丽的父亲，霍文菊为孙世尧内弟之妻，汤于为汤</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洪波的叔叔。未知其他股东相互之间是否存在关联关系，也未知是否属于《上市公司</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收购管理办法》中规定的一致行动人。</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29" w:type="dxa"/>
            <w:gridSpan w:val="2"/>
            <w:vMerge/>
            <w:tcBorders>
              <w:left w:val="single" w:sz="4" w:space="0" w:color="000000"/>
              <w:bottom w:val="single" w:sz="4" w:space="0" w:color="000000"/>
              <w:right w:val="single" w:sz="4" w:space="0" w:color="000000"/>
            </w:tcBorders>
            <w:shd w:val="clear" w:color="auto" w:fill="D2D2D2"/>
          </w:tcPr>
          <w:p>
            <w:pPr/>
          </w:p>
        </w:tc>
        <w:tc>
          <w:tcPr>
            <w:tcW w:w="4106" w:type="dxa"/>
            <w:gridSpan w:val="5"/>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21,600,000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西藏坤德投资有限公司</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12,738,100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12,738,100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8,640,000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西藏明华投资有限公司</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6,122,654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6,122,654</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于志芬</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5,040,000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4,320,000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曲维强</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4,088,340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4,088,340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李文英</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2,508,934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2,508,934</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朱彩凤</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2,240,500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2,240,500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2,185,000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2,185,000</w:t>
            </w:r>
          </w:p>
        </w:tc>
      </w:tr>
      <w:tr>
        <w:trPr>
          <w:trHeight w:val="1338"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302" w:lineRule="auto" w:before="63"/>
              <w:ind w:left="103" w:right="184"/>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 一致行动的说明</w:t>
            </w:r>
          </w:p>
        </w:tc>
        <w:tc>
          <w:tcPr>
            <w:tcW w:w="6841" w:type="dxa"/>
            <w:gridSpan w:val="7"/>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103"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名无限售流通股东中，于志芬为孙红丽与孙鲲鹏的母亲；</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、公司股东孙世 </w:t>
            </w:r>
            <w:r>
              <w:rPr>
                <w:rFonts w:ascii="宋体" w:hAnsi="宋体" w:cs="宋体" w:eastAsia="宋体" w:hint="default"/>
                <w:spacing w:val="-2"/>
                <w:sz w:val="18"/>
                <w:szCs w:val="18"/>
              </w:rPr>
              <w:t>尧系于志芬的丈夫、孙红丽及孙鲲鹏的父亲，于志芬系孙红丽及孙鲲鹏的母亲，孙红</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丽系孙鲲鹏的姐姐，霍文菊系孙世尧内弟之妻，孙世尧、于志芬、霍文菊、孙红丽和</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孙鲲鹏为一致行动人。</w:t>
            </w:r>
          </w:p>
        </w:tc>
      </w:tr>
      <w:tr>
        <w:trPr>
          <w:trHeight w:val="1026"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 </w:t>
            </w:r>
            <w:r>
              <w:rPr>
                <w:rFonts w:ascii="宋体" w:hAnsi="宋体" w:cs="宋体" w:eastAsia="宋体" w:hint="default"/>
                <w:spacing w:val="-13"/>
                <w:sz w:val="18"/>
                <w:szCs w:val="18"/>
              </w:rPr>
              <w:t>券业务股东情况说明（如有）（参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1" w:type="dxa"/>
            <w:gridSpan w:val="7"/>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914"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6"/>
        <w:ind w:left="153" w:right="9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left="153" w:right="914"/>
        <w:jc w:val="left"/>
        <w:rPr>
          <w:b w:val="0"/>
          <w:bCs w:val="0"/>
        </w:rPr>
      </w:pPr>
      <w:bookmarkStart w:name="2、公司控股股东情况" w:id="102"/>
      <w:bookmarkEnd w:id="10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20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曾任山东丽鹏股份有限公司董事长，现任山东丽鹏股份有限公司控股股东</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335"/>
        <w:gridCol w:w="6234"/>
      </w:tblGrid>
      <w:tr>
        <w:trPr>
          <w:trHeight w:val="332" w:hRule="exact"/>
        </w:trPr>
        <w:tc>
          <w:tcPr>
            <w:tcW w:w="3335" w:type="dxa"/>
            <w:tcBorders>
              <w:top w:val="nil" w:sz="6" w:space="0" w:color="auto"/>
              <w:left w:val="nil" w:sz="6" w:space="0" w:color="auto"/>
              <w:bottom w:val="single" w:sz="4" w:space="0" w:color="000000"/>
              <w:right w:val="nil" w:sz="6" w:space="0" w:color="auto"/>
            </w:tcBorders>
          </w:tcPr>
          <w:p>
            <w:pPr/>
          </w:p>
        </w:tc>
        <w:tc>
          <w:tcPr>
            <w:tcW w:w="623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年曾控股的境内外上市公司情况</w:t>
            </w:r>
          </w:p>
        </w:tc>
        <w:tc>
          <w:tcPr>
            <w:tcW w:w="6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914" w:firstLine="0"/>
        <w:jc w:val="left"/>
        <w:rPr>
          <w:rFonts w:ascii="宋体" w:hAnsi="宋体" w:cs="宋体" w:eastAsia="宋体" w:hint="default"/>
          <w:sz w:val="18"/>
          <w:szCs w:val="18"/>
        </w:rPr>
      </w:pPr>
      <w:r>
        <w:rPr/>
        <w:pict>
          <v:group style="position:absolute;margin-left:55.200001pt;margin-top:-36.978271pt;width:485pt;height:.1pt;mso-position-horizontal-relative:page;mso-position-vertical-relative:paragraph;z-index:-749824" coordorigin="1104,-740" coordsize="9700,2">
            <v:shape style="position:absolute;left:1104;top:-740;width:9700;height:2" coordorigin="1104,-740" coordsize="9700,0" path="m1104,-740l10804,-740e" filled="false" stroked="true" strokeweight=".72pt" strokecolor="#000000">
              <v:path arrowok="t"/>
            </v:shape>
            <w10:wrap type="none"/>
          </v:group>
        </w:pict>
      </w:r>
      <w:r>
        <w:rPr>
          <w:rFonts w:ascii="宋体" w:hAnsi="宋体" w:cs="宋体" w:eastAsia="宋体" w:hint="default"/>
          <w:sz w:val="18"/>
          <w:szCs w:val="18"/>
        </w:rPr>
        <w:t>控股股东报告期内变更</w:t>
      </w:r>
    </w:p>
    <w:p>
      <w:pPr>
        <w:spacing w:line="357" w:lineRule="auto" w:before="117"/>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line="240" w:lineRule="auto" w:before="1"/>
        <w:rPr>
          <w:rFonts w:ascii="宋体" w:hAnsi="宋体" w:cs="宋体" w:eastAsia="宋体" w:hint="default"/>
          <w:sz w:val="20"/>
          <w:szCs w:val="20"/>
        </w:rPr>
      </w:pPr>
    </w:p>
    <w:p>
      <w:pPr>
        <w:pStyle w:val="Heading4"/>
        <w:spacing w:line="240" w:lineRule="auto"/>
        <w:ind w:right="914"/>
        <w:jc w:val="left"/>
        <w:rPr>
          <w:b w:val="0"/>
          <w:bCs w:val="0"/>
        </w:rPr>
      </w:pPr>
      <w:bookmarkStart w:name="3、公司实际控制人情况" w:id="103"/>
      <w:bookmarkEnd w:id="10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20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20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于志芬</w:t>
            </w:r>
          </w:p>
        </w:tc>
        <w:tc>
          <w:tcPr>
            <w:tcW w:w="20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20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20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孙世尧自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月担任公司董事长；霍文菊自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月担任公司监事会主席；孙鲲鹏自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年任公司董事，</w:t>
            </w:r>
            <w:r>
              <w:rPr>
                <w:rFonts w:ascii="Times New Roman" w:hAnsi="Times New Roman" w:cs="Times New Roman" w:eastAsia="Times New Roman" w:hint="default"/>
                <w:spacing w:val="-4"/>
                <w:sz w:val="18"/>
                <w:szCs w:val="18"/>
              </w:rPr>
              <w:t>2010</w:t>
            </w:r>
          </w:p>
          <w:p>
            <w:pPr>
              <w:pStyle w:val="TableParagraph"/>
              <w:spacing w:line="302" w:lineRule="auto" w:before="63"/>
              <w:ind w:left="101" w:right="105"/>
              <w:jc w:val="left"/>
              <w:rPr>
                <w:rFonts w:ascii="宋体" w:hAnsi="宋体" w:cs="宋体" w:eastAsia="宋体" w:hint="default"/>
                <w:sz w:val="18"/>
                <w:szCs w:val="18"/>
              </w:rPr>
            </w:pP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月任公司副董事长，现任公司董事长；于志芬、孙红丽暂未 就业。</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7" w:lineRule="auto" w:before="117"/>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line="240" w:lineRule="auto" w:before="9"/>
        <w:rPr>
          <w:rFonts w:ascii="宋体" w:hAnsi="宋体" w:cs="宋体" w:eastAsia="宋体" w:hint="default"/>
          <w:sz w:val="19"/>
          <w:szCs w:val="19"/>
        </w:rPr>
      </w:pPr>
    </w:p>
    <w:p>
      <w:pPr>
        <w:spacing w:line="2955" w:lineRule="exact"/>
        <w:ind w:left="1358"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591050" cy="187642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4591050" cy="1876425"/>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10"/>
        <w:rPr>
          <w:rFonts w:ascii="宋体" w:hAnsi="宋体" w:cs="宋体" w:eastAsia="宋体" w:hint="default"/>
          <w:sz w:val="18"/>
          <w:szCs w:val="18"/>
        </w:rPr>
      </w:pPr>
    </w:p>
    <w:p>
      <w:pPr>
        <w:spacing w:before="0"/>
        <w:ind w:left="153" w:right="914"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right="914"/>
        <w:jc w:val="left"/>
        <w:rPr>
          <w:b w:val="0"/>
          <w:bCs w:val="0"/>
        </w:rPr>
      </w:pPr>
      <w:bookmarkStart w:name="4、其他持股在10%以上的法人股东" w:id="104"/>
      <w:bookmarkEnd w:id="10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2"/>
        <w:spacing w:line="240" w:lineRule="auto" w:before="26"/>
        <w:ind w:left="153" w:right="914"/>
        <w:jc w:val="left"/>
        <w:rPr>
          <w:b w:val="0"/>
          <w:bCs w:val="0"/>
        </w:rPr>
      </w:pPr>
      <w:bookmarkStart w:name="四、公司股东及其一致行动人在报告期提出或实施股份增持计划的情况" w:id="105"/>
      <w:bookmarkEnd w:id="105"/>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5"/>
        <w:gridCol w:w="1400"/>
        <w:gridCol w:w="1367"/>
        <w:gridCol w:w="1368"/>
        <w:gridCol w:w="1367"/>
        <w:gridCol w:w="1367"/>
        <w:gridCol w:w="1367"/>
      </w:tblGrid>
      <w:tr>
        <w:trPr>
          <w:trHeight w:val="1026"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122" w:right="121" w:firstLine="64"/>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 致行动人姓名</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14" w:right="155" w:hanging="360"/>
              <w:jc w:val="left"/>
              <w:rPr>
                <w:rFonts w:ascii="宋体" w:hAnsi="宋体" w:cs="宋体" w:eastAsia="宋体" w:hint="default"/>
                <w:sz w:val="18"/>
                <w:szCs w:val="18"/>
              </w:rPr>
            </w:pPr>
            <w:r>
              <w:rPr>
                <w:rFonts w:ascii="宋体" w:hAnsi="宋体" w:cs="宋体" w:eastAsia="宋体" w:hint="default"/>
                <w:sz w:val="18"/>
                <w:szCs w:val="18"/>
              </w:rPr>
              <w:t>计划增持股份 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98" w:right="137" w:hanging="360"/>
              <w:jc w:val="left"/>
              <w:rPr>
                <w:rFonts w:ascii="宋体" w:hAnsi="宋体" w:cs="宋体" w:eastAsia="宋体" w:hint="default"/>
                <w:sz w:val="18"/>
                <w:szCs w:val="18"/>
              </w:rPr>
            </w:pPr>
            <w:r>
              <w:rPr>
                <w:rFonts w:ascii="宋体" w:hAnsi="宋体" w:cs="宋体" w:eastAsia="宋体" w:hint="default"/>
                <w:sz w:val="18"/>
                <w:szCs w:val="18"/>
              </w:rPr>
              <w:t>计划增持股份 比例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97" w:right="138" w:hanging="360"/>
              <w:jc w:val="left"/>
              <w:rPr>
                <w:rFonts w:ascii="宋体" w:hAnsi="宋体" w:cs="宋体" w:eastAsia="宋体" w:hint="default"/>
                <w:sz w:val="18"/>
                <w:szCs w:val="18"/>
              </w:rPr>
            </w:pPr>
            <w:r>
              <w:rPr>
                <w:rFonts w:ascii="宋体" w:hAnsi="宋体" w:cs="宋体" w:eastAsia="宋体" w:hint="default"/>
                <w:sz w:val="18"/>
                <w:szCs w:val="18"/>
              </w:rPr>
              <w:t>实际增持股份 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96" w:right="138" w:hanging="360"/>
              <w:jc w:val="left"/>
              <w:rPr>
                <w:rFonts w:ascii="宋体" w:hAnsi="宋体" w:cs="宋体" w:eastAsia="宋体" w:hint="default"/>
                <w:sz w:val="18"/>
                <w:szCs w:val="18"/>
              </w:rPr>
            </w:pPr>
            <w:r>
              <w:rPr>
                <w:rFonts w:ascii="宋体" w:hAnsi="宋体" w:cs="宋体" w:eastAsia="宋体" w:hint="default"/>
                <w:sz w:val="18"/>
                <w:szCs w:val="18"/>
              </w:rPr>
              <w:t>实际增持股份 比例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7" w:right="137"/>
              <w:jc w:val="left"/>
              <w:rPr>
                <w:rFonts w:ascii="宋体" w:hAnsi="宋体" w:cs="宋体" w:eastAsia="宋体" w:hint="default"/>
                <w:sz w:val="18"/>
                <w:szCs w:val="18"/>
              </w:rPr>
            </w:pPr>
            <w:r>
              <w:rPr>
                <w:rFonts w:ascii="宋体" w:hAnsi="宋体" w:cs="宋体" w:eastAsia="宋体" w:hint="default"/>
                <w:sz w:val="18"/>
                <w:szCs w:val="18"/>
              </w:rPr>
              <w:t>股份增持计划 初次披露日期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37" w:right="137"/>
              <w:jc w:val="center"/>
              <w:rPr>
                <w:rFonts w:ascii="宋体" w:hAnsi="宋体" w:cs="宋体" w:eastAsia="宋体" w:hint="default"/>
                <w:sz w:val="18"/>
                <w:szCs w:val="18"/>
              </w:rPr>
            </w:pPr>
            <w:r>
              <w:rPr>
                <w:rFonts w:ascii="宋体" w:hAnsi="宋体" w:cs="宋体" w:eastAsia="宋体" w:hint="default"/>
                <w:sz w:val="18"/>
                <w:szCs w:val="18"/>
              </w:rPr>
              <w:t>股份增持计划 实施结束披露 日期</w:t>
            </w:r>
          </w:p>
        </w:tc>
      </w:tr>
      <w:tr>
        <w:trPr>
          <w:trHeight w:val="714" w:hRule="exact"/>
        </w:trPr>
        <w:tc>
          <w:tcPr>
            <w:tcW w:w="13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3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357" w:lineRule="auto" w:before="51"/>
        <w:ind w:left="153" w:right="9673" w:firstLine="0"/>
        <w:jc w:val="left"/>
        <w:rPr>
          <w:rFonts w:ascii="宋体" w:hAnsi="宋体" w:cs="宋体" w:eastAsia="宋体" w:hint="default"/>
          <w:sz w:val="18"/>
          <w:szCs w:val="18"/>
        </w:rPr>
      </w:pPr>
      <w:r>
        <w:rPr>
          <w:rFonts w:ascii="宋体" w:hAnsi="宋体" w:cs="宋体" w:eastAsia="宋体" w:hint="default"/>
          <w:sz w:val="18"/>
          <w:szCs w:val="18"/>
        </w:rPr>
        <w:t>其他情况说明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914"/>
        <w:jc w:val="left"/>
        <w:rPr>
          <w:b w:val="0"/>
          <w:bCs w:val="0"/>
        </w:rPr>
      </w:pPr>
      <w:bookmarkStart w:name="第七节 优先股相关情况" w:id="106"/>
      <w:bookmarkEnd w:id="106"/>
      <w:r>
        <w:rPr>
          <w:b w:val="0"/>
          <w:bCs w:val="0"/>
        </w:rPr>
      </w:r>
      <w:bookmarkStart w:name="_bookmark5" w:id="107"/>
      <w:bookmarkEnd w:id="10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60" w:lineRule="auto" w:before="44"/>
        <w:ind w:left="154" w:right="8592"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914"/>
        <w:jc w:val="left"/>
        <w:rPr>
          <w:b w:val="0"/>
          <w:bCs w:val="0"/>
        </w:rPr>
      </w:pPr>
      <w:bookmarkStart w:name="第八节 董事、监事、高级管理人员和员工情况" w:id="108"/>
      <w:bookmarkEnd w:id="108"/>
      <w:r>
        <w:rPr>
          <w:b w:val="0"/>
          <w:bCs w:val="0"/>
        </w:rPr>
      </w:r>
      <w:bookmarkStart w:name="_bookmark6" w:id="109"/>
      <w:bookmarkEnd w:id="10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3" w:right="914"/>
        <w:jc w:val="left"/>
        <w:rPr>
          <w:b w:val="0"/>
          <w:bCs w:val="0"/>
        </w:rPr>
      </w:pPr>
      <w:bookmarkStart w:name="一、董事、监事和高级管理人员持股变动" w:id="110"/>
      <w:bookmarkEnd w:id="11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39" w:right="158"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59" w:right="157"/>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59" w:right="158"/>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158"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0" w:right="158"/>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60"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9" w:right="158"/>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5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158"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9"/>
              <w:jc w:val="right"/>
              <w:rPr>
                <w:rFonts w:ascii="宋体" w:hAnsi="宋体" w:cs="宋体" w:eastAsia="宋体" w:hint="default"/>
                <w:sz w:val="18"/>
                <w:szCs w:val="18"/>
              </w:rPr>
            </w:pPr>
            <w:r>
              <w:rPr>
                <w:rFonts w:ascii="宋体" w:hAnsi="宋体" w:cs="宋体" w:eastAsia="宋体" w:hint="default"/>
                <w:sz w:val="18"/>
                <w:szCs w:val="18"/>
              </w:rPr>
              <w:t>孙鲲鹏</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8,740,00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13,240,0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9"/>
              <w:jc w:val="right"/>
              <w:rPr>
                <w:rFonts w:ascii="宋体" w:hAnsi="宋体" w:cs="宋体" w:eastAsia="宋体" w:hint="default"/>
                <w:sz w:val="18"/>
                <w:szCs w:val="18"/>
              </w:rPr>
            </w:pPr>
            <w:r>
              <w:rPr>
                <w:rFonts w:ascii="宋体" w:hAnsi="宋体" w:cs="宋体" w:eastAsia="宋体" w:hint="default"/>
                <w:sz w:val="18"/>
                <w:szCs w:val="18"/>
              </w:rPr>
              <w:t>李海霞</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副董事 </w:t>
            </w:r>
            <w:r>
              <w:rPr>
                <w:rFonts w:ascii="宋体" w:hAnsi="宋体" w:cs="宋体" w:eastAsia="宋体" w:hint="default"/>
                <w:spacing w:val="-17"/>
                <w:sz w:val="18"/>
                <w:szCs w:val="18"/>
              </w:rPr>
              <w:t>长、董事</w:t>
            </w:r>
            <w:r>
              <w:rPr>
                <w:rFonts w:ascii="宋体" w:hAnsi="宋体" w:cs="宋体" w:eastAsia="宋体" w:hint="default"/>
                <w:sz w:val="18"/>
                <w:szCs w:val="18"/>
              </w:rPr>
              <w:t> 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9"/>
              <w:jc w:val="right"/>
              <w:rPr>
                <w:rFonts w:ascii="宋体" w:hAnsi="宋体" w:cs="宋体" w:eastAsia="宋体" w:hint="default"/>
                <w:sz w:val="18"/>
                <w:szCs w:val="18"/>
              </w:rPr>
            </w:pPr>
            <w:r>
              <w:rPr>
                <w:rFonts w:ascii="宋体" w:hAnsi="宋体" w:cs="宋体" w:eastAsia="宋体" w:hint="default"/>
                <w:sz w:val="18"/>
                <w:szCs w:val="18"/>
              </w:rPr>
              <w:t>张本杰</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7"/>
                <w:sz w:val="18"/>
                <w:szCs w:val="18"/>
              </w:rPr>
              <w:t>董事、总</w:t>
            </w:r>
            <w:r>
              <w:rPr>
                <w:rFonts w:ascii="宋体" w:hAnsi="宋体" w:cs="宋体" w:eastAsia="宋体" w:hint="default"/>
                <w:sz w:val="18"/>
                <w:szCs w:val="18"/>
              </w:rPr>
              <w:t> 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9"/>
              <w:jc w:val="right"/>
              <w:rPr>
                <w:rFonts w:ascii="宋体" w:hAnsi="宋体" w:cs="宋体" w:eastAsia="宋体" w:hint="default"/>
                <w:sz w:val="18"/>
                <w:szCs w:val="18"/>
              </w:rPr>
            </w:pPr>
            <w:r>
              <w:rPr>
                <w:rFonts w:ascii="宋体" w:hAnsi="宋体" w:cs="宋体" w:eastAsia="宋体" w:hint="default"/>
                <w:sz w:val="18"/>
                <w:szCs w:val="18"/>
              </w:rPr>
              <w:t>汤  于</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49,066,5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49,066,5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87</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9"/>
              <w:jc w:val="right"/>
              <w:rPr>
                <w:rFonts w:ascii="宋体" w:hAnsi="宋体" w:cs="宋体" w:eastAsia="宋体" w:hint="default"/>
                <w:sz w:val="18"/>
                <w:szCs w:val="18"/>
              </w:rPr>
            </w:pPr>
            <w:r>
              <w:rPr>
                <w:rFonts w:ascii="宋体" w:hAnsi="宋体" w:cs="宋体" w:eastAsia="宋体" w:hint="default"/>
                <w:sz w:val="18"/>
                <w:szCs w:val="18"/>
              </w:rPr>
              <w:t>邢路坤</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9"/>
              <w:jc w:val="right"/>
              <w:rPr>
                <w:rFonts w:ascii="宋体" w:hAnsi="宋体" w:cs="宋体" w:eastAsia="宋体" w:hint="default"/>
                <w:sz w:val="18"/>
                <w:szCs w:val="18"/>
              </w:rPr>
            </w:pPr>
            <w:r>
              <w:rPr>
                <w:rFonts w:ascii="宋体" w:hAnsi="宋体" w:cs="宋体" w:eastAsia="宋体" w:hint="default"/>
                <w:sz w:val="18"/>
                <w:szCs w:val="18"/>
              </w:rPr>
              <w:t>罗  田</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14,600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9"/>
              <w:jc w:val="right"/>
              <w:rPr>
                <w:rFonts w:ascii="宋体" w:hAnsi="宋体" w:cs="宋体" w:eastAsia="宋体" w:hint="default"/>
                <w:sz w:val="18"/>
                <w:szCs w:val="18"/>
              </w:rPr>
            </w:pPr>
            <w:r>
              <w:rPr>
                <w:rFonts w:ascii="宋体" w:hAnsi="宋体" w:cs="宋体" w:eastAsia="宋体" w:hint="default"/>
                <w:sz w:val="18"/>
                <w:szCs w:val="18"/>
              </w:rPr>
              <w:t>王全宁</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9"/>
              <w:jc w:val="right"/>
              <w:rPr>
                <w:rFonts w:ascii="宋体" w:hAnsi="宋体" w:cs="宋体" w:eastAsia="宋体" w:hint="default"/>
                <w:sz w:val="18"/>
                <w:szCs w:val="18"/>
              </w:rPr>
            </w:pPr>
            <w:r>
              <w:rPr>
                <w:rFonts w:ascii="宋体" w:hAnsi="宋体" w:cs="宋体" w:eastAsia="宋体" w:hint="default"/>
                <w:sz w:val="18"/>
                <w:szCs w:val="18"/>
              </w:rPr>
              <w:t>秦  华</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9"/>
              <w:jc w:val="right"/>
              <w:rPr>
                <w:rFonts w:ascii="宋体" w:hAnsi="宋体" w:cs="宋体" w:eastAsia="宋体" w:hint="default"/>
                <w:sz w:val="18"/>
                <w:szCs w:val="18"/>
              </w:rPr>
            </w:pPr>
            <w:r>
              <w:rPr>
                <w:rFonts w:ascii="宋体" w:hAnsi="宋体" w:cs="宋体" w:eastAsia="宋体" w:hint="default"/>
                <w:sz w:val="18"/>
                <w:szCs w:val="18"/>
              </w:rPr>
              <w:t>秦书尧</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9"/>
              <w:jc w:val="right"/>
              <w:rPr>
                <w:rFonts w:ascii="宋体" w:hAnsi="宋体" w:cs="宋体" w:eastAsia="宋体" w:hint="default"/>
                <w:sz w:val="18"/>
                <w:szCs w:val="18"/>
              </w:rPr>
            </w:pPr>
            <w:r>
              <w:rPr>
                <w:rFonts w:ascii="宋体" w:hAnsi="宋体" w:cs="宋体" w:eastAsia="宋体" w:hint="default"/>
                <w:sz w:val="18"/>
                <w:szCs w:val="18"/>
              </w:rPr>
              <w:t>于善晓</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曲德堂</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5"/>
              <w:jc w:val="righ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梅  焕</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5"/>
              <w:jc w:val="righ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常务副 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5"/>
              <w:jc w:val="righ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赖  力</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5"/>
              <w:jc w:val="righ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1,778,33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1,778,33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5"/>
              <w:jc w:val="righ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9,820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李  波</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5"/>
              <w:jc w:val="righ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王德泰</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5"/>
              <w:jc w:val="righ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张国平</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5"/>
              <w:jc w:val="righ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葛江河</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5"/>
              <w:jc w:val="righ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吴贤国</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5"/>
              <w:jc w:val="righ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李  波</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5"/>
              <w:jc w:val="righ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68"/>
              <w:jc w:val="righ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8,914,72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55,344,9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64,259,6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44</w:t>
            </w:r>
          </w:p>
        </w:tc>
      </w:tr>
    </w:tbl>
    <w:p>
      <w:pPr>
        <w:spacing w:line="240" w:lineRule="auto" w:before="2"/>
        <w:rPr>
          <w:rFonts w:ascii="宋体" w:hAnsi="宋体" w:cs="宋体" w:eastAsia="宋体" w:hint="default"/>
          <w:b/>
          <w:bCs/>
          <w:sz w:val="18"/>
          <w:szCs w:val="18"/>
        </w:rPr>
      </w:pPr>
    </w:p>
    <w:p>
      <w:pPr>
        <w:pStyle w:val="Heading2"/>
        <w:spacing w:line="240" w:lineRule="auto" w:before="26"/>
        <w:ind w:right="914"/>
        <w:jc w:val="left"/>
        <w:rPr>
          <w:b w:val="0"/>
          <w:bCs w:val="0"/>
        </w:rPr>
      </w:pPr>
      <w:bookmarkStart w:name="二、任职情况" w:id="111"/>
      <w:bookmarkEnd w:id="111"/>
      <w:r>
        <w:rPr>
          <w:b w:val="0"/>
          <w:bCs w:val="0"/>
        </w:rPr>
      </w:r>
      <w:r>
        <w:rPr/>
        <w:t>二、任职情况</w:t>
      </w:r>
      <w:r>
        <w:rPr>
          <w:b w:val="0"/>
          <w:bCs w:val="0"/>
        </w:rPr>
      </w:r>
    </w:p>
    <w:p>
      <w:pPr>
        <w:spacing w:line="240" w:lineRule="auto" w:before="8"/>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line="316" w:lineRule="auto" w:before="102"/>
        <w:ind w:left="566" w:right="1120" w:hanging="413"/>
        <w:jc w:val="left"/>
        <w:rPr>
          <w:rFonts w:ascii="宋体" w:hAnsi="宋体" w:cs="宋体" w:eastAsia="宋体" w:hint="default"/>
          <w:sz w:val="18"/>
          <w:szCs w:val="18"/>
        </w:rPr>
      </w:pPr>
      <w:r>
        <w:rPr>
          <w:rFonts w:ascii="宋体" w:hAnsi="宋体" w:cs="宋体" w:eastAsia="宋体" w:hint="default"/>
          <w:b/>
          <w:bCs/>
          <w:sz w:val="18"/>
          <w:szCs w:val="18"/>
        </w:rPr>
        <w:t>（一）董事会成员</w:t>
      </w:r>
      <w:r>
        <w:rPr>
          <w:rFonts w:ascii="宋体" w:hAnsi="宋体" w:cs="宋体" w:eastAsia="宋体" w:hint="default"/>
          <w:b/>
          <w:bCs/>
          <w:w w:val="99"/>
          <w:sz w:val="18"/>
          <w:szCs w:val="18"/>
        </w:rPr>
        <w:t> </w:t>
      </w:r>
      <w:r>
        <w:rPr>
          <w:rFonts w:ascii="宋体" w:hAnsi="宋体" w:cs="宋体" w:eastAsia="宋体" w:hint="default"/>
          <w:b/>
          <w:bCs/>
          <w:spacing w:val="-1"/>
          <w:sz w:val="18"/>
          <w:szCs w:val="18"/>
        </w:rPr>
        <w:t>孙鲲鹏先生：</w:t>
      </w:r>
      <w:r>
        <w:rPr>
          <w:rFonts w:ascii="宋体" w:hAnsi="宋体" w:cs="宋体" w:eastAsia="宋体" w:hint="default"/>
          <w:spacing w:val="-1"/>
          <w:sz w:val="18"/>
          <w:szCs w:val="18"/>
        </w:rPr>
        <w:t>中国国籍，无永久境外居留权，</w:t>
      </w:r>
      <w:r>
        <w:rPr>
          <w:rFonts w:ascii="Times New Roman" w:hAnsi="Times New Roman" w:cs="Times New Roman" w:eastAsia="Times New Roman" w:hint="default"/>
          <w:spacing w:val="-1"/>
          <w:sz w:val="18"/>
          <w:szCs w:val="18"/>
        </w:rPr>
        <w:t>1977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月出生，大专学历，曾任山东丽鹏包装有限公司董事、北京鹏和</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566" w:right="1120" w:hanging="413"/>
        <w:jc w:val="left"/>
        <w:rPr>
          <w:rFonts w:ascii="宋体" w:hAnsi="宋体" w:cs="宋体" w:eastAsia="宋体" w:hint="default"/>
          <w:sz w:val="18"/>
          <w:szCs w:val="18"/>
        </w:rPr>
      </w:pPr>
      <w:r>
        <w:rPr>
          <w:rFonts w:ascii="宋体" w:hAnsi="宋体" w:cs="宋体" w:eastAsia="宋体" w:hint="default"/>
          <w:sz w:val="18"/>
          <w:szCs w:val="18"/>
        </w:rPr>
        <w:t>祥包装制品有限公司董事长、山东丽鹏股份有限公司副董事长，现任本公司董事长。 </w:t>
      </w:r>
      <w:r>
        <w:rPr>
          <w:rFonts w:ascii="宋体" w:hAnsi="宋体" w:cs="宋体" w:eastAsia="宋体" w:hint="default"/>
          <w:b/>
          <w:bCs/>
          <w:spacing w:val="-1"/>
          <w:sz w:val="18"/>
          <w:szCs w:val="18"/>
        </w:rPr>
        <w:t>张本杰先生：</w:t>
      </w:r>
      <w:r>
        <w:rPr>
          <w:rFonts w:ascii="宋体" w:hAnsi="宋体" w:cs="宋体" w:eastAsia="宋体" w:hint="default"/>
          <w:spacing w:val="-1"/>
          <w:sz w:val="18"/>
          <w:szCs w:val="18"/>
        </w:rPr>
        <w:t>中国国籍，无永久境外居留权，</w:t>
      </w:r>
      <w:r>
        <w:rPr>
          <w:rFonts w:ascii="Times New Roman" w:hAnsi="Times New Roman" w:cs="Times New Roman" w:eastAsia="Times New Roman" w:hint="default"/>
          <w:spacing w:val="-1"/>
          <w:sz w:val="18"/>
          <w:szCs w:val="18"/>
        </w:rPr>
        <w:t>1969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月出生，大专学历，曾任烟台市丽鹏包装有限责任公司总经理办</w:t>
      </w:r>
    </w:p>
    <w:p>
      <w:pPr>
        <w:spacing w:line="316" w:lineRule="auto" w:before="0"/>
        <w:ind w:left="154" w:right="914" w:firstLine="0"/>
        <w:jc w:val="left"/>
        <w:rPr>
          <w:rFonts w:ascii="宋体" w:hAnsi="宋体" w:cs="宋体" w:eastAsia="宋体" w:hint="default"/>
          <w:sz w:val="18"/>
          <w:szCs w:val="18"/>
        </w:rPr>
      </w:pPr>
      <w:r>
        <w:rPr>
          <w:rFonts w:ascii="宋体" w:hAnsi="宋体" w:cs="宋体" w:eastAsia="宋体" w:hint="default"/>
          <w:spacing w:val="-2"/>
          <w:sz w:val="18"/>
          <w:szCs w:val="18"/>
        </w:rPr>
        <w:t>公室主任、山东丽鹏包装有限公司总裁办公室主任、生产业务部经理、经营管理部经理、销售部经理、副总裁、山东丽鹏股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份有限公司副总裁、销售部经理、国内贸易部经理，现任本公司董事、总裁。</w:t>
      </w:r>
    </w:p>
    <w:p>
      <w:pPr>
        <w:spacing w:line="316" w:lineRule="auto" w:before="19"/>
        <w:ind w:left="154" w:right="1041" w:firstLine="412"/>
        <w:jc w:val="both"/>
        <w:rPr>
          <w:rFonts w:ascii="宋体" w:hAnsi="宋体" w:cs="宋体" w:eastAsia="宋体" w:hint="default"/>
          <w:sz w:val="18"/>
          <w:szCs w:val="18"/>
        </w:rPr>
      </w:pPr>
      <w:r>
        <w:rPr>
          <w:rFonts w:ascii="宋体" w:hAnsi="宋体" w:cs="宋体" w:eastAsia="宋体" w:hint="default"/>
          <w:b/>
          <w:bCs/>
          <w:spacing w:val="-3"/>
          <w:sz w:val="18"/>
          <w:szCs w:val="18"/>
        </w:rPr>
        <w:t>李海霞女士：</w:t>
      </w:r>
      <w:r>
        <w:rPr>
          <w:rFonts w:ascii="宋体" w:hAnsi="宋体" w:cs="宋体" w:eastAsia="宋体" w:hint="default"/>
          <w:spacing w:val="-3"/>
          <w:sz w:val="18"/>
          <w:szCs w:val="18"/>
        </w:rPr>
        <w:t>中国国籍，无永久境外居留权，</w:t>
      </w:r>
      <w:r>
        <w:rPr>
          <w:rFonts w:ascii="宋体" w:hAnsi="宋体" w:cs="宋体" w:eastAsia="宋体" w:hint="default"/>
          <w:spacing w:val="-3"/>
          <w:sz w:val="18"/>
          <w:szCs w:val="18"/>
        </w:rPr>
        <w:t>1976</w:t>
      </w:r>
      <w:r>
        <w:rPr>
          <w:rFonts w:ascii="宋体" w:hAnsi="宋体" w:cs="宋体" w:eastAsia="宋体" w:hint="default"/>
          <w:spacing w:val="-3"/>
          <w:sz w:val="18"/>
          <w:szCs w:val="18"/>
        </w:rPr>
        <w:t>年</w:t>
      </w:r>
      <w:r>
        <w:rPr>
          <w:rFonts w:ascii="宋体" w:hAnsi="宋体" w:cs="宋体" w:eastAsia="宋体" w:hint="default"/>
          <w:spacing w:val="-3"/>
          <w:sz w:val="18"/>
          <w:szCs w:val="18"/>
        </w:rPr>
        <w:t>5</w:t>
      </w:r>
      <w:r>
        <w:rPr>
          <w:rFonts w:ascii="宋体" w:hAnsi="宋体" w:cs="宋体" w:eastAsia="宋体" w:hint="default"/>
          <w:spacing w:val="-3"/>
          <w:sz w:val="18"/>
          <w:szCs w:val="18"/>
        </w:rPr>
        <w:t>月出生，本科学历，曾任山东丽鹏包装有限公司总裁办公室主任、</w:t>
      </w:r>
      <w:r>
        <w:rPr>
          <w:rFonts w:ascii="宋体" w:hAnsi="宋体" w:cs="宋体" w:eastAsia="宋体" w:hint="default"/>
          <w:sz w:val="18"/>
          <w:szCs w:val="18"/>
        </w:rPr>
        <w:t> 行政管理部经理、副总裁、山东丽鹏股份有限公司副总裁、董事会秘书、证券部经理，现任本公司副董事长、董事会秘书、 证券部经理、大冶市劲鹏制盖有限公司董事长、烟台丽鹏投资有限公司董事长。</w:t>
      </w:r>
    </w:p>
    <w:p>
      <w:pPr>
        <w:spacing w:line="316" w:lineRule="auto" w:before="59"/>
        <w:ind w:left="154" w:right="1130" w:firstLine="362"/>
        <w:jc w:val="both"/>
        <w:rPr>
          <w:rFonts w:ascii="宋体" w:hAnsi="宋体" w:cs="宋体" w:eastAsia="宋体" w:hint="default"/>
          <w:sz w:val="18"/>
          <w:szCs w:val="18"/>
        </w:rPr>
      </w:pPr>
      <w:r>
        <w:rPr>
          <w:rFonts w:ascii="宋体" w:hAnsi="宋体" w:cs="宋体" w:eastAsia="宋体" w:hint="default"/>
          <w:b/>
          <w:bCs/>
          <w:sz w:val="18"/>
          <w:szCs w:val="18"/>
        </w:rPr>
        <w:t>汤于先生：</w:t>
      </w:r>
      <w:r>
        <w:rPr>
          <w:rFonts w:ascii="宋体" w:hAnsi="宋体" w:cs="宋体" w:eastAsia="宋体" w:hint="default"/>
          <w:sz w:val="18"/>
          <w:szCs w:val="18"/>
        </w:rPr>
        <w:t>中国国籍，无永久境外居留权，</w:t>
      </w:r>
      <w:r>
        <w:rPr>
          <w:rFonts w:ascii="宋体" w:hAnsi="宋体" w:cs="宋体" w:eastAsia="宋体" w:hint="default"/>
          <w:sz w:val="18"/>
          <w:szCs w:val="18"/>
        </w:rPr>
        <w:t>1968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月出生，在职研究生，曾任重庆浙江商会副会长、全国风景园林学 </w:t>
      </w:r>
      <w:r>
        <w:rPr>
          <w:rFonts w:ascii="宋体" w:hAnsi="宋体" w:cs="宋体" w:eastAsia="宋体" w:hint="default"/>
          <w:spacing w:val="-2"/>
          <w:sz w:val="18"/>
          <w:szCs w:val="18"/>
        </w:rPr>
        <w:t>会企业发展和信息委员会主任，现任本公司董事，重庆华宇园林有限公司董事长、重庆市江北区工商联副主席、江北区第十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七届人大代表、重庆市第四届人大代表、江北区大石坝商会常务副会长、大石坝慈善分会副会长、中国国民党革命委员会重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庆市委员会委员。</w:t>
      </w:r>
    </w:p>
    <w:p>
      <w:pPr>
        <w:spacing w:line="300" w:lineRule="auto" w:before="58"/>
        <w:ind w:left="154" w:right="1050" w:firstLine="362"/>
        <w:jc w:val="both"/>
        <w:rPr>
          <w:rFonts w:ascii="宋体" w:hAnsi="宋体" w:cs="宋体" w:eastAsia="宋体" w:hint="default"/>
          <w:sz w:val="18"/>
          <w:szCs w:val="18"/>
        </w:rPr>
      </w:pPr>
      <w:r>
        <w:rPr>
          <w:rFonts w:ascii="宋体" w:hAnsi="宋体" w:cs="宋体" w:eastAsia="宋体" w:hint="default"/>
          <w:b/>
          <w:bCs/>
          <w:sz w:val="18"/>
          <w:szCs w:val="18"/>
        </w:rPr>
        <w:t>邢路坤先生：</w:t>
      </w:r>
      <w:r>
        <w:rPr>
          <w:rFonts w:ascii="宋体" w:hAnsi="宋体" w:cs="宋体" w:eastAsia="宋体" w:hint="default"/>
          <w:sz w:val="18"/>
          <w:szCs w:val="18"/>
        </w:rPr>
        <w:t>中国国籍，无永久境外居留权，</w:t>
      </w:r>
      <w:r>
        <w:rPr>
          <w:rFonts w:ascii="Times New Roman" w:hAnsi="Times New Roman" w:cs="Times New Roman" w:eastAsia="Times New Roman" w:hint="default"/>
          <w:sz w:val="18"/>
          <w:szCs w:val="18"/>
        </w:rPr>
        <w:t>1959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月出生，大专学历，曾任烟台市罐头厂技术厂长、山东丽鹏包装 有限公司副总裁、运营部经理、印铁厂厂长、山东丽鹏股份有限公司副总裁、运营部经理，现任本公司董事、运营部经理。</w:t>
      </w:r>
    </w:p>
    <w:p>
      <w:pPr>
        <w:spacing w:line="302" w:lineRule="auto" w:before="31"/>
        <w:ind w:left="154" w:right="1134" w:firstLine="361"/>
        <w:jc w:val="both"/>
        <w:rPr>
          <w:rFonts w:ascii="宋体" w:hAnsi="宋体" w:cs="宋体" w:eastAsia="宋体" w:hint="default"/>
          <w:sz w:val="18"/>
          <w:szCs w:val="18"/>
        </w:rPr>
      </w:pPr>
      <w:r>
        <w:rPr>
          <w:rFonts w:ascii="宋体" w:hAnsi="宋体" w:cs="宋体" w:eastAsia="宋体" w:hint="default"/>
          <w:b/>
          <w:bCs/>
          <w:sz w:val="18"/>
          <w:szCs w:val="18"/>
        </w:rPr>
        <w:t>罗田先生：</w:t>
      </w:r>
      <w:r>
        <w:rPr>
          <w:rFonts w:ascii="宋体" w:hAnsi="宋体" w:cs="宋体" w:eastAsia="宋体" w:hint="default"/>
          <w:sz w:val="18"/>
          <w:szCs w:val="18"/>
        </w:rPr>
        <w:t>中国国籍，无永久境外居留权，</w:t>
      </w:r>
      <w:r>
        <w:rPr>
          <w:rFonts w:ascii="Arial" w:hAnsi="Arial" w:cs="Arial" w:eastAsia="Arial" w:hint="default"/>
          <w:sz w:val="18"/>
          <w:szCs w:val="18"/>
        </w:rPr>
        <w:t>1963</w:t>
      </w:r>
      <w:r>
        <w:rPr>
          <w:rFonts w:ascii="宋体" w:hAnsi="宋体" w:cs="宋体" w:eastAsia="宋体" w:hint="default"/>
          <w:sz w:val="18"/>
          <w:szCs w:val="18"/>
        </w:rPr>
        <w:t>年</w:t>
      </w:r>
      <w:r>
        <w:rPr>
          <w:rFonts w:ascii="Arial" w:hAnsi="Arial" w:cs="Arial" w:eastAsia="Arial" w:hint="default"/>
          <w:sz w:val="18"/>
          <w:szCs w:val="18"/>
        </w:rPr>
        <w:t>12</w:t>
      </w:r>
      <w:r>
        <w:rPr>
          <w:rFonts w:ascii="宋体" w:hAnsi="宋体" w:cs="宋体" w:eastAsia="宋体" w:hint="default"/>
          <w:sz w:val="18"/>
          <w:szCs w:val="18"/>
        </w:rPr>
        <w:t>月出生，大专学历，现任本公司董事，成都海川制盖有限公司董 事长、四川泸州丽鹏制盖有限公司董事长，四川省成都市人大代表、蒲江县人大常委、蒲江县工商联主席、商会会长。</w:t>
      </w:r>
    </w:p>
    <w:p>
      <w:pPr>
        <w:spacing w:line="309" w:lineRule="auto" w:before="29"/>
        <w:ind w:left="154" w:right="1133" w:firstLine="362"/>
        <w:jc w:val="both"/>
        <w:rPr>
          <w:rFonts w:ascii="宋体" w:hAnsi="宋体" w:cs="宋体" w:eastAsia="宋体" w:hint="default"/>
          <w:sz w:val="18"/>
          <w:szCs w:val="18"/>
        </w:rPr>
      </w:pPr>
      <w:r>
        <w:rPr>
          <w:rFonts w:ascii="宋体" w:hAnsi="宋体" w:cs="宋体" w:eastAsia="宋体" w:hint="default"/>
          <w:b/>
          <w:bCs/>
          <w:sz w:val="18"/>
          <w:szCs w:val="18"/>
        </w:rPr>
        <w:t>王全宁先生：</w:t>
      </w:r>
      <w:r>
        <w:rPr>
          <w:rFonts w:ascii="宋体" w:hAnsi="宋体" w:cs="宋体" w:eastAsia="宋体" w:hint="default"/>
          <w:sz w:val="18"/>
          <w:szCs w:val="18"/>
        </w:rPr>
        <w:t>中国国籍，无永久境外居留权，</w:t>
      </w:r>
      <w:r>
        <w:rPr>
          <w:rFonts w:ascii="Times New Roman" w:hAnsi="Times New Roman" w:cs="Times New Roman" w:eastAsia="Times New Roman" w:hint="default"/>
          <w:sz w:val="18"/>
          <w:szCs w:val="18"/>
        </w:rPr>
        <w:t>1969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月出生，本科学历，高级会计师、注册会计师、资产评估师、房 </w:t>
      </w:r>
      <w:r>
        <w:rPr>
          <w:rFonts w:ascii="宋体" w:hAnsi="宋体" w:cs="宋体" w:eastAsia="宋体" w:hint="default"/>
          <w:spacing w:val="-2"/>
          <w:sz w:val="18"/>
          <w:szCs w:val="18"/>
        </w:rPr>
        <w:t>地产评估师。曾任烟台牟平职业中等专业学校教师、烟台市牟平区审计师事务所部门经理、烟台天罡有限责任会计师事务所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部门经理，现任本公司独立董事、烟台天陆新有限责任会计师事务所主任会计师。</w:t>
      </w:r>
    </w:p>
    <w:p>
      <w:pPr>
        <w:spacing w:line="316" w:lineRule="auto" w:before="24"/>
        <w:ind w:left="154" w:right="1131" w:firstLine="362"/>
        <w:jc w:val="both"/>
        <w:rPr>
          <w:rFonts w:ascii="宋体" w:hAnsi="宋体" w:cs="宋体" w:eastAsia="宋体" w:hint="default"/>
          <w:sz w:val="18"/>
          <w:szCs w:val="18"/>
        </w:rPr>
      </w:pPr>
      <w:r>
        <w:rPr>
          <w:rFonts w:ascii="宋体" w:hAnsi="宋体" w:cs="宋体" w:eastAsia="宋体" w:hint="default"/>
          <w:b/>
          <w:bCs/>
          <w:sz w:val="18"/>
          <w:szCs w:val="18"/>
        </w:rPr>
        <w:t>秦华先生：</w:t>
      </w:r>
      <w:r>
        <w:rPr>
          <w:rFonts w:ascii="宋体" w:hAnsi="宋体" w:cs="宋体" w:eastAsia="宋体" w:hint="default"/>
          <w:sz w:val="18"/>
          <w:szCs w:val="18"/>
        </w:rPr>
        <w:t>中国国籍，无永久境外居留权，</w:t>
      </w:r>
      <w:r>
        <w:rPr>
          <w:rFonts w:ascii="宋体" w:hAnsi="宋体" w:cs="宋体" w:eastAsia="宋体" w:hint="default"/>
          <w:sz w:val="18"/>
          <w:szCs w:val="18"/>
        </w:rPr>
        <w:t>1962</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月出生，博士学历，重庆人文科技学院建筑与设计学院副院长，西 </w:t>
      </w:r>
      <w:r>
        <w:rPr>
          <w:rFonts w:ascii="宋体" w:hAnsi="宋体" w:cs="宋体" w:eastAsia="宋体" w:hint="default"/>
          <w:spacing w:val="-2"/>
          <w:sz w:val="18"/>
          <w:szCs w:val="18"/>
        </w:rPr>
        <w:t>南大学教授，博士生导师。教育部、财政部国家级精品课程获得者，国家林业局风景资源评价专家组成员，重庆市风景园林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师培训考试中心副主任，注册一级风景园林师，重庆市政府科技特派员，重庆市风景园林学会副理事长，重庆市花卉协会常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务理事，</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-2014</w:t>
      </w:r>
      <w:r>
        <w:rPr>
          <w:rFonts w:ascii="宋体" w:hAnsi="宋体" w:cs="宋体" w:eastAsia="宋体" w:hint="default"/>
          <w:sz w:val="18"/>
          <w:szCs w:val="18"/>
        </w:rPr>
        <w:t>年任重庆华宇园林股份公司独立董事，现任本公司董事。</w:t>
      </w:r>
    </w:p>
    <w:p>
      <w:pPr>
        <w:spacing w:line="316" w:lineRule="auto" w:before="19"/>
        <w:ind w:left="153" w:right="914" w:firstLine="362"/>
        <w:jc w:val="left"/>
        <w:rPr>
          <w:rFonts w:ascii="宋体" w:hAnsi="宋体" w:cs="宋体" w:eastAsia="宋体" w:hint="default"/>
          <w:sz w:val="18"/>
          <w:szCs w:val="18"/>
        </w:rPr>
      </w:pPr>
      <w:r>
        <w:rPr>
          <w:rFonts w:ascii="宋体" w:hAnsi="宋体" w:cs="宋体" w:eastAsia="宋体" w:hint="default"/>
          <w:b/>
          <w:bCs/>
          <w:spacing w:val="-2"/>
          <w:sz w:val="18"/>
          <w:szCs w:val="18"/>
        </w:rPr>
        <w:t>秦书尧先生：</w:t>
      </w:r>
      <w:r>
        <w:rPr>
          <w:rFonts w:ascii="宋体" w:hAnsi="宋体" w:cs="宋体" w:eastAsia="宋体" w:hint="default"/>
          <w:spacing w:val="-2"/>
          <w:sz w:val="18"/>
          <w:szCs w:val="18"/>
        </w:rPr>
        <w:t>中国国籍，无永久境外居留权，</w:t>
      </w:r>
      <w:r>
        <w:rPr>
          <w:rFonts w:ascii="宋体" w:hAnsi="宋体" w:cs="宋体" w:eastAsia="宋体" w:hint="default"/>
          <w:spacing w:val="-2"/>
          <w:sz w:val="18"/>
          <w:szCs w:val="18"/>
        </w:rPr>
        <w:t>1971</w:t>
      </w:r>
      <w:r>
        <w:rPr>
          <w:rFonts w:ascii="宋体" w:hAnsi="宋体" w:cs="宋体" w:eastAsia="宋体" w:hint="default"/>
          <w:spacing w:val="-2"/>
          <w:sz w:val="18"/>
          <w:szCs w:val="18"/>
        </w:rPr>
        <w:t>年</w:t>
      </w:r>
      <w:r>
        <w:rPr>
          <w:rFonts w:ascii="宋体" w:hAnsi="宋体" w:cs="宋体" w:eastAsia="宋体" w:hint="default"/>
          <w:spacing w:val="-2"/>
          <w:sz w:val="18"/>
          <w:szCs w:val="18"/>
        </w:rPr>
        <w:t>5</w:t>
      </w:r>
      <w:r>
        <w:rPr>
          <w:rFonts w:ascii="宋体" w:hAnsi="宋体" w:cs="宋体" w:eastAsia="宋体" w:hint="default"/>
          <w:spacing w:val="-2"/>
          <w:sz w:val="18"/>
          <w:szCs w:val="18"/>
        </w:rPr>
        <w:t>月出生，本科学历，曾任烟台市南山路小学教师、华夏酒报记者、</w:t>
      </w:r>
      <w:r>
        <w:rPr>
          <w:rFonts w:ascii="宋体" w:hAnsi="宋体" w:cs="宋体" w:eastAsia="宋体" w:hint="default"/>
          <w:sz w:val="18"/>
          <w:szCs w:val="18"/>
        </w:rPr>
        <w:t> </w:t>
      </w:r>
      <w:r>
        <w:rPr>
          <w:rFonts w:ascii="宋体" w:hAnsi="宋体" w:cs="宋体" w:eastAsia="宋体" w:hint="default"/>
          <w:spacing w:val="-4"/>
          <w:sz w:val="18"/>
          <w:szCs w:val="18"/>
        </w:rPr>
        <w:t>烟台日报社《今晨</w:t>
      </w:r>
      <w:r>
        <w:rPr>
          <w:rFonts w:ascii="宋体" w:hAnsi="宋体" w:cs="宋体" w:eastAsia="宋体" w:hint="default"/>
          <w:spacing w:val="-4"/>
          <w:sz w:val="18"/>
          <w:szCs w:val="18"/>
        </w:rPr>
        <w:t>6</w:t>
      </w:r>
      <w:r>
        <w:rPr>
          <w:rFonts w:ascii="宋体" w:hAnsi="宋体" w:cs="宋体" w:eastAsia="宋体" w:hint="default"/>
          <w:spacing w:val="-4"/>
          <w:sz w:val="18"/>
          <w:szCs w:val="18"/>
        </w:rPr>
        <w:t>点》策划部主任、北京大写国际文化传媒有限公司法人代表、总经理，创办女性杂志《</w:t>
      </w:r>
      <w:r>
        <w:rPr>
          <w:rFonts w:ascii="宋体" w:hAnsi="宋体" w:cs="宋体" w:eastAsia="宋体" w:hint="default"/>
          <w:spacing w:val="-4"/>
          <w:sz w:val="18"/>
          <w:szCs w:val="18"/>
        </w:rPr>
        <w:t>37</w:t>
      </w:r>
      <w:r>
        <w:rPr>
          <w:rFonts w:ascii="宋体" w:hAnsi="宋体" w:cs="宋体" w:eastAsia="宋体" w:hint="default"/>
          <w:spacing w:val="-4"/>
          <w:sz w:val="18"/>
          <w:szCs w:val="18"/>
        </w:rPr>
        <w:t>°女人》、《优</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格》，现任本公司董事，北京华夏酒报文化传媒有限公司法人代表，总经理。</w:t>
      </w:r>
    </w:p>
    <w:p>
      <w:pPr>
        <w:spacing w:line="316" w:lineRule="auto" w:before="19"/>
        <w:ind w:left="566" w:right="1120" w:hanging="413"/>
        <w:jc w:val="left"/>
        <w:rPr>
          <w:rFonts w:ascii="宋体" w:hAnsi="宋体" w:cs="宋体" w:eastAsia="宋体" w:hint="default"/>
          <w:sz w:val="18"/>
          <w:szCs w:val="18"/>
        </w:rPr>
      </w:pPr>
      <w:r>
        <w:rPr>
          <w:rFonts w:ascii="宋体" w:hAnsi="宋体" w:cs="宋体" w:eastAsia="宋体" w:hint="default"/>
          <w:b/>
          <w:bCs/>
          <w:sz w:val="18"/>
          <w:szCs w:val="18"/>
        </w:rPr>
        <w:t>（二）监事会成员</w:t>
      </w:r>
      <w:r>
        <w:rPr>
          <w:rFonts w:ascii="宋体" w:hAnsi="宋体" w:cs="宋体" w:eastAsia="宋体" w:hint="default"/>
          <w:b/>
          <w:bCs/>
          <w:w w:val="99"/>
          <w:sz w:val="18"/>
          <w:szCs w:val="18"/>
        </w:rPr>
        <w:t> </w:t>
      </w:r>
      <w:r>
        <w:rPr>
          <w:rFonts w:ascii="宋体" w:hAnsi="宋体" w:cs="宋体" w:eastAsia="宋体" w:hint="default"/>
          <w:b/>
          <w:bCs/>
          <w:spacing w:val="-1"/>
          <w:sz w:val="18"/>
          <w:szCs w:val="18"/>
        </w:rPr>
        <w:t>于善晓先生</w:t>
      </w:r>
      <w:r>
        <w:rPr>
          <w:rFonts w:ascii="宋体" w:hAnsi="宋体" w:cs="宋体" w:eastAsia="宋体" w:hint="default"/>
          <w:spacing w:val="-1"/>
          <w:sz w:val="18"/>
          <w:szCs w:val="18"/>
        </w:rPr>
        <w:t>：中国国籍，无永久境外居留权，</w:t>
      </w:r>
      <w:r>
        <w:rPr>
          <w:rFonts w:ascii="Times New Roman" w:hAnsi="Times New Roman" w:cs="Times New Roman" w:eastAsia="Times New Roman" w:hint="default"/>
          <w:spacing w:val="-1"/>
          <w:sz w:val="18"/>
          <w:szCs w:val="18"/>
        </w:rPr>
        <w:t>1977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月出生，专科学历，曾任山东丽鹏包装有限公司质检员、质检主</w:t>
      </w:r>
    </w:p>
    <w:p>
      <w:pPr>
        <w:spacing w:line="316" w:lineRule="auto" w:before="0"/>
        <w:ind w:left="154" w:right="914" w:firstLine="0"/>
        <w:jc w:val="left"/>
        <w:rPr>
          <w:rFonts w:ascii="宋体" w:hAnsi="宋体" w:cs="宋体" w:eastAsia="宋体" w:hint="default"/>
          <w:sz w:val="18"/>
          <w:szCs w:val="18"/>
        </w:rPr>
      </w:pPr>
      <w:r>
        <w:rPr>
          <w:rFonts w:ascii="宋体" w:hAnsi="宋体" w:cs="宋体" w:eastAsia="宋体" w:hint="default"/>
          <w:spacing w:val="-2"/>
          <w:sz w:val="18"/>
          <w:szCs w:val="18"/>
        </w:rPr>
        <w:t>任、质保部主任、铝塑厂厂长、山东丽鹏股份有限公司监事、行政管理部经理，现任本公司监事会主席、人力资源与知识产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权部经理。</w:t>
      </w:r>
    </w:p>
    <w:p>
      <w:pPr>
        <w:spacing w:line="300" w:lineRule="auto" w:before="19"/>
        <w:ind w:left="154" w:right="1041" w:firstLine="412"/>
        <w:jc w:val="both"/>
        <w:rPr>
          <w:rFonts w:ascii="宋体" w:hAnsi="宋体" w:cs="宋体" w:eastAsia="宋体" w:hint="default"/>
          <w:sz w:val="18"/>
          <w:szCs w:val="18"/>
        </w:rPr>
      </w:pPr>
      <w:r>
        <w:rPr>
          <w:rFonts w:ascii="宋体" w:hAnsi="宋体" w:cs="宋体" w:eastAsia="宋体" w:hint="default"/>
          <w:b/>
          <w:bCs/>
          <w:spacing w:val="-3"/>
          <w:sz w:val="18"/>
          <w:szCs w:val="18"/>
        </w:rPr>
        <w:t>曲德堂先生</w:t>
      </w:r>
      <w:r>
        <w:rPr>
          <w:rFonts w:ascii="宋体" w:hAnsi="宋体" w:cs="宋体" w:eastAsia="宋体" w:hint="default"/>
          <w:spacing w:val="-3"/>
          <w:sz w:val="18"/>
          <w:szCs w:val="18"/>
        </w:rPr>
        <w:t>：中国国籍，无永久境外居留权，</w:t>
      </w:r>
      <w:r>
        <w:rPr>
          <w:rFonts w:ascii="Times New Roman" w:hAnsi="Times New Roman" w:cs="Times New Roman" w:eastAsia="Times New Roman" w:hint="default"/>
          <w:spacing w:val="-3"/>
          <w:sz w:val="18"/>
          <w:szCs w:val="18"/>
        </w:rPr>
        <w:t>1965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月出生，中专学历，曾任山东丽鹏包装有限公司机械模具厂班长、</w:t>
      </w:r>
      <w:r>
        <w:rPr>
          <w:rFonts w:ascii="宋体" w:hAnsi="宋体" w:cs="宋体" w:eastAsia="宋体" w:hint="default"/>
          <w:sz w:val="18"/>
          <w:szCs w:val="18"/>
        </w:rPr>
        <w:t> 车间主任、副厂长、山东丽鹏股份有限公司机械模具厂厂长、瓶盖厂厂长，现任本公司监事、铝塑厂厂长。</w:t>
      </w:r>
    </w:p>
    <w:p>
      <w:pPr>
        <w:spacing w:line="309" w:lineRule="auto" w:before="31"/>
        <w:ind w:left="154" w:right="914" w:firstLine="412"/>
        <w:jc w:val="left"/>
        <w:rPr>
          <w:rFonts w:ascii="宋体" w:hAnsi="宋体" w:cs="宋体" w:eastAsia="宋体" w:hint="default"/>
          <w:sz w:val="18"/>
          <w:szCs w:val="18"/>
        </w:rPr>
      </w:pPr>
      <w:r>
        <w:rPr>
          <w:rFonts w:ascii="宋体" w:hAnsi="宋体" w:cs="宋体" w:eastAsia="宋体" w:hint="default"/>
          <w:b/>
          <w:bCs/>
          <w:spacing w:val="-3"/>
          <w:sz w:val="18"/>
          <w:szCs w:val="18"/>
        </w:rPr>
        <w:t>梅焕女士：</w:t>
      </w:r>
      <w:r>
        <w:rPr>
          <w:rFonts w:ascii="宋体" w:hAnsi="宋体" w:cs="宋体" w:eastAsia="宋体" w:hint="default"/>
          <w:spacing w:val="-3"/>
          <w:sz w:val="18"/>
          <w:szCs w:val="18"/>
        </w:rPr>
        <w:t>中国国籍，无永久境外居留权，</w:t>
      </w:r>
      <w:r>
        <w:rPr>
          <w:rFonts w:ascii="Times New Roman" w:hAnsi="Times New Roman" w:cs="Times New Roman" w:eastAsia="Times New Roman" w:hint="default"/>
          <w:spacing w:val="-3"/>
          <w:sz w:val="18"/>
          <w:szCs w:val="18"/>
        </w:rPr>
        <w:t>1977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月出生，本科学历，曾任山东丽鹏包装有限公司瓶盖厂办公室主任、</w:t>
      </w:r>
      <w:r>
        <w:rPr>
          <w:rFonts w:ascii="宋体" w:hAnsi="宋体" w:cs="宋体" w:eastAsia="宋体" w:hint="default"/>
          <w:sz w:val="18"/>
          <w:szCs w:val="18"/>
        </w:rPr>
        <w:t> </w:t>
      </w:r>
      <w:r>
        <w:rPr>
          <w:rFonts w:ascii="宋体" w:hAnsi="宋体" w:cs="宋体" w:eastAsia="宋体" w:hint="default"/>
          <w:spacing w:val="-2"/>
          <w:sz w:val="18"/>
          <w:szCs w:val="18"/>
        </w:rPr>
        <w:t>山东丽鹏股份有限公司财务部办公室主任、四川泸州丽鹏制盖有限公司副总经理、审计部职员，现任本公司监事、审计部经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理。</w:t>
      </w:r>
    </w:p>
    <w:p>
      <w:pPr>
        <w:spacing w:line="316" w:lineRule="auto" w:before="24"/>
        <w:ind w:left="516" w:right="7346" w:hanging="363"/>
        <w:jc w:val="left"/>
        <w:rPr>
          <w:rFonts w:ascii="宋体" w:hAnsi="宋体" w:cs="宋体" w:eastAsia="宋体" w:hint="default"/>
          <w:sz w:val="18"/>
          <w:szCs w:val="18"/>
        </w:rPr>
      </w:pPr>
      <w:r>
        <w:rPr>
          <w:rFonts w:ascii="宋体" w:hAnsi="宋体" w:cs="宋体" w:eastAsia="宋体" w:hint="default"/>
          <w:b/>
          <w:bCs/>
          <w:sz w:val="18"/>
          <w:szCs w:val="18"/>
        </w:rPr>
        <w:t>（三）高级管理人员</w:t>
      </w:r>
      <w:r>
        <w:rPr>
          <w:rFonts w:ascii="宋体" w:hAnsi="宋体" w:cs="宋体" w:eastAsia="宋体" w:hint="default"/>
          <w:b/>
          <w:bCs/>
          <w:w w:val="99"/>
          <w:sz w:val="18"/>
          <w:szCs w:val="18"/>
        </w:rPr>
        <w:t> </w:t>
      </w:r>
      <w:r>
        <w:rPr>
          <w:rFonts w:ascii="宋体" w:hAnsi="宋体" w:cs="宋体" w:eastAsia="宋体" w:hint="default"/>
          <w:b/>
          <w:bCs/>
          <w:sz w:val="18"/>
          <w:szCs w:val="18"/>
        </w:rPr>
        <w:t>张本杰先生：</w:t>
      </w: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部分。</w:t>
      </w:r>
    </w:p>
    <w:p>
      <w:pPr>
        <w:spacing w:line="309" w:lineRule="auto" w:before="0"/>
        <w:ind w:left="154" w:right="914" w:firstLine="362"/>
        <w:jc w:val="left"/>
        <w:rPr>
          <w:rFonts w:ascii="宋体" w:hAnsi="宋体" w:cs="宋体" w:eastAsia="宋体" w:hint="default"/>
          <w:sz w:val="18"/>
          <w:szCs w:val="18"/>
        </w:rPr>
      </w:pPr>
      <w:r>
        <w:rPr>
          <w:rFonts w:ascii="宋体" w:hAnsi="宋体" w:cs="宋体" w:eastAsia="宋体" w:hint="default"/>
          <w:b/>
          <w:bCs/>
          <w:spacing w:val="-1"/>
          <w:sz w:val="18"/>
          <w:szCs w:val="18"/>
        </w:rPr>
        <w:t>王国祝先生：</w:t>
      </w:r>
      <w:r>
        <w:rPr>
          <w:rFonts w:ascii="宋体" w:hAnsi="宋体" w:cs="宋体" w:eastAsia="宋体" w:hint="default"/>
          <w:spacing w:val="-1"/>
          <w:sz w:val="18"/>
          <w:szCs w:val="18"/>
        </w:rPr>
        <w:t>中国国籍，无永久境外居留权，</w:t>
      </w:r>
      <w:r>
        <w:rPr>
          <w:rFonts w:ascii="Times New Roman" w:hAnsi="Times New Roman" w:cs="Times New Roman" w:eastAsia="Times New Roman" w:hint="default"/>
          <w:spacing w:val="-1"/>
          <w:sz w:val="18"/>
          <w:szCs w:val="18"/>
        </w:rPr>
        <w:t>1976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月出生，大专学历，曾任山东丽鹏包装有限公司财务部副经理、</w:t>
      </w:r>
      <w:r>
        <w:rPr>
          <w:rFonts w:ascii="宋体" w:hAnsi="宋体" w:cs="宋体" w:eastAsia="宋体" w:hint="default"/>
          <w:sz w:val="18"/>
          <w:szCs w:val="18"/>
        </w:rPr>
        <w:t> </w:t>
      </w:r>
      <w:r>
        <w:rPr>
          <w:rFonts w:ascii="宋体" w:hAnsi="宋体" w:cs="宋体" w:eastAsia="宋体" w:hint="default"/>
          <w:spacing w:val="-2"/>
          <w:sz w:val="18"/>
          <w:szCs w:val="18"/>
        </w:rPr>
        <w:t>经理、副总裁、山东丽鹏股份有限公司副总裁、财务总监、财务部经理，现任本公司常务副总裁、国内贸易部经理、北京鹏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和祥包装制品有限公司董事长。</w:t>
      </w:r>
    </w:p>
    <w:p>
      <w:pPr>
        <w:spacing w:line="316" w:lineRule="auto" w:before="65"/>
        <w:ind w:left="154" w:right="1042" w:firstLine="411"/>
        <w:jc w:val="both"/>
        <w:rPr>
          <w:rFonts w:ascii="宋体" w:hAnsi="宋体" w:cs="宋体" w:eastAsia="宋体" w:hint="default"/>
          <w:sz w:val="18"/>
          <w:szCs w:val="18"/>
        </w:rPr>
      </w:pPr>
      <w:r>
        <w:rPr>
          <w:rFonts w:ascii="宋体" w:hAnsi="宋体" w:cs="宋体" w:eastAsia="宋体" w:hint="default"/>
          <w:b/>
          <w:bCs/>
          <w:sz w:val="18"/>
          <w:szCs w:val="18"/>
        </w:rPr>
        <w:t>赖力先生：</w:t>
      </w:r>
      <w:r>
        <w:rPr>
          <w:rFonts w:ascii="宋体" w:hAnsi="宋体" w:cs="宋体" w:eastAsia="宋体" w:hint="default"/>
          <w:sz w:val="18"/>
          <w:szCs w:val="18"/>
        </w:rPr>
        <w:t>中国国籍，无永久境外居留权，</w:t>
      </w:r>
      <w:r>
        <w:rPr>
          <w:rFonts w:ascii="宋体" w:hAnsi="宋体" w:cs="宋体" w:eastAsia="宋体" w:hint="default"/>
          <w:sz w:val="18"/>
          <w:szCs w:val="18"/>
        </w:rPr>
        <w:t>1966</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月出生，中国科学院植物学硕士研究生，植物学资深专家，教授级 </w:t>
      </w:r>
      <w:r>
        <w:rPr>
          <w:rFonts w:ascii="宋体" w:hAnsi="宋体" w:cs="宋体" w:eastAsia="宋体" w:hint="default"/>
          <w:spacing w:val="-2"/>
          <w:sz w:val="18"/>
          <w:szCs w:val="18"/>
        </w:rPr>
        <w:t>高工，历任重庆市花卉园管理处绿化科副科长、重庆市园林绿化科学研究所所长、重庆市花木公司经理、重庆市园林工程建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设有限公司董事长兼总经理（西部地区第一家园林一级施工资质企业）、重庆市园林大酒店总经理、重庆市花卉苗木中心主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任、重庆市园林建筑规划设计院院长、重庆绿谷开发建设有限公司执行副总经理。西南大学、重庆工商大学、重庆理工大学</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客座教授、硕士生导师，重庆市风景园林学会常务理事，重庆市工程技术建筑高级职务资格评审会委员。现任本公司副总裁，</w:t>
      </w:r>
    </w:p>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914" w:firstLine="0"/>
        <w:jc w:val="left"/>
        <w:rPr>
          <w:rFonts w:ascii="宋体" w:hAnsi="宋体" w:cs="宋体" w:eastAsia="宋体" w:hint="default"/>
          <w:sz w:val="18"/>
          <w:szCs w:val="18"/>
        </w:rPr>
      </w:pPr>
      <w:r>
        <w:rPr>
          <w:rFonts w:ascii="宋体" w:hAnsi="宋体" w:cs="宋体" w:eastAsia="宋体" w:hint="default"/>
          <w:sz w:val="18"/>
          <w:szCs w:val="18"/>
        </w:rPr>
        <w:t>重庆华宇园林有限公司总经理。</w:t>
      </w:r>
    </w:p>
    <w:p>
      <w:pPr>
        <w:spacing w:line="309" w:lineRule="auto" w:before="115"/>
        <w:ind w:left="153" w:right="1130" w:firstLine="482"/>
        <w:jc w:val="both"/>
        <w:rPr>
          <w:rFonts w:ascii="宋体" w:hAnsi="宋体" w:cs="宋体" w:eastAsia="宋体" w:hint="default"/>
          <w:sz w:val="18"/>
          <w:szCs w:val="18"/>
        </w:rPr>
      </w:pPr>
      <w:r>
        <w:rPr>
          <w:rFonts w:ascii="宋体" w:hAnsi="宋体" w:cs="宋体" w:eastAsia="宋体" w:hint="default"/>
          <w:b/>
          <w:bCs/>
          <w:sz w:val="18"/>
          <w:szCs w:val="18"/>
        </w:rPr>
        <w:t>刘宗江先生</w:t>
      </w:r>
      <w:r>
        <w:rPr>
          <w:rFonts w:ascii="宋体" w:hAnsi="宋体" w:cs="宋体" w:eastAsia="宋体" w:hint="default"/>
          <w:sz w:val="18"/>
          <w:szCs w:val="18"/>
        </w:rPr>
        <w:t>：中国国籍，无永久境外居留权，</w:t>
      </w:r>
      <w:r>
        <w:rPr>
          <w:rFonts w:ascii="Times New Roman" w:hAnsi="Times New Roman" w:cs="Times New Roman" w:eastAsia="Times New Roman" w:hint="default"/>
          <w:sz w:val="18"/>
          <w:szCs w:val="18"/>
        </w:rPr>
        <w:t>1976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月出生，本科学历，曾任山东丽鹏包装有限公司国际贸易部 </w:t>
      </w:r>
      <w:r>
        <w:rPr>
          <w:rFonts w:ascii="宋体" w:hAnsi="宋体" w:cs="宋体" w:eastAsia="宋体" w:hint="default"/>
          <w:spacing w:val="-2"/>
          <w:sz w:val="18"/>
          <w:szCs w:val="18"/>
        </w:rPr>
        <w:t>经理、销售部副经理，山东丽鹏股份有限公司监事、董事、国际贸易部经理，现任本公司副总裁、烟台丽鹏包装有限公司执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行董事、经理、山东丽鹏国际贸易有限公司执行董事、经理、新疆军鹏制盖有限公司董事长。</w:t>
      </w:r>
    </w:p>
    <w:p>
      <w:pPr>
        <w:spacing w:line="309" w:lineRule="auto" w:before="64"/>
        <w:ind w:left="153" w:right="914" w:firstLine="412"/>
        <w:jc w:val="left"/>
        <w:rPr>
          <w:rFonts w:ascii="宋体" w:hAnsi="宋体" w:cs="宋体" w:eastAsia="宋体" w:hint="default"/>
          <w:sz w:val="18"/>
          <w:szCs w:val="18"/>
        </w:rPr>
      </w:pPr>
      <w:r>
        <w:rPr>
          <w:rFonts w:ascii="宋体" w:hAnsi="宋体" w:cs="宋体" w:eastAsia="宋体" w:hint="default"/>
          <w:b/>
          <w:bCs/>
          <w:sz w:val="18"/>
          <w:szCs w:val="18"/>
        </w:rPr>
        <w:t>李波先生：</w:t>
      </w:r>
      <w:r>
        <w:rPr>
          <w:rFonts w:ascii="宋体" w:hAnsi="宋体" w:cs="宋体" w:eastAsia="宋体" w:hint="default"/>
          <w:sz w:val="18"/>
          <w:szCs w:val="18"/>
        </w:rPr>
        <w:t>中国国籍，无永久境外居留权，</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月出生，中专学历，曾任烟台市丽鹏包装有限责任公司技术开发 </w:t>
      </w:r>
      <w:r>
        <w:rPr>
          <w:rFonts w:ascii="宋体" w:hAnsi="宋体" w:cs="宋体" w:eastAsia="宋体" w:hint="default"/>
          <w:spacing w:val="-4"/>
          <w:sz w:val="18"/>
          <w:szCs w:val="18"/>
        </w:rPr>
        <w:t>部经理、山东丽鹏包装有限公司瓶盖厂厂长、机械模具厂厂长、技术开发部经理、山东丽鹏股份有限公司董事、印铁厂厂长，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现任本公司副总裁、供应部经理。</w:t>
      </w:r>
    </w:p>
    <w:p>
      <w:pPr>
        <w:spacing w:line="302" w:lineRule="auto" w:before="62"/>
        <w:ind w:left="153" w:right="1120" w:firstLine="412"/>
        <w:jc w:val="left"/>
        <w:rPr>
          <w:rFonts w:ascii="宋体" w:hAnsi="宋体" w:cs="宋体" w:eastAsia="宋体" w:hint="default"/>
          <w:sz w:val="18"/>
          <w:szCs w:val="18"/>
        </w:rPr>
      </w:pPr>
      <w:r>
        <w:rPr>
          <w:rFonts w:ascii="宋体" w:hAnsi="宋体" w:cs="宋体" w:eastAsia="宋体" w:hint="default"/>
          <w:b/>
          <w:bCs/>
          <w:sz w:val="18"/>
          <w:szCs w:val="18"/>
        </w:rPr>
        <w:t>王德泰先生：</w:t>
      </w:r>
      <w:r>
        <w:rPr>
          <w:rFonts w:ascii="宋体" w:hAnsi="宋体" w:cs="宋体" w:eastAsia="宋体" w:hint="default"/>
          <w:sz w:val="18"/>
          <w:szCs w:val="18"/>
        </w:rPr>
        <w:t>中国国籍，无永久境外居留权，</w:t>
      </w:r>
      <w:r>
        <w:rPr>
          <w:rFonts w:ascii="Times New Roman" w:hAnsi="Times New Roman" w:cs="Times New Roman" w:eastAsia="Times New Roman" w:hint="default"/>
          <w:sz w:val="18"/>
          <w:szCs w:val="18"/>
        </w:rPr>
        <w:t>1971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月出生，中专学历，曾任山东丽鹏包装有限公司机械模具厂厂 长助理、厂长、山东丽鹏股份有限公司运营部副经理、瓶盖厂厂长，现任本公司副总裁、研发制造中心经理。</w:t>
      </w:r>
    </w:p>
    <w:p>
      <w:pPr>
        <w:spacing w:before="69"/>
        <w:ind w:left="576" w:right="914" w:firstLine="0"/>
        <w:jc w:val="left"/>
        <w:rPr>
          <w:rFonts w:ascii="宋体" w:hAnsi="宋体" w:cs="宋体" w:eastAsia="宋体" w:hint="default"/>
          <w:sz w:val="18"/>
          <w:szCs w:val="18"/>
        </w:rPr>
      </w:pPr>
      <w:r>
        <w:rPr>
          <w:rFonts w:ascii="宋体" w:hAnsi="宋体" w:cs="宋体" w:eastAsia="宋体" w:hint="default"/>
          <w:b/>
          <w:bCs/>
          <w:sz w:val="18"/>
          <w:szCs w:val="18"/>
        </w:rPr>
        <w:t>李海霞女士：</w:t>
      </w: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部分。</w:t>
      </w:r>
    </w:p>
    <w:p>
      <w:pPr>
        <w:spacing w:line="302" w:lineRule="auto" w:before="102"/>
        <w:ind w:left="153" w:right="1024" w:firstLine="412"/>
        <w:jc w:val="left"/>
        <w:rPr>
          <w:rFonts w:ascii="宋体" w:hAnsi="宋体" w:cs="宋体" w:eastAsia="宋体" w:hint="default"/>
          <w:sz w:val="18"/>
          <w:szCs w:val="18"/>
        </w:rPr>
      </w:pPr>
      <w:r>
        <w:rPr>
          <w:rFonts w:ascii="宋体" w:hAnsi="宋体" w:cs="宋体" w:eastAsia="宋体" w:hint="default"/>
          <w:b/>
          <w:bCs/>
          <w:sz w:val="18"/>
          <w:szCs w:val="18"/>
        </w:rPr>
        <w:t>张国平先生：</w:t>
      </w:r>
      <w:r>
        <w:rPr>
          <w:rFonts w:ascii="宋体" w:hAnsi="宋体" w:cs="宋体" w:eastAsia="宋体" w:hint="default"/>
          <w:sz w:val="18"/>
          <w:szCs w:val="18"/>
        </w:rPr>
        <w:t>中国国籍，无永久境外居留权，</w:t>
      </w:r>
      <w:r>
        <w:rPr>
          <w:rFonts w:ascii="Times New Roman" w:hAnsi="Times New Roman" w:cs="Times New Roman" w:eastAsia="Times New Roman" w:hint="default"/>
          <w:sz w:val="18"/>
          <w:szCs w:val="18"/>
        </w:rPr>
        <w:t>1977</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月出生，大专学历，曾任山东丽鹏包装有限公司财务部副经理， 山东丽鹏股份有限公司财务部副经理，现任本公司财务总监、财务部经理、重庆华宇园林有限公司董事、财务总监。</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57" w:lineRule="auto" w:before="117"/>
        <w:ind w:left="154" w:right="9132" w:firstLine="0"/>
        <w:jc w:val="left"/>
        <w:rPr>
          <w:rFonts w:ascii="宋体" w:hAnsi="宋体" w:cs="宋体" w:eastAsia="宋体" w:hint="default"/>
          <w:sz w:val="18"/>
          <w:szCs w:val="18"/>
        </w:rPr>
      </w:pPr>
      <w:r>
        <w:rPr>
          <w:rFonts w:ascii="宋体" w:hAnsi="宋体" w:cs="宋体" w:eastAsia="宋体" w:hint="default"/>
          <w:sz w:val="18"/>
          <w:szCs w:val="18"/>
        </w:rPr>
        <w:t>□ 适用 √ 不适用 在其他单位任职情况</w:t>
      </w:r>
    </w:p>
    <w:p>
      <w:pPr>
        <w:spacing w:before="28"/>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1021"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5" w:right="144"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16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9" w:hRule="exact"/>
        </w:trPr>
        <w:tc>
          <w:tcPr>
            <w:tcW w:w="1202"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大冶市劲鹏制盖有限公司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vMerge/>
            <w:tcBorders>
              <w:left w:val="single" w:sz="4" w:space="0" w:color="000000"/>
              <w:bottom w:val="single" w:sz="4" w:space="0" w:color="000000"/>
              <w:right w:val="single" w:sz="4" w:space="0" w:color="000000"/>
            </w:tcBorders>
            <w:shd w:val="clear" w:color="auto" w:fill="C6ECCC"/>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烟台丽鹏投资有限公司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汤  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  田</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成都海川制盖有限公司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vMerge/>
            <w:tcBorders>
              <w:left w:val="single" w:sz="4" w:space="0" w:color="000000"/>
              <w:bottom w:val="single" w:sz="4" w:space="0" w:color="000000"/>
              <w:right w:val="single" w:sz="4" w:space="0" w:color="000000"/>
            </w:tcBorders>
            <w:shd w:val="clear" w:color="auto" w:fill="C6ECCC"/>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四川泸州丽鹏制盖有限公司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北京鹏和祥包装制品有限公司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新疆军鹏制盖有限公司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vMerge/>
            <w:tcBorders>
              <w:left w:val="single" w:sz="4" w:space="0" w:color="000000"/>
              <w:right w:val="single" w:sz="4" w:space="0" w:color="000000"/>
            </w:tcBorders>
            <w:shd w:val="clear" w:color="auto" w:fill="C6ECCC"/>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山东丽鹏国际贸易有限公司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vMerge/>
            <w:tcBorders>
              <w:left w:val="single" w:sz="4" w:space="0" w:color="000000"/>
              <w:bottom w:val="single" w:sz="4" w:space="0" w:color="000000"/>
              <w:right w:val="single" w:sz="4" w:space="0" w:color="000000"/>
            </w:tcBorders>
            <w:shd w:val="clear" w:color="auto" w:fill="C6ECCC"/>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烟台丽鹏包装有限公司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张国平</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董事、财务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赖  力</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6"/>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67"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914"/>
        <w:jc w:val="left"/>
        <w:rPr>
          <w:b w:val="0"/>
          <w:bCs w:val="0"/>
        </w:rPr>
      </w:pPr>
      <w:bookmarkStart w:name="三、董事、监事、高级管理人员报酬情况" w:id="112"/>
      <w:bookmarkEnd w:id="112"/>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w:t>
      </w:r>
    </w:p>
    <w:p>
      <w:pPr>
        <w:pStyle w:val="BodyText"/>
        <w:spacing w:line="264" w:lineRule="auto" w:before="90"/>
        <w:ind w:left="154" w:right="914" w:firstLine="420"/>
        <w:jc w:val="left"/>
      </w:pPr>
      <w:r>
        <w:rPr>
          <w:rFonts w:ascii="Times New Roman" w:hAnsi="Times New Roman" w:cs="Times New Roman" w:eastAsia="Times New Roman" w:hint="default"/>
        </w:rPr>
        <w:t>1</w:t>
      </w:r>
      <w:r>
        <w:rPr/>
        <w:t>、决策程序：根据公司章程规定和经营情况，公司董事、监事的报酬分别由董事会、监事会提出议 </w:t>
      </w:r>
      <w:r>
        <w:rPr>
          <w:spacing w:val="-1"/>
        </w:rPr>
        <w:t>案，股东大会批准；公司总裁、副总裁、财务总监、董事会秘书等高级管理人员的报酬由公司董事会薪酬</w:t>
      </w:r>
      <w:r>
        <w:rPr>
          <w:spacing w:val="-82"/>
        </w:rPr>
        <w:t> </w:t>
      </w:r>
      <w:r>
        <w:rPr>
          <w:spacing w:val="-82"/>
        </w:rPr>
      </w:r>
      <w:r>
        <w:rPr/>
        <w:t>与考核委员会提出议案，报董事会批准。</w:t>
      </w:r>
    </w:p>
    <w:p>
      <w:pPr>
        <w:pStyle w:val="BodyText"/>
        <w:tabs>
          <w:tab w:pos="9583" w:val="left" w:leader="none"/>
        </w:tabs>
        <w:spacing w:line="256" w:lineRule="auto" w:before="16"/>
        <w:ind w:left="154" w:right="1130" w:firstLine="420"/>
        <w:jc w:val="left"/>
      </w:pPr>
      <w:r>
        <w:rPr>
          <w:rFonts w:ascii="Times New Roman" w:hAnsi="Times New Roman" w:cs="Times New Roman" w:eastAsia="Times New Roman" w:hint="default"/>
          <w:spacing w:val="-8"/>
        </w:rPr>
        <w:t>2</w:t>
      </w:r>
      <w:r>
        <w:rPr>
          <w:spacing w:val="-8"/>
        </w:rPr>
        <w:t>、确定依据：公司董事、监事、高级管理人员报酬根据公司总体发展战略和年度的经营目标以及其</w:t>
        <w:tab/>
      </w:r>
      <w:r>
        <w:rPr/>
        <w:t>在</w:t>
      </w:r>
      <w:r>
        <w:rPr/>
        <w:t> 公司担任的职务，按公司实际情况结合工资制度、考核办法获得劳动报酬。</w:t>
      </w:r>
    </w:p>
    <w:p>
      <w:pPr>
        <w:spacing w:before="88"/>
        <w:ind w:left="154" w:right="914"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142"/>
              <w:jc w:val="center"/>
              <w:rPr>
                <w:rFonts w:ascii="宋体" w:hAnsi="宋体" w:cs="宋体" w:eastAsia="宋体" w:hint="default"/>
                <w:sz w:val="18"/>
                <w:szCs w:val="18"/>
              </w:rPr>
            </w:pPr>
            <w:r>
              <w:rPr>
                <w:rFonts w:ascii="宋体" w:hAnsi="宋体" w:cs="宋体" w:eastAsia="宋体" w:hint="default"/>
                <w:sz w:val="18"/>
                <w:szCs w:val="18"/>
              </w:rPr>
              <w:t>从公司获得 的应付报酬 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143"/>
              <w:jc w:val="center"/>
              <w:rPr>
                <w:rFonts w:ascii="宋体" w:hAnsi="宋体" w:cs="宋体" w:eastAsia="宋体" w:hint="default"/>
                <w:sz w:val="18"/>
                <w:szCs w:val="18"/>
              </w:rPr>
            </w:pPr>
            <w:r>
              <w:rPr>
                <w:rFonts w:ascii="宋体" w:hAnsi="宋体" w:cs="宋体" w:eastAsia="宋体" w:hint="default"/>
                <w:sz w:val="18"/>
                <w:szCs w:val="18"/>
              </w:rPr>
              <w:t>从股东单位 获得的报酬 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2" w:right="140"/>
              <w:jc w:val="left"/>
              <w:rPr>
                <w:rFonts w:ascii="宋体" w:hAnsi="宋体" w:cs="宋体" w:eastAsia="宋体" w:hint="default"/>
                <w:sz w:val="18"/>
                <w:szCs w:val="18"/>
              </w:rPr>
            </w:pPr>
            <w:r>
              <w:rPr>
                <w:rFonts w:ascii="宋体" w:hAnsi="宋体" w:cs="宋体" w:eastAsia="宋体" w:hint="default"/>
                <w:sz w:val="18"/>
                <w:szCs w:val="18"/>
              </w:rPr>
              <w:t>报告期末实 际获得报酬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36.19</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0"/>
              <w:jc w:val="left"/>
              <w:rPr>
                <w:rFonts w:ascii="宋体" w:hAnsi="宋体" w:cs="宋体" w:eastAsia="宋体" w:hint="default"/>
                <w:sz w:val="18"/>
                <w:szCs w:val="18"/>
              </w:rPr>
            </w:pPr>
            <w:r>
              <w:rPr>
                <w:rFonts w:ascii="宋体" w:hAnsi="宋体" w:cs="宋体" w:eastAsia="宋体" w:hint="default"/>
                <w:sz w:val="18"/>
                <w:szCs w:val="18"/>
              </w:rPr>
              <w:t>副董事长、 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24.28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张本杰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  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邢路坤</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  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12.23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王全宁</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秦  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秦书尧</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于善晓</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曲德堂</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10.14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梅  焕</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7.24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20.58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赖  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18.28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  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17.03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王德泰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17.03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张国平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15.78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葛江河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吴贤国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301.98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301.98</w:t>
            </w:r>
          </w:p>
        </w:tc>
      </w:tr>
    </w:tbl>
    <w:p>
      <w:pPr>
        <w:spacing w:line="360" w:lineRule="auto" w:before="51"/>
        <w:ind w:left="153" w:right="2293" w:firstLine="0"/>
        <w:jc w:val="left"/>
        <w:rPr>
          <w:rFonts w:ascii="宋体" w:hAnsi="宋体" w:cs="宋体" w:eastAsia="宋体" w:hint="default"/>
          <w:sz w:val="18"/>
          <w:szCs w:val="18"/>
        </w:rPr>
      </w:pPr>
      <w:r>
        <w:rPr>
          <w:rFonts w:ascii="宋体" w:hAnsi="宋体" w:cs="宋体" w:eastAsia="宋体" w:hint="default"/>
          <w:sz w:val="18"/>
          <w:szCs w:val="18"/>
        </w:rPr>
        <w:t>注：本报告期初任职，本报告期末不再任职的原董事、监事和高级管理人员的相关情况仍须填写入本表中。 公司董事、监事、高级管理人员报告期内被授予的股权激励情况</w:t>
      </w:r>
    </w:p>
    <w:p>
      <w:pPr>
        <w:spacing w:before="26"/>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914"/>
        <w:jc w:val="left"/>
        <w:rPr>
          <w:b w:val="0"/>
          <w:bCs w:val="0"/>
        </w:rPr>
      </w:pPr>
      <w:bookmarkStart w:name="四、公司董事、监事、高级管理人员变动情况" w:id="113"/>
      <w:bookmarkEnd w:id="113"/>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1"/>
        <w:gridCol w:w="1902"/>
        <w:gridCol w:w="3675"/>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  波</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职务变动，现任本公司副总裁</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葛江河</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因个人原因，辞去独立董事职务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吴贤国</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因个人原因，辞去独立董事职务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秦  华</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新聘任为公司独立董事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秦书尧</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新聘任为公司独立董事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汤  于</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收购重庆华宇园林后，被提名为公司董事</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赖  力</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收购重庆华宇园林后，新聘任为公司副总裁</w:t>
            </w:r>
          </w:p>
        </w:tc>
      </w:tr>
    </w:tbl>
    <w:p>
      <w:pPr>
        <w:spacing w:line="240" w:lineRule="auto" w:before="2"/>
        <w:rPr>
          <w:rFonts w:ascii="宋体" w:hAnsi="宋体" w:cs="宋体" w:eastAsia="宋体" w:hint="default"/>
          <w:b/>
          <w:bCs/>
          <w:sz w:val="18"/>
          <w:szCs w:val="18"/>
        </w:rPr>
      </w:pPr>
    </w:p>
    <w:p>
      <w:pPr>
        <w:pStyle w:val="Heading2"/>
        <w:spacing w:line="240" w:lineRule="auto" w:before="26"/>
        <w:ind w:right="914"/>
        <w:jc w:val="left"/>
        <w:rPr>
          <w:b w:val="0"/>
          <w:bCs w:val="0"/>
        </w:rPr>
      </w:pPr>
      <w:bookmarkStart w:name="五、报告期核心技术团队或关键技术人员变动情况（非董事、监事、高级管理人员）" w:id="114"/>
      <w:bookmarkEnd w:id="114"/>
      <w:r>
        <w:rPr>
          <w:b w:val="0"/>
          <w:bCs w:val="0"/>
        </w:rPr>
      </w: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ind w:left="153" w:right="914"/>
        <w:jc w:val="left"/>
        <w:rPr>
          <w:b w:val="0"/>
          <w:bCs w:val="0"/>
        </w:rPr>
      </w:pPr>
      <w:bookmarkStart w:name="六、公司员工情况" w:id="115"/>
      <w:bookmarkEnd w:id="115"/>
      <w:r>
        <w:rPr>
          <w:b w:val="0"/>
          <w:bCs w:val="0"/>
        </w:rPr>
      </w:r>
      <w:r>
        <w:rPr/>
        <w:t>六、公司员工情况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914"/>
        <w:jc w:val="left"/>
      </w:pPr>
      <w:bookmarkStart w:name="_bookmark7" w:id="116"/>
      <w:bookmarkEnd w:id="116"/>
      <w:r>
        <w:rPr/>
      </w:r>
      <w:r>
        <w:rPr/>
        <w:t>截至</w:t>
      </w:r>
      <w:r>
        <w:rPr>
          <w:rFonts w:ascii="Times New Roman" w:hAnsi="Times New Roman" w:cs="Times New Roman" w:eastAsia="Times New Roman" w:hint="default"/>
        </w:rPr>
        <w:t>201</w:t>
      </w:r>
      <w:r>
        <w:rPr>
          <w:rFonts w:ascii="宋体" w:hAnsi="宋体" w:cs="宋体" w:eastAsia="宋体" w:hint="default"/>
        </w:rPr>
        <w:t>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日，本公司员工总数为</w:t>
      </w:r>
      <w:r>
        <w:rPr>
          <w:rFonts w:ascii="宋体" w:hAnsi="宋体" w:cs="宋体" w:eastAsia="宋体" w:hint="default"/>
        </w:rPr>
        <w:t>1,993</w:t>
      </w:r>
      <w:r>
        <w:rPr/>
        <w:t>人，构成情况如下：</w:t>
      </w:r>
    </w:p>
    <w:p>
      <w:pPr>
        <w:spacing w:line="240" w:lineRule="auto" w:before="6"/>
        <w:rPr>
          <w:rFonts w:ascii="宋体" w:hAnsi="宋体" w:cs="宋体" w:eastAsia="宋体" w:hint="default"/>
          <w:sz w:val="25"/>
          <w:szCs w:val="25"/>
        </w:rPr>
      </w:pPr>
    </w:p>
    <w:p>
      <w:pPr>
        <w:pStyle w:val="Heading4"/>
        <w:spacing w:line="240" w:lineRule="auto"/>
        <w:ind w:left="566" w:right="914"/>
        <w:jc w:val="left"/>
        <w:rPr>
          <w:b w:val="0"/>
          <w:bCs w:val="0"/>
        </w:rPr>
      </w:pPr>
      <w:r>
        <w:rPr/>
        <w:t>（一）员工专业构成情况</w:t>
      </w:r>
      <w:r>
        <w:rPr>
          <w:b w:val="0"/>
          <w:bCs w:val="0"/>
        </w:rPr>
      </w:r>
    </w:p>
    <w:p>
      <w:pPr>
        <w:spacing w:line="240" w:lineRule="auto" w:before="1"/>
        <w:rPr>
          <w:rFonts w:ascii="宋体" w:hAnsi="宋体" w:cs="宋体" w:eastAsia="宋体" w:hint="default"/>
          <w:b/>
          <w:bCs/>
          <w:sz w:val="9"/>
          <w:szCs w:val="9"/>
        </w:rPr>
      </w:pPr>
    </w:p>
    <w:p>
      <w:pPr>
        <w:spacing w:line="2670" w:lineRule="exact"/>
        <w:ind w:left="728"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5391150" cy="169545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6" cstate="print"/>
                    <a:stretch>
                      <a:fillRect/>
                    </a:stretch>
                  </pic:blipFill>
                  <pic:spPr>
                    <a:xfrm>
                      <a:off x="0" y="0"/>
                      <a:ext cx="5391150" cy="1695450"/>
                    </a:xfrm>
                    <a:prstGeom prst="rect">
                      <a:avLst/>
                    </a:prstGeom>
                  </pic:spPr>
                </pic:pic>
              </a:graphicData>
            </a:graphic>
          </wp:inline>
        </w:drawing>
      </w:r>
      <w:r>
        <w:rPr>
          <w:rFonts w:ascii="宋体" w:hAnsi="宋体" w:cs="宋体" w:eastAsia="宋体" w:hint="default"/>
          <w:position w:val="-52"/>
          <w:sz w:val="20"/>
          <w:szCs w:val="20"/>
        </w:rPr>
      </w:r>
    </w:p>
    <w:p>
      <w:pPr>
        <w:spacing w:after="0" w:line="2670"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line="3750" w:lineRule="exact"/>
        <w:ind w:left="2213"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3505200" cy="238125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7" cstate="print"/>
                    <a:stretch>
                      <a:fillRect/>
                    </a:stretch>
                  </pic:blipFill>
                  <pic:spPr>
                    <a:xfrm>
                      <a:off x="0" y="0"/>
                      <a:ext cx="3505200" cy="2381250"/>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13"/>
        <w:rPr>
          <w:rFonts w:ascii="宋体" w:hAnsi="宋体" w:cs="宋体" w:eastAsia="宋体" w:hint="default"/>
          <w:b/>
          <w:bCs/>
          <w:sz w:val="7"/>
          <w:szCs w:val="7"/>
        </w:rPr>
      </w:pPr>
    </w:p>
    <w:p>
      <w:pPr>
        <w:pStyle w:val="Heading4"/>
        <w:spacing w:line="240" w:lineRule="auto" w:before="35"/>
        <w:ind w:left="566" w:right="914"/>
        <w:jc w:val="left"/>
        <w:rPr>
          <w:b w:val="0"/>
          <w:bCs w:val="0"/>
        </w:rPr>
      </w:pPr>
      <w:r>
        <w:rPr/>
        <w:t>（二）员工受教育程度情况</w:t>
      </w:r>
      <w:r>
        <w:rPr>
          <w:b w:val="0"/>
          <w:bCs w:val="0"/>
        </w:rPr>
      </w:r>
    </w:p>
    <w:p>
      <w:pPr>
        <w:spacing w:line="240" w:lineRule="auto" w:before="4"/>
        <w:rPr>
          <w:rFonts w:ascii="宋体" w:hAnsi="宋体" w:cs="宋体" w:eastAsia="宋体" w:hint="default"/>
          <w:b/>
          <w:bCs/>
          <w:sz w:val="12"/>
          <w:szCs w:val="12"/>
        </w:rPr>
      </w:pPr>
    </w:p>
    <w:p>
      <w:pPr>
        <w:spacing w:line="1965" w:lineRule="exact"/>
        <w:ind w:left="713"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5407447" cy="1247775"/>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8" cstate="print"/>
                    <a:stretch>
                      <a:fillRect/>
                    </a:stretch>
                  </pic:blipFill>
                  <pic:spPr>
                    <a:xfrm>
                      <a:off x="0" y="0"/>
                      <a:ext cx="5407447" cy="1247775"/>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12"/>
        <w:rPr>
          <w:rFonts w:ascii="宋体" w:hAnsi="宋体" w:cs="宋体" w:eastAsia="宋体" w:hint="default"/>
          <w:b/>
          <w:bCs/>
          <w:sz w:val="15"/>
          <w:szCs w:val="15"/>
        </w:rPr>
      </w:pPr>
    </w:p>
    <w:p>
      <w:pPr>
        <w:spacing w:line="4170" w:lineRule="exact"/>
        <w:ind w:left="2198"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3524250" cy="2647950"/>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9" cstate="print"/>
                    <a:stretch>
                      <a:fillRect/>
                    </a:stretch>
                  </pic:blipFill>
                  <pic:spPr>
                    <a:xfrm>
                      <a:off x="0" y="0"/>
                      <a:ext cx="3524250" cy="2647950"/>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0"/>
        <w:rPr>
          <w:rFonts w:ascii="宋体" w:hAnsi="宋体" w:cs="宋体" w:eastAsia="宋体" w:hint="default"/>
          <w:b/>
          <w:bCs/>
          <w:sz w:val="20"/>
          <w:szCs w:val="20"/>
        </w:rPr>
      </w:pPr>
    </w:p>
    <w:p>
      <w:pPr>
        <w:pStyle w:val="BodyText"/>
        <w:spacing w:line="240" w:lineRule="auto" w:before="136"/>
        <w:ind w:right="914"/>
        <w:jc w:val="left"/>
      </w:pPr>
      <w:r>
        <w:rPr/>
        <w:t>公司不存在需承担费用的离退休职工。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113"/>
        <w:jc w:val="center"/>
        <w:rPr>
          <w:b w:val="0"/>
          <w:bCs w:val="0"/>
        </w:rPr>
      </w:pPr>
      <w:bookmarkStart w:name="第九节 公司治理" w:id="117"/>
      <w:bookmarkEnd w:id="117"/>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both"/>
        <w:rPr>
          <w:b w:val="0"/>
          <w:bCs w:val="0"/>
        </w:rPr>
      </w:pPr>
      <w:bookmarkStart w:name="一、公司治理的基本状况" w:id="118"/>
      <w:bookmarkEnd w:id="118"/>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1133" w:firstLine="420"/>
        <w:jc w:val="both"/>
        <w:rPr>
          <w:rFonts w:ascii="宋体" w:hAnsi="宋体" w:cs="宋体" w:eastAsia="宋体" w:hint="default"/>
          <w:sz w:val="18"/>
          <w:szCs w:val="18"/>
        </w:rPr>
      </w:pPr>
      <w:r>
        <w:rPr>
          <w:rFonts w:ascii="宋体" w:hAnsi="宋体" w:cs="宋体" w:eastAsia="宋体" w:hint="default"/>
          <w:spacing w:val="-4"/>
          <w:sz w:val="18"/>
          <w:szCs w:val="18"/>
        </w:rPr>
        <w:t>报告期内，公司严格按照《公司法》、《证券法》和中国证监会有关法律法规的要求，不断完善公司法人治理结构，建</w:t>
      </w:r>
      <w:r>
        <w:rPr>
          <w:rFonts w:ascii="宋体" w:hAnsi="宋体" w:cs="宋体" w:eastAsia="宋体" w:hint="default"/>
          <w:sz w:val="18"/>
          <w:szCs w:val="18"/>
        </w:rPr>
        <w:t> </w:t>
      </w:r>
      <w:r>
        <w:rPr>
          <w:rFonts w:ascii="宋体" w:hAnsi="宋体" w:cs="宋体" w:eastAsia="宋体" w:hint="default"/>
          <w:spacing w:val="-2"/>
          <w:sz w:val="18"/>
          <w:szCs w:val="18"/>
        </w:rPr>
        <w:t>立健全内部管理和控制制度，进一步提高公司治理水平。截至报告期末，公司运作规范，信息披露规范，公司治理的实际状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况基本符合中国证监会发布的有关上市公司治理的规范性文件要求，公司没有收到被监管部门采取行政监管措施的文件。</w:t>
      </w:r>
    </w:p>
    <w:p>
      <w:pPr>
        <w:spacing w:before="19"/>
        <w:ind w:left="573" w:right="914" w:firstLine="0"/>
        <w:jc w:val="left"/>
        <w:rPr>
          <w:rFonts w:ascii="宋体" w:hAnsi="宋体" w:cs="宋体" w:eastAsia="宋体" w:hint="default"/>
          <w:sz w:val="18"/>
          <w:szCs w:val="18"/>
        </w:rPr>
      </w:pPr>
      <w:r>
        <w:rPr>
          <w:rFonts w:ascii="宋体" w:hAnsi="宋体" w:cs="宋体" w:eastAsia="宋体" w:hint="default"/>
          <w:sz w:val="18"/>
          <w:szCs w:val="18"/>
        </w:rPr>
        <w:t>报告期内，公司对《公司章程》进行了修订与完善。</w:t>
      </w:r>
    </w:p>
    <w:p>
      <w:pPr>
        <w:spacing w:line="316" w:lineRule="auto" w:before="76"/>
        <w:ind w:left="574" w:right="1152" w:firstLine="0"/>
        <w:jc w:val="left"/>
        <w:rPr>
          <w:rFonts w:ascii="宋体" w:hAnsi="宋体" w:cs="宋体" w:eastAsia="宋体" w:hint="default"/>
          <w:sz w:val="18"/>
          <w:szCs w:val="18"/>
        </w:rPr>
      </w:pPr>
      <w:r>
        <w:rPr>
          <w:rFonts w:ascii="宋体" w:hAnsi="宋体" w:cs="宋体" w:eastAsia="宋体" w:hint="default"/>
          <w:sz w:val="18"/>
          <w:szCs w:val="18"/>
        </w:rPr>
        <w:t>（一）关于股东与股东大会 </w:t>
      </w:r>
      <w:r>
        <w:rPr>
          <w:rFonts w:ascii="宋体" w:hAnsi="宋体" w:cs="宋体" w:eastAsia="宋体" w:hint="default"/>
          <w:spacing w:val="-10"/>
          <w:sz w:val="18"/>
          <w:szCs w:val="18"/>
        </w:rPr>
        <w:t>报告期内，公司严格按照《公司法》、《证券法》、《深圳证券交易所股票上市规则》、《公司章程》和《股东大会议事规</w:t>
      </w:r>
    </w:p>
    <w:p>
      <w:pPr>
        <w:spacing w:line="316" w:lineRule="auto" w:before="19"/>
        <w:ind w:left="154" w:right="914" w:firstLine="0"/>
        <w:jc w:val="left"/>
        <w:rPr>
          <w:rFonts w:ascii="宋体" w:hAnsi="宋体" w:cs="宋体" w:eastAsia="宋体" w:hint="default"/>
          <w:sz w:val="18"/>
          <w:szCs w:val="18"/>
        </w:rPr>
      </w:pPr>
      <w:r>
        <w:rPr>
          <w:rFonts w:ascii="宋体" w:hAnsi="宋体" w:cs="宋体" w:eastAsia="宋体" w:hint="default"/>
          <w:spacing w:val="-2"/>
          <w:sz w:val="18"/>
          <w:szCs w:val="18"/>
        </w:rPr>
        <w:t>则》等相关法律法规要求召集、召开股东大会，并聘请律师出席见证。公司能够平等对待所有股东，特别是确保中小股东享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有平等地位，公司通过建立与股东沟通的有效渠道，以保证股东能够充分行使自己的权利。</w:t>
      </w:r>
    </w:p>
    <w:p>
      <w:pPr>
        <w:spacing w:line="316" w:lineRule="auto" w:before="19"/>
        <w:ind w:left="573" w:right="1153" w:firstLine="0"/>
        <w:jc w:val="left"/>
        <w:rPr>
          <w:rFonts w:ascii="宋体" w:hAnsi="宋体" w:cs="宋体" w:eastAsia="宋体" w:hint="default"/>
          <w:sz w:val="18"/>
          <w:szCs w:val="18"/>
        </w:rPr>
      </w:pPr>
      <w:r>
        <w:rPr>
          <w:rFonts w:ascii="宋体" w:hAnsi="宋体" w:cs="宋体" w:eastAsia="宋体" w:hint="default"/>
          <w:sz w:val="18"/>
          <w:szCs w:val="18"/>
        </w:rPr>
        <w:t>（二）关于控股股东与公司 公司具有独立的业务及自主经营能力，公司控股股东严格规范自己的行为，通过股东大会依法行使出资人的权利，没</w:t>
      </w:r>
    </w:p>
    <w:p>
      <w:pPr>
        <w:spacing w:line="316" w:lineRule="auto" w:before="19"/>
        <w:ind w:left="153" w:right="1033" w:firstLine="0"/>
        <w:jc w:val="left"/>
        <w:rPr>
          <w:rFonts w:ascii="宋体" w:hAnsi="宋体" w:cs="宋体" w:eastAsia="宋体" w:hint="default"/>
          <w:sz w:val="18"/>
          <w:szCs w:val="18"/>
        </w:rPr>
      </w:pPr>
      <w:r>
        <w:rPr>
          <w:rFonts w:ascii="宋体" w:hAnsi="宋体" w:cs="宋体" w:eastAsia="宋体" w:hint="default"/>
          <w:sz w:val="18"/>
          <w:szCs w:val="18"/>
        </w:rPr>
        <w:t>有超越股东大会直接或间接干预公司的决策和经营活动，公司未与控股股东进行关联交易，公司与控股股东在人员、资产、 财务、机构、业务方面做到了</w:t>
      </w:r>
      <w:r>
        <w:rPr>
          <w:rFonts w:ascii="Times New Roman" w:hAnsi="Times New Roman" w:cs="Times New Roman" w:eastAsia="Times New Roman" w:hint="default"/>
          <w:sz w:val="18"/>
          <w:szCs w:val="18"/>
        </w:rPr>
        <w:t>“</w:t>
      </w:r>
      <w:r>
        <w:rPr>
          <w:rFonts w:ascii="宋体" w:hAnsi="宋体" w:cs="宋体" w:eastAsia="宋体" w:hint="default"/>
          <w:sz w:val="18"/>
          <w:szCs w:val="18"/>
        </w:rPr>
        <w:t>五独立</w:t>
      </w:r>
      <w:r>
        <w:rPr>
          <w:rFonts w:ascii="Times New Roman" w:hAnsi="Times New Roman" w:cs="Times New Roman" w:eastAsia="Times New Roman" w:hint="default"/>
          <w:sz w:val="18"/>
          <w:szCs w:val="18"/>
        </w:rPr>
        <w:t>”</w:t>
      </w:r>
      <w:r>
        <w:rPr>
          <w:rFonts w:ascii="宋体" w:hAnsi="宋体" w:cs="宋体" w:eastAsia="宋体" w:hint="default"/>
          <w:sz w:val="18"/>
          <w:szCs w:val="18"/>
        </w:rPr>
        <w:t>，公司董事会、监事会和内部经营管理机构根据各议事规则及公司制度独立运行。</w:t>
      </w:r>
    </w:p>
    <w:p>
      <w:pPr>
        <w:spacing w:line="316" w:lineRule="auto" w:before="0"/>
        <w:ind w:left="573" w:right="1153" w:firstLine="0"/>
        <w:jc w:val="left"/>
        <w:rPr>
          <w:rFonts w:ascii="宋体" w:hAnsi="宋体" w:cs="宋体" w:eastAsia="宋体" w:hint="default"/>
          <w:sz w:val="18"/>
          <w:szCs w:val="18"/>
        </w:rPr>
      </w:pPr>
      <w:r>
        <w:rPr>
          <w:rFonts w:ascii="宋体" w:hAnsi="宋体" w:cs="宋体" w:eastAsia="宋体" w:hint="default"/>
          <w:sz w:val="18"/>
          <w:szCs w:val="18"/>
        </w:rPr>
        <w:t>（三）关于董事与董事会 报告期末公司董事会由</w:t>
      </w:r>
      <w:r>
        <w:rPr>
          <w:rFonts w:ascii="Times New Roman" w:hAnsi="Times New Roman" w:cs="Times New Roman" w:eastAsia="Times New Roman" w:hint="default"/>
          <w:sz w:val="18"/>
          <w:szCs w:val="18"/>
        </w:rPr>
        <w:t>9</w:t>
      </w:r>
      <w:r>
        <w:rPr>
          <w:rFonts w:ascii="宋体" w:hAnsi="宋体" w:cs="宋体" w:eastAsia="宋体" w:hint="default"/>
          <w:sz w:val="18"/>
          <w:szCs w:val="18"/>
        </w:rPr>
        <w:t>名董事组成，其中独立董事</w:t>
      </w:r>
      <w:r>
        <w:rPr>
          <w:rFonts w:ascii="Times New Roman" w:hAnsi="Times New Roman" w:cs="Times New Roman" w:eastAsia="Times New Roman" w:hint="default"/>
          <w:sz w:val="18"/>
          <w:szCs w:val="18"/>
        </w:rPr>
        <w:t>3</w:t>
      </w:r>
      <w:r>
        <w:rPr>
          <w:rFonts w:ascii="宋体" w:hAnsi="宋体" w:cs="宋体" w:eastAsia="宋体" w:hint="default"/>
          <w:sz w:val="18"/>
          <w:szCs w:val="18"/>
        </w:rPr>
        <w:t>名。独立董事均为在金融、行业等方面的专业人士担任，保证了</w:t>
      </w:r>
    </w:p>
    <w:p>
      <w:pPr>
        <w:spacing w:line="316" w:lineRule="auto" w:before="0"/>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董事会决策的质量和水平，维护了公司和全体股东的权益，充分发挥了董事会在公司治理中的核心作用。根据有关规定的要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求，公司董事会下设四个专业委员会：战略委员会、审计委员会、提名委员会和薪酬与考核委员会。各委员会分工明确，权</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责分明，有效运作。</w:t>
      </w:r>
    </w:p>
    <w:p>
      <w:pPr>
        <w:spacing w:line="316" w:lineRule="auto" w:before="19"/>
        <w:ind w:left="573" w:right="1153" w:firstLine="0"/>
        <w:jc w:val="left"/>
        <w:rPr>
          <w:rFonts w:ascii="宋体" w:hAnsi="宋体" w:cs="宋体" w:eastAsia="宋体" w:hint="default"/>
          <w:sz w:val="18"/>
          <w:szCs w:val="18"/>
        </w:rPr>
      </w:pPr>
      <w:r>
        <w:rPr>
          <w:rFonts w:ascii="宋体" w:hAnsi="宋体" w:cs="宋体" w:eastAsia="宋体" w:hint="default"/>
          <w:sz w:val="18"/>
          <w:szCs w:val="18"/>
        </w:rPr>
        <w:t>（四）关于监事与监事会 报告期内公司监事会由</w:t>
      </w:r>
      <w:r>
        <w:rPr>
          <w:rFonts w:ascii="Times New Roman" w:hAnsi="Times New Roman" w:cs="Times New Roman" w:eastAsia="Times New Roman" w:hint="default"/>
          <w:sz w:val="18"/>
          <w:szCs w:val="18"/>
        </w:rPr>
        <w:t>3</w:t>
      </w:r>
      <w:r>
        <w:rPr>
          <w:rFonts w:ascii="宋体" w:hAnsi="宋体" w:cs="宋体" w:eastAsia="宋体" w:hint="default"/>
          <w:sz w:val="18"/>
          <w:szCs w:val="18"/>
        </w:rPr>
        <w:t>名监事组成，其中职工监事</w:t>
      </w:r>
      <w:r>
        <w:rPr>
          <w:rFonts w:ascii="Times New Roman" w:hAnsi="Times New Roman" w:cs="Times New Roman" w:eastAsia="Times New Roman" w:hint="default"/>
          <w:sz w:val="18"/>
          <w:szCs w:val="18"/>
        </w:rPr>
        <w:t>2</w:t>
      </w:r>
      <w:r>
        <w:rPr>
          <w:rFonts w:ascii="宋体" w:hAnsi="宋体" w:cs="宋体" w:eastAsia="宋体" w:hint="default"/>
          <w:sz w:val="18"/>
          <w:szCs w:val="18"/>
        </w:rPr>
        <w:t>名，人员构成符合法律、法规的要求。公司监事能够认真履行职</w:t>
      </w:r>
    </w:p>
    <w:p>
      <w:pPr>
        <w:spacing w:line="235"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责，能够本着对股东负责的精神，对公司财务及董事、高级管理人员履行职责的合法合规性进行监督。</w:t>
      </w:r>
    </w:p>
    <w:p>
      <w:pPr>
        <w:spacing w:line="316" w:lineRule="auto" w:before="76"/>
        <w:ind w:left="573" w:right="1153" w:firstLine="0"/>
        <w:jc w:val="left"/>
        <w:rPr>
          <w:rFonts w:ascii="宋体" w:hAnsi="宋体" w:cs="宋体" w:eastAsia="宋体" w:hint="default"/>
          <w:sz w:val="18"/>
          <w:szCs w:val="18"/>
        </w:rPr>
      </w:pPr>
      <w:r>
        <w:rPr>
          <w:rFonts w:ascii="宋体" w:hAnsi="宋体" w:cs="宋体" w:eastAsia="宋体" w:hint="default"/>
          <w:sz w:val="18"/>
          <w:szCs w:val="18"/>
        </w:rPr>
        <w:t>（五）关于信息披露与透明度 报告期内，公司严格按照有关法律法规和公司《信息披露事务管理制度》的规定，履行信息披露义务；公司能真实、</w:t>
      </w:r>
    </w:p>
    <w:p>
      <w:pPr>
        <w:spacing w:line="316" w:lineRule="auto" w:before="19"/>
        <w:ind w:left="153" w:right="914" w:firstLine="0"/>
        <w:jc w:val="left"/>
        <w:rPr>
          <w:rFonts w:ascii="宋体" w:hAnsi="宋体" w:cs="宋体" w:eastAsia="宋体" w:hint="default"/>
          <w:sz w:val="18"/>
          <w:szCs w:val="18"/>
        </w:rPr>
      </w:pPr>
      <w:r>
        <w:rPr>
          <w:rFonts w:ascii="宋体" w:hAnsi="宋体" w:cs="宋体" w:eastAsia="宋体" w:hint="default"/>
          <w:spacing w:val="-2"/>
          <w:sz w:val="18"/>
          <w:szCs w:val="18"/>
        </w:rPr>
        <w:t>准确、完整、及时地披露信息，没有虚假记载、误导性陈述和重大遗漏，确保所有投资者有平等机会获取公司信息，增加了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公司透明度，切实发挥了保护中小投资者知情权的作用。</w:t>
      </w:r>
    </w:p>
    <w:p>
      <w:pPr>
        <w:spacing w:line="316" w:lineRule="auto" w:before="19"/>
        <w:ind w:left="573" w:right="1153" w:firstLine="0"/>
        <w:jc w:val="left"/>
        <w:rPr>
          <w:rFonts w:ascii="宋体" w:hAnsi="宋体" w:cs="宋体" w:eastAsia="宋体" w:hint="default"/>
          <w:sz w:val="18"/>
          <w:szCs w:val="18"/>
        </w:rPr>
      </w:pPr>
      <w:r>
        <w:rPr>
          <w:rFonts w:ascii="宋体" w:hAnsi="宋体" w:cs="宋体" w:eastAsia="宋体" w:hint="default"/>
          <w:sz w:val="18"/>
          <w:szCs w:val="18"/>
        </w:rPr>
        <w:t>（六）关于相关利益者 公司在保持稳健发展、实现股东利益最大化的同时，积极关注所在地区福利、公益事业等问题，重视社会责任，充分</w:t>
      </w:r>
    </w:p>
    <w:p>
      <w:pPr>
        <w:spacing w:before="19"/>
        <w:ind w:left="153" w:right="0" w:firstLine="0"/>
        <w:jc w:val="both"/>
        <w:rPr>
          <w:rFonts w:ascii="宋体" w:hAnsi="宋体" w:cs="宋体" w:eastAsia="宋体" w:hint="default"/>
          <w:sz w:val="18"/>
          <w:szCs w:val="18"/>
        </w:rPr>
      </w:pPr>
      <w:r>
        <w:rPr>
          <w:rFonts w:ascii="宋体" w:hAnsi="宋体" w:cs="宋体" w:eastAsia="宋体" w:hint="default"/>
          <w:sz w:val="18"/>
          <w:szCs w:val="18"/>
        </w:rPr>
        <w:t>尊重和维护职工、债权人等利益相关者的合法权利，加强与各方的沟通和合作，共同推动公司持续、健康地发展。</w:t>
      </w:r>
    </w:p>
    <w:p>
      <w:pPr>
        <w:spacing w:line="316" w:lineRule="auto" w:before="76"/>
        <w:ind w:left="573" w:right="1153" w:firstLine="0"/>
        <w:jc w:val="left"/>
        <w:rPr>
          <w:rFonts w:ascii="宋体" w:hAnsi="宋体" w:cs="宋体" w:eastAsia="宋体" w:hint="default"/>
          <w:sz w:val="18"/>
          <w:szCs w:val="18"/>
        </w:rPr>
      </w:pPr>
      <w:r>
        <w:rPr>
          <w:rFonts w:ascii="宋体" w:hAnsi="宋体" w:cs="宋体" w:eastAsia="宋体" w:hint="default"/>
          <w:sz w:val="18"/>
          <w:szCs w:val="18"/>
        </w:rPr>
        <w:t>（七）关于公司与投资者 公司重视与投资者关系的沟通与交流，公司证券部负责信息披露和投资者关系管理工作，加强与中小股东的沟通，认</w:t>
      </w:r>
    </w:p>
    <w:p>
      <w:pPr>
        <w:spacing w:before="19"/>
        <w:ind w:left="153" w:right="0" w:firstLine="0"/>
        <w:jc w:val="both"/>
        <w:rPr>
          <w:rFonts w:ascii="宋体" w:hAnsi="宋体" w:cs="宋体" w:eastAsia="宋体" w:hint="default"/>
          <w:sz w:val="18"/>
          <w:szCs w:val="18"/>
        </w:rPr>
      </w:pPr>
      <w:r>
        <w:rPr>
          <w:rFonts w:ascii="宋体" w:hAnsi="宋体" w:cs="宋体" w:eastAsia="宋体" w:hint="default"/>
          <w:sz w:val="18"/>
          <w:szCs w:val="18"/>
        </w:rPr>
        <w:t>真听取股东各方对公司发展的建议和意见，及时反馈给董事会，切实保证中小股东的合法权益。</w:t>
      </w:r>
    </w:p>
    <w:p>
      <w:pPr>
        <w:spacing w:line="316" w:lineRule="auto" w:before="76"/>
        <w:ind w:left="573" w:right="1115" w:firstLine="0"/>
        <w:jc w:val="left"/>
        <w:rPr>
          <w:rFonts w:ascii="宋体" w:hAnsi="宋体" w:cs="宋体" w:eastAsia="宋体" w:hint="default"/>
          <w:sz w:val="18"/>
          <w:szCs w:val="18"/>
        </w:rPr>
      </w:pPr>
      <w:r>
        <w:rPr>
          <w:rFonts w:ascii="宋体" w:hAnsi="宋体" w:cs="宋体" w:eastAsia="宋体" w:hint="default"/>
          <w:sz w:val="18"/>
          <w:szCs w:val="18"/>
        </w:rPr>
        <w:t>（八）关于内部审计制度 </w:t>
      </w:r>
      <w:r>
        <w:rPr>
          <w:rFonts w:ascii="宋体" w:hAnsi="宋体" w:cs="宋体" w:eastAsia="宋体" w:hint="default"/>
          <w:spacing w:val="-1"/>
          <w:sz w:val="18"/>
          <w:szCs w:val="18"/>
        </w:rPr>
        <w:t>公司设立了内审部，配置了</w:t>
      </w:r>
      <w:r>
        <w:rPr>
          <w:rFonts w:ascii="宋体" w:hAnsi="宋体" w:cs="宋体" w:eastAsia="宋体" w:hint="default"/>
          <w:spacing w:val="-1"/>
          <w:sz w:val="18"/>
          <w:szCs w:val="18"/>
        </w:rPr>
        <w:t>4</w:t>
      </w:r>
      <w:r>
        <w:rPr>
          <w:rFonts w:ascii="宋体" w:hAnsi="宋体" w:cs="宋体" w:eastAsia="宋体" w:hint="default"/>
          <w:spacing w:val="-1"/>
          <w:sz w:val="18"/>
          <w:szCs w:val="18"/>
        </w:rPr>
        <w:t>名专职审计人员，在董事会审计委员会的领导下对公司及子公司的经济运行质量、经济效</w:t>
      </w:r>
    </w:p>
    <w:p>
      <w:pPr>
        <w:spacing w:before="19"/>
        <w:ind w:left="153" w:right="0" w:firstLine="0"/>
        <w:jc w:val="both"/>
        <w:rPr>
          <w:rFonts w:ascii="宋体" w:hAnsi="宋体" w:cs="宋体" w:eastAsia="宋体" w:hint="default"/>
          <w:sz w:val="18"/>
          <w:szCs w:val="18"/>
        </w:rPr>
      </w:pPr>
      <w:r>
        <w:rPr>
          <w:rFonts w:ascii="宋体" w:hAnsi="宋体" w:cs="宋体" w:eastAsia="宋体" w:hint="default"/>
          <w:sz w:val="18"/>
          <w:szCs w:val="18"/>
        </w:rPr>
        <w:t>益、内控的制度和执行、各项费用的使用以及资产情况进行审计和监督。</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57" w:lineRule="auto" w:before="117"/>
        <w:ind w:left="153" w:right="5533" w:firstLine="0"/>
        <w:jc w:val="left"/>
        <w:rPr>
          <w:rFonts w:ascii="宋体" w:hAnsi="宋体" w:cs="宋体" w:eastAsia="宋体" w:hint="default"/>
          <w:sz w:val="18"/>
          <w:szCs w:val="18"/>
        </w:rPr>
      </w:pPr>
      <w:r>
        <w:rPr>
          <w:rFonts w:ascii="宋体" w:hAnsi="宋体" w:cs="宋体" w:eastAsia="宋体" w:hint="default"/>
          <w:sz w:val="18"/>
          <w:szCs w:val="18"/>
        </w:rPr>
        <w:t>□ 是 √ 否 公司治理与《公司法》和中国证监会相关规定的要求不存在差异。</w:t>
      </w:r>
    </w:p>
    <w:p>
      <w:pPr>
        <w:spacing w:before="28"/>
        <w:ind w:left="153" w:right="0" w:firstLine="0"/>
        <w:jc w:val="both"/>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3" w:right="914" w:firstLine="360"/>
        <w:jc w:val="left"/>
        <w:rPr>
          <w:rFonts w:ascii="宋体" w:hAnsi="宋体" w:cs="宋体" w:eastAsia="宋体" w:hint="default"/>
          <w:sz w:val="18"/>
          <w:szCs w:val="18"/>
        </w:rPr>
      </w:pPr>
      <w:r>
        <w:rPr>
          <w:rFonts w:ascii="宋体" w:hAnsi="宋体" w:cs="宋体" w:eastAsia="宋体" w:hint="default"/>
          <w:spacing w:val="-12"/>
          <w:sz w:val="18"/>
          <w:szCs w:val="18"/>
        </w:rPr>
        <w:t>为加强内幕信息保密工作，维护信息披露的公平原则，公司根据《证券法》、《公司法》、《上市公司治理准则》、《公司章</w:t>
      </w:r>
      <w:r>
        <w:rPr>
          <w:rFonts w:ascii="宋体" w:hAnsi="宋体" w:cs="宋体" w:eastAsia="宋体" w:hint="default"/>
          <w:sz w:val="18"/>
          <w:szCs w:val="18"/>
        </w:rPr>
        <w:t> </w:t>
      </w:r>
      <w:r>
        <w:rPr>
          <w:rFonts w:ascii="宋体" w:hAnsi="宋体" w:cs="宋体" w:eastAsia="宋体" w:hint="default"/>
          <w:spacing w:val="-4"/>
          <w:sz w:val="18"/>
          <w:szCs w:val="18"/>
        </w:rPr>
        <w:t>程》等法律法规，制定了《内幕信息知情人登记制度》和《外部信息使用人管理制度》。报告期内，公司严格执行上述制度，</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如实、完整地记录内幕信息在公开前的报告、传递、编制、审核、披露等各环节所有内幕信息知情人名单，以及知情人知悉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内幕信息的时间等相关档案，并按要求及时向山东证监局、深圳证券交易所报备相关《内幕信息知情人档案》。报告期内，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公司未发现内幕信息知情人在影响公司股价的重大敏感信息披露前利用内幕信息买卖公司股份的情况</w:t>
      </w:r>
      <w:r>
        <w:rPr>
          <w:rFonts w:ascii="Times New Roman" w:hAnsi="Times New Roman" w:cs="Times New Roman" w:eastAsia="Times New Roman" w:hint="default"/>
          <w:sz w:val="18"/>
          <w:szCs w:val="18"/>
        </w:rPr>
        <w:t>,</w:t>
      </w:r>
      <w:r>
        <w:rPr>
          <w:rFonts w:ascii="宋体" w:hAnsi="宋体" w:cs="宋体" w:eastAsia="宋体" w:hint="default"/>
          <w:sz w:val="18"/>
          <w:szCs w:val="18"/>
        </w:rPr>
        <w:t>也未受到监管部门因 </w:t>
      </w:r>
      <w:r>
        <w:rPr>
          <w:rFonts w:ascii="宋体" w:hAnsi="宋体" w:cs="宋体" w:eastAsia="宋体" w:hint="default"/>
          <w:spacing w:val="-2"/>
          <w:sz w:val="18"/>
          <w:szCs w:val="18"/>
        </w:rPr>
        <w:t>上述原因进行的查处及整改。在公司利润分配方案等其他重大事项披露前，公司有关内幕知情人均不存在利用上述内幕信息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买卖公司股票现象，公司股价未出现异常波动。在接待特定对象过程中，公司严格按照《深圳证券交易所中小企业板上市公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司规范运作指引》的要求，认真做好特定对象来访接待工作，合理安排来访时间并要求来访人员签署《承诺书》，按照规定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将调研记录在深交所互动易上及时进行披露。</w:t>
      </w:r>
    </w:p>
    <w:p>
      <w:pPr>
        <w:spacing w:line="240" w:lineRule="auto" w:before="7"/>
        <w:rPr>
          <w:rFonts w:ascii="宋体" w:hAnsi="宋体" w:cs="宋体" w:eastAsia="宋体" w:hint="default"/>
          <w:sz w:val="20"/>
          <w:szCs w:val="20"/>
        </w:rPr>
      </w:pPr>
    </w:p>
    <w:p>
      <w:pPr>
        <w:pStyle w:val="Heading2"/>
        <w:spacing w:line="240" w:lineRule="auto"/>
        <w:ind w:right="914"/>
        <w:jc w:val="left"/>
        <w:rPr>
          <w:b w:val="0"/>
          <w:bCs w:val="0"/>
        </w:rPr>
      </w:pPr>
      <w:bookmarkStart w:name="二、报告期内召开的年度股东大会和临时股东大会的有关情况" w:id="119"/>
      <w:bookmarkEnd w:id="119"/>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14"/>
        <w:jc w:val="left"/>
        <w:rPr>
          <w:b w:val="0"/>
          <w:bCs w:val="0"/>
        </w:rPr>
      </w:pPr>
      <w:bookmarkStart w:name="1、本报告期年度股东大会情况" w:id="120"/>
      <w:bookmarkEnd w:id="120"/>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5"/>
        <w:gridCol w:w="1594"/>
      </w:tblGrid>
      <w:tr>
        <w:trPr>
          <w:trHeight w:val="39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883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302"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6"/>
              <w:ind w:left="103" w:right="102"/>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 </w:t>
            </w:r>
            <w:r>
              <w:rPr>
                <w:rFonts w:ascii="宋体" w:hAnsi="宋体" w:cs="宋体" w:eastAsia="宋体" w:hint="default"/>
                <w:sz w:val="18"/>
                <w:szCs w:val="18"/>
              </w:rPr>
              <w:t>董事会工作报</w:t>
            </w:r>
            <w:r>
              <w:rPr>
                <w:rFonts w:ascii="宋体" w:hAnsi="宋体" w:cs="宋体" w:eastAsia="宋体" w:hint="default"/>
                <w:sz w:val="18"/>
                <w:szCs w:val="18"/>
              </w:rPr>
              <w:t> </w:t>
            </w:r>
            <w:r>
              <w:rPr>
                <w:rFonts w:ascii="宋体" w:hAnsi="宋体" w:cs="宋体" w:eastAsia="宋体" w:hint="default"/>
                <w:spacing w:val="-30"/>
                <w:sz w:val="18"/>
                <w:szCs w:val="18"/>
              </w:rPr>
              <w:t>告》、《公司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年度监事会工作 </w:t>
            </w:r>
            <w:r>
              <w:rPr>
                <w:rFonts w:ascii="宋体" w:hAnsi="宋体" w:cs="宋体" w:eastAsia="宋体" w:hint="default"/>
                <w:spacing w:val="-39"/>
                <w:sz w:val="18"/>
                <w:szCs w:val="18"/>
              </w:rPr>
              <w:t>报告》、《公司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年年度报告及其 </w:t>
            </w:r>
            <w:r>
              <w:rPr>
                <w:rFonts w:ascii="宋体" w:hAnsi="宋体" w:cs="宋体" w:eastAsia="宋体" w:hint="default"/>
                <w:spacing w:val="-39"/>
                <w:sz w:val="18"/>
                <w:szCs w:val="18"/>
              </w:rPr>
              <w:t>摘要》、《公司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年度财务决算报 </w:t>
            </w:r>
            <w:r>
              <w:rPr>
                <w:rFonts w:ascii="宋体" w:hAnsi="宋体" w:cs="宋体" w:eastAsia="宋体" w:hint="default"/>
                <w:spacing w:val="-30"/>
                <w:sz w:val="18"/>
                <w:szCs w:val="18"/>
              </w:rPr>
              <w:t>告》、《公司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年度利润分配预 </w:t>
            </w:r>
            <w:r>
              <w:rPr>
                <w:rFonts w:ascii="宋体" w:hAnsi="宋体" w:cs="宋体" w:eastAsia="宋体" w:hint="default"/>
                <w:spacing w:val="-27"/>
                <w:sz w:val="18"/>
                <w:szCs w:val="18"/>
              </w:rPr>
              <w:t>案》、《关于续聘公</w:t>
            </w:r>
            <w:r>
              <w:rPr>
                <w:rFonts w:ascii="宋体" w:hAnsi="宋体" w:cs="宋体" w:eastAsia="宋体" w:hint="default"/>
                <w:sz w:val="18"/>
                <w:szCs w:val="18"/>
              </w:rPr>
              <w:t>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 审计机构的议 </w:t>
            </w:r>
            <w:r>
              <w:rPr>
                <w:rFonts w:ascii="宋体" w:hAnsi="宋体" w:cs="宋体" w:eastAsia="宋体" w:hint="default"/>
                <w:spacing w:val="-30"/>
                <w:sz w:val="18"/>
                <w:szCs w:val="18"/>
              </w:rPr>
              <w:t>案》、《关于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年申请银行信用 </w:t>
            </w:r>
            <w:r>
              <w:rPr>
                <w:rFonts w:ascii="宋体" w:hAnsi="宋体" w:cs="宋体" w:eastAsia="宋体" w:hint="default"/>
                <w:spacing w:val="-23"/>
                <w:sz w:val="18"/>
                <w:szCs w:val="18"/>
              </w:rPr>
              <w:t>的议案》、《关于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年度公司董 </w:t>
            </w:r>
            <w:r>
              <w:rPr>
                <w:rFonts w:ascii="宋体" w:hAnsi="宋体" w:cs="宋体" w:eastAsia="宋体" w:hint="default"/>
                <w:spacing w:val="-12"/>
                <w:sz w:val="18"/>
                <w:szCs w:val="18"/>
              </w:rPr>
              <w:t>事薪酬的议案》、</w:t>
            </w:r>
          </w:p>
          <w:p>
            <w:pPr>
              <w:pStyle w:val="TableParagraph"/>
              <w:spacing w:line="314" w:lineRule="auto" w:before="24"/>
              <w:ind w:left="103" w:right="102"/>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 </w:t>
            </w:r>
            <w:r>
              <w:rPr>
                <w:rFonts w:ascii="宋体" w:hAnsi="宋体" w:cs="宋体" w:eastAsia="宋体" w:hint="default"/>
                <w:sz w:val="18"/>
                <w:szCs w:val="18"/>
              </w:rPr>
              <w:t>公司监事薪酬的</w:t>
            </w:r>
            <w:r>
              <w:rPr>
                <w:rFonts w:ascii="宋体" w:hAnsi="宋体" w:cs="宋体" w:eastAsia="宋体" w:hint="default"/>
                <w:sz w:val="18"/>
                <w:szCs w:val="18"/>
              </w:rPr>
              <w:t> </w:t>
            </w:r>
            <w:r>
              <w:rPr>
                <w:rFonts w:ascii="宋体" w:hAnsi="宋体" w:cs="宋体" w:eastAsia="宋体" w:hint="default"/>
                <w:spacing w:val="-39"/>
                <w:sz w:val="18"/>
                <w:szCs w:val="18"/>
              </w:rPr>
              <w:t>议案》、《公司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年度财务预算报 </w:t>
            </w:r>
            <w:r>
              <w:rPr>
                <w:rFonts w:ascii="宋体" w:hAnsi="宋体" w:cs="宋体" w:eastAsia="宋体" w:hint="default"/>
                <w:spacing w:val="-27"/>
                <w:sz w:val="18"/>
                <w:szCs w:val="18"/>
              </w:rPr>
              <w:t>告》、《关于使用部</w:t>
            </w:r>
            <w:r>
              <w:rPr>
                <w:rFonts w:ascii="宋体" w:hAnsi="宋体" w:cs="宋体" w:eastAsia="宋体" w:hint="default"/>
                <w:sz w:val="18"/>
                <w:szCs w:val="18"/>
              </w:rPr>
              <w:t> 分节余募集资金 永久性补充流动 </w:t>
            </w:r>
            <w:r>
              <w:rPr>
                <w:rFonts w:ascii="宋体" w:hAnsi="宋体" w:cs="宋体" w:eastAsia="宋体" w:hint="default"/>
                <w:spacing w:val="-27"/>
                <w:sz w:val="18"/>
                <w:szCs w:val="18"/>
              </w:rPr>
              <w:t>资金的议案》、《关</w:t>
            </w:r>
            <w:r>
              <w:rPr>
                <w:rFonts w:ascii="宋体" w:hAnsi="宋体" w:cs="宋体" w:eastAsia="宋体" w:hint="default"/>
                <w:sz w:val="18"/>
                <w:szCs w:val="18"/>
              </w:rPr>
              <w:t> 于修改〈公司章 程〉的议案》</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336" w:lineRule="auto"/>
              <w:ind w:left="102"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z w:val="18"/>
                <w:szCs w:val="18"/>
              </w:rPr>
              <w:t> com.cn</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2013</w:t>
            </w:r>
          </w:p>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年年度股东大会</w:t>
            </w:r>
          </w:p>
          <w:p>
            <w:pPr>
              <w:pStyle w:val="TableParagraph"/>
              <w:spacing w:line="319" w:lineRule="auto" w:before="76"/>
              <w:ind w:left="102" w:right="131"/>
              <w:jc w:val="left"/>
              <w:rPr>
                <w:rFonts w:ascii="宋体" w:hAnsi="宋体" w:cs="宋体" w:eastAsia="宋体" w:hint="default"/>
                <w:sz w:val="18"/>
                <w:szCs w:val="18"/>
              </w:rPr>
            </w:pPr>
            <w:r>
              <w:rPr>
                <w:rFonts w:ascii="宋体" w:hAnsi="宋体" w:cs="宋体" w:eastAsia="宋体" w:hint="default"/>
                <w:spacing w:val="-12"/>
                <w:sz w:val="18"/>
                <w:szCs w:val="18"/>
              </w:rPr>
              <w:t>决议公告》（公告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2014-10</w:t>
            </w:r>
            <w:r>
              <w:rPr>
                <w:rFonts w:ascii="宋体" w:hAnsi="宋体" w:cs="宋体" w:eastAsia="宋体" w:hint="default"/>
                <w:sz w:val="18"/>
                <w:szCs w:val="18"/>
              </w:rPr>
              <w:t>）</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left="153" w:right="914"/>
        <w:jc w:val="left"/>
        <w:rPr>
          <w:b w:val="0"/>
          <w:bCs w:val="0"/>
        </w:rPr>
      </w:pPr>
      <w:bookmarkStart w:name="2、本报告期临时股东大会情况" w:id="121"/>
      <w:bookmarkEnd w:id="121"/>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5"/>
        <w:gridCol w:w="1594"/>
      </w:tblGrid>
      <w:tr>
        <w:trPr>
          <w:trHeight w:val="39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848"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300"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6"/>
              <w:ind w:left="103" w:right="102"/>
              <w:jc w:val="left"/>
              <w:rPr>
                <w:rFonts w:ascii="宋体" w:hAnsi="宋体" w:cs="宋体" w:eastAsia="宋体" w:hint="default"/>
                <w:sz w:val="18"/>
                <w:szCs w:val="18"/>
              </w:rPr>
            </w:pPr>
            <w:r>
              <w:rPr>
                <w:rFonts w:ascii="宋体" w:hAnsi="宋体" w:cs="宋体" w:eastAsia="宋体" w:hint="default"/>
                <w:sz w:val="18"/>
                <w:szCs w:val="18"/>
              </w:rPr>
              <w:t>《关于公司符合 向特定对象非公 开发行股份及支 付现金购买资产 并募集配套资金 </w:t>
            </w:r>
            <w:r>
              <w:rPr>
                <w:rFonts w:ascii="宋体" w:hAnsi="宋体" w:cs="宋体" w:eastAsia="宋体" w:hint="default"/>
                <w:spacing w:val="-27"/>
                <w:sz w:val="18"/>
                <w:szCs w:val="18"/>
              </w:rPr>
              <w:t>条件的议案》、《关</w:t>
            </w:r>
            <w:r>
              <w:rPr>
                <w:rFonts w:ascii="宋体" w:hAnsi="宋体" w:cs="宋体" w:eastAsia="宋体" w:hint="default"/>
                <w:sz w:val="18"/>
                <w:szCs w:val="18"/>
              </w:rPr>
              <w:t> 于公司发行股份 及支付现金购买 资产并募集配套 资金暨关联交易 </w:t>
            </w:r>
            <w:r>
              <w:rPr>
                <w:rFonts w:ascii="宋体" w:hAnsi="宋体" w:cs="宋体" w:eastAsia="宋体" w:hint="default"/>
                <w:spacing w:val="-27"/>
                <w:sz w:val="18"/>
                <w:szCs w:val="18"/>
              </w:rPr>
              <w:t>方案的议案》、《关</w:t>
            </w:r>
            <w:r>
              <w:rPr>
                <w:rFonts w:ascii="宋体" w:hAnsi="宋体" w:cs="宋体" w:eastAsia="宋体" w:hint="default"/>
                <w:sz w:val="18"/>
                <w:szCs w:val="18"/>
              </w:rPr>
              <w:t> 于公司本次交易 构成重大资产重 组且符合</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关于规 范上市公司重大 资产重组若干问 题的规定</w:t>
            </w:r>
            <w:r>
              <w:rPr>
                <w:rFonts w:ascii="Times New Roman" w:hAnsi="Times New Roman" w:cs="Times New Roman" w:eastAsia="Times New Roman" w:hint="default"/>
                <w:sz w:val="18"/>
                <w:szCs w:val="18"/>
              </w:rPr>
              <w:t>&gt;</w:t>
            </w:r>
            <w:r>
              <w:rPr>
                <w:rFonts w:ascii="宋体" w:hAnsi="宋体" w:cs="宋体" w:eastAsia="宋体" w:hint="default"/>
                <w:sz w:val="18"/>
                <w:szCs w:val="18"/>
              </w:rPr>
              <w:t>第四条 </w:t>
            </w:r>
            <w:r>
              <w:rPr>
                <w:rFonts w:ascii="宋体" w:hAnsi="宋体" w:cs="宋体" w:eastAsia="宋体" w:hint="default"/>
                <w:spacing w:val="-27"/>
                <w:sz w:val="18"/>
                <w:szCs w:val="18"/>
              </w:rPr>
              <w:t>规定的议案》、《关</w:t>
            </w:r>
            <w:r>
              <w:rPr>
                <w:rFonts w:ascii="宋体" w:hAnsi="宋体" w:cs="宋体" w:eastAsia="宋体" w:hint="default"/>
                <w:sz w:val="18"/>
                <w:szCs w:val="18"/>
              </w:rPr>
              <w:t> 于公司本次重大 资产重组符合</w:t>
            </w:r>
            <w:r>
              <w:rPr>
                <w:rFonts w:ascii="Times New Roman" w:hAnsi="Times New Roman" w:cs="Times New Roman" w:eastAsia="Times New Roman" w:hint="default"/>
                <w:sz w:val="18"/>
                <w:szCs w:val="18"/>
              </w:rPr>
              <w:t>&lt;</w:t>
            </w:r>
            <w:r>
              <w:rPr>
                <w:rFonts w:ascii="宋体" w:hAnsi="宋体" w:cs="宋体" w:eastAsia="宋体" w:hint="default"/>
                <w:sz w:val="18"/>
                <w:szCs w:val="18"/>
              </w:rPr>
              <w:t>上 市公司重大资产 重组管理办法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第 四十二条第二款 </w:t>
            </w:r>
            <w:r>
              <w:rPr>
                <w:rFonts w:ascii="宋体" w:hAnsi="宋体" w:cs="宋体" w:eastAsia="宋体" w:hint="default"/>
                <w:spacing w:val="-27"/>
                <w:sz w:val="18"/>
                <w:szCs w:val="18"/>
              </w:rPr>
              <w:t>规定的议案》、《关</w:t>
            </w:r>
            <w:r>
              <w:rPr>
                <w:rFonts w:ascii="宋体" w:hAnsi="宋体" w:cs="宋体" w:eastAsia="宋体" w:hint="default"/>
                <w:sz w:val="18"/>
                <w:szCs w:val="18"/>
              </w:rPr>
              <w:t> 于本次交易构成 关联交易的议 </w:t>
            </w:r>
            <w:r>
              <w:rPr>
                <w:rFonts w:ascii="宋体" w:hAnsi="宋体" w:cs="宋体" w:eastAsia="宋体" w:hint="default"/>
                <w:spacing w:val="-27"/>
                <w:sz w:val="18"/>
                <w:szCs w:val="18"/>
              </w:rPr>
              <w:t>案》、《关于公司与</w:t>
            </w:r>
            <w:r>
              <w:rPr>
                <w:rFonts w:ascii="宋体" w:hAnsi="宋体" w:cs="宋体" w:eastAsia="宋体" w:hint="default"/>
                <w:sz w:val="18"/>
                <w:szCs w:val="18"/>
              </w:rPr>
              <w:t> 重庆华宇园林股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 </w:t>
            </w:r>
            <w:r>
              <w:rPr>
                <w:rFonts w:ascii="宋体" w:hAnsi="宋体" w:cs="宋体" w:eastAsia="宋体" w:hint="default"/>
                <w:sz w:val="18"/>
                <w:szCs w:val="18"/>
              </w:rPr>
              <w:t>名 股东签署附生效 条件的</w:t>
            </w:r>
            <w:r>
              <w:rPr>
                <w:rFonts w:ascii="Times New Roman" w:hAnsi="Times New Roman" w:cs="Times New Roman" w:eastAsia="Times New Roman" w:hint="default"/>
                <w:sz w:val="18"/>
                <w:szCs w:val="18"/>
              </w:rPr>
              <w:t>&lt;</w:t>
            </w:r>
            <w:r>
              <w:rPr>
                <w:rFonts w:ascii="宋体" w:hAnsi="宋体" w:cs="宋体" w:eastAsia="宋体" w:hint="default"/>
                <w:sz w:val="18"/>
                <w:szCs w:val="18"/>
              </w:rPr>
              <w:t>发行股份 及支付现金购买 资产协议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w:t>
            </w:r>
            <w:r>
              <w:rPr>
                <w:rFonts w:ascii="宋体" w:hAnsi="宋体" w:cs="宋体" w:eastAsia="宋体" w:hint="default"/>
                <w:spacing w:val="-27"/>
                <w:sz w:val="18"/>
                <w:szCs w:val="18"/>
              </w:rPr>
              <w:t>案》、《关于公司与</w:t>
            </w:r>
            <w:r>
              <w:rPr>
                <w:rFonts w:ascii="宋体" w:hAnsi="宋体" w:cs="宋体" w:eastAsia="宋体" w:hint="default"/>
                <w:sz w:val="18"/>
                <w:szCs w:val="18"/>
              </w:rPr>
              <w:t> 交易对方中的汤 于等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名股东签 署附生效条件</w:t>
            </w:r>
            <w:r>
              <w:rPr>
                <w:rFonts w:ascii="Times New Roman" w:hAnsi="Times New Roman" w:cs="Times New Roman" w:eastAsia="Times New Roman" w:hint="default"/>
                <w:sz w:val="18"/>
                <w:szCs w:val="18"/>
              </w:rPr>
              <w:t>&lt;</w:t>
            </w:r>
            <w:r>
              <w:rPr>
                <w:rFonts w:ascii="宋体" w:hAnsi="宋体" w:cs="宋体" w:eastAsia="宋体" w:hint="default"/>
                <w:sz w:val="18"/>
                <w:szCs w:val="18"/>
              </w:rPr>
              <w:t>盈 利预测补偿协议</w:t>
            </w:r>
            <w:r>
              <w:rPr>
                <w:rFonts w:ascii="Times New Roman" w:hAnsi="Times New Roman" w:cs="Times New Roman" w:eastAsia="Times New Roman" w:hint="default"/>
                <w:sz w:val="18"/>
                <w:szCs w:val="18"/>
              </w:rPr>
              <w:t>&gt; </w:t>
            </w:r>
            <w:r>
              <w:rPr>
                <w:rFonts w:ascii="宋体" w:hAnsi="宋体" w:cs="宋体" w:eastAsia="宋体" w:hint="default"/>
                <w:spacing w:val="-27"/>
                <w:sz w:val="18"/>
                <w:szCs w:val="18"/>
              </w:rPr>
              <w:t>的议案》、《关于公</w:t>
            </w:r>
            <w:r>
              <w:rPr>
                <w:rFonts w:ascii="宋体" w:hAnsi="宋体" w:cs="宋体" w:eastAsia="宋体" w:hint="default"/>
                <w:sz w:val="18"/>
                <w:szCs w:val="18"/>
              </w:rPr>
              <w:t> 司与孙世尧等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名特定投资者分</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36" w:lineRule="auto" w:before="159"/>
              <w:ind w:left="102"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z w:val="18"/>
                <w:szCs w:val="18"/>
              </w:rPr>
              <w:t> com.cn</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2014</w:t>
            </w:r>
          </w:p>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年第一次临时股</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东大会决议公告》</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2014-41</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5"/>
        <w:gridCol w:w="1594"/>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C6ECCC"/>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别签署附条件生</w:t>
            </w:r>
          </w:p>
        </w:tc>
        <w:tc>
          <w:tcPr>
            <w:tcW w:w="1594" w:type="dxa"/>
            <w:vMerge w:val="restart"/>
            <w:tcBorders>
              <w:top w:val="single" w:sz="4" w:space="0" w:color="000000"/>
              <w:left w:val="single" w:sz="4" w:space="0" w:color="000000"/>
              <w:right w:val="single" w:sz="4" w:space="0" w:color="000000"/>
            </w:tcBorders>
            <w:shd w:val="clear" w:color="auto" w:fill="C6ECCC"/>
          </w:tcPr>
          <w:p>
            <w:pPr/>
          </w:p>
        </w:tc>
        <w:tc>
          <w:tcPr>
            <w:tcW w:w="159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shd w:val="clear" w:color="auto" w:fill="C6ECCC"/>
          </w:tcPr>
          <w:p>
            <w:pPr/>
          </w:p>
        </w:tc>
      </w:tr>
      <w:tr>
        <w:trPr>
          <w:trHeight w:val="317"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效的</w:t>
            </w:r>
            <w:r>
              <w:rPr>
                <w:rFonts w:ascii="Times New Roman" w:hAnsi="Times New Roman" w:cs="Times New Roman" w:eastAsia="Times New Roman" w:hint="default"/>
                <w:sz w:val="18"/>
                <w:szCs w:val="18"/>
              </w:rPr>
              <w:t>&lt;</w:t>
            </w:r>
            <w:r>
              <w:rPr>
                <w:rFonts w:ascii="宋体" w:hAnsi="宋体" w:cs="宋体" w:eastAsia="宋体" w:hint="default"/>
                <w:sz w:val="18"/>
                <w:szCs w:val="18"/>
              </w:rPr>
              <w:t>股份认购协</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《山</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07"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东丽鹏股份有限</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公司发行股份及</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支付现金购买资</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产并募集配套资</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金暨关联交易报</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
                <w:sz w:val="18"/>
                <w:szCs w:val="18"/>
              </w:rPr>
              <w:t>告书（草案）及其</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摘要的议案</w:t>
            </w:r>
            <w:r>
              <w:rPr>
                <w:rFonts w:ascii="宋体" w:hAnsi="宋体" w:cs="宋体" w:eastAsia="宋体" w:hint="default"/>
                <w:spacing w:val="-90"/>
                <w:sz w:val="18"/>
                <w:szCs w:val="18"/>
              </w:rPr>
              <w:t>》</w:t>
            </w:r>
            <w:r>
              <w:rPr>
                <w:rFonts w:ascii="宋体" w:hAnsi="宋体" w:cs="宋体" w:eastAsia="宋体" w:hint="default"/>
                <w:spacing w:val="-153"/>
                <w:sz w:val="18"/>
                <w:szCs w:val="18"/>
              </w:rPr>
              <w:t>、</w:t>
            </w:r>
            <w:r>
              <w:rPr>
                <w:rFonts w:ascii="宋体" w:hAnsi="宋体" w:cs="宋体" w:eastAsia="宋体" w:hint="default"/>
                <w:sz w:val="18"/>
                <w:szCs w:val="18"/>
              </w:rPr>
              <w:t>《关</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于公司本次重大</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资产重组履行法</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定程序的完备性、</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合规性及提交法</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律文件的有效性</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的说明</w:t>
            </w:r>
            <w:r>
              <w:rPr>
                <w:rFonts w:ascii="宋体" w:hAnsi="宋体" w:cs="宋体" w:eastAsia="宋体" w:hint="default"/>
                <w:spacing w:val="-90"/>
                <w:sz w:val="18"/>
                <w:szCs w:val="18"/>
              </w:rPr>
              <w:t>》</w:t>
            </w:r>
            <w:r>
              <w:rPr>
                <w:rFonts w:ascii="宋体" w:hAnsi="宋体" w:cs="宋体" w:eastAsia="宋体" w:hint="default"/>
                <w:spacing w:val="-153"/>
                <w:sz w:val="18"/>
                <w:szCs w:val="18"/>
              </w:rPr>
              <w:t>、</w:t>
            </w:r>
            <w:r>
              <w:rPr>
                <w:rFonts w:ascii="宋体" w:hAnsi="宋体" w:cs="宋体" w:eastAsia="宋体" w:hint="default"/>
                <w:sz w:val="18"/>
                <w:szCs w:val="18"/>
              </w:rPr>
              <w:t>《关于公</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司聘请本次重大</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资产重组相关中</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介机构的议案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《关于批准本次</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交易相关审计报</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
                <w:sz w:val="18"/>
                <w:szCs w:val="18"/>
              </w:rPr>
              <w:t>告、盈利预测审核</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报告及评估报告</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153"/>
                <w:sz w:val="18"/>
                <w:szCs w:val="18"/>
              </w:rPr>
              <w:t>、</w:t>
            </w:r>
            <w:r>
              <w:rPr>
                <w:rFonts w:ascii="宋体" w:hAnsi="宋体" w:cs="宋体" w:eastAsia="宋体" w:hint="default"/>
                <w:sz w:val="18"/>
                <w:szCs w:val="18"/>
              </w:rPr>
              <w:t>《关于评</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估机构的独立性、</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评估假设前提的</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
                <w:sz w:val="18"/>
                <w:szCs w:val="18"/>
              </w:rPr>
              <w:t>合理性、评估方法</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与评估目的的相</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关性及评估定价</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的公允性的议</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153"/>
                <w:sz w:val="18"/>
                <w:szCs w:val="18"/>
              </w:rPr>
              <w:t>、</w:t>
            </w:r>
            <w:r>
              <w:rPr>
                <w:rFonts w:ascii="宋体" w:hAnsi="宋体" w:cs="宋体" w:eastAsia="宋体" w:hint="default"/>
                <w:sz w:val="18"/>
                <w:szCs w:val="18"/>
              </w:rPr>
              <w:t>《关于提请股</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东大会授权董事</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2"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会全权办理本次</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3" w:hRule="exact"/>
        </w:trPr>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重大资产重组相</w:t>
            </w:r>
          </w:p>
        </w:tc>
        <w:tc>
          <w:tcPr>
            <w:tcW w:w="1594" w:type="dxa"/>
            <w:vMerge/>
            <w:tcBorders>
              <w:left w:val="single" w:sz="4" w:space="0" w:color="000000"/>
              <w:right w:val="single" w:sz="4" w:space="0" w:color="000000"/>
            </w:tcBorders>
            <w:shd w:val="clear" w:color="auto" w:fill="C6ECCC"/>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57" w:hRule="exact"/>
        </w:trPr>
        <w:tc>
          <w:tcPr>
            <w:tcW w:w="1596" w:type="dxa"/>
            <w:vMerge/>
            <w:tcBorders>
              <w:left w:val="single" w:sz="4" w:space="0" w:color="000000"/>
              <w:bottom w:val="single" w:sz="4" w:space="0" w:color="000000"/>
              <w:right w:val="single" w:sz="4" w:space="0" w:color="000000"/>
            </w:tcBorders>
            <w:shd w:val="clear" w:color="auto" w:fill="C6ECCC"/>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关事宜的议案》</w:t>
            </w:r>
          </w:p>
        </w:tc>
        <w:tc>
          <w:tcPr>
            <w:tcW w:w="1594" w:type="dxa"/>
            <w:vMerge/>
            <w:tcBorders>
              <w:left w:val="single" w:sz="4" w:space="0" w:color="000000"/>
              <w:bottom w:val="single" w:sz="4" w:space="0" w:color="000000"/>
              <w:right w:val="single" w:sz="4" w:space="0" w:color="000000"/>
            </w:tcBorders>
            <w:shd w:val="clear" w:color="auto" w:fill="C6ECCC"/>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shd w:val="clear" w:color="auto" w:fill="C6ECCC"/>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914"/>
        <w:jc w:val="left"/>
        <w:rPr>
          <w:b w:val="0"/>
          <w:bCs w:val="0"/>
        </w:rPr>
      </w:pPr>
      <w:bookmarkStart w:name="3、表决权恢夊的优先股股东请求召开临时股东大会" w:id="122"/>
      <w:bookmarkEnd w:id="122"/>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153" w:right="914"/>
        <w:jc w:val="left"/>
        <w:rPr>
          <w:b w:val="0"/>
          <w:bCs w:val="0"/>
        </w:rPr>
      </w:pPr>
      <w:bookmarkStart w:name="三、报告期内独立董事履行职责的情况" w:id="123"/>
      <w:bookmarkEnd w:id="123"/>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914"/>
        <w:jc w:val="left"/>
        <w:rPr>
          <w:b w:val="0"/>
          <w:bCs w:val="0"/>
        </w:rPr>
      </w:pPr>
      <w:bookmarkStart w:name="1、独立董事出席董事会及股东大会的情况" w:id="124"/>
      <w:bookmarkEnd w:id="12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1026"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16" w:right="11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17"/>
              <w:jc w:val="righ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86" w:right="115" w:hanging="270"/>
              <w:jc w:val="left"/>
              <w:rPr>
                <w:rFonts w:ascii="宋体" w:hAnsi="宋体" w:cs="宋体" w:eastAsia="宋体" w:hint="default"/>
                <w:sz w:val="18"/>
                <w:szCs w:val="18"/>
              </w:rPr>
            </w:pPr>
            <w:r>
              <w:rPr>
                <w:rFonts w:ascii="宋体" w:hAnsi="宋体" w:cs="宋体" w:eastAsia="宋体" w:hint="default"/>
                <w:sz w:val="18"/>
                <w:szCs w:val="18"/>
              </w:rPr>
              <w:t>以通讯方式参 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16"/>
              <w:jc w:val="righ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115"/>
              <w:jc w:val="center"/>
              <w:rPr>
                <w:rFonts w:ascii="宋体" w:hAnsi="宋体" w:cs="宋体" w:eastAsia="宋体" w:hint="default"/>
                <w:sz w:val="18"/>
                <w:szCs w:val="18"/>
              </w:rPr>
            </w:pPr>
            <w:r>
              <w:rPr>
                <w:rFonts w:ascii="宋体" w:hAnsi="宋体" w:cs="宋体" w:eastAsia="宋体" w:hint="default"/>
                <w:sz w:val="18"/>
                <w:szCs w:val="18"/>
              </w:rPr>
              <w:t>是否连续两次 未亲自参加会 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葛江河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吴贤国</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王全宁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1"/>
        <w:rPr>
          <w:rFonts w:ascii="宋体" w:hAnsi="宋体" w:cs="宋体" w:eastAsia="宋体" w:hint="default"/>
          <w:sz w:val="19"/>
          <w:szCs w:val="19"/>
        </w:rPr>
      </w:pPr>
    </w:p>
    <w:p>
      <w:pPr>
        <w:pStyle w:val="Heading4"/>
        <w:spacing w:line="240" w:lineRule="auto"/>
        <w:ind w:right="0"/>
        <w:jc w:val="both"/>
        <w:rPr>
          <w:b w:val="0"/>
          <w:bCs w:val="0"/>
        </w:rPr>
      </w:pPr>
      <w:bookmarkStart w:name="2、独立董事对公司有关事项提出异议的情况" w:id="125"/>
      <w:bookmarkEnd w:id="12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57" w:lineRule="auto" w:before="117"/>
        <w:ind w:left="153" w:right="6973"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0"/>
        <w:rPr>
          <w:rFonts w:ascii="宋体" w:hAnsi="宋体" w:cs="宋体" w:eastAsia="宋体" w:hint="default"/>
          <w:sz w:val="20"/>
          <w:szCs w:val="20"/>
        </w:rPr>
      </w:pPr>
    </w:p>
    <w:p>
      <w:pPr>
        <w:pStyle w:val="Heading4"/>
        <w:spacing w:line="240" w:lineRule="auto"/>
        <w:ind w:left="153" w:right="0"/>
        <w:jc w:val="both"/>
        <w:rPr>
          <w:b w:val="0"/>
          <w:bCs w:val="0"/>
        </w:rPr>
      </w:pPr>
      <w:bookmarkStart w:name="3、独立董事履行职责的其他说明" w:id="126"/>
      <w:bookmarkEnd w:id="12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60" w:lineRule="auto" w:before="116"/>
        <w:ind w:left="153" w:right="6793"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spacing w:line="316" w:lineRule="auto" w:before="25"/>
        <w:ind w:left="154" w:right="1130" w:firstLine="405"/>
        <w:jc w:val="both"/>
        <w:rPr>
          <w:rFonts w:ascii="宋体" w:hAnsi="宋体" w:cs="宋体" w:eastAsia="宋体" w:hint="default"/>
          <w:sz w:val="18"/>
          <w:szCs w:val="18"/>
        </w:rPr>
      </w:pPr>
      <w:r>
        <w:rPr>
          <w:rFonts w:ascii="宋体" w:hAnsi="宋体" w:cs="宋体" w:eastAsia="宋体" w:hint="default"/>
          <w:sz w:val="18"/>
          <w:szCs w:val="18"/>
        </w:rPr>
        <w:t>报告期内公司独立董事严格按照有关法律、法规及《公司章程》的规定履行职责，出席了报告期内召开的董事会、认 </w:t>
      </w:r>
      <w:r>
        <w:rPr>
          <w:rFonts w:ascii="宋体" w:hAnsi="宋体" w:cs="宋体" w:eastAsia="宋体" w:hint="default"/>
          <w:spacing w:val="-2"/>
          <w:sz w:val="18"/>
          <w:szCs w:val="18"/>
        </w:rPr>
        <w:t>真审议各项议案，客观地发表自己的看法和观点，并利用自己的专业知识做出独立、公正的判断。同时，几位独立董事还深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入公司现场调研，了解公司经营状况和内部控制的建设及董事会决议执行情况，为公司经营和发展提出了合理化的意见和建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议。</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四、董事会下设专门委员会在报告期内履行职责情况" w:id="127"/>
      <w:bookmarkEnd w:id="127"/>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3" w:right="1043" w:firstLine="420"/>
        <w:jc w:val="both"/>
        <w:rPr>
          <w:rFonts w:ascii="宋体" w:hAnsi="宋体" w:cs="宋体" w:eastAsia="宋体" w:hint="default"/>
          <w:sz w:val="18"/>
          <w:szCs w:val="18"/>
        </w:rPr>
      </w:pPr>
      <w:r>
        <w:rPr>
          <w:rFonts w:ascii="宋体" w:hAnsi="宋体" w:cs="宋体" w:eastAsia="宋体" w:hint="default"/>
          <w:spacing w:val="-2"/>
          <w:sz w:val="18"/>
          <w:szCs w:val="18"/>
        </w:rPr>
        <w:t>公司董事会下设审计委员会、薪酬与考核委员会、提名委员会和战略委员会。报告期内，专门委员会按照《公司章程》</w:t>
      </w:r>
      <w:r>
        <w:rPr>
          <w:rFonts w:ascii="宋体" w:hAnsi="宋体" w:cs="宋体" w:eastAsia="宋体" w:hint="default"/>
          <w:sz w:val="18"/>
          <w:szCs w:val="18"/>
        </w:rPr>
        <w:t> 和各议事规则的规定，对公司经营管理重大事项进行讨论与决策。</w:t>
      </w:r>
    </w:p>
    <w:p>
      <w:pPr>
        <w:spacing w:line="300" w:lineRule="auto" w:before="19"/>
        <w:ind w:left="574" w:right="1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、董事会审计委员会履职情况 董事会审计委员会主要负责公司内外部审计的沟通和协调，组织内部审计等相关工作。报告期内，董事会审计委员会</w:t>
      </w:r>
    </w:p>
    <w:p>
      <w:pPr>
        <w:spacing w:line="300" w:lineRule="auto" w:before="31"/>
        <w:ind w:left="153" w:right="1131" w:firstLine="0"/>
        <w:jc w:val="both"/>
        <w:rPr>
          <w:rFonts w:ascii="宋体" w:hAnsi="宋体" w:cs="宋体" w:eastAsia="宋体" w:hint="default"/>
          <w:sz w:val="18"/>
          <w:szCs w:val="18"/>
        </w:rPr>
      </w:pPr>
      <w:r>
        <w:rPr>
          <w:rFonts w:ascii="宋体" w:hAnsi="宋体" w:cs="宋体" w:eastAsia="宋体" w:hint="default"/>
          <w:sz w:val="18"/>
          <w:szCs w:val="18"/>
        </w:rPr>
        <w:t>共召开会议</w:t>
      </w:r>
      <w:r>
        <w:rPr>
          <w:rFonts w:ascii="Times New Roman" w:hAnsi="Times New Roman" w:cs="Times New Roman" w:eastAsia="Times New Roman" w:hint="default"/>
          <w:sz w:val="18"/>
          <w:szCs w:val="18"/>
        </w:rPr>
        <w:t>4</w:t>
      </w:r>
      <w:r>
        <w:rPr>
          <w:rFonts w:ascii="宋体" w:hAnsi="宋体" w:cs="宋体" w:eastAsia="宋体" w:hint="default"/>
          <w:sz w:val="18"/>
          <w:szCs w:val="18"/>
        </w:rPr>
        <w:t>次，主要审议了公司内部审计部门提交的季度募集资金存放和使用的专项报告和财务报告，对内部审计部门的 </w:t>
      </w:r>
      <w:r>
        <w:rPr>
          <w:rFonts w:ascii="宋体" w:hAnsi="宋体" w:cs="宋体" w:eastAsia="宋体" w:hint="default"/>
          <w:spacing w:val="-2"/>
          <w:sz w:val="18"/>
          <w:szCs w:val="18"/>
        </w:rPr>
        <w:t>工作进行监督和指导。在</w:t>
      </w:r>
      <w:r>
        <w:rPr>
          <w:rFonts w:ascii="Times New Roman" w:hAnsi="Times New Roman" w:cs="Times New Roman" w:eastAsia="Times New Roman" w:hint="default"/>
          <w:spacing w:val="-2"/>
          <w:sz w:val="18"/>
          <w:szCs w:val="18"/>
        </w:rPr>
        <w:t>201</w:t>
      </w:r>
      <w:r>
        <w:rPr>
          <w:rFonts w:ascii="宋体" w:hAnsi="宋体" w:cs="宋体" w:eastAsia="宋体" w:hint="default"/>
          <w:spacing w:val="-2"/>
          <w:sz w:val="18"/>
          <w:szCs w:val="18"/>
        </w:rPr>
        <w:t>4</w:t>
      </w:r>
      <w:r>
        <w:rPr>
          <w:rFonts w:ascii="宋体" w:hAnsi="宋体" w:cs="宋体" w:eastAsia="宋体" w:hint="default"/>
          <w:spacing w:val="-2"/>
          <w:sz w:val="18"/>
          <w:szCs w:val="18"/>
        </w:rPr>
        <w:t>年年报编制和审计工作过程中，审计委员会与审计机构沟通确定了年度财务报告审计工作的时</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间安排，对公司的财务报表进行了审计并形成了内部审计书面报告。</w:t>
      </w:r>
    </w:p>
    <w:p>
      <w:pPr>
        <w:spacing w:line="300" w:lineRule="auto" w:before="31"/>
        <w:ind w:left="573" w:right="1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、董事会薪酬与考核委员会履职情况 董事会薪酬与考核委员会主要负责公司董事和高级管理人员的薪酬方案及考评方案的制定及执行。报告期内，董事会</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4" w:right="1122" w:firstLine="0"/>
        <w:jc w:val="left"/>
        <w:rPr>
          <w:rFonts w:ascii="宋体" w:hAnsi="宋体" w:cs="宋体" w:eastAsia="宋体" w:hint="default"/>
          <w:sz w:val="18"/>
          <w:szCs w:val="18"/>
        </w:rPr>
      </w:pPr>
      <w:r>
        <w:rPr>
          <w:rFonts w:ascii="宋体" w:hAnsi="宋体" w:cs="宋体" w:eastAsia="宋体" w:hint="default"/>
          <w:sz w:val="18"/>
          <w:szCs w:val="18"/>
        </w:rPr>
        <w:t>薪酬与考核委员会共召开会议</w:t>
      </w:r>
      <w:r>
        <w:rPr>
          <w:rFonts w:ascii="Times New Roman" w:hAnsi="Times New Roman" w:cs="Times New Roman" w:eastAsia="Times New Roman" w:hint="default"/>
          <w:sz w:val="18"/>
          <w:szCs w:val="18"/>
        </w:rPr>
        <w:t>1</w:t>
      </w:r>
      <w:r>
        <w:rPr>
          <w:rFonts w:ascii="宋体" w:hAnsi="宋体" w:cs="宋体" w:eastAsia="宋体" w:hint="default"/>
          <w:sz w:val="18"/>
          <w:szCs w:val="18"/>
        </w:rPr>
        <w:t>次，主要审议确定了公司</w:t>
      </w:r>
      <w:r>
        <w:rPr>
          <w:rFonts w:ascii="Times New Roman" w:hAnsi="Times New Roman" w:cs="Times New Roman" w:eastAsia="Times New Roman" w:hint="default"/>
          <w:sz w:val="18"/>
          <w:szCs w:val="18"/>
        </w:rPr>
        <w:t>201</w:t>
      </w:r>
      <w:r>
        <w:rPr>
          <w:rFonts w:ascii="宋体" w:hAnsi="宋体" w:cs="宋体" w:eastAsia="宋体" w:hint="default"/>
          <w:sz w:val="18"/>
          <w:szCs w:val="18"/>
        </w:rPr>
        <w:t>4</w:t>
      </w:r>
      <w:r>
        <w:rPr>
          <w:rFonts w:ascii="宋体" w:hAnsi="宋体" w:cs="宋体" w:eastAsia="宋体" w:hint="default"/>
          <w:sz w:val="18"/>
          <w:szCs w:val="18"/>
        </w:rPr>
        <w:t>年董事及高级管理人员的薪酬情况，形成决议并提交董事会审 议。</w:t>
      </w:r>
    </w:p>
    <w:p>
      <w:pPr>
        <w:spacing w:line="300" w:lineRule="auto" w:before="31"/>
        <w:ind w:left="574" w:right="1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、董事会提名委员会履职情况 董事会提名委员会主要负责对公司董事和高级管理人员的人选、选择标准和选择程序提出建议。报告期内，董事会提</w:t>
      </w:r>
    </w:p>
    <w:p>
      <w:pPr>
        <w:spacing w:before="32"/>
        <w:ind w:left="154" w:right="914" w:firstLine="0"/>
        <w:jc w:val="left"/>
        <w:rPr>
          <w:rFonts w:ascii="宋体" w:hAnsi="宋体" w:cs="宋体" w:eastAsia="宋体" w:hint="default"/>
          <w:sz w:val="18"/>
          <w:szCs w:val="18"/>
        </w:rPr>
      </w:pPr>
      <w:r>
        <w:rPr>
          <w:rFonts w:ascii="宋体" w:hAnsi="宋体" w:cs="宋体" w:eastAsia="宋体" w:hint="default"/>
          <w:sz w:val="18"/>
          <w:szCs w:val="18"/>
        </w:rPr>
        <w:t>名委员会共召开会议</w:t>
      </w:r>
      <w:r>
        <w:rPr>
          <w:rFonts w:ascii="Times New Roman" w:hAnsi="Times New Roman" w:cs="Times New Roman" w:eastAsia="Times New Roman" w:hint="default"/>
          <w:sz w:val="18"/>
          <w:szCs w:val="18"/>
        </w:rPr>
        <w:t>1</w:t>
      </w:r>
      <w:r>
        <w:rPr>
          <w:rFonts w:ascii="宋体" w:hAnsi="宋体" w:cs="宋体" w:eastAsia="宋体" w:hint="default"/>
          <w:sz w:val="18"/>
          <w:szCs w:val="18"/>
        </w:rPr>
        <w:t>次，提名第三届董事会董事候选人及高级管理人员候选人。</w:t>
      </w:r>
    </w:p>
    <w:p>
      <w:pPr>
        <w:spacing w:line="300" w:lineRule="auto" w:before="63"/>
        <w:ind w:left="574" w:right="1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、董事会战略委员会 董事会战略委员会主要负责研究公司长期发展战略和重大投资决策，对重大事项提出意见和建议。报告期内，董事会</w:t>
      </w:r>
    </w:p>
    <w:p>
      <w:pPr>
        <w:spacing w:before="31"/>
        <w:ind w:left="154" w:right="914" w:firstLine="0"/>
        <w:jc w:val="left"/>
        <w:rPr>
          <w:rFonts w:ascii="宋体" w:hAnsi="宋体" w:cs="宋体" w:eastAsia="宋体" w:hint="default"/>
          <w:sz w:val="18"/>
          <w:szCs w:val="18"/>
        </w:rPr>
      </w:pPr>
      <w:r>
        <w:rPr>
          <w:rFonts w:ascii="宋体" w:hAnsi="宋体" w:cs="宋体" w:eastAsia="宋体" w:hint="default"/>
          <w:sz w:val="18"/>
          <w:szCs w:val="18"/>
        </w:rPr>
        <w:t>战略委员会共召开会议</w:t>
      </w:r>
      <w:r>
        <w:rPr>
          <w:rFonts w:ascii="Times New Roman" w:hAnsi="Times New Roman" w:cs="Times New Roman" w:eastAsia="Times New Roman" w:hint="default"/>
          <w:sz w:val="18"/>
          <w:szCs w:val="18"/>
        </w:rPr>
        <w:t>1</w:t>
      </w:r>
      <w:r>
        <w:rPr>
          <w:rFonts w:ascii="宋体" w:hAnsi="宋体" w:cs="宋体" w:eastAsia="宋体" w:hint="default"/>
          <w:sz w:val="18"/>
          <w:szCs w:val="18"/>
        </w:rPr>
        <w:t>次，主要审议了公司目前战略定位和下一年度公司的战略发展方向。</w:t>
      </w:r>
    </w:p>
    <w:p>
      <w:pPr>
        <w:spacing w:line="240" w:lineRule="auto" w:before="1"/>
        <w:rPr>
          <w:rFonts w:ascii="宋体" w:hAnsi="宋体" w:cs="宋体" w:eastAsia="宋体" w:hint="default"/>
          <w:sz w:val="24"/>
          <w:szCs w:val="24"/>
        </w:rPr>
      </w:pPr>
    </w:p>
    <w:p>
      <w:pPr>
        <w:pStyle w:val="Heading2"/>
        <w:spacing w:line="240" w:lineRule="auto"/>
        <w:ind w:left="153" w:right="914"/>
        <w:jc w:val="left"/>
        <w:rPr>
          <w:b w:val="0"/>
          <w:bCs w:val="0"/>
        </w:rPr>
      </w:pPr>
      <w:bookmarkStart w:name="五、监事会工作情况" w:id="128"/>
      <w:bookmarkEnd w:id="128"/>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60" w:lineRule="auto" w:before="116"/>
        <w:ind w:left="153" w:right="7693"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left="153" w:right="914"/>
        <w:jc w:val="left"/>
        <w:rPr>
          <w:b w:val="0"/>
          <w:bCs w:val="0"/>
        </w:rPr>
      </w:pPr>
      <w:bookmarkStart w:name="六、公司相对于控股股东在业务、人员、资产、机构、财务等方面的独立完整情况" w:id="129"/>
      <w:bookmarkEnd w:id="129"/>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1130" w:firstLine="420"/>
        <w:jc w:val="both"/>
        <w:rPr>
          <w:rFonts w:ascii="宋体" w:hAnsi="宋体" w:cs="宋体" w:eastAsia="宋体" w:hint="default"/>
          <w:sz w:val="18"/>
          <w:szCs w:val="18"/>
        </w:rPr>
      </w:pPr>
      <w:r>
        <w:rPr>
          <w:rFonts w:ascii="宋体" w:hAnsi="宋体" w:cs="宋体" w:eastAsia="宋体" w:hint="default"/>
          <w:sz w:val="18"/>
          <w:szCs w:val="18"/>
        </w:rPr>
        <w:t>公司严格规范公司与股东之间的关系，建立健全各项管理制度。目前，公司在业务、资产、人员、财务、机构方面均 </w:t>
      </w:r>
      <w:r>
        <w:rPr>
          <w:rFonts w:ascii="宋体" w:hAnsi="宋体" w:cs="宋体" w:eastAsia="宋体" w:hint="default"/>
          <w:spacing w:val="-2"/>
          <w:sz w:val="18"/>
          <w:szCs w:val="18"/>
        </w:rPr>
        <w:t>独立于公司各股东，具有独立完整的业务和供应、生产、销售系统，以及面向市场自主经营的能力，完全独立运作、自主经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营，独立承担责任和风险。</w:t>
      </w:r>
    </w:p>
    <w:p>
      <w:pPr>
        <w:spacing w:line="357" w:lineRule="auto" w:before="56"/>
        <w:ind w:left="573" w:right="1153" w:firstLine="0"/>
        <w:jc w:val="left"/>
        <w:rPr>
          <w:rFonts w:ascii="宋体" w:hAnsi="宋体" w:cs="宋体" w:eastAsia="宋体" w:hint="default"/>
          <w:sz w:val="18"/>
          <w:szCs w:val="18"/>
        </w:rPr>
      </w:pPr>
      <w:r>
        <w:rPr>
          <w:rFonts w:ascii="宋体" w:hAnsi="宋体" w:cs="宋体" w:eastAsia="宋体" w:hint="default"/>
          <w:sz w:val="18"/>
          <w:szCs w:val="18"/>
        </w:rPr>
        <w:t>（一）业务独立 公司主要从事铝板复合型防伪印刷和防伪瓶盖的生产、销售及相关业务，拥有完整且独立的采购、生产、销售系统，</w:t>
      </w:r>
    </w:p>
    <w:p>
      <w:pPr>
        <w:spacing w:line="224" w:lineRule="exact"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具有独立、完整的资产和业务，形成了集铝板复合型防伪印刷、瓶盖制造、制盖机械及模具制造、产品技术研发和售后技术</w:t>
      </w:r>
    </w:p>
    <w:p>
      <w:pPr>
        <w:spacing w:line="319" w:lineRule="auto" w:before="76"/>
        <w:ind w:left="153" w:right="914" w:firstLine="0"/>
        <w:jc w:val="left"/>
        <w:rPr>
          <w:rFonts w:ascii="宋体" w:hAnsi="宋体" w:cs="宋体" w:eastAsia="宋体" w:hint="default"/>
          <w:sz w:val="18"/>
          <w:szCs w:val="18"/>
        </w:rPr>
      </w:pPr>
      <w:r>
        <w:rPr>
          <w:rFonts w:ascii="宋体" w:hAnsi="宋体" w:cs="宋体" w:eastAsia="宋体" w:hint="default"/>
          <w:spacing w:val="-2"/>
          <w:sz w:val="18"/>
          <w:szCs w:val="18"/>
        </w:rPr>
        <w:t>服务为一体的完整业务体系，具备面向市场自主经营的能力，独立组织和实施生产经营活动，不依赖于控股股东和实际控制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人。</w:t>
      </w:r>
    </w:p>
    <w:p>
      <w:pPr>
        <w:spacing w:line="357" w:lineRule="auto" w:before="58"/>
        <w:ind w:left="573" w:right="1153" w:firstLine="0"/>
        <w:jc w:val="left"/>
        <w:rPr>
          <w:rFonts w:ascii="宋体" w:hAnsi="宋体" w:cs="宋体" w:eastAsia="宋体" w:hint="default"/>
          <w:sz w:val="18"/>
          <w:szCs w:val="18"/>
        </w:rPr>
      </w:pPr>
      <w:r>
        <w:rPr>
          <w:rFonts w:ascii="宋体" w:hAnsi="宋体" w:cs="宋体" w:eastAsia="宋体" w:hint="default"/>
          <w:sz w:val="18"/>
          <w:szCs w:val="18"/>
        </w:rPr>
        <w:t>（二）资产完整 公司拥有独立的生产系统、辅助生产系统和配套设施、土地使用权、专利、商标、非专利技术等资产，公司没有以自</w:t>
      </w:r>
    </w:p>
    <w:p>
      <w:pPr>
        <w:spacing w:line="224" w:lineRule="exact"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身资产、权益或信誉为控股股东、实际控制人的债务提供过担保，对所有资产拥有完全的控制支配权，不存在资产、资金和</w:t>
      </w:r>
    </w:p>
    <w:p>
      <w:pPr>
        <w:spacing w:before="77"/>
        <w:ind w:left="153" w:right="914" w:firstLine="0"/>
        <w:jc w:val="left"/>
        <w:rPr>
          <w:rFonts w:ascii="宋体" w:hAnsi="宋体" w:cs="宋体" w:eastAsia="宋体" w:hint="default"/>
          <w:sz w:val="18"/>
          <w:szCs w:val="18"/>
        </w:rPr>
      </w:pPr>
      <w:r>
        <w:rPr>
          <w:rFonts w:ascii="宋体" w:hAnsi="宋体" w:cs="宋体" w:eastAsia="宋体" w:hint="default"/>
          <w:sz w:val="18"/>
          <w:szCs w:val="18"/>
        </w:rPr>
        <w:t>其他资源被控股股东和实际控制人违规占用而损害公司其他股东利益及公司利益的情况。</w:t>
      </w:r>
    </w:p>
    <w:p>
      <w:pPr>
        <w:spacing w:line="357" w:lineRule="auto" w:before="116"/>
        <w:ind w:left="573" w:right="914" w:firstLine="0"/>
        <w:jc w:val="left"/>
        <w:rPr>
          <w:rFonts w:ascii="宋体" w:hAnsi="宋体" w:cs="宋体" w:eastAsia="宋体" w:hint="default"/>
          <w:sz w:val="18"/>
          <w:szCs w:val="18"/>
        </w:rPr>
      </w:pPr>
      <w:r>
        <w:rPr>
          <w:rFonts w:ascii="宋体" w:hAnsi="宋体" w:cs="宋体" w:eastAsia="宋体" w:hint="default"/>
          <w:sz w:val="18"/>
          <w:szCs w:val="18"/>
        </w:rPr>
        <w:t>（三）人员独立 </w:t>
      </w:r>
      <w:r>
        <w:rPr>
          <w:rFonts w:ascii="宋体" w:hAnsi="宋体" w:cs="宋体" w:eastAsia="宋体" w:hint="default"/>
          <w:spacing w:val="-4"/>
          <w:sz w:val="18"/>
          <w:szCs w:val="18"/>
        </w:rPr>
        <w:t>公司董事、监事及高级管理人员均严格按照《公司法》、《公司章程》的有关规定产生。董事长、总裁、副总裁、财务</w:t>
      </w:r>
    </w:p>
    <w:p>
      <w:pPr>
        <w:spacing w:line="224" w:lineRule="exact"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负责人、董事会秘书和业务部门负责人均属专职且在公司领取薪酬，不存在在控股股东、实际控制人及其控制的其他企业兼</w:t>
      </w:r>
    </w:p>
    <w:p>
      <w:pPr>
        <w:spacing w:line="319" w:lineRule="auto" w:before="76"/>
        <w:ind w:left="153" w:right="914" w:firstLine="0"/>
        <w:jc w:val="left"/>
        <w:rPr>
          <w:rFonts w:ascii="宋体" w:hAnsi="宋体" w:cs="宋体" w:eastAsia="宋体" w:hint="default"/>
          <w:sz w:val="18"/>
          <w:szCs w:val="18"/>
        </w:rPr>
      </w:pPr>
      <w:r>
        <w:rPr>
          <w:rFonts w:ascii="宋体" w:hAnsi="宋体" w:cs="宋体" w:eastAsia="宋体" w:hint="default"/>
          <w:spacing w:val="-2"/>
          <w:sz w:val="18"/>
          <w:szCs w:val="18"/>
        </w:rPr>
        <w:t>职的情形。公司高级管理人员的推荐符合《公司章程》的规定，不存在超越董事会和股东大会而作出人事任免的决定。公司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在劳动、人事及工资管理上完全独立，并根据《劳动法》和公司劳动管理制度等有关规定与公司员工签订劳动合同。</w:t>
      </w:r>
    </w:p>
    <w:p>
      <w:pPr>
        <w:spacing w:line="357" w:lineRule="auto" w:before="56"/>
        <w:ind w:left="573" w:right="1153" w:firstLine="0"/>
        <w:jc w:val="left"/>
        <w:rPr>
          <w:rFonts w:ascii="宋体" w:hAnsi="宋体" w:cs="宋体" w:eastAsia="宋体" w:hint="default"/>
          <w:sz w:val="18"/>
          <w:szCs w:val="18"/>
        </w:rPr>
      </w:pPr>
      <w:r>
        <w:rPr>
          <w:rFonts w:ascii="宋体" w:hAnsi="宋体" w:cs="宋体" w:eastAsia="宋体" w:hint="default"/>
          <w:sz w:val="18"/>
          <w:szCs w:val="18"/>
        </w:rPr>
        <w:t>（四）财务独立 公司设立了独立的财务部门，配备了独立的财务人员，开设了独立的银行账号，建立了独立的会计核算体系，制定了</w:t>
      </w:r>
    </w:p>
    <w:p>
      <w:pPr>
        <w:spacing w:line="224" w:lineRule="exact"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内部财务管理制度等内控制度，独立进行财务决策并依法独立进行纳税申报和履行纳税义务。公司根据企业发展规划，自主</w:t>
      </w:r>
    </w:p>
    <w:p>
      <w:pPr>
        <w:spacing w:line="319" w:lineRule="auto" w:before="76"/>
        <w:ind w:left="154" w:right="914" w:firstLine="0"/>
        <w:jc w:val="left"/>
        <w:rPr>
          <w:rFonts w:ascii="宋体" w:hAnsi="宋体" w:cs="宋体" w:eastAsia="宋体" w:hint="default"/>
          <w:sz w:val="18"/>
          <w:szCs w:val="18"/>
        </w:rPr>
      </w:pPr>
      <w:r>
        <w:rPr>
          <w:rFonts w:ascii="宋体" w:hAnsi="宋体" w:cs="宋体" w:eastAsia="宋体" w:hint="default"/>
          <w:spacing w:val="-2"/>
          <w:sz w:val="18"/>
          <w:szCs w:val="18"/>
        </w:rPr>
        <w:t>决定投资计划和资金安排，不存在股东干预公司财务决策、资金使用的情况，不存在货币资金或其他资产被股东或其他关联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方占用的情况，也不存在为各股东、实际控制人及其控制的其他企业提供担保的情况。</w:t>
      </w:r>
    </w:p>
    <w:p>
      <w:pPr>
        <w:spacing w:line="357" w:lineRule="auto" w:before="58"/>
        <w:ind w:left="573" w:right="1153" w:firstLine="0"/>
        <w:jc w:val="left"/>
        <w:rPr>
          <w:rFonts w:ascii="宋体" w:hAnsi="宋体" w:cs="宋体" w:eastAsia="宋体" w:hint="default"/>
          <w:sz w:val="18"/>
          <w:szCs w:val="18"/>
        </w:rPr>
      </w:pPr>
      <w:r>
        <w:rPr>
          <w:rFonts w:ascii="宋体" w:hAnsi="宋体" w:cs="宋体" w:eastAsia="宋体" w:hint="default"/>
          <w:sz w:val="18"/>
          <w:szCs w:val="18"/>
        </w:rPr>
        <w:t>（五）机构独立 公司设立了股东大会、董事会、监事会等机构，聘请了包括总裁、副总裁、财务负责人、董事会秘书等人员在内的高</w:t>
      </w:r>
    </w:p>
    <w:p>
      <w:pPr>
        <w:spacing w:line="224" w:lineRule="exact" w:before="0"/>
        <w:ind w:left="153" w:right="914" w:firstLine="0"/>
        <w:jc w:val="left"/>
        <w:rPr>
          <w:rFonts w:ascii="宋体" w:hAnsi="宋体" w:cs="宋体" w:eastAsia="宋体" w:hint="default"/>
          <w:sz w:val="18"/>
          <w:szCs w:val="18"/>
        </w:rPr>
      </w:pPr>
      <w:r>
        <w:rPr>
          <w:rFonts w:ascii="宋体" w:hAnsi="宋体" w:cs="宋体" w:eastAsia="宋体" w:hint="default"/>
          <w:spacing w:val="-4"/>
          <w:sz w:val="18"/>
          <w:szCs w:val="18"/>
        </w:rPr>
        <w:t>级管理人员，根据自身经营需要，下设运营部、研发制造中心、财务部、国内贸易部、国际贸易部、人力资源与知识产权部、</w:t>
      </w:r>
    </w:p>
    <w:p>
      <w:pPr>
        <w:spacing w:before="76"/>
        <w:ind w:left="153" w:right="914" w:firstLine="0"/>
        <w:jc w:val="left"/>
        <w:rPr>
          <w:rFonts w:ascii="宋体" w:hAnsi="宋体" w:cs="宋体" w:eastAsia="宋体" w:hint="default"/>
          <w:sz w:val="18"/>
          <w:szCs w:val="18"/>
        </w:rPr>
      </w:pPr>
      <w:r>
        <w:rPr>
          <w:rFonts w:ascii="宋体" w:hAnsi="宋体" w:cs="宋体" w:eastAsia="宋体" w:hint="default"/>
          <w:sz w:val="18"/>
          <w:szCs w:val="18"/>
        </w:rPr>
        <w:t>证券部等职能部门，拥有完整的采购、生产、销售系统和配套部门。自公司设立以来，未发生股东干预公司正常生产经营活</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914" w:firstLine="0"/>
        <w:jc w:val="left"/>
        <w:rPr>
          <w:rFonts w:ascii="宋体" w:hAnsi="宋体" w:cs="宋体" w:eastAsia="宋体" w:hint="default"/>
          <w:sz w:val="18"/>
          <w:szCs w:val="18"/>
        </w:rPr>
      </w:pPr>
      <w:r>
        <w:rPr>
          <w:rFonts w:ascii="宋体" w:hAnsi="宋体" w:cs="宋体" w:eastAsia="宋体" w:hint="default"/>
          <w:sz w:val="18"/>
          <w:szCs w:val="18"/>
        </w:rPr>
        <w:t>动的情况。</w:t>
      </w:r>
    </w:p>
    <w:p>
      <w:pPr>
        <w:spacing w:line="240" w:lineRule="auto" w:before="13"/>
        <w:rPr>
          <w:rFonts w:ascii="宋体" w:hAnsi="宋体" w:cs="宋体" w:eastAsia="宋体" w:hint="default"/>
          <w:sz w:val="24"/>
          <w:szCs w:val="24"/>
        </w:rPr>
      </w:pPr>
    </w:p>
    <w:p>
      <w:pPr>
        <w:pStyle w:val="Heading2"/>
        <w:spacing w:line="240" w:lineRule="auto"/>
        <w:ind w:left="153" w:right="914"/>
        <w:jc w:val="left"/>
        <w:rPr>
          <w:b w:val="0"/>
          <w:bCs w:val="0"/>
        </w:rPr>
      </w:pPr>
      <w:bookmarkStart w:name="七、同业竞争情况" w:id="130"/>
      <w:bookmarkEnd w:id="130"/>
      <w:r>
        <w:rPr>
          <w:b w:val="0"/>
          <w:bCs w:val="0"/>
        </w:rPr>
      </w:r>
      <w:r>
        <w:rPr/>
        <w:t>七、同业竞争情况</w:t>
      </w:r>
      <w:r>
        <w:rPr>
          <w:b w:val="0"/>
          <w:bCs w:val="0"/>
        </w:rPr>
      </w:r>
    </w:p>
    <w:p>
      <w:pPr>
        <w:spacing w:line="240" w:lineRule="auto" w:before="9"/>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914"/>
        <w:jc w:val="left"/>
        <w:rPr>
          <w:b w:val="0"/>
          <w:bCs w:val="0"/>
        </w:rPr>
      </w:pPr>
      <w:bookmarkStart w:name="八、高级管理人员的考评及激励情况" w:id="131"/>
      <w:bookmarkEnd w:id="131"/>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1131" w:firstLine="420"/>
        <w:jc w:val="both"/>
        <w:rPr>
          <w:rFonts w:ascii="宋体" w:hAnsi="宋体" w:cs="宋体" w:eastAsia="宋体" w:hint="default"/>
          <w:sz w:val="18"/>
          <w:szCs w:val="18"/>
        </w:rPr>
      </w:pPr>
      <w:r>
        <w:rPr>
          <w:rFonts w:ascii="宋体" w:hAnsi="宋体" w:cs="宋体" w:eastAsia="宋体" w:hint="default"/>
          <w:sz w:val="18"/>
          <w:szCs w:val="18"/>
        </w:rPr>
        <w:t>公司建立了公正、合理、有效的高级管理人员绩效考核评价体系，以公司规范化管理以及经营效益稳步提升为基础， </w:t>
      </w:r>
      <w:r>
        <w:rPr>
          <w:rFonts w:ascii="宋体" w:hAnsi="宋体" w:cs="宋体" w:eastAsia="宋体" w:hint="default"/>
          <w:spacing w:val="-2"/>
          <w:sz w:val="18"/>
          <w:szCs w:val="18"/>
        </w:rPr>
        <w:t>明确责任。董事会薪酬与考核委员会具体审议高级管理人员的薪酬奖励方案，根据公司实际经营完成情况以及高级管理人员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的工作绩效，对高级管理人员进行年度绩效考核，并监督薪酬制度执行情况。报告期内，本公司高级管理人员能够严格按照</w:t>
      </w:r>
    </w:p>
    <w:p>
      <w:pPr>
        <w:spacing w:before="20"/>
        <w:ind w:left="153" w:right="914" w:firstLine="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z w:val="18"/>
          <w:szCs w:val="18"/>
        </w:rPr>
        <w:t>《公司章程》等法律法规，认真履行职责。</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113"/>
        <w:jc w:val="center"/>
        <w:rPr>
          <w:b w:val="0"/>
          <w:bCs w:val="0"/>
        </w:rPr>
      </w:pPr>
      <w:bookmarkStart w:name="第十节 内部控制" w:id="132"/>
      <w:bookmarkEnd w:id="132"/>
      <w:r>
        <w:rPr>
          <w:b w:val="0"/>
          <w:bCs w:val="0"/>
        </w:rPr>
      </w:r>
      <w:bookmarkStart w:name="_bookmark8" w:id="133"/>
      <w:bookmarkEnd w:id="133"/>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914"/>
        <w:jc w:val="left"/>
        <w:rPr>
          <w:b w:val="0"/>
          <w:bCs w:val="0"/>
        </w:rPr>
      </w:pPr>
      <w:bookmarkStart w:name="一、内部控制建设情况" w:id="134"/>
      <w:bookmarkEnd w:id="134"/>
      <w:r>
        <w:rPr>
          <w:b w:val="0"/>
          <w:bCs w:val="0"/>
        </w:rPr>
      </w:r>
      <w:r>
        <w:rPr/>
        <w:t>一、内部控制建设情况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914" w:firstLine="300"/>
        <w:jc w:val="left"/>
      </w:pPr>
      <w:r>
        <w:rPr>
          <w:spacing w:val="-18"/>
        </w:rPr>
        <w:t>公司根据《公司法》、《证券法》、《企业内部控制基本规范》、《深圳证券交易所股票上市规则》、《深圳</w:t>
      </w:r>
      <w:r>
        <w:rPr/>
        <w:t> </w:t>
      </w:r>
      <w:r>
        <w:rPr>
          <w:spacing w:val="-1"/>
        </w:rPr>
        <w:t>证券交易所中小企业板上市公司规范运作指引》等相关法律、法规和规范性文件的规定，结合公司发展战</w:t>
      </w:r>
      <w:r>
        <w:rPr>
          <w:spacing w:val="-83"/>
        </w:rPr>
        <w:t> </w:t>
      </w:r>
      <w:r>
        <w:rPr>
          <w:spacing w:val="-83"/>
        </w:rPr>
      </w:r>
      <w:r>
        <w:rPr>
          <w:spacing w:val="-1"/>
        </w:rPr>
        <w:t>略规划和业务特点，不断调整、修订和完善公司的各项内部控制制度。各项内控制度在不断完善后，对公</w:t>
      </w:r>
      <w:r>
        <w:rPr>
          <w:spacing w:val="-86"/>
        </w:rPr>
        <w:t> </w:t>
      </w:r>
      <w:r>
        <w:rPr>
          <w:spacing w:val="-86"/>
        </w:rPr>
      </w:r>
      <w:r>
        <w:rPr>
          <w:spacing w:val="-1"/>
        </w:rPr>
        <w:t>司的生产经营起到了有效的监督、控制和指导的作用。公司通过不断的持续改进，建立了较为健全的法人</w:t>
      </w:r>
      <w:r>
        <w:rPr>
          <w:spacing w:val="-83"/>
        </w:rPr>
        <w:t> </w:t>
      </w:r>
      <w:r>
        <w:rPr>
          <w:spacing w:val="-83"/>
        </w:rPr>
      </w:r>
      <w:r>
        <w:rPr>
          <w:spacing w:val="-1"/>
        </w:rPr>
        <w:t>治理结构，内部控制制度也日渐完善，并得到了有效执行，公司内部控制体系更加完整、合理、全面、健</w:t>
      </w:r>
      <w:r>
        <w:rPr>
          <w:spacing w:val="-83"/>
        </w:rPr>
        <w:t> </w:t>
      </w:r>
      <w:r>
        <w:rPr>
          <w:spacing w:val="-83"/>
        </w:rPr>
      </w:r>
      <w:r>
        <w:rPr/>
        <w:t>全、有效，在确保公司规范运作、提高科学管理水平、保障投资者利益等方面发挥了良好的作用。</w:t>
      </w:r>
    </w:p>
    <w:p>
      <w:pPr>
        <w:spacing w:line="240" w:lineRule="auto" w:before="9"/>
        <w:rPr>
          <w:rFonts w:ascii="宋体" w:hAnsi="宋体" w:cs="宋体" w:eastAsia="宋体" w:hint="default"/>
          <w:sz w:val="21"/>
          <w:szCs w:val="21"/>
        </w:rPr>
      </w:pPr>
    </w:p>
    <w:p>
      <w:pPr>
        <w:pStyle w:val="Heading2"/>
        <w:spacing w:line="240" w:lineRule="auto"/>
        <w:ind w:left="153" w:right="914"/>
        <w:jc w:val="left"/>
        <w:rPr>
          <w:b w:val="0"/>
          <w:bCs w:val="0"/>
        </w:rPr>
      </w:pPr>
      <w:bookmarkStart w:name="二、董事会关于内部控制责任的声明" w:id="135"/>
      <w:bookmarkEnd w:id="135"/>
      <w:r>
        <w:rPr>
          <w:b w:val="0"/>
          <w:bCs w:val="0"/>
        </w:rPr>
      </w:r>
      <w:r>
        <w:rPr/>
        <w:t>二、董事会关于内部控制责任的声明</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1" w:firstLine="421"/>
        <w:jc w:val="both"/>
      </w:pPr>
      <w:r>
        <w:rPr>
          <w:spacing w:val="-1"/>
        </w:rPr>
        <w:t>本公司董事会及全体董事保证本报告不存在虚假记录、误导性陈述或者重大遗漏，并对本报告内容的</w:t>
      </w:r>
      <w:r>
        <w:rPr/>
        <w:t> </w:t>
      </w:r>
      <w:r>
        <w:rPr>
          <w:spacing w:val="-1"/>
        </w:rPr>
        <w:t>真实性、准确性和完整性承担个别及连带责任。公司董事会负责内部控制的建立健全和有效实施；监事会</w:t>
      </w:r>
      <w:r>
        <w:rPr>
          <w:spacing w:val="-83"/>
        </w:rPr>
        <w:t> </w:t>
      </w:r>
      <w:r>
        <w:rPr>
          <w:spacing w:val="-83"/>
        </w:rPr>
      </w:r>
      <w:r>
        <w:rPr>
          <w:spacing w:val="-1"/>
        </w:rPr>
        <w:t>对董事会建立与实施内部控制实施监督；经理层负责组织领导公司内部控制的日常运行。公司内部控制的</w:t>
      </w:r>
      <w:r>
        <w:rPr>
          <w:spacing w:val="-81"/>
        </w:rPr>
        <w:t> </w:t>
      </w:r>
      <w:r>
        <w:rPr>
          <w:spacing w:val="-81"/>
        </w:rPr>
      </w:r>
      <w:r>
        <w:rPr>
          <w:spacing w:val="-1"/>
        </w:rPr>
        <w:t>目标是：合理保证企业经营管理合法合规、资产安全、财务报告及相关信息真实完整，提高经营效率和效</w:t>
      </w:r>
      <w:r>
        <w:rPr>
          <w:spacing w:val="-86"/>
        </w:rPr>
        <w:t> </w:t>
      </w:r>
      <w:r>
        <w:rPr>
          <w:spacing w:val="-86"/>
        </w:rPr>
      </w:r>
      <w:r>
        <w:rPr>
          <w:spacing w:val="-1"/>
        </w:rPr>
        <w:t>果，促进企业实现发展战略。由于内部控制存在固有限制性，故仅能对达到上述目标提供合理保证；并且</w:t>
      </w:r>
      <w:r>
        <w:rPr>
          <w:spacing w:val="-86"/>
        </w:rPr>
        <w:t> </w:t>
      </w:r>
      <w:r>
        <w:rPr>
          <w:spacing w:val="-86"/>
        </w:rPr>
      </w:r>
      <w:r>
        <w:rPr>
          <w:spacing w:val="-1"/>
        </w:rPr>
        <w:t>内部控制的建立和完善是随着企业发展和环境变化不断改进的动态过程。本公司设有内部控制检查监督机</w:t>
      </w:r>
      <w:r>
        <w:rPr>
          <w:spacing w:val="-81"/>
        </w:rPr>
        <w:t> </w:t>
      </w:r>
      <w:r>
        <w:rPr>
          <w:spacing w:val="-81"/>
        </w:rPr>
      </w:r>
      <w:r>
        <w:rPr/>
        <w:t>制，内控缺陷一经识别，本公司即采取整改措施。</w:t>
      </w:r>
    </w:p>
    <w:p>
      <w:pPr>
        <w:spacing w:line="240" w:lineRule="auto" w:before="12"/>
        <w:rPr>
          <w:rFonts w:ascii="宋体" w:hAnsi="宋体" w:cs="宋体" w:eastAsia="宋体" w:hint="default"/>
          <w:sz w:val="21"/>
          <w:szCs w:val="21"/>
        </w:rPr>
      </w:pPr>
    </w:p>
    <w:p>
      <w:pPr>
        <w:pStyle w:val="Heading2"/>
        <w:spacing w:line="240" w:lineRule="auto"/>
        <w:ind w:right="914"/>
        <w:jc w:val="left"/>
        <w:rPr>
          <w:b w:val="0"/>
          <w:bCs w:val="0"/>
        </w:rPr>
      </w:pPr>
      <w:bookmarkStart w:name="三、建立财务报告内部控制的依据" w:id="136"/>
      <w:bookmarkEnd w:id="136"/>
      <w:r>
        <w:rPr>
          <w:b w:val="0"/>
          <w:bCs w:val="0"/>
        </w:rPr>
      </w:r>
      <w:r>
        <w:rPr/>
        <w:t>三、建立财务报告内部控制的依据</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023" w:firstLine="420"/>
        <w:jc w:val="left"/>
      </w:pPr>
      <w:r>
        <w:rPr/>
        <w:t>公司编制财务报告，以真实的交易和事项以及完整、准确的账簿记录等资料为依据，按照有关法律法 规、国家统一的会计制度规定的编制基础、编制依据、编制原则和方法进行。在编制年度财务报告前，按</w:t>
      </w:r>
      <w:r>
        <w:rPr>
          <w:spacing w:val="-4"/>
        </w:rPr>
        <w:t> </w:t>
      </w:r>
      <w:r>
        <w:rPr>
          <w:spacing w:val="-3"/>
        </w:rPr>
        <w:t>照《企业财务会计报告条例》的有关规定，全面清查资产、核实债务，并将清查、核实结果及其处理方法，</w:t>
      </w:r>
      <w:r>
        <w:rPr>
          <w:spacing w:val="-94"/>
        </w:rPr>
        <w:t> </w:t>
      </w:r>
      <w:r>
        <w:rPr>
          <w:spacing w:val="-94"/>
        </w:rPr>
      </w:r>
      <w:r>
        <w:rPr/>
        <w:t>以确保财务报告的真实可靠和资产的安全完整。经过审计的财务报告由公司法定代表人、财务负责人及会</w:t>
      </w:r>
      <w:r>
        <w:rPr/>
        <w:t> 计机构负责人签名盖章。</w:t>
      </w:r>
    </w:p>
    <w:p>
      <w:pPr>
        <w:spacing w:line="240" w:lineRule="auto" w:before="9"/>
        <w:rPr>
          <w:rFonts w:ascii="宋体" w:hAnsi="宋体" w:cs="宋体" w:eastAsia="宋体" w:hint="default"/>
          <w:sz w:val="21"/>
          <w:szCs w:val="21"/>
        </w:rPr>
      </w:pPr>
    </w:p>
    <w:p>
      <w:pPr>
        <w:pStyle w:val="Heading2"/>
        <w:spacing w:line="240" w:lineRule="auto"/>
        <w:ind w:right="914"/>
        <w:jc w:val="left"/>
        <w:rPr>
          <w:b w:val="0"/>
          <w:bCs w:val="0"/>
        </w:rPr>
      </w:pPr>
      <w:bookmarkStart w:name="四、内部控制评价报告" w:id="137"/>
      <w:bookmarkEnd w:id="137"/>
      <w:r>
        <w:rPr>
          <w:b w:val="0"/>
          <w:bCs w:val="0"/>
        </w:rPr>
      </w: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内部控制评价报告全文披露日 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内部控制评价报告全文披露索 引</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日刊登在巨潮资讯网的《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bl>
    <w:p>
      <w:pPr>
        <w:spacing w:line="240" w:lineRule="auto" w:before="2"/>
        <w:rPr>
          <w:rFonts w:ascii="宋体" w:hAnsi="宋体" w:cs="宋体" w:eastAsia="宋体" w:hint="default"/>
          <w:b/>
          <w:bCs/>
          <w:sz w:val="18"/>
          <w:szCs w:val="18"/>
        </w:rPr>
      </w:pPr>
    </w:p>
    <w:p>
      <w:pPr>
        <w:pStyle w:val="Heading2"/>
        <w:spacing w:line="240" w:lineRule="auto" w:before="26"/>
        <w:ind w:right="914"/>
        <w:jc w:val="left"/>
        <w:rPr>
          <w:b w:val="0"/>
          <w:bCs w:val="0"/>
        </w:rPr>
      </w:pPr>
      <w:bookmarkStart w:name="五、内部控制审计报告或鉴证报告" w:id="138"/>
      <w:bookmarkEnd w:id="138"/>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153" w:right="914"/>
        <w:jc w:val="left"/>
        <w:rPr>
          <w:b w:val="0"/>
          <w:bCs w:val="0"/>
        </w:rPr>
      </w:pPr>
      <w:bookmarkStart w:name="六、年度报告重大差错责任追究制度的建立与执行情况" w:id="139"/>
      <w:bookmarkEnd w:id="139"/>
      <w:r>
        <w:rPr>
          <w:b w:val="0"/>
          <w:bCs w:val="0"/>
        </w:rPr>
      </w:r>
      <w:r>
        <w:rPr/>
        <w:t>六、年度报告重大差错责任追究制度的建立与执行情况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914" w:firstLine="420"/>
        <w:jc w:val="left"/>
      </w:pPr>
      <w:r>
        <w:rPr>
          <w:spacing w:val="-1"/>
        </w:rPr>
        <w:t>为了提高公司的规范运作水平，增强信息披露的真实性、准确性、完整性和及时性，提高年报信息披</w:t>
      </w:r>
      <w:r>
        <w:rPr/>
        <w:t> </w:t>
      </w:r>
      <w:r>
        <w:rPr>
          <w:spacing w:val="-6"/>
        </w:rPr>
        <w:t>露的质量和透明度，根据有关法律、法规、规章及《公司章程》、《信息披露管理制度》的规定，结合公司</w:t>
      </w:r>
      <w:r>
        <w:rPr>
          <w:spacing w:val="-60"/>
        </w:rPr>
        <w:t> </w:t>
      </w:r>
      <w:r>
        <w:rPr>
          <w:spacing w:val="-60"/>
        </w:rPr>
      </w:r>
      <w:r>
        <w:rPr>
          <w:spacing w:val="-3"/>
        </w:rPr>
        <w:t>实际情况，制订《年报信息披露重大差错责任追究制度》。报告期内不存在发生重大会计差错更正、重大</w:t>
      </w:r>
      <w:r>
        <w:rPr>
          <w:spacing w:val="-74"/>
        </w:rPr>
        <w:t> </w:t>
      </w:r>
      <w:r>
        <w:rPr>
          <w:spacing w:val="-74"/>
        </w:rPr>
      </w:r>
      <w:r>
        <w:rPr/>
        <w:t>遗漏信息补充等情况。</w:t>
      </w:r>
    </w:p>
    <w:p>
      <w:pPr>
        <w:spacing w:after="0" w:line="27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914"/>
        <w:jc w:val="left"/>
        <w:rPr>
          <w:b w:val="0"/>
          <w:bCs w:val="0"/>
        </w:rPr>
      </w:pPr>
      <w:bookmarkStart w:name="第十一节 财务报告" w:id="140"/>
      <w:bookmarkEnd w:id="140"/>
      <w:r>
        <w:rPr>
          <w:b w:val="0"/>
          <w:bCs w:val="0"/>
        </w:rPr>
      </w:r>
      <w:bookmarkStart w:name="_bookmark9" w:id="141"/>
      <w:bookmarkEnd w:id="14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914"/>
        <w:jc w:val="left"/>
        <w:rPr>
          <w:b w:val="0"/>
          <w:bCs w:val="0"/>
        </w:rPr>
      </w:pPr>
      <w:bookmarkStart w:name="一、审计报告" w:id="142"/>
      <w:bookmarkEnd w:id="142"/>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和信审字（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000426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王丽敏、刘学伟</w:t>
            </w:r>
          </w:p>
        </w:tc>
      </w:tr>
    </w:tbl>
    <w:p>
      <w:pPr>
        <w:spacing w:before="51"/>
        <w:ind w:left="135" w:right="1111"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16"/>
          <w:szCs w:val="16"/>
        </w:rPr>
      </w:pPr>
    </w:p>
    <w:p>
      <w:pPr>
        <w:pStyle w:val="Heading2"/>
        <w:spacing w:line="240" w:lineRule="auto" w:before="26"/>
        <w:ind w:left="153" w:right="914"/>
        <w:jc w:val="left"/>
        <w:rPr>
          <w:b w:val="0"/>
          <w:bCs w:val="0"/>
        </w:rPr>
      </w:pPr>
      <w:r>
        <w:rPr/>
        <w:t>山东丽鹏股份有限公司全体股东：</w:t>
      </w:r>
      <w:r>
        <w:rPr>
          <w:b w:val="0"/>
          <w:bCs w:val="0"/>
        </w:rPr>
      </w:r>
    </w:p>
    <w:p>
      <w:pPr>
        <w:spacing w:line="240" w:lineRule="auto" w:before="9"/>
        <w:rPr>
          <w:rFonts w:ascii="宋体" w:hAnsi="宋体" w:cs="宋体" w:eastAsia="宋体" w:hint="default"/>
          <w:b/>
          <w:bCs/>
          <w:sz w:val="17"/>
          <w:szCs w:val="17"/>
        </w:rPr>
      </w:pPr>
    </w:p>
    <w:p>
      <w:pPr>
        <w:pStyle w:val="BodyText"/>
        <w:spacing w:line="273" w:lineRule="auto" w:before="0"/>
        <w:ind w:right="1132" w:firstLine="484"/>
        <w:jc w:val="both"/>
      </w:pPr>
      <w:r>
        <w:rPr>
          <w:spacing w:val="-2"/>
        </w:rPr>
        <w:t>我们审计了后附的山东丽鹏股份有限公司（以下简称丽鹏公司）财务报表，包括</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w:t>
      </w:r>
      <w:r>
        <w:rPr/>
        <w:t> </w:t>
      </w:r>
      <w:r>
        <w:rPr>
          <w:spacing w:val="-1"/>
        </w:rPr>
        <w:t>并及公司资产负债表，</w:t>
      </w:r>
      <w:r>
        <w:rPr>
          <w:rFonts w:ascii="宋体" w:hAnsi="宋体" w:cs="宋体" w:eastAsia="宋体" w:hint="default"/>
          <w:spacing w:val="-1"/>
        </w:rPr>
        <w:t>2014</w:t>
      </w:r>
      <w:r>
        <w:rPr>
          <w:spacing w:val="-1"/>
        </w:rPr>
        <w:t>年度的合并及公司利润表、合并及公司现金流量表、合并及公司股东权益变动</w:t>
      </w:r>
      <w:r>
        <w:rPr>
          <w:spacing w:val="-82"/>
        </w:rPr>
        <w:t> </w:t>
      </w:r>
      <w:r>
        <w:rPr>
          <w:spacing w:val="-82"/>
        </w:rPr>
      </w:r>
      <w:r>
        <w:rPr/>
        <w:t>表以及财务报表附注。</w:t>
      </w:r>
    </w:p>
    <w:p>
      <w:pPr>
        <w:spacing w:line="522" w:lineRule="exact" w:before="45"/>
        <w:ind w:left="638" w:right="1118"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pacing w:val="-2"/>
          <w:sz w:val="21"/>
          <w:szCs w:val="21"/>
        </w:rPr>
        <w:t>编制和公允列报财务报表是管理层的责任，这种责任包括</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）按照企业会计准则的规定编制财务报</w:t>
      </w:r>
    </w:p>
    <w:p>
      <w:pPr>
        <w:pStyle w:val="BodyText"/>
        <w:spacing w:line="236" w:lineRule="exact" w:before="0"/>
        <w:ind w:right="914"/>
        <w:jc w:val="left"/>
      </w:pPr>
      <w:r>
        <w:rPr/>
        <w:t>表</w:t>
      </w:r>
      <w:r>
        <w:rPr>
          <w:spacing w:val="-5"/>
        </w:rPr>
        <w:t>，</w:t>
      </w:r>
      <w:r>
        <w:rPr/>
        <w:t>并使其实现公允反映</w:t>
      </w:r>
      <w:r>
        <w:rPr>
          <w:spacing w:val="-110"/>
        </w:rPr>
        <w:t>；</w:t>
      </w:r>
      <w:r>
        <w:rPr/>
        <w:t>（</w:t>
      </w:r>
      <w:r>
        <w:rPr>
          <w:rFonts w:ascii="宋体" w:hAnsi="宋体" w:cs="宋体" w:eastAsia="宋体" w:hint="default"/>
        </w:rPr>
        <w:t>2</w:t>
      </w:r>
      <w:r>
        <w:rPr>
          <w:spacing w:val="-5"/>
        </w:rPr>
        <w:t>）</w:t>
      </w:r>
      <w:r>
        <w:rPr/>
        <w:t>设计</w:t>
      </w:r>
      <w:r>
        <w:rPr>
          <w:spacing w:val="-5"/>
        </w:rPr>
        <w:t>、</w:t>
      </w:r>
      <w:r>
        <w:rPr/>
        <w:t>执行和维护必要的内部控制</w:t>
      </w:r>
      <w:r>
        <w:rPr>
          <w:spacing w:val="-5"/>
        </w:rPr>
        <w:t>，</w:t>
      </w:r>
      <w:r>
        <w:rPr/>
        <w:t>以使财务报表不存在由于舞弊或错误</w:t>
      </w:r>
    </w:p>
    <w:p>
      <w:pPr>
        <w:spacing w:line="456" w:lineRule="auto" w:before="37"/>
        <w:ind w:left="641" w:right="8157" w:hanging="488"/>
        <w:jc w:val="left"/>
        <w:rPr>
          <w:rFonts w:ascii="宋体" w:hAnsi="宋体" w:cs="宋体" w:eastAsia="宋体" w:hint="default"/>
          <w:sz w:val="21"/>
          <w:szCs w:val="21"/>
        </w:rPr>
      </w:pPr>
      <w:r>
        <w:rPr>
          <w:rFonts w:ascii="宋体" w:hAnsi="宋体" w:cs="宋体" w:eastAsia="宋体" w:hint="default"/>
          <w:sz w:val="21"/>
          <w:szCs w:val="21"/>
        </w:rPr>
        <w:t>导致的重大错报。 </w:t>
      </w:r>
      <w:r>
        <w:rPr>
          <w:rFonts w:ascii="宋体" w:hAnsi="宋体" w:cs="宋体" w:eastAsia="宋体" w:hint="default"/>
          <w:b/>
          <w:bCs/>
          <w:sz w:val="21"/>
          <w:szCs w:val="21"/>
        </w:rPr>
        <w:t>二、注册会计师的责任</w:t>
      </w:r>
      <w:r>
        <w:rPr>
          <w:rFonts w:ascii="宋体" w:hAnsi="宋体" w:cs="宋体" w:eastAsia="宋体" w:hint="default"/>
          <w:sz w:val="21"/>
          <w:szCs w:val="21"/>
        </w:rPr>
      </w:r>
    </w:p>
    <w:p>
      <w:pPr>
        <w:pStyle w:val="BodyText"/>
        <w:spacing w:line="271" w:lineRule="auto" w:before="57"/>
        <w:ind w:right="1131" w:firstLine="484"/>
        <w:jc w:val="both"/>
      </w:pPr>
      <w:r>
        <w:rPr>
          <w:spacing w:val="-3"/>
        </w:rPr>
        <w:t>我们的责任是在执行审计工作的基础上对财务报表发表审计意见。我们按照中国注册会计师审计准则</w:t>
      </w:r>
      <w:r>
        <w:rPr/>
        <w:t> </w:t>
      </w:r>
      <w:r>
        <w:rPr>
          <w:spacing w:val="-1"/>
        </w:rPr>
        <w:t>的规定执行了审计工作。中国注册会计师审计准则要求我们遵守职业道德守则，计划和执行审计工作以对</w:t>
      </w:r>
      <w:r>
        <w:rPr>
          <w:spacing w:val="-81"/>
        </w:rPr>
        <w:t> </w:t>
      </w:r>
      <w:r>
        <w:rPr>
          <w:spacing w:val="-81"/>
        </w:rPr>
      </w:r>
      <w:r>
        <w:rPr/>
        <w:t>财务报表是否不存在重大错报获取合理保证。</w:t>
      </w:r>
    </w:p>
    <w:p>
      <w:pPr>
        <w:spacing w:line="240" w:lineRule="auto" w:before="11"/>
        <w:rPr>
          <w:rFonts w:ascii="宋体" w:hAnsi="宋体" w:cs="宋体" w:eastAsia="宋体" w:hint="default"/>
          <w:sz w:val="16"/>
          <w:szCs w:val="16"/>
        </w:rPr>
      </w:pPr>
    </w:p>
    <w:p>
      <w:pPr>
        <w:pStyle w:val="BodyText"/>
        <w:spacing w:line="271" w:lineRule="auto" w:before="0"/>
        <w:ind w:right="1130" w:firstLine="484"/>
        <w:jc w:val="both"/>
      </w:pPr>
      <w:r>
        <w:rPr>
          <w:spacing w:val="-2"/>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spacing w:line="240" w:lineRule="auto" w:before="11"/>
        <w:rPr>
          <w:rFonts w:ascii="宋体" w:hAnsi="宋体" w:cs="宋体" w:eastAsia="宋体" w:hint="default"/>
          <w:sz w:val="16"/>
          <w:szCs w:val="16"/>
        </w:rPr>
      </w:pPr>
    </w:p>
    <w:p>
      <w:pPr>
        <w:pStyle w:val="BodyText"/>
        <w:spacing w:line="456" w:lineRule="auto" w:before="0"/>
        <w:ind w:left="641" w:right="2918"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71" w:lineRule="auto" w:before="57"/>
        <w:ind w:right="1145" w:firstLine="484"/>
        <w:jc w:val="both"/>
      </w:pPr>
      <w:r>
        <w:rPr>
          <w:spacing w:val="2"/>
        </w:rPr>
        <w:t>我们认为，丽鹏公司财务报表在所有重大方面按照企业会计准则的规定编制，公允反映了丽鹏公司</w:t>
      </w:r>
      <w:r>
        <w:rPr/>
        <w:t> </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2014</w:t>
      </w:r>
      <w:r>
        <w:rPr/>
        <w:t>年度的合并及公司经营成果和合并及公司现金流量。</w:t>
      </w:r>
    </w:p>
    <w:p>
      <w:pPr>
        <w:spacing w:after="0" w:line="271"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left="153" w:right="914"/>
        <w:jc w:val="left"/>
        <w:rPr>
          <w:b w:val="0"/>
          <w:bCs w:val="0"/>
        </w:rPr>
      </w:pPr>
      <w:bookmarkStart w:name="二、财务报表" w:id="143"/>
      <w:bookmarkEnd w:id="14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left="153" w:right="914"/>
        <w:jc w:val="left"/>
        <w:rPr>
          <w:b w:val="0"/>
          <w:bCs w:val="0"/>
        </w:rPr>
      </w:pPr>
      <w:bookmarkStart w:name="1、合并资产负债表" w:id="144"/>
      <w:bookmarkEnd w:id="14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编制单位：山东丽鹏股份有限公司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2855" w:space="1223"/>
            <w:col w:w="1639" w:space="3203"/>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183,865,705.05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192,174,787.52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9,656,390.51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15,931,451.00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415,520,964.60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108,617,678.96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8,417,282.00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10,213,302.36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71,368,070.43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5,926,910.03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744,985,280.59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185,837,122.61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705,828.72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28,853,605.49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49,661,573.92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1,463,373,127.39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568,362,826.40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290,480,420.03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270,377.08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291,084.22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750,724,317.92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659,521,542.29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13,045,449.53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14,589,250.99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32,439,739.91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33,016,879.68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296,278,562.27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759,894.57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10,733,083.51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4,164,286.03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22,625,620.09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15,824,658.59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1,427,907,464.91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737,957,701.80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2,891,280,592.30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1,306,320,528.20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388,158,042.55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71,039,904.59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8,962,224.06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10,863,777.05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12,172,147.45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6,633,717.57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51,950,954.02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7,555,622.28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887,670.87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580,766.71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31,155,282.15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1,131,057.13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1,787,500.00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1,444,166.67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946,073,821.10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456,249,012.00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33,580,000.00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17,875,000.03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15,885,833.33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51,455,000.03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15,885,833.33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997,528,821.13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472,134,845.33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329,653,221.00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191,409,229.00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1,359,296,207.78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461,348,124.48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14,655,398.57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13,222,677.81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163,086,079.58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142,738,729.82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1,866,690,906.93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808,718,761.11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27,060,864.24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25,466,921.76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1,893,751,771.17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834,185,682.87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2,891,280,592.30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1,306,320,528.20</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法定代表人：孙鲲鹏</w:t>
        <w:tab/>
        <w:t>主管会计工作负责人：张国平</w:t>
        <w:tab/>
        <w:t>会计机构负责人：张国平</w:t>
      </w:r>
    </w:p>
    <w:p>
      <w:pPr>
        <w:spacing w:line="240" w:lineRule="auto" w:before="11"/>
        <w:rPr>
          <w:rFonts w:ascii="宋体" w:hAnsi="宋体" w:cs="宋体" w:eastAsia="宋体" w:hint="default"/>
          <w:sz w:val="26"/>
          <w:szCs w:val="26"/>
        </w:rPr>
      </w:pPr>
    </w:p>
    <w:p>
      <w:pPr>
        <w:pStyle w:val="Heading4"/>
        <w:spacing w:line="240" w:lineRule="auto"/>
        <w:ind w:left="153" w:right="914"/>
        <w:jc w:val="left"/>
        <w:rPr>
          <w:b w:val="0"/>
          <w:bCs w:val="0"/>
        </w:rPr>
      </w:pPr>
      <w:bookmarkStart w:name="2、母公司资产负债表" w:id="145"/>
      <w:bookmarkEnd w:id="14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117,147,933.34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113,422,234.98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4,638,390.51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9,082,600.00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161,594,513.48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118,417,037.56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3,991,224.10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7,583,481.78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5,610,293.35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1,933,332.53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3,019,032.13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120,704,001.22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110,048,959.46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23,836,768.67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43,066,004.12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439,456,457.20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404,639,350.03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1,307,466,022.55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308,866,022.55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270,377.08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291,084.22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461,471,723.59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420,504,080.58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8,816,385.32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8,255,988.77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18,857,046.40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19,249,631.78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4,746,936.61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1,566,872.84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11,417,646.09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12,353,688.39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1,823,046,137.64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781,087,369.13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2,262,502,594.84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1,185,726,719.16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305,000,000.00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76,413,755.85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43,607,668.22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22,846,587.17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25,679,746.11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4,451,150.01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3,159,454.69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866,333.08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1,453,065.26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589,624.20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580,766.71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30,180,805.28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373,000.43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1,787,500.00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1,444,166.67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462,135,755.59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428,297,868.09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17,875,000.03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15,885,833.33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17,875,000.03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15,885,833.33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480,010,755.62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444,183,701.42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329,653,221.00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191,409,229.00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1,361,666,639.79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463,718,556.49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14,655,398.57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13,222,677.81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76,516,579.86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73,192,554.44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1,782,491,839.22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741,543,017.74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2,262,502,594.84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1,185,726,719.16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14"/>
        <w:jc w:val="left"/>
        <w:rPr>
          <w:b w:val="0"/>
          <w:bCs w:val="0"/>
        </w:rPr>
      </w:pPr>
      <w:bookmarkStart w:name="3、合并利润表" w:id="146"/>
      <w:bookmarkEnd w:id="14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701,923,114.59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660,601,761.08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701,923,114.59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660,601,761.08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662,555,499.14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614,751,047.40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556,738,783.34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518,506,282.09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3,420,546.94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2,987,934.91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25,751,167.52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24,202,734.09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57,025,411.01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47,181,736.28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15,935,423.96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18,040,450.46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3,684,166.37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3,831,909.57</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127,053.44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177,937.18</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39,494,668.89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46,028,650.86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9,702,450.02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8,695,255.40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2"/>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44,334.81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93,121.90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1,683,290.62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2,638,396.38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2"/>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557,035.72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2,067,031.71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47,513,828.29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52,085,509.88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12,431,693.39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11,842,723.84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35,082,134.90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40,242,786.04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31,350,531.97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37,836,354.03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3,731,602.93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2,406,432.01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2"/>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2"/>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35,082,134.90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40,242,786.04</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31,350,531.97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37,836,354.03</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3,731,602.93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2,406,432.01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r>
    </w:tbl>
    <w:p>
      <w:pPr>
        <w:tabs>
          <w:tab w:pos="3574" w:val="left" w:leader="none"/>
          <w:tab w:pos="7715" w:val="left" w:leader="none"/>
        </w:tabs>
        <w:spacing w:line="592" w:lineRule="auto" w:before="51"/>
        <w:ind w:left="15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法定代表人：孙鲲鹏</w:t>
        <w:tab/>
        <w:t>主管会计工作负责人：张国平</w:t>
        <w:tab/>
        <w:t>会计机构负责人：张国平 </w:t>
      </w:r>
      <w:bookmarkStart w:name="4、母公司利润表" w:id="147"/>
      <w:bookmarkEnd w:id="147"/>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452,953,592.89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484,678,752.31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377,068,214.60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401,220,069.75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855,050.84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1,225,819.19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19,155,404.34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15,812,334.01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30,528,140.26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27,473,455.60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16,758,769.82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19,068,459.36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2,136,014.48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2,102,375.84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 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5,737,346.79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5,508,804.91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12,189,345.34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23,285,043.47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4,969,168.61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5,297,906.53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其中：非流动资产处置利</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313,330.64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22,136.53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663,644.22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2,249,896.01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463,205.12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2,038,647.26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16,494,869.73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26,333,053.99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2,167,662.10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3,648,279.84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14,327,207.63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22,684,774.15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 划净负债或净资产的变动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 位不能重分类进损益的其他综合收 益中享有的份额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 位以后将重分类进损益的其他综合 收益中享有的份额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1" w:right="0"/>
              <w:jc w:val="left"/>
              <w:rPr>
                <w:rFonts w:ascii="Times New Roman" w:hAnsi="Times New Roman" w:cs="Times New Roman" w:eastAsia="Times New Roman" w:hint="default"/>
                <w:sz w:val="18"/>
                <w:szCs w:val="18"/>
              </w:rPr>
            </w:pPr>
            <w:r>
              <w:rPr>
                <w:rFonts w:ascii="Times New Roman"/>
                <w:sz w:val="18"/>
              </w:rPr>
              <w:t>14,327,207.63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3" w:right="0"/>
              <w:jc w:val="left"/>
              <w:rPr>
                <w:rFonts w:ascii="Times New Roman" w:hAnsi="Times New Roman" w:cs="Times New Roman" w:eastAsia="Times New Roman" w:hint="default"/>
                <w:sz w:val="18"/>
                <w:szCs w:val="18"/>
              </w:rPr>
            </w:pPr>
            <w:r>
              <w:rPr>
                <w:rFonts w:ascii="Times New Roman"/>
                <w:sz w:val="18"/>
              </w:rPr>
              <w:t>22,684,774.15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14"/>
        <w:jc w:val="left"/>
        <w:rPr>
          <w:b w:val="0"/>
          <w:bCs w:val="0"/>
        </w:rPr>
      </w:pPr>
      <w:bookmarkStart w:name="5、合并现金流量表" w:id="148"/>
      <w:bookmarkEnd w:id="14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4"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794,666,047.74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752,113,381.19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14,800,494.27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9,591,653.85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27,430,275.32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11,865,375.10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836,896,817.33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773,570,410.14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536,514,029.55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499,653,316.97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124,473,941.10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113,109,821.94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35,744,448.82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32,573,716.39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42,172,485.97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40,567,443.39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738,904,905.44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685,904,298.69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97,991,911.89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87,666,111.45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2,737,495.00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127,053.44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177,937.18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282,520.13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1,925,846.87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17,330,000.00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14,529,573.57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22,171,279.05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148,088,969.44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223,239,052.32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188,178,133.79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10,904,034.31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337,767,103.23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234,143,086.63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-323,237,529.66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-211,971,807.58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267,522,714.94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306,287,936.48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420,977,520.00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573,810,651.42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420,977,520.00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341,787,936.48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385,977,520.00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32,206,600.00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50,474,928.12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1,923,894.40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373,994,536.48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436,452,448.12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199,816,114.94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-15,474,928.12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521,583.14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-2,667,259.68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-24,907,919.69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-142,447,883.93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170,773,624.74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313,221,508.67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145,865,705.05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170,773,624.74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14"/>
        <w:jc w:val="left"/>
        <w:rPr>
          <w:b w:val="0"/>
          <w:bCs w:val="0"/>
        </w:rPr>
      </w:pPr>
      <w:bookmarkStart w:name="6、母公司现金流量表" w:id="149"/>
      <w:bookmarkEnd w:id="14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457,608,004.08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550,233,664.04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14,103,910.25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9,591,653.85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5,179,347.94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7,104,147.12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476,891,262.27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566,929,465.01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304,890,308.57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394,247,725.22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68,380,775.88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61,814,988.62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9,293,408.65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7,784,719.15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27,774,564.55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27,152,278.94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410,339,057.65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490,999,711.93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66,552,204.62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75,929,753.08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2,737,495.00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127,053.44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5,508,804.91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273,576.28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582,310.00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17,330,000.00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14,520,629.72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26,158,609.91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88,428,312.73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136,561,510.64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200,204,856.11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288,633,168.84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156,561,510.64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-274,112,539.12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-130,402,900.73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267,522,714.94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302,287,936.48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415,977,520.00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569,810,651.42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415,977,520.00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336,287,936.48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382,977,520.00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28,510,762.59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48,411,419.39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364,798,699.07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431,388,939.39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205,011,952.35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-15,411,419.39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475,243.29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-2,614,072.62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-2,073,138.86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-72,498,639.66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92,221,072.20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164,719,711.86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90,147,933.34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92,221,072.20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14"/>
        <w:jc w:val="left"/>
        <w:rPr>
          <w:b w:val="0"/>
          <w:bCs w:val="0"/>
        </w:rPr>
      </w:pPr>
      <w:bookmarkStart w:name="7、合并所有者权益变动表" w:id="150"/>
      <w:bookmarkEnd w:id="15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91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409,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229.</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461,3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48,12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13,22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2,677</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142,7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38,72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25,46</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6,921</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834,1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85,68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2.87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4" w:right="0"/>
              <w:jc w:val="left"/>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409,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229.</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461,3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48,12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13,22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2,677</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142,7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38,72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25,46</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6,921</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834,1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85,68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2.87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138,</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243,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897,9</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48,08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1,432</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,720.</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76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20,34</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7,349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1,593</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,942.</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1,059</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,566,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088.3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31,35</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0,531</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3,731</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,602.</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35,08</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2,134</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.90</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138,</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243,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897,9</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48,08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1,036</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,192,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075.3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138,</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243,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897,9</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48,08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1,036</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,192,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075.3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1,432</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,720.</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76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-11,0</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03,18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2.21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-2,13</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7,660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-11,7</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08,12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1.90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1,432</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,720.</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76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-1,43</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2,720</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-9,57</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0,461</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-2,13</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7,660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-11,7</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08,12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329,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1,359</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,296,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207.7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14,65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5,398</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163,0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86,07</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27,06</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0,864</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1,893</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,751,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771.1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106,</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338,</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461.</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546,4</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18,89</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2.48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10,95</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4,200</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139,0</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72,39</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1.51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24,92</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9,294</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827,7</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13,24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106,</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338,</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461.</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546,4</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18,89</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2.48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10,95</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4,200</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139,0</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72,39</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1.51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24,92</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9,294</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827,7</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13,24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70,7</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70,76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2,268</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,477.</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3,666,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338.3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537,6</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27.06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6,472</w:t>
            </w:r>
          </w:p>
          <w:p>
            <w:pPr>
              <w:pStyle w:val="TableParagraph"/>
              <w:spacing w:line="240" w:lineRule="auto" w:before="105"/>
              <w:ind w:left="83" w:right="0"/>
              <w:jc w:val="center"/>
              <w:rPr>
                <w:rFonts w:ascii="Times New Roman" w:hAnsi="Times New Roman" w:cs="Times New Roman" w:eastAsia="Times New Roman" w:hint="default"/>
                <w:sz w:val="18"/>
                <w:szCs w:val="18"/>
              </w:rPr>
            </w:pPr>
            <w:r>
              <w:rPr>
                <w:rFonts w:ascii="Times New Roman"/>
                <w:sz w:val="18"/>
              </w:rPr>
              <w:t>,442.</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79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37,83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6,354.</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03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2,406</w:t>
            </w:r>
          </w:p>
          <w:p>
            <w:pPr>
              <w:pStyle w:val="TableParagraph"/>
              <w:spacing w:line="240" w:lineRule="auto" w:before="105"/>
              <w:ind w:left="75" w:right="0"/>
              <w:jc w:val="center"/>
              <w:rPr>
                <w:rFonts w:ascii="Times New Roman" w:hAnsi="Times New Roman" w:cs="Times New Roman" w:eastAsia="Times New Roman" w:hint="default"/>
                <w:sz w:val="18"/>
                <w:szCs w:val="18"/>
              </w:rPr>
            </w:pPr>
            <w:r>
              <w:rPr>
                <w:rFonts w:ascii="Times New Roman"/>
                <w:sz w:val="18"/>
              </w:rPr>
              <w:t>,432.</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40,24</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2,786</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2,268</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,477.</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-34,1</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70,01</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5.72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-1,86</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8,804</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-33,7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70,34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3.25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2,268</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,477.</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8,477.</w:t>
            </w:r>
          </w:p>
          <w:p>
            <w:pPr>
              <w:pStyle w:val="TableParagraph"/>
              <w:spacing w:line="240" w:lineRule="auto" w:before="106"/>
              <w:ind w:left="282" w:right="0"/>
              <w:jc w:val="center"/>
              <w:rPr>
                <w:rFonts w:ascii="Times New Roman" w:hAnsi="Times New Roman" w:cs="Times New Roman" w:eastAsia="Times New Roman" w:hint="default"/>
                <w:sz w:val="18"/>
                <w:szCs w:val="18"/>
              </w:rPr>
            </w:pPr>
            <w:r>
              <w:rPr>
                <w:rFonts w:ascii="Times New Roman"/>
                <w:sz w:val="18"/>
              </w:rPr>
              <w:t>42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-31,9</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01,53</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8.30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-1,86</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8,804</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-33,7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70,34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3.25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70,7</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70,76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70,7</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70,76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409,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229.</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461,3</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48,12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13,22</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2,677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142,7</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38,72</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9.82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25,46</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6,921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834,1</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85,68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2.87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14"/>
        <w:jc w:val="left"/>
        <w:rPr>
          <w:b w:val="0"/>
          <w:bCs w:val="0"/>
        </w:rPr>
      </w:pPr>
      <w:bookmarkStart w:name="8、母公司所有者权益变动表" w:id="151"/>
      <w:bookmarkEnd w:id="15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91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191,4</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09,22</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463,71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8,556.4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13,222,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677.81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73,19</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2,554.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741,54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3,017.7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191,4</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09,22</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463,71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8,556.4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13,222,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677.81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73,19</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2,554.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741,54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3,017.7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43,99</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897,94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8,083.3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1,432,7</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20.76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3,324,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025.4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1,040,9</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48,821.</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48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14,32</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7,207.</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14,327,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207.63</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pacing w:val="-5"/>
                <w:sz w:val="18"/>
                <w:szCs w:val="18"/>
              </w:rPr>
              <w:t>（二）所有者投</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4" w:right="0"/>
              <w:jc w:val="left"/>
              <w:rPr>
                <w:rFonts w:ascii="Times New Roman" w:hAnsi="Times New Roman" w:cs="Times New Roman" w:eastAsia="Times New Roman" w:hint="default"/>
                <w:sz w:val="18"/>
                <w:szCs w:val="18"/>
              </w:rPr>
            </w:pPr>
            <w:r>
              <w:rPr>
                <w:rFonts w:ascii="Times New Roman"/>
                <w:sz w:val="18"/>
              </w:rPr>
              <w:t>138,2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9" w:right="0"/>
              <w:jc w:val="left"/>
              <w:rPr>
                <w:rFonts w:ascii="Times New Roman" w:hAnsi="Times New Roman" w:cs="Times New Roman" w:eastAsia="Times New Roman" w:hint="default"/>
                <w:sz w:val="18"/>
                <w:szCs w:val="18"/>
              </w:rPr>
            </w:pPr>
            <w:r>
              <w:rPr>
                <w:rFonts w:ascii="Times New Roman"/>
                <w:sz w:val="18"/>
              </w:rPr>
              <w:t>897,94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Times New Roman" w:hAnsi="Times New Roman" w:cs="Times New Roman" w:eastAsia="Times New Roman" w:hint="default"/>
                <w:sz w:val="18"/>
                <w:szCs w:val="18"/>
              </w:rPr>
            </w:pPr>
            <w:r>
              <w:rPr>
                <w:rFonts w:ascii="Times New Roman"/>
                <w:sz w:val="18"/>
              </w:rPr>
              <w:t>1,036,1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4" w:right="0"/>
              <w:jc w:val="left"/>
              <w:rPr>
                <w:rFonts w:ascii="Times New Roman" w:hAnsi="Times New Roman" w:cs="Times New Roman" w:eastAsia="Times New Roman" w:hint="default"/>
                <w:sz w:val="18"/>
                <w:szCs w:val="18"/>
              </w:rPr>
            </w:pPr>
            <w:r>
              <w:rPr>
                <w:rFonts w:ascii="Times New Roman"/>
                <w:sz w:val="18"/>
              </w:rPr>
              <w:t>43,99</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8,083.3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8" w:right="0"/>
              <w:jc w:val="left"/>
              <w:rPr>
                <w:rFonts w:ascii="Times New Roman" w:hAnsi="Times New Roman" w:cs="Times New Roman" w:eastAsia="Times New Roman" w:hint="default"/>
                <w:sz w:val="18"/>
                <w:szCs w:val="18"/>
              </w:rPr>
            </w:pPr>
            <w:r>
              <w:rPr>
                <w:rFonts w:ascii="Times New Roman"/>
                <w:sz w:val="18"/>
              </w:rPr>
              <w:t>92,075.</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43,99</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897,94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8,083.3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1,036,1</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92,075.</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1,432,7</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20.76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3,182.</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-9,570,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461.45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1,432,7</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20.76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-1,43</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2,720.</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76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-9,57</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0,461.</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-9,570,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461.45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4" w:right="0"/>
              <w:jc w:val="left"/>
              <w:rPr>
                <w:rFonts w:ascii="Times New Roman" w:hAnsi="Times New Roman" w:cs="Times New Roman" w:eastAsia="Times New Roman" w:hint="default"/>
                <w:sz w:val="18"/>
                <w:szCs w:val="18"/>
              </w:rPr>
            </w:pPr>
            <w:r>
              <w:rPr>
                <w:rFonts w:ascii="Times New Roman"/>
                <w:sz w:val="18"/>
              </w:rPr>
              <w:t>329,6</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53,22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3" w:right="0"/>
              <w:jc w:val="left"/>
              <w:rPr>
                <w:rFonts w:ascii="Times New Roman" w:hAnsi="Times New Roman" w:cs="Times New Roman" w:eastAsia="Times New Roman" w:hint="default"/>
                <w:sz w:val="18"/>
                <w:szCs w:val="18"/>
              </w:rPr>
            </w:pPr>
            <w:r>
              <w:rPr>
                <w:rFonts w:ascii="Times New Roman"/>
                <w:sz w:val="18"/>
              </w:rPr>
              <w:t>1,361,6</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66,639.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14,655,</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398.57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8" w:right="0"/>
              <w:jc w:val="left"/>
              <w:rPr>
                <w:rFonts w:ascii="Times New Roman" w:hAnsi="Times New Roman" w:cs="Times New Roman" w:eastAsia="Times New Roman" w:hint="default"/>
                <w:sz w:val="18"/>
                <w:szCs w:val="18"/>
              </w:rPr>
            </w:pPr>
            <w:r>
              <w:rPr>
                <w:rFonts w:ascii="Times New Roman"/>
                <w:sz w:val="18"/>
              </w:rPr>
              <w:t>76,51</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6,579.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Times New Roman" w:hAnsi="Times New Roman" w:cs="Times New Roman" w:eastAsia="Times New Roman" w:hint="default"/>
                <w:sz w:val="18"/>
                <w:szCs w:val="18"/>
              </w:rPr>
            </w:pPr>
            <w:r>
              <w:rPr>
                <w:rFonts w:ascii="Times New Roman"/>
                <w:sz w:val="18"/>
              </w:rPr>
              <w:t>1,782,4</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91,839.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4"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Times New Roman"/>
                <w:sz w:val="18"/>
              </w:rPr>
              <w:t>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8" w:right="0"/>
              <w:jc w:val="left"/>
              <w:rPr>
                <w:rFonts w:ascii="Times New Roman" w:hAnsi="Times New Roman" w:cs="Times New Roman" w:eastAsia="Times New Roman" w:hint="default"/>
                <w:sz w:val="18"/>
                <w:szCs w:val="18"/>
              </w:rPr>
            </w:pPr>
            <w:r>
              <w:rPr>
                <w:rFonts w:ascii="Times New Roman"/>
                <w:sz w:val="18"/>
              </w:rPr>
              <w:t>22</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106,3</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38,46</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548,78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9,324.4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10,954,</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200.39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84,67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7,796.</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750,75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9,781.8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106,3</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38,46</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548,78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9,324.4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10,954,</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200.39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84,67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7,796.</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750,75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9,781.8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85,07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0,768.</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-85,070</w:t>
            </w:r>
          </w:p>
          <w:p>
            <w:pPr>
              <w:pStyle w:val="TableParagraph"/>
              <w:spacing w:line="240" w:lineRule="auto" w:before="106"/>
              <w:ind w:left="143" w:right="0"/>
              <w:jc w:val="left"/>
              <w:rPr>
                <w:rFonts w:ascii="Times New Roman" w:hAnsi="Times New Roman" w:cs="Times New Roman" w:eastAsia="Times New Roman" w:hint="default"/>
                <w:sz w:val="18"/>
                <w:szCs w:val="18"/>
              </w:rPr>
            </w:pPr>
            <w:r>
              <w:rPr>
                <w:rFonts w:ascii="Times New Roman"/>
                <w:sz w:val="18"/>
              </w:rPr>
              <w:t>,768.00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2,268,4</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77.42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-11,48</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5,241.</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-9,216,</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764.15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22,68</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4,774.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22,684,</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774.15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2,268,4</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77.42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-34,1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70,01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-31,901</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,538.30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2" w:right="0"/>
              <w:jc w:val="left"/>
              <w:rPr>
                <w:rFonts w:ascii="Times New Roman" w:hAnsi="Times New Roman" w:cs="Times New Roman" w:eastAsia="Times New Roman" w:hint="default"/>
                <w:sz w:val="18"/>
                <w:szCs w:val="18"/>
              </w:rPr>
            </w:pPr>
            <w:r>
              <w:rPr>
                <w:rFonts w:ascii="Times New Roman"/>
                <w:sz w:val="18"/>
              </w:rPr>
              <w:t>2,268,4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8" w:right="0"/>
              <w:jc w:val="left"/>
              <w:rPr>
                <w:rFonts w:ascii="Times New Roman" w:hAnsi="Times New Roman" w:cs="Times New Roman" w:eastAsia="Times New Roman" w:hint="default"/>
                <w:sz w:val="18"/>
                <w:szCs w:val="18"/>
              </w:rPr>
            </w:pPr>
            <w:r>
              <w:rPr>
                <w:rFonts w:ascii="Times New Roman"/>
                <w:sz w:val="18"/>
              </w:rPr>
              <w:t>-2,26</w:t>
            </w: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8" w:right="0"/>
              <w:jc w:val="left"/>
              <w:rPr>
                <w:rFonts w:ascii="Times New Roman" w:hAnsi="Times New Roman" w:cs="Times New Roman" w:eastAsia="Times New Roman" w:hint="default"/>
                <w:sz w:val="18"/>
                <w:szCs w:val="18"/>
              </w:rPr>
            </w:pPr>
            <w:r>
              <w:rPr>
                <w:rFonts w:ascii="Times New Roman"/>
                <w:sz w:val="18"/>
              </w:rPr>
              <w:t>77.42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2" w:right="0"/>
              <w:jc w:val="left"/>
              <w:rPr>
                <w:rFonts w:ascii="Times New Roman" w:hAnsi="Times New Roman" w:cs="Times New Roman" w:eastAsia="Times New Roman" w:hint="default"/>
                <w:sz w:val="18"/>
                <w:szCs w:val="18"/>
              </w:rPr>
            </w:pPr>
            <w:r>
              <w:rPr>
                <w:rFonts w:ascii="Times New Roman"/>
                <w:sz w:val="18"/>
              </w:rPr>
              <w:t>8,477.</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42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-31,9</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01,53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8.30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-31,901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,538.30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85,07</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0,768.</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-85,070</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,768.00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85,07</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0,768.</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-85,070</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,768.00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191,4</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09,22</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463,71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8,556.4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13,222,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677.81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73,19</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2,554.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741,54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3,017.7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2"/>
        <w:rPr>
          <w:rFonts w:ascii="宋体" w:hAnsi="宋体" w:cs="宋体" w:eastAsia="宋体" w:hint="default"/>
          <w:sz w:val="18"/>
          <w:szCs w:val="18"/>
        </w:rPr>
      </w:pPr>
    </w:p>
    <w:p>
      <w:pPr>
        <w:pStyle w:val="Heading2"/>
        <w:spacing w:line="240" w:lineRule="auto" w:before="26"/>
        <w:ind w:right="914"/>
        <w:jc w:val="left"/>
        <w:rPr>
          <w:b w:val="0"/>
          <w:bCs w:val="0"/>
        </w:rPr>
      </w:pPr>
      <w:bookmarkStart w:name="三、公司基本情况" w:id="152"/>
      <w:bookmarkEnd w:id="152"/>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914" w:firstLine="2"/>
        <w:jc w:val="left"/>
      </w:pPr>
      <w:r>
        <w:rPr>
          <w:rFonts w:ascii="宋体" w:hAnsi="宋体" w:cs="宋体" w:eastAsia="宋体" w:hint="default"/>
          <w:b/>
          <w:bCs/>
        </w:rPr>
        <w:t>（一）公司概况</w:t>
      </w:r>
      <w:r>
        <w:rPr>
          <w:rFonts w:ascii="宋体" w:hAnsi="宋体" w:cs="宋体" w:eastAsia="宋体" w:hint="default"/>
          <w:b/>
          <w:bCs/>
          <w:w w:val="99"/>
        </w:rPr>
        <w:t> </w:t>
      </w:r>
      <w:r>
        <w:rPr>
          <w:spacing w:val="-1"/>
        </w:rPr>
        <w:t>山东丽鹏股份有限公司（以下简称“本公司”或“公司”）是由山东丽鹏包装有限公司整体变更设立</w:t>
      </w:r>
    </w:p>
    <w:p>
      <w:pPr>
        <w:pStyle w:val="BodyText"/>
        <w:spacing w:line="273" w:lineRule="auto"/>
        <w:ind w:left="573" w:right="914" w:hanging="420"/>
        <w:jc w:val="left"/>
      </w:pPr>
      <w:r>
        <w:rPr/>
        <w:t>的股份有限公司。 </w:t>
      </w:r>
      <w:r>
        <w:rPr>
          <w:spacing w:val="-1"/>
        </w:rPr>
        <w:t>山东丽鹏包装有限公司原名烟台市丽鹏包装有限责任公司，成立于</w:t>
      </w:r>
      <w:r>
        <w:rPr>
          <w:rFonts w:ascii="宋体" w:hAnsi="宋体" w:cs="宋体" w:eastAsia="宋体" w:hint="default"/>
          <w:spacing w:val="-1"/>
        </w:rPr>
        <w:t>1995</w:t>
      </w:r>
      <w:r>
        <w:rPr>
          <w:spacing w:val="-1"/>
        </w:rPr>
        <w:t>年</w:t>
      </w:r>
      <w:r>
        <w:rPr>
          <w:rFonts w:ascii="宋体" w:hAnsi="宋体" w:cs="宋体" w:eastAsia="宋体" w:hint="default"/>
          <w:spacing w:val="-1"/>
        </w:rPr>
        <w:t>2</w:t>
      </w:r>
      <w:r>
        <w:rPr>
          <w:spacing w:val="-1"/>
        </w:rPr>
        <w:t>月，设立时注册资本</w:t>
      </w:r>
      <w:r>
        <w:rPr>
          <w:rFonts w:ascii="宋体" w:hAnsi="宋体" w:cs="宋体" w:eastAsia="宋体" w:hint="default"/>
          <w:spacing w:val="-1"/>
        </w:rPr>
        <w:t>500</w:t>
      </w:r>
      <w:r>
        <w:rPr>
          <w:spacing w:val="-1"/>
        </w:rPr>
        <w:t>万</w:t>
      </w:r>
    </w:p>
    <w:p>
      <w:pPr>
        <w:pStyle w:val="BodyText"/>
        <w:spacing w:line="273" w:lineRule="auto"/>
        <w:ind w:left="574" w:right="914" w:hanging="420"/>
        <w:jc w:val="left"/>
      </w:pPr>
      <w:r>
        <w:rPr/>
        <w:t>元，</w:t>
      </w:r>
      <w:r>
        <w:rPr>
          <w:rFonts w:ascii="宋体" w:hAnsi="宋体" w:cs="宋体" w:eastAsia="宋体" w:hint="default"/>
        </w:rPr>
        <w:t>1998</w:t>
      </w:r>
      <w:r>
        <w:rPr/>
        <w:t>年</w:t>
      </w:r>
      <w:r>
        <w:rPr>
          <w:rFonts w:ascii="宋体" w:hAnsi="宋体" w:cs="宋体" w:eastAsia="宋体" w:hint="default"/>
        </w:rPr>
        <w:t>3</w:t>
      </w:r>
      <w:r>
        <w:rPr/>
        <w:t>月注册资本变更为</w:t>
      </w:r>
      <w:r>
        <w:rPr>
          <w:rFonts w:ascii="宋体" w:hAnsi="宋体" w:cs="宋体" w:eastAsia="宋体" w:hint="default"/>
        </w:rPr>
        <w:t>3000</w:t>
      </w:r>
      <w:r>
        <w:rPr/>
        <w:t>万元。 </w:t>
      </w:r>
      <w:r>
        <w:rPr>
          <w:rFonts w:ascii="宋体" w:hAnsi="宋体" w:cs="宋体" w:eastAsia="宋体" w:hint="default"/>
          <w:spacing w:val="-1"/>
        </w:rPr>
        <w:t>1999</w:t>
      </w:r>
      <w:r>
        <w:rPr>
          <w:spacing w:val="-1"/>
        </w:rPr>
        <w:t>年</w:t>
      </w:r>
      <w:r>
        <w:rPr>
          <w:rFonts w:ascii="宋体" w:hAnsi="宋体" w:cs="宋体" w:eastAsia="宋体" w:hint="default"/>
          <w:spacing w:val="-1"/>
        </w:rPr>
        <w:t>5</w:t>
      </w:r>
      <w:r>
        <w:rPr>
          <w:spacing w:val="-1"/>
        </w:rPr>
        <w:t>月，烟台市丽鹏包装有限责任公司更名为山东丽鹏包装有限公司，</w:t>
      </w:r>
      <w:r>
        <w:rPr>
          <w:rFonts w:ascii="宋体" w:hAnsi="宋体" w:cs="宋体" w:eastAsia="宋体" w:hint="default"/>
          <w:spacing w:val="-1"/>
        </w:rPr>
        <w:t>2007</w:t>
      </w:r>
      <w:r>
        <w:rPr>
          <w:spacing w:val="-1"/>
        </w:rPr>
        <w:t>年</w:t>
      </w:r>
      <w:r>
        <w:rPr>
          <w:rFonts w:ascii="宋体" w:hAnsi="宋体" w:cs="宋体" w:eastAsia="宋体" w:hint="default"/>
          <w:spacing w:val="-1"/>
        </w:rPr>
        <w:t>9</w:t>
      </w:r>
      <w:r>
        <w:rPr>
          <w:spacing w:val="-1"/>
        </w:rPr>
        <w:t>月，经山东丽鹏包</w:t>
      </w:r>
    </w:p>
    <w:p>
      <w:pPr>
        <w:pStyle w:val="BodyText"/>
        <w:spacing w:line="273" w:lineRule="auto"/>
        <w:ind w:left="573" w:right="914" w:hanging="420"/>
        <w:jc w:val="left"/>
      </w:pPr>
      <w:r>
        <w:rPr/>
        <w:t>装有限公司第一次临时股东会决议通过，注册资本变更为</w:t>
      </w:r>
      <w:r>
        <w:rPr>
          <w:rFonts w:ascii="宋体" w:hAnsi="宋体" w:cs="宋体" w:eastAsia="宋体" w:hint="default"/>
        </w:rPr>
        <w:t>4000</w:t>
      </w:r>
      <w:r>
        <w:rPr/>
        <w:t>万元。 </w:t>
      </w:r>
      <w:r>
        <w:rPr>
          <w:rFonts w:ascii="宋体" w:hAnsi="宋体" w:cs="宋体" w:eastAsia="宋体" w:hint="default"/>
          <w:spacing w:val="-1"/>
        </w:rPr>
        <w:t>2007</w:t>
      </w:r>
      <w:r>
        <w:rPr>
          <w:spacing w:val="-1"/>
        </w:rPr>
        <w:t>年</w:t>
      </w:r>
      <w:r>
        <w:rPr>
          <w:rFonts w:ascii="宋体" w:hAnsi="宋体" w:cs="宋体" w:eastAsia="宋体" w:hint="default"/>
          <w:spacing w:val="-1"/>
        </w:rPr>
        <w:t>11</w:t>
      </w:r>
      <w:r>
        <w:rPr>
          <w:spacing w:val="-1"/>
        </w:rPr>
        <w:t>月，经山东丽鹏包装有限公司</w:t>
      </w:r>
      <w:r>
        <w:rPr>
          <w:rFonts w:ascii="宋体" w:hAnsi="宋体" w:cs="宋体" w:eastAsia="宋体" w:hint="default"/>
          <w:spacing w:val="-1"/>
        </w:rPr>
        <w:t>2007</w:t>
      </w:r>
      <w:r>
        <w:rPr>
          <w:spacing w:val="-1"/>
        </w:rPr>
        <w:t>年第二次临时股东会决议通过，山东丽鹏包装有限公司整</w:t>
      </w:r>
    </w:p>
    <w:p>
      <w:pPr>
        <w:pStyle w:val="BodyText"/>
        <w:spacing w:line="273" w:lineRule="auto" w:before="8"/>
        <w:ind w:right="914"/>
        <w:jc w:val="left"/>
      </w:pPr>
      <w:r>
        <w:rPr/>
        <w:t>体变更为山东丽鹏股份有限公司，变更后注册资本仍为</w:t>
      </w:r>
      <w:r>
        <w:rPr>
          <w:rFonts w:ascii="宋体" w:hAnsi="宋体" w:cs="宋体" w:eastAsia="宋体" w:hint="default"/>
        </w:rPr>
        <w:t>4000</w:t>
      </w:r>
      <w:r>
        <w:rPr/>
        <w:t>万元。</w:t>
      </w:r>
      <w:r>
        <w:rPr>
          <w:rFonts w:ascii="宋体" w:hAnsi="宋体" w:cs="宋体" w:eastAsia="宋体" w:hint="default"/>
        </w:rPr>
        <w:t>2007</w:t>
      </w:r>
      <w:r>
        <w:rPr/>
        <w:t>年</w:t>
      </w:r>
      <w:r>
        <w:rPr>
          <w:rFonts w:ascii="宋体" w:hAnsi="宋体" w:cs="宋体" w:eastAsia="宋体" w:hint="default"/>
        </w:rPr>
        <w:t>12</w:t>
      </w:r>
      <w:r>
        <w:rPr/>
        <w:t>月</w:t>
      </w:r>
      <w:r>
        <w:rPr>
          <w:rFonts w:ascii="宋体" w:hAnsi="宋体" w:cs="宋体" w:eastAsia="宋体" w:hint="default"/>
        </w:rPr>
        <w:t>4</w:t>
      </w:r>
      <w:r>
        <w:rPr/>
        <w:t>日，公司取得了山东省工</w:t>
      </w:r>
      <w:r>
        <w:rPr>
          <w:spacing w:val="-30"/>
        </w:rPr>
        <w:t> </w:t>
      </w:r>
      <w:r>
        <w:rPr>
          <w:spacing w:val="-30"/>
        </w:rPr>
      </w:r>
      <w:r>
        <w:rPr/>
        <w:t>商行政管理局换发的注册号为</w:t>
      </w:r>
      <w:r>
        <w:rPr>
          <w:rFonts w:ascii="宋体" w:hAnsi="宋体" w:cs="宋体" w:eastAsia="宋体" w:hint="default"/>
        </w:rPr>
        <w:t>370600228099328</w:t>
      </w:r>
      <w:r>
        <w:rPr/>
        <w:t>的企业法人营业执照。</w:t>
      </w:r>
    </w:p>
    <w:p>
      <w:pPr>
        <w:pStyle w:val="BodyText"/>
        <w:spacing w:line="273" w:lineRule="auto"/>
        <w:ind w:right="1301" w:firstLine="420"/>
        <w:jc w:val="both"/>
        <w:rPr>
          <w:rFonts w:ascii="宋体" w:hAnsi="宋体" w:cs="宋体" w:eastAsia="宋体" w:hint="default"/>
        </w:rPr>
      </w:pPr>
      <w:r>
        <w:rPr>
          <w:rFonts w:ascii="宋体" w:hAnsi="宋体" w:cs="宋体" w:eastAsia="宋体" w:hint="default"/>
        </w:rPr>
        <w:t>2010</w:t>
      </w:r>
      <w:r>
        <w:rPr/>
        <w:t>年</w:t>
      </w:r>
      <w:r>
        <w:rPr>
          <w:rFonts w:ascii="宋体" w:hAnsi="宋体" w:cs="宋体" w:eastAsia="宋体" w:hint="default"/>
        </w:rPr>
        <w:t>2</w:t>
      </w:r>
      <w:r>
        <w:rPr/>
        <w:t>月，经中国证券监督管理委员会以证监许可</w:t>
      </w:r>
      <w:r>
        <w:rPr>
          <w:rFonts w:ascii="宋体" w:hAnsi="宋体" w:cs="宋体" w:eastAsia="宋体" w:hint="default"/>
        </w:rPr>
        <w:t>[2010]238</w:t>
      </w:r>
      <w:r>
        <w:rPr/>
        <w:t>号文《关于核准山东丽鹏股份有限公 司首次公开发行股票的批复》的核准，丽鹏公司向社会公开发行人民币普通股</w:t>
      </w:r>
      <w:r>
        <w:rPr>
          <w:rFonts w:ascii="宋体" w:hAnsi="宋体" w:cs="宋体" w:eastAsia="宋体" w:hint="default"/>
        </w:rPr>
        <w:t>1350</w:t>
      </w:r>
      <w:r>
        <w:rPr/>
        <w:t>万股，公司注册资本</w:t>
      </w:r>
      <w:r>
        <w:rPr>
          <w:spacing w:val="-91"/>
        </w:rPr>
        <w:t> </w:t>
      </w:r>
      <w:r>
        <w:rPr>
          <w:spacing w:val="-91"/>
        </w:rPr>
      </w:r>
      <w:r>
        <w:rPr>
          <w:spacing w:val="-2"/>
        </w:rPr>
        <w:t>变更为</w:t>
      </w:r>
      <w:r>
        <w:rPr>
          <w:rFonts w:ascii="宋体" w:hAnsi="宋体" w:cs="宋体" w:eastAsia="宋体" w:hint="default"/>
          <w:spacing w:val="-2"/>
        </w:rPr>
        <w:t>5350</w:t>
      </w:r>
      <w:r>
        <w:rPr>
          <w:spacing w:val="-2"/>
        </w:rPr>
        <w:t>万元。</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月在深圳证券交易所挂牌上市，上市后公司股本总额为人民币</w:t>
      </w:r>
      <w:r>
        <w:rPr>
          <w:rFonts w:ascii="宋体" w:hAnsi="宋体" w:cs="宋体" w:eastAsia="宋体" w:hint="default"/>
          <w:spacing w:val="-2"/>
        </w:rPr>
        <w:t>5350</w:t>
      </w:r>
      <w:r>
        <w:rPr>
          <w:spacing w:val="-2"/>
        </w:rPr>
        <w:t>万元。</w:t>
      </w:r>
      <w:r>
        <w:rPr>
          <w:rFonts w:ascii="宋体" w:hAnsi="宋体" w:cs="宋体" w:eastAsia="宋体" w:hint="default"/>
          <w:spacing w:val="-2"/>
        </w:rPr>
        <w:t>2010</w:t>
      </w:r>
    </w:p>
    <w:p>
      <w:pPr>
        <w:spacing w:after="0" w:line="273" w:lineRule="auto"/>
        <w:jc w:val="both"/>
        <w:rPr>
          <w:rFonts w:ascii="宋体" w:hAnsi="宋体" w:cs="宋体" w:eastAsia="宋体" w:hint="default"/>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914"/>
        <w:jc w:val="left"/>
      </w:pPr>
      <w:r>
        <w:rPr/>
        <w:t>年</w:t>
      </w:r>
      <w:r>
        <w:rPr>
          <w:rFonts w:ascii="宋体" w:hAnsi="宋体" w:cs="宋体" w:eastAsia="宋体" w:hint="default"/>
        </w:rPr>
        <w:t>4</w:t>
      </w:r>
      <w:r>
        <w:rPr/>
        <w:t>月</w:t>
      </w:r>
      <w:r>
        <w:rPr>
          <w:rFonts w:ascii="宋体" w:hAnsi="宋体" w:cs="宋体" w:eastAsia="宋体" w:hint="default"/>
        </w:rPr>
        <w:t>8</w:t>
      </w:r>
      <w:r>
        <w:rPr/>
        <w:t>日，公司完成了工商变更。</w:t>
      </w:r>
    </w:p>
    <w:p>
      <w:pPr>
        <w:pStyle w:val="BodyText"/>
        <w:spacing w:line="273" w:lineRule="auto" w:before="37"/>
        <w:ind w:right="1210" w:firstLine="420"/>
        <w:jc w:val="left"/>
      </w:pPr>
      <w:r>
        <w:rPr>
          <w:rFonts w:ascii="宋体" w:hAnsi="宋体" w:cs="宋体" w:eastAsia="宋体" w:hint="default"/>
          <w:spacing w:val="-1"/>
        </w:rPr>
        <w:t>2011</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w:t>
      </w:r>
      <w:r>
        <w:rPr>
          <w:rFonts w:ascii="宋体" w:hAnsi="宋体" w:cs="宋体" w:eastAsia="宋体" w:hint="default"/>
          <w:spacing w:val="23"/>
        </w:rPr>
        <w:t> </w:t>
      </w:r>
      <w:r>
        <w:rPr>
          <w:spacing w:val="-3"/>
        </w:rPr>
        <w:t>根据公司</w:t>
      </w:r>
      <w:r>
        <w:rPr>
          <w:rFonts w:ascii="宋体" w:hAnsi="宋体" w:cs="宋体" w:eastAsia="宋体" w:hint="default"/>
          <w:spacing w:val="-3"/>
        </w:rPr>
        <w:t>2010</w:t>
      </w:r>
      <w:r>
        <w:rPr>
          <w:spacing w:val="-3"/>
        </w:rPr>
        <w:t>年股东大会通过《</w:t>
      </w:r>
      <w:r>
        <w:rPr>
          <w:rFonts w:ascii="宋体" w:hAnsi="宋体" w:cs="宋体" w:eastAsia="宋体" w:hint="default"/>
          <w:spacing w:val="-3"/>
        </w:rPr>
        <w:t>2010</w:t>
      </w:r>
      <w:r>
        <w:rPr>
          <w:spacing w:val="-3"/>
        </w:rPr>
        <w:t>年利润分配预案》，公司按每</w:t>
      </w:r>
      <w:r>
        <w:rPr>
          <w:rFonts w:ascii="宋体" w:hAnsi="宋体" w:cs="宋体" w:eastAsia="宋体" w:hint="default"/>
          <w:spacing w:val="-3"/>
        </w:rPr>
        <w:t>10</w:t>
      </w:r>
      <w:r>
        <w:rPr>
          <w:spacing w:val="-3"/>
        </w:rPr>
        <w:t>股转增</w:t>
      </w:r>
      <w:r>
        <w:rPr>
          <w:rFonts w:ascii="宋体" w:hAnsi="宋体" w:cs="宋体" w:eastAsia="宋体" w:hint="default"/>
          <w:spacing w:val="-3"/>
        </w:rPr>
        <w:t>6</w:t>
      </w:r>
      <w:r>
        <w:rPr>
          <w:spacing w:val="-3"/>
        </w:rPr>
        <w:t>股的比例，</w:t>
      </w:r>
      <w:r>
        <w:rPr/>
        <w:t> </w:t>
      </w:r>
      <w:r>
        <w:rPr>
          <w:spacing w:val="-2"/>
        </w:rPr>
        <w:t>以资本公积向全体股东转增股份总额</w:t>
      </w:r>
      <w:r>
        <w:rPr>
          <w:rFonts w:ascii="宋体" w:hAnsi="宋体" w:cs="宋体" w:eastAsia="宋体" w:hint="default"/>
          <w:spacing w:val="-2"/>
        </w:rPr>
        <w:t>3210</w:t>
      </w:r>
      <w:r>
        <w:rPr>
          <w:spacing w:val="-2"/>
        </w:rPr>
        <w:t>万股，增加股本</w:t>
      </w:r>
      <w:r>
        <w:rPr>
          <w:rFonts w:ascii="宋体" w:hAnsi="宋体" w:cs="宋体" w:eastAsia="宋体" w:hint="default"/>
          <w:spacing w:val="-2"/>
        </w:rPr>
        <w:t>3210</w:t>
      </w:r>
      <w:r>
        <w:rPr>
          <w:spacing w:val="-2"/>
        </w:rPr>
        <w:t>万元。</w:t>
      </w:r>
      <w:r>
        <w:rPr>
          <w:rFonts w:ascii="宋体" w:hAnsi="宋体" w:cs="宋体" w:eastAsia="宋体" w:hint="default"/>
          <w:spacing w:val="-2"/>
        </w:rPr>
        <w:t>2011</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27</w:t>
      </w:r>
      <w:r>
        <w:rPr>
          <w:spacing w:val="-2"/>
        </w:rPr>
        <w:t>日，公司完成了工商变</w:t>
      </w:r>
      <w:r>
        <w:rPr>
          <w:spacing w:val="-93"/>
        </w:rPr>
        <w:t> </w:t>
      </w:r>
      <w:r>
        <w:rPr>
          <w:spacing w:val="-93"/>
        </w:rPr>
      </w:r>
      <w:r>
        <w:rPr/>
        <w:t>更，注册资本变更为</w:t>
      </w:r>
      <w:r>
        <w:rPr>
          <w:rFonts w:ascii="宋体" w:hAnsi="宋体" w:cs="宋体" w:eastAsia="宋体" w:hint="default"/>
        </w:rPr>
        <w:t>8560</w:t>
      </w:r>
      <w:r>
        <w:rPr/>
        <w:t>万元。</w:t>
      </w:r>
    </w:p>
    <w:p>
      <w:pPr>
        <w:pStyle w:val="BodyText"/>
        <w:spacing w:line="273" w:lineRule="auto" w:before="8"/>
        <w:ind w:right="1298" w:firstLine="420"/>
        <w:jc w:val="both"/>
      </w:pP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w:t>
      </w:r>
      <w:r>
        <w:rPr>
          <w:spacing w:val="-2"/>
        </w:rPr>
        <w:t>经中国证券监督管理委员会以证监许可【</w:t>
      </w:r>
      <w:r>
        <w:rPr>
          <w:rFonts w:ascii="宋体" w:hAnsi="宋体" w:cs="宋体" w:eastAsia="宋体" w:hint="default"/>
          <w:spacing w:val="-2"/>
        </w:rPr>
        <w:t>2012</w:t>
      </w:r>
      <w:r>
        <w:rPr>
          <w:spacing w:val="-2"/>
        </w:rPr>
        <w:t>】</w:t>
      </w:r>
      <w:r>
        <w:rPr>
          <w:rFonts w:ascii="宋体" w:hAnsi="宋体" w:cs="宋体" w:eastAsia="宋体" w:hint="default"/>
          <w:spacing w:val="-2"/>
        </w:rPr>
        <w:t>1328</w:t>
      </w:r>
      <w:r>
        <w:rPr>
          <w:spacing w:val="-2"/>
        </w:rPr>
        <w:t>号文《关于核准山东丽鹏股份有限</w:t>
      </w:r>
      <w:r>
        <w:rPr/>
        <w:t> 公司非公开发行股票的批复》核准，公司向特定对象非公开发行人民币普通股</w:t>
      </w:r>
      <w:r>
        <w:rPr>
          <w:rFonts w:ascii="宋体" w:hAnsi="宋体" w:cs="宋体" w:eastAsia="宋体" w:hint="default"/>
        </w:rPr>
        <w:t>20,738,461</w:t>
      </w:r>
      <w:r>
        <w:rPr/>
        <w:t>股。</w:t>
      </w:r>
      <w:r>
        <w:rPr>
          <w:rFonts w:ascii="宋体" w:hAnsi="宋体" w:cs="宋体" w:eastAsia="宋体" w:hint="default"/>
        </w:rPr>
        <w:t>2012</w:t>
      </w:r>
      <w:r>
        <w:rPr/>
        <w:t>年</w:t>
      </w:r>
      <w:r>
        <w:rPr>
          <w:rFonts w:ascii="宋体" w:hAnsi="宋体" w:cs="宋体" w:eastAsia="宋体" w:hint="default"/>
        </w:rPr>
        <w:t>12</w:t>
      </w:r>
      <w:r>
        <w:rPr>
          <w:rFonts w:ascii="宋体" w:hAnsi="宋体" w:cs="宋体" w:eastAsia="宋体" w:hint="default"/>
          <w:spacing w:val="-87"/>
        </w:rPr>
        <w:t> </w:t>
      </w:r>
      <w:r>
        <w:rPr/>
        <w:t>月</w:t>
      </w:r>
      <w:r>
        <w:rPr>
          <w:rFonts w:ascii="宋体" w:hAnsi="宋体" w:cs="宋体" w:eastAsia="宋体" w:hint="default"/>
        </w:rPr>
        <w:t>3</w:t>
      </w:r>
      <w:r>
        <w:rPr/>
        <w:t>日，公司完成了工商变更，注册资本变更为</w:t>
      </w:r>
      <w:r>
        <w:rPr>
          <w:rFonts w:ascii="宋体" w:hAnsi="宋体" w:cs="宋体" w:eastAsia="宋体" w:hint="default"/>
        </w:rPr>
        <w:t>106,338,461</w:t>
      </w:r>
      <w:r>
        <w:rPr/>
        <w:t>元。</w:t>
      </w:r>
    </w:p>
    <w:p>
      <w:pPr>
        <w:pStyle w:val="BodyText"/>
        <w:spacing w:line="240" w:lineRule="auto"/>
        <w:ind w:left="573" w:right="914"/>
        <w:jc w:val="left"/>
      </w:pPr>
      <w:r>
        <w:rPr>
          <w:rFonts w:ascii="宋体" w:hAnsi="宋体" w:cs="宋体" w:eastAsia="宋体" w:hint="default"/>
        </w:rPr>
        <w:t>201</w:t>
      </w:r>
      <w:r>
        <w:rPr>
          <w:rFonts w:ascii="宋体" w:hAnsi="宋体" w:cs="宋体" w:eastAsia="宋体" w:hint="default"/>
          <w:spacing w:val="1"/>
        </w:rPr>
        <w:t>3</w:t>
      </w:r>
      <w:r>
        <w:rPr>
          <w:spacing w:val="-2"/>
        </w:rPr>
        <w:t>年</w:t>
      </w:r>
      <w:r>
        <w:rPr>
          <w:rFonts w:ascii="宋体" w:hAnsi="宋体" w:cs="宋体" w:eastAsia="宋体" w:hint="default"/>
        </w:rPr>
        <w:t>5</w:t>
      </w:r>
      <w:r>
        <w:rPr/>
        <w:t>月</w:t>
      </w:r>
      <w:r>
        <w:rPr>
          <w:spacing w:val="-9"/>
        </w:rPr>
        <w:t>，</w:t>
      </w:r>
      <w:r>
        <w:rPr/>
        <w:t>依据公司</w:t>
      </w:r>
      <w:r>
        <w:rPr>
          <w:rFonts w:ascii="宋体" w:hAnsi="宋体" w:cs="宋体" w:eastAsia="宋体" w:hint="default"/>
        </w:rPr>
        <w:t>2012</w:t>
      </w:r>
      <w:r>
        <w:rPr/>
        <w:t>年年度股</w:t>
      </w:r>
      <w:r>
        <w:rPr>
          <w:spacing w:val="-2"/>
        </w:rPr>
        <w:t>东</w:t>
      </w:r>
      <w:r>
        <w:rPr/>
        <w:t>大会决议通过</w:t>
      </w:r>
      <w:r>
        <w:rPr>
          <w:spacing w:val="-8"/>
        </w:rPr>
        <w:t>的</w:t>
      </w:r>
      <w:r>
        <w:rPr/>
        <w:t>《公司</w:t>
      </w:r>
      <w:r>
        <w:rPr>
          <w:rFonts w:ascii="宋体" w:hAnsi="宋体" w:cs="宋体" w:eastAsia="宋体" w:hint="default"/>
        </w:rPr>
        <w:t>2012</w:t>
      </w:r>
      <w:r>
        <w:rPr/>
        <w:t>年度利</w:t>
      </w:r>
      <w:r>
        <w:rPr>
          <w:spacing w:val="-2"/>
        </w:rPr>
        <w:t>润</w:t>
      </w:r>
      <w:r>
        <w:rPr/>
        <w:t>分配预案</w:t>
      </w:r>
      <w:r>
        <w:rPr>
          <w:spacing w:val="-105"/>
        </w:rPr>
        <w:t>》</w:t>
      </w:r>
      <w:r>
        <w:rPr>
          <w:spacing w:val="-9"/>
        </w:rPr>
        <w:t>，</w:t>
      </w:r>
      <w:r>
        <w:rPr/>
        <w:t>按每</w:t>
      </w:r>
      <w:r>
        <w:rPr>
          <w:rFonts w:ascii="宋体" w:hAnsi="宋体" w:cs="宋体" w:eastAsia="宋体" w:hint="default"/>
        </w:rPr>
        <w:t>10</w:t>
      </w:r>
      <w:r>
        <w:rPr>
          <w:spacing w:val="1"/>
        </w:rPr>
        <w:t>股</w:t>
      </w:r>
      <w:r>
        <w:rPr/>
        <w:t>转增</w:t>
      </w:r>
    </w:p>
    <w:p>
      <w:pPr>
        <w:pStyle w:val="BodyText"/>
        <w:spacing w:line="240" w:lineRule="auto" w:before="37"/>
        <w:ind w:right="914"/>
        <w:jc w:val="left"/>
      </w:pPr>
      <w:r>
        <w:rPr>
          <w:rFonts w:ascii="宋体" w:hAnsi="宋体" w:cs="宋体" w:eastAsia="宋体" w:hint="default"/>
          <w:spacing w:val="9"/>
        </w:rPr>
        <w:t>8</w:t>
      </w:r>
      <w:r>
        <w:rPr>
          <w:spacing w:val="9"/>
        </w:rPr>
        <w:t>股的比例，以资本公积向全体股东转增股份</w:t>
      </w:r>
      <w:r>
        <w:rPr>
          <w:rFonts w:ascii="宋体" w:hAnsi="宋体" w:cs="宋体" w:eastAsia="宋体" w:hint="default"/>
          <w:spacing w:val="9"/>
        </w:rPr>
        <w:t>,</w:t>
      </w:r>
      <w:r>
        <w:rPr>
          <w:spacing w:val="9"/>
        </w:rPr>
        <w:t>增加股本</w:t>
      </w:r>
      <w:r>
        <w:rPr>
          <w:rFonts w:ascii="宋体" w:hAnsi="宋体" w:cs="宋体" w:eastAsia="宋体" w:hint="default"/>
          <w:spacing w:val="9"/>
        </w:rPr>
        <w:t>85,070,768.00</w:t>
      </w:r>
      <w:r>
        <w:rPr>
          <w:spacing w:val="9"/>
        </w:rPr>
        <w:t>元，变更后的注册资本人民币</w:t>
      </w:r>
      <w:r>
        <w:rPr/>
      </w:r>
    </w:p>
    <w:p>
      <w:pPr>
        <w:pStyle w:val="BodyText"/>
        <w:spacing w:line="240" w:lineRule="auto" w:before="37"/>
        <w:ind w:right="914"/>
        <w:jc w:val="left"/>
      </w:pPr>
      <w:r>
        <w:rPr>
          <w:rFonts w:ascii="宋体" w:hAnsi="宋体" w:cs="宋体" w:eastAsia="宋体" w:hint="default"/>
        </w:rPr>
        <w:t>191,409,229.00</w:t>
      </w:r>
      <w:r>
        <w:rPr/>
        <w:t>元。</w:t>
      </w:r>
      <w:r>
        <w:rPr>
          <w:rFonts w:ascii="宋体" w:hAnsi="宋体" w:cs="宋体" w:eastAsia="宋体" w:hint="default"/>
        </w:rPr>
        <w:t>2013</w:t>
      </w:r>
      <w:r>
        <w:rPr/>
        <w:t>年</w:t>
      </w:r>
      <w:r>
        <w:rPr>
          <w:rFonts w:ascii="宋体" w:hAnsi="宋体" w:cs="宋体" w:eastAsia="宋体" w:hint="default"/>
        </w:rPr>
        <w:t>6</w:t>
      </w:r>
      <w:r>
        <w:rPr/>
        <w:t>月，公司完成了工商变更。</w:t>
      </w:r>
    </w:p>
    <w:p>
      <w:pPr>
        <w:pStyle w:val="BodyText"/>
        <w:spacing w:line="273" w:lineRule="auto" w:before="37"/>
        <w:ind w:right="1131" w:firstLine="420"/>
        <w:jc w:val="both"/>
      </w:pPr>
      <w:r>
        <w:rPr>
          <w:rFonts w:ascii="宋体" w:hAnsi="宋体" w:cs="宋体" w:eastAsia="宋体" w:hint="default"/>
          <w:spacing w:val="-1"/>
        </w:rPr>
        <w:t>2014</w:t>
      </w:r>
      <w:r>
        <w:rPr>
          <w:spacing w:val="-1"/>
        </w:rPr>
        <w:t>年</w:t>
      </w:r>
      <w:r>
        <w:rPr>
          <w:rFonts w:ascii="宋体" w:hAnsi="宋体" w:cs="宋体" w:eastAsia="宋体" w:hint="default"/>
          <w:spacing w:val="-1"/>
        </w:rPr>
        <w:t>11</w:t>
      </w:r>
      <w:r>
        <w:rPr>
          <w:spacing w:val="-1"/>
        </w:rPr>
        <w:t>月，经中国证券监督管理委员会文《关于核准山东丽鹏股份有限公司向汤于等发行股份购买</w:t>
      </w:r>
      <w:r>
        <w:rPr/>
        <w:t> </w:t>
      </w:r>
      <w:r>
        <w:rPr>
          <w:spacing w:val="-1"/>
        </w:rPr>
        <w:t>资产并募集配套资金的批复》（证监许可</w:t>
      </w:r>
      <w:r>
        <w:rPr>
          <w:rFonts w:ascii="宋体" w:hAnsi="宋体" w:cs="宋体" w:eastAsia="宋体" w:hint="default"/>
          <w:spacing w:val="-1"/>
        </w:rPr>
        <w:t>[2014]1256</w:t>
      </w:r>
      <w:r>
        <w:rPr>
          <w:spacing w:val="-1"/>
        </w:rPr>
        <w:t>号）核准，公司向汤于等</w:t>
      </w:r>
      <w:r>
        <w:rPr>
          <w:rFonts w:ascii="宋体" w:hAnsi="宋体" w:cs="宋体" w:eastAsia="宋体" w:hint="default"/>
          <w:spacing w:val="-1"/>
        </w:rPr>
        <w:t>58</w:t>
      </w:r>
      <w:r>
        <w:rPr>
          <w:spacing w:val="-1"/>
        </w:rPr>
        <w:t>名交易对象发行人民币普</w:t>
      </w:r>
      <w:r>
        <w:rPr>
          <w:spacing w:val="-83"/>
        </w:rPr>
        <w:t> </w:t>
      </w:r>
      <w:r>
        <w:rPr>
          <w:spacing w:val="-83"/>
        </w:rPr>
      </w:r>
      <w:r>
        <w:rPr>
          <w:spacing w:val="-1"/>
        </w:rPr>
        <w:t>通股</w:t>
      </w:r>
      <w:r>
        <w:rPr>
          <w:rFonts w:ascii="宋体" w:hAnsi="宋体" w:cs="宋体" w:eastAsia="宋体" w:hint="default"/>
          <w:spacing w:val="-1"/>
        </w:rPr>
        <w:t>101,553,992.00</w:t>
      </w:r>
      <w:r>
        <w:rPr>
          <w:spacing w:val="-1"/>
        </w:rPr>
        <w:t>股；向孙世尧等</w:t>
      </w:r>
      <w:r>
        <w:rPr>
          <w:rFonts w:ascii="宋体" w:hAnsi="宋体" w:cs="宋体" w:eastAsia="宋体" w:hint="default"/>
          <w:spacing w:val="-1"/>
        </w:rPr>
        <w:t>9</w:t>
      </w:r>
      <w:r>
        <w:rPr>
          <w:spacing w:val="-1"/>
        </w:rPr>
        <w:t>名特定对象非公开发行人民币普通股</w:t>
      </w:r>
      <w:r>
        <w:rPr>
          <w:rFonts w:ascii="宋体" w:hAnsi="宋体" w:cs="宋体" w:eastAsia="宋体" w:hint="default"/>
          <w:spacing w:val="-1"/>
        </w:rPr>
        <w:t>36,690,000.00</w:t>
      </w:r>
      <w:r>
        <w:rPr>
          <w:spacing w:val="-1"/>
        </w:rPr>
        <w:t>股。</w:t>
      </w:r>
      <w:r>
        <w:rPr>
          <w:rFonts w:ascii="宋体" w:hAnsi="宋体" w:cs="宋体" w:eastAsia="宋体" w:hint="default"/>
          <w:spacing w:val="-1"/>
        </w:rPr>
        <w:t>2015</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9</w:t>
      </w:r>
      <w:r>
        <w:rPr>
          <w:rFonts w:ascii="宋体" w:hAnsi="宋体" w:cs="宋体" w:eastAsia="宋体" w:hint="default"/>
          <w:spacing w:val="-65"/>
        </w:rPr>
        <w:t> </w:t>
      </w:r>
      <w:r>
        <w:rPr/>
        <w:t>日，公司完成了工商变更，注册资本变更为</w:t>
      </w:r>
      <w:r>
        <w:rPr>
          <w:rFonts w:ascii="宋体" w:hAnsi="宋体" w:cs="宋体" w:eastAsia="宋体" w:hint="default"/>
          <w:sz w:val="20"/>
          <w:szCs w:val="20"/>
        </w:rPr>
        <w:t>329,653,221.00</w:t>
      </w:r>
      <w:r>
        <w:rPr>
          <w:rFonts w:ascii="宋体" w:hAnsi="宋体" w:cs="宋体" w:eastAsia="宋体" w:hint="default"/>
          <w:spacing w:val="-3"/>
          <w:sz w:val="20"/>
          <w:szCs w:val="20"/>
        </w:rPr>
        <w:t> </w:t>
      </w:r>
      <w:r>
        <w:rPr/>
        <w:t>元。</w:t>
      </w:r>
    </w:p>
    <w:p>
      <w:pPr>
        <w:pStyle w:val="BodyText"/>
        <w:spacing w:line="273" w:lineRule="auto"/>
        <w:ind w:left="574" w:right="914"/>
        <w:jc w:val="left"/>
      </w:pPr>
      <w:r>
        <w:rPr/>
        <w:t>公司住所为烟台市牟平区姜格街道办事处丽鹏路</w:t>
      </w:r>
      <w:r>
        <w:rPr>
          <w:rFonts w:ascii="宋体" w:hAnsi="宋体" w:cs="宋体" w:eastAsia="宋体" w:hint="default"/>
        </w:rPr>
        <w:t>1</w:t>
      </w:r>
      <w:r>
        <w:rPr/>
        <w:t>号，公司法定代表人为孙鲲鹏。 公司经营范围经营范围：前置许可经营项目：无。 一般经营项目：铝板轧制、印铁、涂料、瓶盖加工、模具制作、橡胶塑料制品、机械设备、针纺织</w:t>
      </w:r>
    </w:p>
    <w:p>
      <w:pPr>
        <w:pStyle w:val="BodyText"/>
        <w:spacing w:line="273" w:lineRule="auto"/>
        <w:ind w:left="154" w:right="1301"/>
        <w:jc w:val="both"/>
      </w:pPr>
      <w:r>
        <w:rPr>
          <w:spacing w:val="-5"/>
        </w:rPr>
        <w:t>品、服装鞋帽的加工、销售；五金交电、建筑装饰材料、机电产品（不含小轿车）、日用百货、农副产品</w:t>
      </w:r>
      <w:r>
        <w:rPr>
          <w:spacing w:val="-69"/>
        </w:rPr>
        <w:t> </w:t>
      </w:r>
      <w:r>
        <w:rPr>
          <w:spacing w:val="-69"/>
        </w:rPr>
      </w:r>
      <w:r>
        <w:rPr>
          <w:spacing w:val="-5"/>
        </w:rPr>
        <w:t>销售（以上均不含专营专控）；经营本企业自产产品及相关技术的出口业务，本企业生产、科研所需的原</w:t>
      </w:r>
      <w:r>
        <w:rPr>
          <w:spacing w:val="-70"/>
        </w:rPr>
        <w:t> </w:t>
      </w:r>
      <w:r>
        <w:rPr>
          <w:spacing w:val="-70"/>
        </w:rPr>
      </w:r>
      <w:r>
        <w:rPr/>
        <w:t>辅材料、机械设备、仪器仪表、零配件及相关技术的进口业务；本企业的进料加工和“三来一补”业务</w:t>
      </w:r>
    </w:p>
    <w:p>
      <w:pPr>
        <w:pStyle w:val="BodyText"/>
        <w:spacing w:line="273" w:lineRule="auto"/>
        <w:ind w:left="574" w:right="1302" w:hanging="420"/>
        <w:jc w:val="left"/>
      </w:pPr>
      <w:r>
        <w:rPr>
          <w:spacing w:val="-4"/>
        </w:rPr>
        <w:t>（国家法律法规禁止项目除外，需经许可经营的，须凭许可证经营）。</w:t>
      </w:r>
      <w:r>
        <w:rPr>
          <w:spacing w:val="-86"/>
        </w:rPr>
        <w:t> </w:t>
      </w:r>
      <w:r>
        <w:rPr>
          <w:spacing w:val="-86"/>
        </w:rPr>
      </w:r>
      <w:r>
        <w:rPr/>
        <w:t>公司主营业务：铝板复合型防伪印刷和防伪瓶盖的生产、销售及相关业务；园林规划设计、施工、</w:t>
      </w:r>
    </w:p>
    <w:p>
      <w:pPr>
        <w:pStyle w:val="BodyText"/>
        <w:spacing w:line="273" w:lineRule="auto" w:before="8"/>
        <w:ind w:left="574" w:right="1302" w:hanging="420"/>
        <w:jc w:val="left"/>
      </w:pPr>
      <w:r>
        <w:rPr/>
        <w:t>养护，苗木养殖、销售。 公司所属行业：瓶盖包装制品制造业；园林工程施工、专业技术服务、园林景观规划设计、苗木种</w:t>
      </w:r>
    </w:p>
    <w:p>
      <w:pPr>
        <w:pStyle w:val="BodyText"/>
        <w:spacing w:line="273" w:lineRule="auto"/>
        <w:ind w:left="574" w:right="4662" w:hanging="420"/>
        <w:jc w:val="left"/>
      </w:pPr>
      <w:r>
        <w:rPr/>
        <w:t>植销售、园林养护。 本公司实际控制人为孙世尧家族，持有本公司</w:t>
      </w:r>
      <w:r>
        <w:rPr>
          <w:rFonts w:ascii="宋体" w:hAnsi="宋体" w:cs="宋体" w:eastAsia="宋体" w:hint="default"/>
        </w:rPr>
        <w:t>28.59%</w:t>
      </w:r>
      <w:r>
        <w:rPr/>
        <w:t>的股权。 本财务报表由公司董事会决议批准于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9</w:t>
      </w:r>
      <w:r>
        <w:rPr/>
        <w:t>日报出。</w:t>
      </w:r>
    </w:p>
    <w:p>
      <w:pPr>
        <w:pStyle w:val="BodyText"/>
        <w:spacing w:line="273" w:lineRule="auto" w:before="127"/>
        <w:ind w:left="573" w:right="1093" w:firstLine="2"/>
        <w:jc w:val="left"/>
      </w:pPr>
      <w:r>
        <w:rPr>
          <w:rFonts w:ascii="宋体" w:hAnsi="宋体" w:cs="宋体" w:eastAsia="宋体" w:hint="default"/>
          <w:b/>
          <w:bCs/>
        </w:rPr>
        <w:t>（二）合并报表范围</w:t>
      </w:r>
      <w:r>
        <w:rPr>
          <w:rFonts w:ascii="宋体" w:hAnsi="宋体" w:cs="宋体" w:eastAsia="宋体" w:hint="default"/>
          <w:b/>
          <w:bCs/>
          <w:w w:val="99"/>
        </w:rPr>
        <w:t> </w:t>
      </w:r>
      <w:r>
        <w:rPr/>
        <w:t>本公司合并财务报表的合并范围以控制为基础确定，包括本公司及全部子公司的财务报表。子公司，</w:t>
      </w:r>
    </w:p>
    <w:p>
      <w:pPr>
        <w:pStyle w:val="BodyText"/>
        <w:spacing w:line="273" w:lineRule="auto"/>
        <w:ind w:left="573" w:right="6763" w:hanging="420"/>
        <w:jc w:val="left"/>
      </w:pPr>
      <w:r>
        <w:rPr/>
        <w:t>是指被本公司控制的企业或主体。 本报告期纳入合并范围的子公司如下：</w:t>
      </w:r>
    </w:p>
    <w:p>
      <w:pPr>
        <w:spacing w:line="240" w:lineRule="auto" w:before="13"/>
        <w:rPr>
          <w:rFonts w:ascii="宋体" w:hAnsi="宋体" w:cs="宋体" w:eastAsia="宋体" w:hint="default"/>
          <w:sz w:val="12"/>
          <w:szCs w:val="12"/>
        </w:rPr>
      </w:pPr>
    </w:p>
    <w:p>
      <w:pPr>
        <w:spacing w:line="3135" w:lineRule="exact"/>
        <w:ind w:left="154"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5810250" cy="1990725"/>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0" cstate="print"/>
                    <a:stretch>
                      <a:fillRect/>
                    </a:stretch>
                  </pic:blipFill>
                  <pic:spPr>
                    <a:xfrm>
                      <a:off x="0" y="0"/>
                      <a:ext cx="5810250" cy="1990725"/>
                    </a:xfrm>
                    <a:prstGeom prst="rect">
                      <a:avLst/>
                    </a:prstGeom>
                  </pic:spPr>
                </pic:pic>
              </a:graphicData>
            </a:graphic>
          </wp:inline>
        </w:drawing>
      </w:r>
      <w:r>
        <w:rPr>
          <w:rFonts w:ascii="宋体" w:hAnsi="宋体" w:cs="宋体" w:eastAsia="宋体" w:hint="default"/>
          <w:position w:val="-62"/>
          <w:sz w:val="20"/>
          <w:szCs w:val="20"/>
        </w:rPr>
      </w:r>
    </w:p>
    <w:p>
      <w:pPr>
        <w:pStyle w:val="BodyText"/>
        <w:spacing w:line="240" w:lineRule="auto" w:before="135"/>
        <w:ind w:left="575" w:right="914"/>
        <w:jc w:val="left"/>
      </w:pPr>
      <w:r>
        <w:rPr/>
        <w:t>本期</w:t>
      </w:r>
      <w:r>
        <w:rPr>
          <w:spacing w:val="-2"/>
        </w:rPr>
        <w:t>合</w:t>
      </w:r>
      <w:r>
        <w:rPr/>
        <w:t>并财务报表范围变化情况详</w:t>
      </w:r>
      <w:r>
        <w:rPr>
          <w:spacing w:val="-47"/>
        </w:rPr>
        <w:t>见</w:t>
      </w:r>
      <w:r>
        <w:rPr/>
        <w:t>“附注六</w:t>
      </w:r>
      <w:r>
        <w:rPr>
          <w:spacing w:val="-47"/>
        </w:rPr>
        <w:t>、</w:t>
      </w:r>
      <w:r>
        <w:rPr/>
        <w:t>合并范围的变更</w:t>
      </w:r>
      <w:r>
        <w:rPr>
          <w:spacing w:val="-47"/>
        </w:rPr>
        <w:t>”及</w:t>
      </w:r>
      <w:r>
        <w:rPr>
          <w:spacing w:val="1"/>
        </w:rPr>
        <w:t>“</w:t>
      </w:r>
      <w:r>
        <w:rPr/>
        <w:t>附注七</w:t>
      </w:r>
      <w:r>
        <w:rPr>
          <w:spacing w:val="-47"/>
        </w:rPr>
        <w:t>、</w:t>
      </w:r>
      <w:r>
        <w:rPr/>
        <w:t>在其他主体中的权益</w:t>
      </w:r>
      <w:r>
        <w:rPr>
          <w:spacing w:val="-105"/>
        </w:rPr>
        <w:t>”</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left="153" w:right="0"/>
        <w:jc w:val="both"/>
        <w:rPr>
          <w:b w:val="0"/>
          <w:bCs w:val="0"/>
        </w:rPr>
      </w:pPr>
      <w:bookmarkStart w:name="四、财务报表的编制基础" w:id="153"/>
      <w:bookmarkEnd w:id="15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编制基础" w:id="154"/>
      <w:bookmarkEnd w:id="15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3" w:right="914"/>
        <w:jc w:val="left"/>
      </w:pPr>
      <w:r>
        <w:rPr/>
        <w:t>本公司财务报表以持续经营为基础，根据实际发生的交易和事项，按照财政部颁布的《企业会计准则</w:t>
      </w:r>
    </w:p>
    <w:p>
      <w:pPr>
        <w:pStyle w:val="BodyText"/>
        <w:spacing w:line="273" w:lineRule="auto" w:before="37"/>
        <w:ind w:right="1118"/>
        <w:jc w:val="left"/>
      </w:pPr>
      <w:r>
        <w:rPr>
          <w:rFonts w:ascii="宋体" w:hAnsi="宋体" w:cs="宋体" w:eastAsia="宋体" w:hint="default"/>
        </w:rPr>
        <w:t>-</w:t>
      </w:r>
      <w:r>
        <w:rPr/>
        <w:t>基本准则</w:t>
      </w:r>
      <w:r>
        <w:rPr>
          <w:spacing w:val="-106"/>
        </w:rPr>
        <w:t>》</w:t>
      </w:r>
      <w:r>
        <w:rPr>
          <w:spacing w:val="-8"/>
        </w:rPr>
        <w:t>、</w:t>
      </w:r>
      <w:r>
        <w:rPr/>
        <w:t>具体会计准则和其后颁布的企业会计准则应用指南</w:t>
      </w:r>
      <w:r>
        <w:rPr>
          <w:spacing w:val="-8"/>
        </w:rPr>
        <w:t>、</w:t>
      </w:r>
      <w:r>
        <w:rPr/>
        <w:t>企业会计准则解释及其他相关规</w:t>
      </w:r>
      <w:r>
        <w:rPr>
          <w:spacing w:val="-8"/>
        </w:rPr>
        <w:t>定</w:t>
      </w:r>
      <w:r>
        <w:rPr/>
        <w:t>（以</w:t>
      </w:r>
      <w:r>
        <w:rPr/>
        <w:t> </w:t>
      </w:r>
      <w:r>
        <w:rPr>
          <w:spacing w:val="2"/>
        </w:rPr>
        <w:t>下简</w:t>
      </w:r>
      <w:r>
        <w:rPr>
          <w:spacing w:val="1"/>
        </w:rPr>
        <w:t>称</w:t>
      </w:r>
      <w:r>
        <w:rPr>
          <w:spacing w:val="2"/>
        </w:rPr>
        <w:t>“</w:t>
      </w:r>
      <w:r>
        <w:rPr>
          <w:spacing w:val="1"/>
        </w:rPr>
        <w:t>企</w:t>
      </w:r>
      <w:r>
        <w:rPr>
          <w:spacing w:val="2"/>
        </w:rPr>
        <w:t>业会</w:t>
      </w:r>
      <w:r>
        <w:rPr>
          <w:spacing w:val="1"/>
        </w:rPr>
        <w:t>计</w:t>
      </w:r>
      <w:r>
        <w:rPr>
          <w:spacing w:val="2"/>
        </w:rPr>
        <w:t>准</w:t>
      </w:r>
      <w:r>
        <w:rPr>
          <w:spacing w:val="3"/>
        </w:rPr>
        <w:t>则</w:t>
      </w:r>
      <w:r>
        <w:rPr>
          <w:spacing w:val="-105"/>
        </w:rPr>
        <w:t>”</w:t>
      </w:r>
      <w:r>
        <w:rPr>
          <w:spacing w:val="2"/>
        </w:rPr>
        <w:t>）以</w:t>
      </w:r>
      <w:r>
        <w:rPr>
          <w:spacing w:val="1"/>
        </w:rPr>
        <w:t>及</w:t>
      </w:r>
      <w:r>
        <w:rPr>
          <w:spacing w:val="2"/>
        </w:rPr>
        <w:t>中</w:t>
      </w:r>
      <w:r>
        <w:rPr>
          <w:spacing w:val="1"/>
        </w:rPr>
        <w:t>国</w:t>
      </w:r>
      <w:r>
        <w:rPr>
          <w:spacing w:val="2"/>
        </w:rPr>
        <w:t>证券</w:t>
      </w:r>
      <w:r>
        <w:rPr>
          <w:spacing w:val="1"/>
        </w:rPr>
        <w:t>监</w:t>
      </w:r>
      <w:r>
        <w:rPr>
          <w:spacing w:val="2"/>
        </w:rPr>
        <w:t>督</w:t>
      </w:r>
      <w:r>
        <w:rPr>
          <w:spacing w:val="1"/>
        </w:rPr>
        <w:t>管</w:t>
      </w:r>
      <w:r>
        <w:rPr>
          <w:spacing w:val="2"/>
        </w:rPr>
        <w:t>理委</w:t>
      </w:r>
      <w:r>
        <w:rPr>
          <w:spacing w:val="1"/>
        </w:rPr>
        <w:t>员</w:t>
      </w:r>
      <w:r>
        <w:rPr>
          <w:spacing w:val="2"/>
        </w:rPr>
        <w:t>会</w:t>
      </w:r>
      <w:r>
        <w:rPr>
          <w:spacing w:val="1"/>
        </w:rPr>
        <w:t>《</w:t>
      </w:r>
      <w:r>
        <w:rPr>
          <w:spacing w:val="2"/>
        </w:rPr>
        <w:t>公开</w:t>
      </w:r>
      <w:r>
        <w:rPr>
          <w:spacing w:val="1"/>
        </w:rPr>
        <w:t>发</w:t>
      </w:r>
      <w:r>
        <w:rPr>
          <w:spacing w:val="2"/>
        </w:rPr>
        <w:t>行</w:t>
      </w:r>
      <w:r>
        <w:rPr>
          <w:spacing w:val="1"/>
        </w:rPr>
        <w:t>证</w:t>
      </w:r>
      <w:r>
        <w:rPr>
          <w:spacing w:val="2"/>
        </w:rPr>
        <w:t>券的</w:t>
      </w:r>
      <w:r>
        <w:rPr>
          <w:spacing w:val="1"/>
        </w:rPr>
        <w:t>公</w:t>
      </w:r>
      <w:r>
        <w:rPr>
          <w:spacing w:val="2"/>
        </w:rPr>
        <w:t>司</w:t>
      </w:r>
      <w:r>
        <w:rPr>
          <w:spacing w:val="1"/>
        </w:rPr>
        <w:t>信</w:t>
      </w:r>
      <w:r>
        <w:rPr>
          <w:spacing w:val="2"/>
        </w:rPr>
        <w:t>息披</w:t>
      </w:r>
      <w:r>
        <w:rPr>
          <w:spacing w:val="1"/>
        </w:rPr>
        <w:t>露</w:t>
      </w:r>
      <w:r>
        <w:rPr>
          <w:spacing w:val="2"/>
        </w:rPr>
        <w:t>编</w:t>
      </w:r>
      <w:r>
        <w:rPr>
          <w:spacing w:val="1"/>
        </w:rPr>
        <w:t>报</w:t>
      </w:r>
      <w:r>
        <w:rPr>
          <w:spacing w:val="2"/>
        </w:rPr>
        <w:t>规则</w:t>
      </w:r>
      <w:r>
        <w:rPr>
          <w:spacing w:val="9"/>
        </w:rPr>
        <w:t>第</w:t>
      </w:r>
      <w:r>
        <w:rPr>
          <w:rFonts w:ascii="宋体" w:hAnsi="宋体" w:cs="宋体" w:eastAsia="宋体" w:hint="default"/>
          <w:spacing w:val="-1"/>
        </w:rPr>
        <w:t>1</w:t>
      </w:r>
      <w:r>
        <w:rPr>
          <w:rFonts w:ascii="宋体" w:hAnsi="宋体" w:cs="宋体" w:eastAsia="宋体" w:hint="default"/>
          <w:spacing w:val="1"/>
        </w:rPr>
        <w:t>5</w:t>
      </w:r>
      <w:r>
        <w:rPr/>
        <w:t>号</w:t>
      </w:r>
    </w:p>
    <w:p>
      <w:pPr>
        <w:pStyle w:val="BodyText"/>
        <w:spacing w:line="240" w:lineRule="auto"/>
        <w:ind w:right="0"/>
        <w:jc w:val="both"/>
      </w:pPr>
      <w:r>
        <w:rPr/>
        <w:t>—财务报告的一般规定》</w:t>
      </w:r>
      <w:r>
        <w:rPr>
          <w:rFonts w:ascii="宋体" w:hAnsi="宋体" w:cs="宋体" w:eastAsia="宋体" w:hint="default"/>
        </w:rPr>
        <w:t>(2014</w:t>
      </w:r>
      <w:r>
        <w:rPr/>
        <w:t>年修订</w:t>
      </w:r>
      <w:r>
        <w:rPr>
          <w:rFonts w:ascii="宋体" w:hAnsi="宋体" w:cs="宋体" w:eastAsia="宋体" w:hint="default"/>
        </w:rPr>
        <w:t>)</w:t>
      </w:r>
      <w:r>
        <w:rPr/>
        <w:t>的披露规定，并基于以下所述重要会计政策、会计估计进行编制。</w:t>
      </w:r>
    </w:p>
    <w:p>
      <w:pPr>
        <w:spacing w:line="240" w:lineRule="auto" w:before="11"/>
        <w:rPr>
          <w:rFonts w:ascii="宋体" w:hAnsi="宋体" w:cs="宋体" w:eastAsia="宋体" w:hint="default"/>
          <w:sz w:val="25"/>
          <w:szCs w:val="25"/>
        </w:rPr>
      </w:pPr>
    </w:p>
    <w:p>
      <w:pPr>
        <w:pStyle w:val="Heading4"/>
        <w:spacing w:line="240" w:lineRule="auto"/>
        <w:ind w:left="153" w:right="0"/>
        <w:jc w:val="both"/>
        <w:rPr>
          <w:b w:val="0"/>
          <w:bCs w:val="0"/>
        </w:rPr>
      </w:pPr>
      <w:bookmarkStart w:name="2、持续经营" w:id="155"/>
      <w:bookmarkEnd w:id="15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093" w:firstLine="420"/>
        <w:jc w:val="left"/>
      </w:pPr>
      <w:r>
        <w:rPr/>
        <w:t>报告期内及报告期末起至少十二个月，公司生产经营稳定，资产负债结构合理，具备持续经营能力， 不存在影响持续经营能力的重大不利风险。</w:t>
      </w:r>
    </w:p>
    <w:p>
      <w:pPr>
        <w:spacing w:line="240" w:lineRule="auto" w:before="11"/>
        <w:rPr>
          <w:rFonts w:ascii="宋体" w:hAnsi="宋体" w:cs="宋体" w:eastAsia="宋体" w:hint="default"/>
          <w:sz w:val="21"/>
          <w:szCs w:val="21"/>
        </w:rPr>
      </w:pPr>
    </w:p>
    <w:p>
      <w:pPr>
        <w:pStyle w:val="Heading2"/>
        <w:spacing w:line="240" w:lineRule="auto"/>
        <w:ind w:left="153" w:right="0"/>
        <w:jc w:val="both"/>
        <w:rPr>
          <w:b w:val="0"/>
          <w:bCs w:val="0"/>
        </w:rPr>
      </w:pPr>
      <w:bookmarkStart w:name="五、重要会计政策及会计估计" w:id="156"/>
      <w:bookmarkEnd w:id="156"/>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590" w:lineRule="atLeast" w:before="51"/>
        <w:ind w:left="573" w:right="914" w:hanging="420"/>
        <w:jc w:val="left"/>
        <w:rPr>
          <w:rFonts w:ascii="宋体" w:hAnsi="宋体" w:cs="宋体" w:eastAsia="宋体" w:hint="default"/>
          <w:sz w:val="21"/>
          <w:szCs w:val="21"/>
        </w:rPr>
      </w:pPr>
      <w:bookmarkStart w:name="1、遵循企业会计准则的声明" w:id="157"/>
      <w:bookmarkEnd w:id="15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公司基于上述基础编制的财务报表符合《企业会计准则》的要求，真实、完整地反映了公司的财务状</w:t>
      </w:r>
    </w:p>
    <w:p>
      <w:pPr>
        <w:pStyle w:val="BodyText"/>
        <w:spacing w:line="240" w:lineRule="auto" w:before="37"/>
        <w:ind w:right="0"/>
        <w:jc w:val="both"/>
      </w:pPr>
      <w:r>
        <w:rPr/>
        <w:t>况、经营成果和现金流量等有关信息。</w:t>
      </w:r>
    </w:p>
    <w:p>
      <w:pPr>
        <w:spacing w:line="240" w:lineRule="auto" w:before="12"/>
        <w:rPr>
          <w:rFonts w:ascii="宋体" w:hAnsi="宋体" w:cs="宋体" w:eastAsia="宋体" w:hint="default"/>
          <w:sz w:val="25"/>
          <w:szCs w:val="25"/>
        </w:rPr>
      </w:pPr>
    </w:p>
    <w:p>
      <w:pPr>
        <w:pStyle w:val="Heading4"/>
        <w:spacing w:line="240" w:lineRule="auto"/>
        <w:ind w:left="153" w:right="0"/>
        <w:jc w:val="both"/>
        <w:rPr>
          <w:b w:val="0"/>
          <w:bCs w:val="0"/>
        </w:rPr>
      </w:pPr>
      <w:bookmarkStart w:name="2、会计期间" w:id="158"/>
      <w:bookmarkEnd w:id="15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914"/>
        <w:jc w:val="left"/>
      </w:pPr>
      <w:r>
        <w:rPr/>
        <w:t>会计年度为公历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bookmarkStart w:name="3、营业周期" w:id="159"/>
      <w:bookmarkEnd w:id="15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914" w:firstLine="420"/>
        <w:jc w:val="left"/>
      </w:pPr>
      <w:r>
        <w:rPr>
          <w:spacing w:val="-1"/>
        </w:rPr>
        <w:t>正常营业周期，是指企业从购买用于加工的资产起至实现现金或现金等价物的期间。本公司以</w:t>
      </w:r>
      <w:r>
        <w:rPr>
          <w:rFonts w:ascii="宋体" w:hAnsi="宋体" w:cs="宋体" w:eastAsia="宋体" w:hint="default"/>
          <w:spacing w:val="-1"/>
        </w:rPr>
        <w:t>12</w:t>
      </w:r>
      <w:r>
        <w:rPr>
          <w:spacing w:val="-1"/>
        </w:rPr>
        <w:t>个月</w:t>
      </w:r>
      <w:r>
        <w:rPr/>
        <w:t> 作为正常营业周期，并以其作为资产与负债流动性划分的标准。</w:t>
      </w:r>
    </w:p>
    <w:p>
      <w:pPr>
        <w:spacing w:line="240" w:lineRule="auto" w:before="8"/>
        <w:rPr>
          <w:rFonts w:ascii="宋体" w:hAnsi="宋体" w:cs="宋体" w:eastAsia="宋体" w:hint="default"/>
          <w:sz w:val="23"/>
          <w:szCs w:val="23"/>
        </w:rPr>
      </w:pPr>
    </w:p>
    <w:p>
      <w:pPr>
        <w:pStyle w:val="Heading4"/>
        <w:spacing w:line="240" w:lineRule="auto"/>
        <w:ind w:left="153" w:right="0"/>
        <w:jc w:val="both"/>
        <w:rPr>
          <w:b w:val="0"/>
          <w:bCs w:val="0"/>
        </w:rPr>
      </w:pPr>
      <w:bookmarkStart w:name="4、记账本位币" w:id="160"/>
      <w:bookmarkEnd w:id="16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5" w:right="914"/>
        <w:jc w:val="left"/>
      </w:pPr>
      <w:r>
        <w:rPr/>
        <w:t>以人民币作为记账本位币。</w:t>
      </w:r>
    </w:p>
    <w:p>
      <w:pPr>
        <w:spacing w:line="240" w:lineRule="auto" w:before="11"/>
        <w:rPr>
          <w:rFonts w:ascii="宋体" w:hAnsi="宋体" w:cs="宋体" w:eastAsia="宋体" w:hint="default"/>
          <w:sz w:val="25"/>
          <w:szCs w:val="25"/>
        </w:rPr>
      </w:pPr>
    </w:p>
    <w:p>
      <w:pPr>
        <w:pStyle w:val="Heading4"/>
        <w:spacing w:line="240" w:lineRule="auto"/>
        <w:ind w:left="153" w:right="0"/>
        <w:jc w:val="both"/>
        <w:rPr>
          <w:b w:val="0"/>
          <w:bCs w:val="0"/>
        </w:rPr>
      </w:pPr>
      <w:bookmarkStart w:name="5、同一控制下和非同一控制下企业合并的会计处理方法" w:id="161"/>
      <w:bookmarkEnd w:id="16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spacing w:line="273" w:lineRule="auto" w:before="0"/>
        <w:ind w:left="573"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同一控制下企业合并形成的长期股权投资合并方以支付现金、转让非现金资产或承担债务方式作为合</w:t>
      </w:r>
    </w:p>
    <w:p>
      <w:pPr>
        <w:pStyle w:val="BodyText"/>
        <w:spacing w:line="273" w:lineRule="auto"/>
        <w:ind w:right="1130"/>
        <w:jc w:val="both"/>
      </w:pPr>
      <w:r>
        <w:rPr>
          <w:spacing w:val="-1"/>
        </w:rPr>
        <w:t>并对价的，本公司在合并日按照所取得的被合并方在最终控制方合并财务报表中的净资产的账面价值的份</w:t>
      </w:r>
      <w:r>
        <w:rPr>
          <w:spacing w:val="-81"/>
        </w:rPr>
        <w:t> </w:t>
      </w:r>
      <w:r>
        <w:rPr>
          <w:spacing w:val="-81"/>
        </w:rPr>
      </w:r>
      <w:r>
        <w:rPr>
          <w:spacing w:val="-1"/>
        </w:rPr>
        <w:t>额作为长期股权投资的初始投资成本。被合并方在合并日的净资产账面价值为负数的，长期股权投资成本</w:t>
      </w:r>
      <w:r>
        <w:rPr>
          <w:spacing w:val="-80"/>
        </w:rPr>
        <w:t> </w:t>
      </w:r>
      <w:r>
        <w:rPr>
          <w:spacing w:val="-80"/>
        </w:rPr>
      </w:r>
      <w:r>
        <w:rPr>
          <w:spacing w:val="-1"/>
        </w:rPr>
        <w:t>按零确定。如果被合并方在被合并以前，是最终控制方通过非同一控制下的企业合并所控制的，则合并方</w:t>
      </w:r>
      <w:r>
        <w:rPr>
          <w:spacing w:val="-83"/>
        </w:rPr>
        <w:t> </w:t>
      </w:r>
      <w:r>
        <w:rPr>
          <w:spacing w:val="-83"/>
        </w:rPr>
      </w:r>
      <w:r>
        <w:rPr>
          <w:spacing w:val="-1"/>
        </w:rPr>
        <w:t>长期股权投资的初始投资成本包含了相关的商誉金额。长期股权投资的初始投资成本与支付的现金、转让</w:t>
      </w:r>
      <w:r>
        <w:rPr>
          <w:spacing w:val="-81"/>
        </w:rPr>
        <w:t> </w:t>
      </w:r>
      <w:r>
        <w:rPr>
          <w:spacing w:val="-81"/>
        </w:rPr>
      </w:r>
      <w:r>
        <w:rPr>
          <w:spacing w:val="-3"/>
        </w:rPr>
        <w:t>的非现金资产及所承担债务账面价值之间的差额，应当调整资本公积（资本溢价或股本溢价）；资本公积</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914"/>
        <w:jc w:val="left"/>
      </w:pPr>
      <w:r>
        <w:rPr>
          <w:spacing w:val="-1"/>
        </w:rPr>
        <w:t>（资本溢价或股本溢价）的余额不足冲减的，依次冲减盈余公积和未分配利润。合并方以发行权益性工具</w:t>
      </w:r>
      <w:r>
        <w:rPr>
          <w:spacing w:val="-83"/>
        </w:rPr>
        <w:t> </w:t>
      </w:r>
      <w:r>
        <w:rPr>
          <w:spacing w:val="-83"/>
        </w:rPr>
      </w:r>
      <w:r>
        <w:rPr>
          <w:spacing w:val="-1"/>
        </w:rPr>
        <w:t>作为合并对价的，按发行股份的面值总额作为股本，长期股权投资的初始投资成本与所发行股份面值总额</w:t>
      </w:r>
      <w:r>
        <w:rPr>
          <w:spacing w:val="-81"/>
        </w:rPr>
        <w:t> </w:t>
      </w:r>
      <w:r>
        <w:rPr>
          <w:spacing w:val="-81"/>
        </w:rPr>
      </w:r>
      <w:r>
        <w:rPr>
          <w:spacing w:val="-3"/>
        </w:rPr>
        <w:t>之间的差额，调整资本公积（资本溢价或股本溢价）；资本公积（资本溢价或股本溢价）不足冲减的，依</w:t>
      </w:r>
      <w:r>
        <w:rPr>
          <w:spacing w:val="-74"/>
        </w:rPr>
        <w:t> </w:t>
      </w:r>
      <w:r>
        <w:rPr>
          <w:spacing w:val="-74"/>
        </w:rPr>
      </w:r>
      <w:r>
        <w:rPr/>
        <w:t>次冲减盈余公积和未分配利润。</w:t>
      </w:r>
    </w:p>
    <w:p>
      <w:pPr>
        <w:pStyle w:val="BodyText"/>
        <w:spacing w:line="273" w:lineRule="auto" w:before="8"/>
        <w:ind w:right="1018" w:firstLine="420"/>
        <w:jc w:val="left"/>
      </w:pPr>
      <w:r>
        <w:rPr>
          <w:spacing w:val="-3"/>
        </w:rPr>
        <w:t>合并方发生的审计、法律服务、评估咨询等中介费用以及其他相关管理费用，于发生时计人当期损益。</w:t>
      </w:r>
      <w:r>
        <w:rPr/>
        <w:t> </w:t>
      </w:r>
      <w:r>
        <w:rPr>
          <w:spacing w:val="-3"/>
        </w:rPr>
        <w:t>与发行权益性工具作为合并对价直接相关的交易费用，冲减资本公积（股本溢价），资本公积（股本溢价）</w:t>
      </w:r>
      <w:r>
        <w:rPr>
          <w:spacing w:val="-97"/>
        </w:rPr>
        <w:t> </w:t>
      </w:r>
      <w:r>
        <w:rPr>
          <w:spacing w:val="-97"/>
        </w:rPr>
      </w:r>
      <w:r>
        <w:rPr/>
        <w:t>不足冲减的，依次冲减盈余公积和未分配利润。与发行债务性工具作为合并对价直接相关的交易费用，计</w:t>
      </w:r>
      <w:r>
        <w:rPr/>
        <w:t> 入债务性工具的初始确认金额。</w:t>
      </w:r>
    </w:p>
    <w:p>
      <w:pPr>
        <w:pStyle w:val="BodyText"/>
        <w:spacing w:line="273" w:lineRule="auto"/>
        <w:ind w:right="914" w:firstLine="420"/>
        <w:jc w:val="left"/>
      </w:pPr>
      <w:r>
        <w:rPr>
          <w:spacing w:val="-1"/>
        </w:rPr>
        <w:t>通过多次交易分步实现同一控制下企业合并，属于一揽子交易的，合并方应当将各项交易作为一项取</w:t>
      </w:r>
      <w:r>
        <w:rPr/>
        <w:t> </w:t>
      </w:r>
      <w:r>
        <w:rPr>
          <w:spacing w:val="-1"/>
        </w:rPr>
        <w:t>得控制权的交易进行会计处理。不属于“一揽子交易”的，在母公司财务报表中，以合并日持股比例计算</w:t>
      </w:r>
      <w:r>
        <w:rPr>
          <w:spacing w:val="-83"/>
        </w:rPr>
        <w:t> </w:t>
      </w:r>
      <w:r>
        <w:rPr>
          <w:spacing w:val="-83"/>
        </w:rPr>
      </w:r>
      <w:r>
        <w:rPr>
          <w:spacing w:val="-1"/>
        </w:rPr>
        <w:t>的合并日应享有被合并方账面所有者权益份额作为该项投资的初始投资成本，初始投资成本与其原长期股</w:t>
      </w:r>
      <w:r>
        <w:rPr>
          <w:spacing w:val="-81"/>
        </w:rPr>
        <w:t> </w:t>
      </w:r>
      <w:r>
        <w:rPr>
          <w:spacing w:val="-81"/>
        </w:rPr>
      </w:r>
      <w:r>
        <w:rPr/>
        <w:t>权投资账面价值加上合并日取得进一步股份新支付对价的账面价值之和的差额，调整资本公积（股本溢 </w:t>
      </w:r>
      <w:r>
        <w:rPr>
          <w:spacing w:val="-6"/>
        </w:rPr>
        <w:t>价），资本公积不足冲减的，冲减留存收益。</w:t>
      </w:r>
    </w:p>
    <w:p>
      <w:pPr>
        <w:pStyle w:val="BodyText"/>
        <w:spacing w:line="273" w:lineRule="auto"/>
        <w:ind w:right="1131" w:firstLine="421"/>
        <w:jc w:val="both"/>
      </w:pPr>
      <w:r>
        <w:rPr>
          <w:spacing w:val="-1"/>
        </w:rPr>
        <w:t>在合并财务报表中，合并方在达到合并之前持有的长期股权投资，在取得日与合并方与被合并方向处</w:t>
      </w:r>
      <w:r>
        <w:rPr/>
        <w:t> </w:t>
      </w:r>
      <w:r>
        <w:rPr>
          <w:spacing w:val="-1"/>
        </w:rPr>
        <w:t>于同一最终控制之日孰晚日与合并日之间已确认有关损益、其他综合收益和其他所有者权益变动，应分别</w:t>
      </w:r>
      <w:r>
        <w:rPr>
          <w:spacing w:val="-81"/>
        </w:rPr>
        <w:t> </w:t>
      </w:r>
      <w:r>
        <w:rPr>
          <w:spacing w:val="-81"/>
        </w:rPr>
      </w:r>
      <w:r>
        <w:rPr/>
        <w:t>冲减比较报表期间的期初留存收益或当期损益。</w:t>
      </w:r>
    </w:p>
    <w:p>
      <w:pPr>
        <w:spacing w:line="273" w:lineRule="auto" w:before="127"/>
        <w:ind w:left="573" w:right="130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z w:val="21"/>
          <w:szCs w:val="21"/>
        </w:rPr>
        <w:t>对于非同一控制下的企业合并，合并成本为购买方在购买日为取得对被购买方的控制权而付出的资</w:t>
      </w:r>
    </w:p>
    <w:p>
      <w:pPr>
        <w:pStyle w:val="BodyText"/>
        <w:spacing w:line="273" w:lineRule="auto"/>
        <w:ind w:right="1024"/>
        <w:jc w:val="left"/>
      </w:pPr>
      <w:r>
        <w:rPr>
          <w:spacing w:val="-3"/>
        </w:rPr>
        <w:t>产、发生或承担的负债以及发行的权益性证券的公允价值之和。购买方为企业合并发生的审计、法律服务、</w:t>
      </w:r>
      <w:r>
        <w:rPr>
          <w:spacing w:val="-90"/>
        </w:rPr>
        <w:t> </w:t>
      </w:r>
      <w:r>
        <w:rPr>
          <w:spacing w:val="-90"/>
        </w:rPr>
      </w:r>
      <w:r>
        <w:rPr/>
        <w:t>评估咨询等中介费用以及其他相关管理费用，应于发生时计入当期损益。购买方作为合并对价发行的权益</w:t>
      </w:r>
      <w:r>
        <w:rPr/>
        <w:t> 性工具或债务性工具的交易费用，应当计人权益性工具或债务性工具的初始确认金额。</w:t>
      </w:r>
    </w:p>
    <w:p>
      <w:pPr>
        <w:pStyle w:val="BodyText"/>
        <w:spacing w:line="273" w:lineRule="auto"/>
        <w:ind w:right="1131" w:firstLine="420"/>
        <w:jc w:val="both"/>
      </w:pPr>
      <w:r>
        <w:rPr>
          <w:spacing w:val="-1"/>
        </w:rPr>
        <w:t>非同一控制下企业合并中所取得的被购买方符合确认条件的可辨认资产、负债及或有负债，在购买日</w:t>
      </w:r>
      <w:r>
        <w:rPr/>
        <w:t> </w:t>
      </w:r>
      <w:r>
        <w:rPr>
          <w:spacing w:val="-1"/>
        </w:rPr>
        <w:t>以公允价值计量。购买方对合并成本大于合并中取得的被购买方可辨认净资产公允价值份额的差额，体现</w:t>
      </w:r>
      <w:r>
        <w:rPr>
          <w:spacing w:val="-81"/>
        </w:rPr>
        <w:t> </w:t>
      </w:r>
      <w:r>
        <w:rPr>
          <w:spacing w:val="-81"/>
        </w:rPr>
      </w:r>
      <w:r>
        <w:rPr>
          <w:spacing w:val="-1"/>
        </w:rPr>
        <w:t>为商誉价值。购买方对合并成本小于合并中取得的被购买方可辨认净资产公允价值份额的，经复核后合并</w:t>
      </w:r>
      <w:r>
        <w:rPr>
          <w:spacing w:val="-81"/>
        </w:rPr>
        <w:t> </w:t>
      </w:r>
      <w:r>
        <w:rPr>
          <w:spacing w:val="-81"/>
        </w:rPr>
      </w:r>
      <w:r>
        <w:rPr/>
        <w:t>成本仍小于合并中取得的被购买方可辨认净资产公允价值份额的差额，计入当期营业外收入。</w:t>
      </w:r>
    </w:p>
    <w:p>
      <w:pPr>
        <w:pStyle w:val="BodyText"/>
        <w:spacing w:line="273" w:lineRule="auto"/>
        <w:ind w:right="1131" w:firstLine="420"/>
        <w:jc w:val="both"/>
      </w:pPr>
      <w:r>
        <w:rPr>
          <w:spacing w:val="-1"/>
        </w:rPr>
        <w:t>通过多次交易分步实现非同一控制下企业合并的，在母公司财务报表中，以购买日之前所持被购买方</w:t>
      </w:r>
      <w:r>
        <w:rPr/>
        <w:t> 的股权投资的账面价值与购买日新增投资成本之和，作为该项投资的初始投资成本。</w:t>
      </w:r>
    </w:p>
    <w:p>
      <w:pPr>
        <w:pStyle w:val="BodyText"/>
        <w:spacing w:line="273" w:lineRule="auto"/>
        <w:ind w:right="1131" w:firstLine="421"/>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合收益的，与其相关的其他综合收益应当转为购买日所属当期投资收益，不能重分类计入当期损益的其他</w:t>
      </w:r>
      <w:r>
        <w:rPr>
          <w:spacing w:val="-81"/>
        </w:rPr>
        <w:t> </w:t>
      </w:r>
      <w:r>
        <w:rPr>
          <w:spacing w:val="-81"/>
        </w:rPr>
      </w:r>
      <w:r>
        <w:rPr/>
        <w:t>综合收益除外。</w:t>
      </w:r>
    </w:p>
    <w:p>
      <w:pPr>
        <w:pStyle w:val="BodyText"/>
        <w:spacing w:line="273" w:lineRule="auto"/>
        <w:ind w:right="1132" w:firstLine="420"/>
        <w:jc w:val="both"/>
      </w:pPr>
      <w:r>
        <w:rPr>
          <w:spacing w:val="3"/>
        </w:rPr>
        <w:t>本公司以购买日之前所持被购买方的股权于购买日的公允价值与与购买日新购入股权所支付对价的</w:t>
      </w:r>
      <w:r>
        <w:rPr/>
        <w:t> </w:t>
      </w:r>
      <w:r>
        <w:rPr>
          <w:spacing w:val="-1"/>
        </w:rPr>
        <w:t>公允价值之和作为合并成本，与购买方取得的按购买日持股比例计算应享有的被购买方可辨认净资产于购</w:t>
      </w:r>
      <w:r>
        <w:rPr>
          <w:spacing w:val="-81"/>
        </w:rPr>
        <w:t> </w:t>
      </w:r>
      <w:r>
        <w:rPr>
          <w:spacing w:val="-81"/>
        </w:rPr>
      </w:r>
      <w:r>
        <w:rPr/>
        <w:t>买日的公允价值的份额比较，确定购买日应予确认的商誉或应计入合并当期损益的金额。</w:t>
      </w:r>
    </w:p>
    <w:p>
      <w:pPr>
        <w:spacing w:line="240" w:lineRule="auto" w:before="8"/>
        <w:rPr>
          <w:rFonts w:ascii="宋体" w:hAnsi="宋体" w:cs="宋体" w:eastAsia="宋体" w:hint="default"/>
          <w:sz w:val="23"/>
          <w:szCs w:val="23"/>
        </w:rPr>
      </w:pPr>
    </w:p>
    <w:p>
      <w:pPr>
        <w:pStyle w:val="Heading4"/>
        <w:spacing w:line="240" w:lineRule="auto"/>
        <w:ind w:left="153" w:right="914"/>
        <w:jc w:val="left"/>
        <w:rPr>
          <w:b w:val="0"/>
          <w:bCs w:val="0"/>
        </w:rPr>
      </w:pPr>
      <w:bookmarkStart w:name="6、合并财务报表的编制方法" w:id="162"/>
      <w:bookmarkEnd w:id="16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spacing w:line="273" w:lineRule="auto" w:before="0"/>
        <w:ind w:left="573"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）合并财务报表范围</w:t>
      </w:r>
      <w:r>
        <w:rPr>
          <w:rFonts w:ascii="宋体" w:hAnsi="宋体" w:cs="宋体" w:eastAsia="宋体" w:hint="default"/>
          <w:b/>
          <w:bCs/>
          <w:w w:val="99"/>
          <w:sz w:val="21"/>
          <w:szCs w:val="21"/>
        </w:rPr>
        <w:t> </w:t>
      </w:r>
      <w:r>
        <w:rPr>
          <w:rFonts w:ascii="宋体" w:hAnsi="宋体" w:cs="宋体" w:eastAsia="宋体" w:hint="default"/>
          <w:spacing w:val="3"/>
          <w:sz w:val="21"/>
          <w:szCs w:val="21"/>
        </w:rPr>
        <w:t>公司对合并财务报表的合并范围以控制为基础予以确定。本公司将全部子公司纳入合并财务报表范</w:t>
      </w:r>
    </w:p>
    <w:p>
      <w:pPr>
        <w:pStyle w:val="BodyText"/>
        <w:spacing w:line="240" w:lineRule="auto"/>
        <w:ind w:right="914"/>
        <w:jc w:val="left"/>
      </w:pPr>
      <w:r>
        <w:rPr/>
        <w:t>围。</w:t>
      </w:r>
    </w:p>
    <w:p>
      <w:pPr>
        <w:spacing w:line="273" w:lineRule="auto" w:before="157"/>
        <w:ind w:left="573"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）统一母子公司的会计政策、统一母子公司的资产负债表日及会计期间</w:t>
      </w:r>
      <w:r>
        <w:rPr>
          <w:rFonts w:ascii="宋体" w:hAnsi="宋体" w:cs="宋体" w:eastAsia="宋体" w:hint="default"/>
          <w:b/>
          <w:bCs/>
          <w:w w:val="99"/>
          <w:sz w:val="21"/>
          <w:szCs w:val="21"/>
        </w:rPr>
        <w:t> </w:t>
      </w:r>
      <w:r>
        <w:rPr>
          <w:rFonts w:ascii="宋体" w:hAnsi="宋体" w:cs="宋体" w:eastAsia="宋体" w:hint="default"/>
          <w:spacing w:val="-1"/>
          <w:sz w:val="21"/>
          <w:szCs w:val="21"/>
        </w:rPr>
        <w:t>子公司与本公司采用的会计政策或会计期间不一致的，在编制合并财务报表时，按照本公司的会计政</w:t>
      </w:r>
    </w:p>
    <w:p>
      <w:pPr>
        <w:pStyle w:val="BodyText"/>
        <w:spacing w:line="273" w:lineRule="auto"/>
        <w:ind w:right="914"/>
        <w:jc w:val="left"/>
      </w:pPr>
      <w:r>
        <w:rPr>
          <w:spacing w:val="-1"/>
        </w:rPr>
        <w:t>策或会计期间对子公司财务报表进行必要的调整。对非同一控制下企业合并取得的子公司，已按照购买日</w:t>
      </w:r>
      <w:r>
        <w:rPr>
          <w:spacing w:val="-81"/>
        </w:rPr>
        <w:t> </w:t>
      </w:r>
      <w:r>
        <w:rPr>
          <w:spacing w:val="-81"/>
        </w:rPr>
      </w:r>
      <w:r>
        <w:rPr/>
        <w:t>该子公司可辨认的资产、负债及或有负债的公允价值对子公司财务报表进行了相应的调整。</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73" w:lineRule="auto" w:before="35"/>
        <w:ind w:left="573"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）合并财务报表抵销事项</w:t>
      </w:r>
      <w:r>
        <w:rPr>
          <w:rFonts w:ascii="宋体" w:hAnsi="宋体" w:cs="宋体" w:eastAsia="宋体" w:hint="default"/>
          <w:b/>
          <w:bCs/>
          <w:w w:val="99"/>
          <w:sz w:val="21"/>
          <w:szCs w:val="21"/>
        </w:rPr>
        <w:t> </w:t>
      </w:r>
      <w:r>
        <w:rPr>
          <w:rFonts w:ascii="宋体" w:hAnsi="宋体" w:cs="宋体" w:eastAsia="宋体" w:hint="default"/>
          <w:spacing w:val="-1"/>
          <w:sz w:val="21"/>
          <w:szCs w:val="21"/>
        </w:rPr>
        <w:t>合并财务报表以母公司和子公司的资产负债表为基础，已抵销了母公司与子公司、子公司相互之间发</w:t>
      </w:r>
    </w:p>
    <w:p>
      <w:pPr>
        <w:pStyle w:val="BodyText"/>
        <w:spacing w:line="273" w:lineRule="auto"/>
        <w:ind w:right="1131"/>
        <w:jc w:val="both"/>
      </w:pPr>
      <w:r>
        <w:rPr>
          <w:spacing w:val="-1"/>
        </w:rPr>
        <w:t>生的内部交易。子公司所有者权益中不属于母公司的份额，作为少数股东权益，在合并资产负债表中所有</w:t>
      </w:r>
      <w:r>
        <w:rPr>
          <w:spacing w:val="-83"/>
        </w:rPr>
        <w:t> </w:t>
      </w:r>
      <w:r>
        <w:rPr>
          <w:spacing w:val="-83"/>
        </w:rPr>
      </w:r>
      <w:r>
        <w:rPr/>
        <w:t>者权益项目下以“少数股东权益”项目列示。</w:t>
      </w:r>
    </w:p>
    <w:p>
      <w:pPr>
        <w:pStyle w:val="BodyText"/>
        <w:spacing w:line="273" w:lineRule="auto" w:before="8"/>
        <w:ind w:left="154" w:right="1131" w:firstLine="420"/>
        <w:jc w:val="both"/>
      </w:pPr>
      <w:r>
        <w:rPr>
          <w:spacing w:val="-1"/>
        </w:rPr>
        <w:t>子公司持有母公司的长期股权投资，视为企业集团的库存股，作为所有者权益的减项，在合并资产负</w:t>
      </w:r>
      <w:r>
        <w:rPr/>
        <w:t> 债表中所有者权益项目下以“减：库存股”项目列示。</w:t>
      </w:r>
    </w:p>
    <w:p>
      <w:pPr>
        <w:spacing w:line="273" w:lineRule="auto" w:before="127"/>
        <w:ind w:left="578" w:right="1088" w:hanging="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）合并取得子公司会计处理</w:t>
      </w:r>
      <w:r>
        <w:rPr>
          <w:rFonts w:ascii="宋体" w:hAnsi="宋体" w:cs="宋体" w:eastAsia="宋体" w:hint="default"/>
          <w:b/>
          <w:bCs/>
          <w:w w:val="99"/>
          <w:sz w:val="21"/>
          <w:szCs w:val="21"/>
        </w:rPr>
        <w:t> </w:t>
      </w:r>
      <w:r>
        <w:rPr>
          <w:rFonts w:ascii="宋体" w:hAnsi="宋体" w:cs="宋体" w:eastAsia="宋体" w:hint="default"/>
          <w:sz w:val="21"/>
          <w:szCs w:val="21"/>
        </w:rPr>
        <w:t>对于同一控制下企业合并取得的子公司，视同该企业合并于自最终控制方开始实时控制时已经发生，</w:t>
      </w:r>
    </w:p>
    <w:p>
      <w:pPr>
        <w:pStyle w:val="BodyText"/>
        <w:spacing w:line="273" w:lineRule="auto"/>
        <w:ind w:left="154" w:right="1131"/>
        <w:jc w:val="both"/>
      </w:pPr>
      <w:r>
        <w:rPr>
          <w:spacing w:val="-1"/>
        </w:rPr>
        <w:t>从合并当期的期初起将其资产、负债、经营成果和现金流量纳入合并财务报表；对于非同一控制下企业合</w:t>
      </w:r>
      <w:r>
        <w:rPr>
          <w:spacing w:val="-83"/>
        </w:rPr>
        <w:t> </w:t>
      </w:r>
      <w:r>
        <w:rPr>
          <w:spacing w:val="-83"/>
        </w:rPr>
      </w:r>
      <w:r>
        <w:rPr>
          <w:spacing w:val="-1"/>
        </w:rPr>
        <w:t>并取得的子公司，在编制合并财务报表时，以购买日可辨认净资产公允价值为基础对其个别财务报表进行</w:t>
      </w:r>
      <w:r>
        <w:rPr>
          <w:spacing w:val="-81"/>
        </w:rPr>
        <w:t> </w:t>
      </w:r>
      <w:r>
        <w:rPr>
          <w:spacing w:val="-81"/>
        </w:rPr>
      </w:r>
      <w:r>
        <w:rPr/>
        <w:t>调整。</w:t>
      </w:r>
    </w:p>
    <w:p>
      <w:pPr>
        <w:pStyle w:val="BodyText"/>
        <w:spacing w:line="273" w:lineRule="auto"/>
        <w:ind w:left="154" w:right="1133" w:firstLine="424"/>
        <w:jc w:val="both"/>
      </w:pPr>
      <w:r>
        <w:rPr>
          <w:spacing w:val="-1"/>
        </w:rPr>
        <w:t>对于因非同一控制企业合并形成的子公司，合并成本大于合并中取得的子公司可辨认净资产公允价值</w:t>
      </w:r>
      <w:r>
        <w:rPr/>
        <w:t> 份额的差额，不调整投资成本，在合并财务报表中列作商誉。</w:t>
      </w:r>
    </w:p>
    <w:p>
      <w:pPr>
        <w:pStyle w:val="BodyText"/>
        <w:spacing w:line="273" w:lineRule="auto"/>
        <w:ind w:left="154" w:right="1023" w:firstLine="424"/>
        <w:jc w:val="left"/>
      </w:pPr>
      <w:r>
        <w:rPr/>
        <w:t>对于报告期内增加的子公司，若属于同一控制下企业合并的，调整合并资产负债表的期初数，并将该 </w:t>
      </w:r>
      <w:r>
        <w:rPr>
          <w:spacing w:val="-3"/>
        </w:rPr>
        <w:t>子公司当期期初至报告期末的收入、费用、利润纳入合并利润表，将同期的现金流量纳入合并现金流量表；</w:t>
      </w:r>
      <w:r>
        <w:rPr>
          <w:spacing w:val="-90"/>
        </w:rPr>
        <w:t> </w:t>
      </w:r>
      <w:r>
        <w:rPr>
          <w:spacing w:val="-90"/>
        </w:rPr>
      </w:r>
      <w:r>
        <w:rPr/>
        <w:t>若属于非同一控制下的企业合并的，则不调整合并资产负债表的期初数，并将该子公司购买日至报告期末</w:t>
      </w:r>
      <w:r>
        <w:rPr/>
        <w:t> 的收入、费用、利润纳入合并利润表，将同期的现金流量纳入合并现金流量表。对于报告期内处置的子公 司，不论属于同一控制抑或非同一控制企业合并，均不调整合并资产负债表的期初数，并将该子公司期初 至处置日收入、费用、利润纳入合并利润表，及同期的现金流量纳入合并现金流量表。</w:t>
      </w:r>
    </w:p>
    <w:p>
      <w:pPr>
        <w:pStyle w:val="Heading4"/>
        <w:spacing w:line="240" w:lineRule="auto" w:before="127"/>
        <w:ind w:left="576" w:right="914"/>
        <w:jc w:val="left"/>
        <w:rPr>
          <w:b w:val="0"/>
          <w:bCs w:val="0"/>
        </w:rPr>
      </w:pPr>
      <w:r>
        <w:rPr/>
        <w:t>（</w:t>
      </w:r>
      <w:r>
        <w:rPr>
          <w:rFonts w:ascii="宋体" w:hAnsi="宋体" w:cs="宋体" w:eastAsia="宋体" w:hint="default"/>
        </w:rPr>
        <w:t>5</w:t>
      </w:r>
      <w:r>
        <w:rPr/>
        <w:t>）分步处置子公司股权至丧失控制权的会计处理方法</w:t>
      </w:r>
      <w:r>
        <w:rPr>
          <w:b w:val="0"/>
          <w:bCs w:val="0"/>
        </w:rPr>
      </w:r>
    </w:p>
    <w:p>
      <w:pPr>
        <w:pStyle w:val="BodyText"/>
        <w:spacing w:line="273" w:lineRule="auto" w:before="37"/>
        <w:ind w:left="154" w:right="1131" w:firstLine="420"/>
        <w:jc w:val="both"/>
      </w:pPr>
      <w:r>
        <w:rPr>
          <w:spacing w:val="-1"/>
        </w:rPr>
        <w:t>①不属于“一揽子交易”的分步处置股权至丧失控制权的各项交易在母公司财务报表和合并财务报表</w:t>
      </w:r>
      <w:r>
        <w:rPr/>
        <w:t> 中的会计处理方法</w:t>
      </w:r>
    </w:p>
    <w:p>
      <w:pPr>
        <w:pStyle w:val="BodyText"/>
        <w:spacing w:line="273" w:lineRule="auto"/>
        <w:ind w:right="1131" w:firstLine="420"/>
        <w:jc w:val="both"/>
      </w:pPr>
      <w:r>
        <w:rPr>
          <w:spacing w:val="-1"/>
        </w:rPr>
        <w:t>对丧失控制权之前的各项交易，母公司财务报表中，出售所得价款与处置长期股权投资账面价值之间</w:t>
      </w:r>
      <w:r>
        <w:rPr/>
        <w:t> </w:t>
      </w:r>
      <w:r>
        <w:rPr>
          <w:spacing w:val="-1"/>
        </w:rPr>
        <w:t>的差额计入当期投资收益。在合并报表层面，处置价款与处置长期投资相对应享有子公司自购买日或者合</w:t>
      </w:r>
      <w:r>
        <w:rPr>
          <w:spacing w:val="-81"/>
        </w:rPr>
        <w:t> </w:t>
      </w:r>
      <w:r>
        <w:rPr>
          <w:spacing w:val="-81"/>
        </w:rPr>
      </w:r>
      <w:r>
        <w:rPr>
          <w:spacing w:val="-3"/>
        </w:rPr>
        <w:t>并日开始持续计算的净资产份额之间的差额，调整资本公积（股本溢价），不足冲减的，调整留存收益。</w:t>
      </w:r>
    </w:p>
    <w:p>
      <w:pPr>
        <w:pStyle w:val="BodyText"/>
        <w:spacing w:line="273" w:lineRule="auto"/>
        <w:ind w:left="154" w:right="1131" w:firstLine="420"/>
        <w:jc w:val="both"/>
      </w:pPr>
      <w:r>
        <w:rPr>
          <w:spacing w:val="-1"/>
        </w:rPr>
        <w:t>对于失去控制权时的交易，不能再对被投资单位实施控制的、共同控制或重大影响的，母公司财务报</w:t>
      </w:r>
      <w:r>
        <w:rPr/>
        <w:t> </w:t>
      </w:r>
      <w:r>
        <w:rPr>
          <w:spacing w:val="-1"/>
        </w:rPr>
        <w:t>表中，对于剩余股权，改按金融工具确认和计量准则进行会计处理，在丧失控制之日的公允价值与账面价</w:t>
      </w:r>
      <w:r>
        <w:rPr>
          <w:spacing w:val="-83"/>
        </w:rPr>
        <w:t> </w:t>
      </w:r>
      <w:r>
        <w:rPr>
          <w:spacing w:val="-83"/>
        </w:rPr>
      </w:r>
      <w:r>
        <w:rPr/>
        <w:t>值之间的差额计入当期投资收益。</w:t>
      </w:r>
    </w:p>
    <w:p>
      <w:pPr>
        <w:pStyle w:val="BodyText"/>
        <w:spacing w:line="273" w:lineRule="auto"/>
        <w:ind w:left="154" w:right="1131" w:firstLine="420"/>
        <w:jc w:val="both"/>
      </w:pPr>
      <w:r>
        <w:rPr>
          <w:spacing w:val="-1"/>
        </w:rPr>
        <w:t>对于失去控制权时的交易，处置后的剩余股权能够对原有子公司实施共同控制或重大影响的，母公司</w:t>
      </w:r>
      <w:r>
        <w:rPr/>
        <w:t> </w:t>
      </w:r>
      <w:r>
        <w:rPr>
          <w:spacing w:val="-1"/>
        </w:rPr>
        <w:t>财务报表中，按有关成本法转为权益法的相关规定进行会计处理。在合并财务报表中，对于剩余股权，按</w:t>
      </w:r>
      <w:r>
        <w:rPr>
          <w:spacing w:val="-85"/>
        </w:rPr>
        <w:t> </w:t>
      </w:r>
      <w:r>
        <w:rPr>
          <w:spacing w:val="-85"/>
        </w:rPr>
      </w: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持股比例计算应享有原有子公司自购买日开始持续计算的净资产的份额之间的差额，计入丧失控制权当期</w:t>
      </w:r>
      <w:r>
        <w:rPr>
          <w:spacing w:val="-81"/>
        </w:rPr>
        <w:t> </w:t>
      </w:r>
      <w:r>
        <w:rPr>
          <w:spacing w:val="-81"/>
        </w:rPr>
      </w:r>
      <w:r>
        <w:rPr/>
        <w:t>的投资收益。与原有子公司股权投资相关的其他综合收益，在丧失控制权时转为当期投资收益。</w:t>
      </w:r>
    </w:p>
    <w:p>
      <w:pPr>
        <w:pStyle w:val="BodyText"/>
        <w:spacing w:line="273" w:lineRule="auto"/>
        <w:ind w:left="154" w:right="1131" w:firstLine="420"/>
        <w:jc w:val="both"/>
      </w:pPr>
      <w:r>
        <w:rPr>
          <w:spacing w:val="-1"/>
        </w:rPr>
        <w:t>②属于“一揽子交易”的分步处置股权至丧失控制权的各项交易在母公司财务报表和合并财务报表中</w:t>
      </w:r>
      <w:r>
        <w:rPr/>
        <w:t> 的会计处理方法</w:t>
      </w:r>
    </w:p>
    <w:p>
      <w:pPr>
        <w:pStyle w:val="BodyText"/>
        <w:spacing w:line="273" w:lineRule="auto"/>
        <w:ind w:right="1131" w:firstLine="421"/>
        <w:jc w:val="both"/>
      </w:pPr>
      <w:r>
        <w:rPr>
          <w:spacing w:val="-1"/>
        </w:rPr>
        <w:t>对于属于“一揽子交易”的，将各项交易作为一项处置子公司并丧失控制权的交易进行会计处理。在</w:t>
      </w:r>
      <w:r>
        <w:rPr/>
        <w:t> </w:t>
      </w:r>
      <w:r>
        <w:rPr>
          <w:spacing w:val="-1"/>
        </w:rPr>
        <w:t>母公司财务报表中将每一次处置价款与处置投资对应的账面价值的差额确认为当期投资收益。在合并财务</w:t>
      </w:r>
      <w:r>
        <w:rPr>
          <w:spacing w:val="-81"/>
        </w:rPr>
        <w:t> </w:t>
      </w:r>
      <w:r>
        <w:rPr>
          <w:spacing w:val="-81"/>
        </w:rPr>
      </w:r>
      <w:r>
        <w:rPr>
          <w:spacing w:val="-1"/>
        </w:rPr>
        <w:t>报表中，对于失去控制权之前的每一次交易，将处置价款与处置投资对应的享有该子公司自购买日开始持</w:t>
      </w:r>
      <w:r>
        <w:rPr>
          <w:spacing w:val="-81"/>
        </w:rPr>
        <w:t> </w:t>
      </w:r>
      <w:r>
        <w:rPr>
          <w:spacing w:val="-81"/>
        </w:rPr>
      </w:r>
      <w:r>
        <w:rPr>
          <w:spacing w:val="-1"/>
        </w:rPr>
        <w:t>续计算的净资产账面价值份额之间的差额确认为其他综合收益，在丧失控制权时一并转入丧失控制权当期</w:t>
      </w:r>
      <w:r>
        <w:rPr>
          <w:spacing w:val="-81"/>
        </w:rPr>
        <w:t> </w:t>
      </w:r>
      <w:r>
        <w:rPr>
          <w:spacing w:val="-81"/>
        </w:rPr>
      </w:r>
      <w:r>
        <w:rPr/>
        <w:t>的损益。</w:t>
      </w:r>
    </w:p>
    <w:p>
      <w:pPr>
        <w:spacing w:line="240" w:lineRule="auto" w:before="8"/>
        <w:rPr>
          <w:rFonts w:ascii="宋体" w:hAnsi="宋体" w:cs="宋体" w:eastAsia="宋体" w:hint="default"/>
          <w:sz w:val="23"/>
          <w:szCs w:val="23"/>
        </w:rPr>
      </w:pPr>
    </w:p>
    <w:p>
      <w:pPr>
        <w:spacing w:line="506" w:lineRule="auto" w:before="0"/>
        <w:ind w:left="573" w:right="6853" w:hanging="420"/>
        <w:jc w:val="left"/>
        <w:rPr>
          <w:rFonts w:ascii="宋体" w:hAnsi="宋体" w:cs="宋体" w:eastAsia="宋体" w:hint="default"/>
          <w:sz w:val="21"/>
          <w:szCs w:val="21"/>
        </w:rPr>
      </w:pPr>
      <w:bookmarkStart w:name="7、合营安排分类及共同经营会计处理方法" w:id="163"/>
      <w:bookmarkEnd w:id="16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合营安排分为共同经营和合营企业。</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3" w:right="1093"/>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ind w:left="573" w:right="914"/>
        <w:jc w:val="left"/>
      </w:pPr>
      <w:r>
        <w:rPr/>
        <w:t>①确认本公司单独所持有的资产，以及按本公司份额确认共同持有的资产；</w:t>
      </w:r>
    </w:p>
    <w:p>
      <w:pPr>
        <w:pStyle w:val="BodyText"/>
        <w:spacing w:line="240" w:lineRule="auto" w:before="37"/>
        <w:ind w:left="573" w:right="914"/>
        <w:jc w:val="left"/>
      </w:pPr>
      <w:r>
        <w:rPr/>
        <w:t>②确认本公司单独所承担的负债，以及按本公司份额确认共同承担的负债；</w:t>
      </w:r>
    </w:p>
    <w:p>
      <w:pPr>
        <w:pStyle w:val="BodyText"/>
        <w:spacing w:line="240" w:lineRule="auto" w:before="37"/>
        <w:ind w:left="573" w:right="914"/>
        <w:jc w:val="left"/>
      </w:pPr>
      <w:r>
        <w:rPr/>
        <w:t>③确认出售本公司享有的共同经营产出份额所产生的收入；</w:t>
      </w:r>
    </w:p>
    <w:p>
      <w:pPr>
        <w:pStyle w:val="BodyText"/>
        <w:spacing w:line="240" w:lineRule="auto" w:before="37"/>
        <w:ind w:left="573" w:right="914"/>
        <w:jc w:val="left"/>
      </w:pPr>
      <w:r>
        <w:rPr/>
        <w:t>④按本公司份额确认共同经营因出售产出所产生的收入；</w:t>
      </w:r>
    </w:p>
    <w:p>
      <w:pPr>
        <w:pStyle w:val="BodyText"/>
        <w:spacing w:line="240" w:lineRule="auto" w:before="37"/>
        <w:ind w:left="573" w:right="914"/>
        <w:jc w:val="left"/>
      </w:pPr>
      <w:r>
        <w:rPr/>
        <w:t>⑤确认单独所发生的费用，以及按本公司份额确认共同经营发生的费用。</w:t>
      </w:r>
    </w:p>
    <w:p>
      <w:pPr>
        <w:spacing w:line="590" w:lineRule="atLeast" w:before="39"/>
        <w:ind w:left="573" w:right="914" w:hanging="420"/>
        <w:jc w:val="left"/>
        <w:rPr>
          <w:rFonts w:ascii="宋体" w:hAnsi="宋体" w:cs="宋体" w:eastAsia="宋体" w:hint="default"/>
          <w:sz w:val="21"/>
          <w:szCs w:val="21"/>
        </w:rPr>
      </w:pPr>
      <w:bookmarkStart w:name="8、现金及现金等价物的确定标准" w:id="164"/>
      <w:bookmarkEnd w:id="16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列示于现金流量表中的现金是指库存现金及可以随时用于支付的存款；现金等价物是指公司持有的期</w:t>
      </w:r>
    </w:p>
    <w:p>
      <w:pPr>
        <w:pStyle w:val="BodyText"/>
        <w:spacing w:line="240" w:lineRule="auto" w:before="37"/>
        <w:ind w:right="914"/>
        <w:jc w:val="left"/>
      </w:pPr>
      <w:r>
        <w:rPr/>
        <w:t>限短、流动性强、易于转换为已知金额现金、价值变动风险很小的投资。</w:t>
      </w:r>
    </w:p>
    <w:p>
      <w:pPr>
        <w:spacing w:line="240" w:lineRule="auto" w:before="11"/>
        <w:rPr>
          <w:rFonts w:ascii="宋体" w:hAnsi="宋体" w:cs="宋体" w:eastAsia="宋体" w:hint="default"/>
          <w:sz w:val="25"/>
          <w:szCs w:val="25"/>
        </w:rPr>
      </w:pPr>
    </w:p>
    <w:p>
      <w:pPr>
        <w:pStyle w:val="Heading4"/>
        <w:spacing w:line="240" w:lineRule="auto"/>
        <w:ind w:left="153" w:right="914"/>
        <w:jc w:val="left"/>
        <w:rPr>
          <w:b w:val="0"/>
          <w:bCs w:val="0"/>
        </w:rPr>
      </w:pPr>
      <w:bookmarkStart w:name="9、外币业务和外币报表折算" w:id="165"/>
      <w:bookmarkEnd w:id="16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spacing w:line="273" w:lineRule="auto" w:before="0"/>
        <w:ind w:left="573" w:right="361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）外币业务折算</w:t>
      </w:r>
      <w:r>
        <w:rPr>
          <w:rFonts w:ascii="宋体" w:hAnsi="宋体" w:cs="宋体" w:eastAsia="宋体" w:hint="default"/>
          <w:b/>
          <w:bCs/>
          <w:w w:val="99"/>
          <w:sz w:val="21"/>
          <w:szCs w:val="21"/>
        </w:rPr>
        <w:t> </w:t>
      </w:r>
      <w:r>
        <w:rPr>
          <w:rFonts w:ascii="宋体" w:hAnsi="宋体" w:cs="宋体" w:eastAsia="宋体" w:hint="default"/>
          <w:sz w:val="21"/>
          <w:szCs w:val="21"/>
        </w:rPr>
        <w:t>本公司对发生的外币交易，采用交易发生日的即期汇率折算人民币入账。</w:t>
      </w:r>
    </w:p>
    <w:p>
      <w:pPr>
        <w:pStyle w:val="BodyText"/>
        <w:spacing w:line="273" w:lineRule="auto"/>
        <w:ind w:right="1132" w:firstLine="420"/>
        <w:jc w:val="both"/>
      </w:pPr>
      <w:r>
        <w:rPr>
          <w:spacing w:val="-1"/>
        </w:rPr>
        <w:t>资产负债表日外币货币性项目按资产负债表日即期汇率折算，因该日的即期汇率与初始确认时或者前</w:t>
      </w:r>
      <w:r>
        <w:rPr/>
        <w:t> </w:t>
      </w:r>
      <w:r>
        <w:rPr>
          <w:spacing w:val="-1"/>
        </w:rPr>
        <w:t>一资产负债表日即期汇率不同而产生的汇兑差额，除符合资本化条件的外币专门借款的汇兑差额在资本化</w:t>
      </w:r>
      <w:r>
        <w:rPr>
          <w:spacing w:val="-81"/>
        </w:rPr>
        <w:t> </w:t>
      </w:r>
      <w:r>
        <w:rPr>
          <w:spacing w:val="-81"/>
        </w:rPr>
      </w:r>
      <w:r>
        <w:rPr/>
        <w:t>期间予以资本化计入相关资产的成本外，均计入当期损益。</w:t>
      </w:r>
    </w:p>
    <w:p>
      <w:pPr>
        <w:pStyle w:val="BodyText"/>
        <w:spacing w:line="273" w:lineRule="auto"/>
        <w:ind w:right="1018" w:firstLine="420"/>
        <w:jc w:val="left"/>
      </w:pPr>
      <w:r>
        <w:rPr>
          <w:spacing w:val="-3"/>
        </w:rPr>
        <w:t>以历史成本计量的外币非货币性项目，仍采用交易发生日的即期汇率折算，不改变其记账本位币金额。</w:t>
      </w:r>
      <w:r>
        <w:rPr/>
        <w:t> 以公允价值计量的外币非货币性项目，采用公允价值确定日的即期汇率折算，折算后的记账本位币金额与 原记账本位币金额的差额，作为公允价值变动</w:t>
      </w:r>
      <w:r>
        <w:rPr>
          <w:rFonts w:ascii="宋体" w:hAnsi="宋体" w:cs="宋体" w:eastAsia="宋体" w:hint="default"/>
        </w:rPr>
        <w:t>(</w:t>
      </w:r>
      <w:r>
        <w:rPr/>
        <w:t>含汇率变动</w:t>
      </w:r>
      <w:r>
        <w:rPr>
          <w:rFonts w:ascii="宋体" w:hAnsi="宋体" w:cs="宋体" w:eastAsia="宋体" w:hint="default"/>
        </w:rPr>
        <w:t>)</w:t>
      </w:r>
      <w:r>
        <w:rPr/>
        <w:t>处理，计入当期损益或确认为其他综合收益并 计入资本公积。</w:t>
      </w:r>
    </w:p>
    <w:p>
      <w:pPr>
        <w:spacing w:line="273" w:lineRule="auto" w:before="127"/>
        <w:ind w:left="574"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）外币财务报表折算</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本公司的控股子公司、合营企业、联营企业等，若采用与本公司不同的记账本位币，需对其外币财务</w:t>
      </w:r>
    </w:p>
    <w:p>
      <w:pPr>
        <w:pStyle w:val="BodyText"/>
        <w:spacing w:line="273" w:lineRule="auto"/>
        <w:ind w:left="574" w:right="914" w:hanging="420"/>
        <w:jc w:val="left"/>
      </w:pPr>
      <w:r>
        <w:rPr/>
        <w:t>报表折算后，再进行会计核算及合并财务报表的编报。 </w:t>
      </w:r>
      <w:r>
        <w:rPr>
          <w:spacing w:val="-1"/>
        </w:rPr>
        <w:t>资产负债表中的资产和负债项目，采用资产负债表日的即期汇率折算，所有者权益项目除“未分配利</w:t>
      </w:r>
    </w:p>
    <w:p>
      <w:pPr>
        <w:pStyle w:val="BodyText"/>
        <w:spacing w:line="273" w:lineRule="auto"/>
        <w:ind w:left="154" w:right="914"/>
        <w:jc w:val="left"/>
      </w:pPr>
      <w:r>
        <w:rPr>
          <w:spacing w:val="-1"/>
        </w:rPr>
        <w:t>润”项目外，其他项目采用发生时的即期汇率折算。利润表中的收入和费用项目，采用交易发生日的即期</w:t>
      </w:r>
      <w:r>
        <w:rPr>
          <w:spacing w:val="-86"/>
        </w:rPr>
        <w:t> </w:t>
      </w:r>
      <w:r>
        <w:rPr>
          <w:spacing w:val="-86"/>
        </w:rPr>
      </w:r>
      <w:r>
        <w:rPr/>
        <w:t>汇率折算。折算产生的外币财务报表折算差额，在资产负债表中所有者权益项目其他综合收益下列示。</w:t>
      </w:r>
    </w:p>
    <w:p>
      <w:pPr>
        <w:pStyle w:val="BodyText"/>
        <w:spacing w:line="273" w:lineRule="auto"/>
        <w:ind w:right="1018" w:firstLine="420"/>
        <w:jc w:val="left"/>
      </w:pPr>
      <w:r>
        <w:rPr>
          <w:spacing w:val="-3"/>
        </w:rPr>
        <w:t>外币现金流量按照系统合理方法确定的，采用交易发生日的即期汇率折算。汇率变动对现金的影响额，</w:t>
      </w:r>
      <w:r>
        <w:rPr/>
        <w:t> 在现金流量表中单独列示。</w:t>
      </w:r>
    </w:p>
    <w:p>
      <w:pPr>
        <w:pStyle w:val="BodyText"/>
        <w:spacing w:line="273" w:lineRule="auto"/>
        <w:ind w:right="914" w:firstLine="421"/>
        <w:jc w:val="left"/>
      </w:pPr>
      <w:r>
        <w:rPr>
          <w:spacing w:val="-1"/>
        </w:rPr>
        <w:t>处置境外经营时，与该境外经营有关的外币报表折算差额，全部或按处置该境外经营的比例转入处置</w:t>
      </w:r>
      <w:r>
        <w:rPr/>
        <w:t> 当期损益。</w:t>
      </w:r>
    </w:p>
    <w:p>
      <w:pPr>
        <w:spacing w:line="240" w:lineRule="auto" w:before="8"/>
        <w:rPr>
          <w:rFonts w:ascii="宋体" w:hAnsi="宋体" w:cs="宋体" w:eastAsia="宋体" w:hint="default"/>
          <w:sz w:val="23"/>
          <w:szCs w:val="23"/>
        </w:rPr>
      </w:pPr>
    </w:p>
    <w:p>
      <w:pPr>
        <w:pStyle w:val="Heading4"/>
        <w:spacing w:line="240" w:lineRule="auto"/>
        <w:ind w:left="153" w:right="914"/>
        <w:jc w:val="left"/>
        <w:rPr>
          <w:b w:val="0"/>
          <w:bCs w:val="0"/>
        </w:rPr>
      </w:pPr>
      <w:bookmarkStart w:name="10、金融工具" w:id="166"/>
      <w:bookmarkEnd w:id="16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spacing w:line="273" w:lineRule="auto" w:before="0"/>
        <w:ind w:left="573"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）金融工具的分类、确认和计量</w:t>
      </w:r>
      <w:r>
        <w:rPr>
          <w:rFonts w:ascii="宋体" w:hAnsi="宋体" w:cs="宋体" w:eastAsia="宋体" w:hint="default"/>
          <w:b/>
          <w:bCs/>
          <w:w w:val="99"/>
          <w:sz w:val="21"/>
          <w:szCs w:val="21"/>
        </w:rPr>
        <w:t> </w:t>
      </w:r>
      <w:r>
        <w:rPr>
          <w:rFonts w:ascii="宋体" w:hAnsi="宋体" w:cs="宋体" w:eastAsia="宋体" w:hint="default"/>
          <w:spacing w:val="-1"/>
          <w:sz w:val="21"/>
          <w:szCs w:val="21"/>
        </w:rPr>
        <w:t>在本公司成为金融工具合同的一方时确认一项金融资产或金融负债。金融资产和金融负债在初始确认</w:t>
      </w:r>
    </w:p>
    <w:p>
      <w:pPr>
        <w:pStyle w:val="BodyText"/>
        <w:spacing w:line="273" w:lineRule="auto"/>
        <w:ind w:right="914"/>
        <w:jc w:val="left"/>
      </w:pP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273" w:lineRule="auto"/>
        <w:ind w:right="1131" w:firstLine="420"/>
        <w:jc w:val="both"/>
      </w:pPr>
      <w:r>
        <w:rPr>
          <w:spacing w:val="-1"/>
        </w:rPr>
        <w:t>本公司对金融资产和金融负债的公允价值的确定方法：公允价值，指在公平交易中，熟悉情况的交易</w:t>
      </w:r>
      <w:r>
        <w:rPr/>
        <w:t> </w:t>
      </w:r>
      <w:r>
        <w:rPr>
          <w:spacing w:val="-1"/>
        </w:rPr>
        <w:t>双方自愿进行资产交换或债务清偿的金额。对于存在活跃市场的金融工具，本公司采用活跃市场中的报价</w:t>
      </w:r>
      <w:r>
        <w:rPr>
          <w:spacing w:val="-81"/>
        </w:rPr>
        <w:t> </w:t>
      </w:r>
      <w:r>
        <w:rPr>
          <w:spacing w:val="-81"/>
        </w:rPr>
      </w:r>
      <w:r>
        <w:rPr>
          <w:spacing w:val="-1"/>
        </w:rPr>
        <w:t>确定其公允价值；对于不存在活跃市场的金融工具，本公司采用估值技术确定其公允价值。估值技术包括</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914"/>
        <w:jc w:val="left"/>
      </w:pPr>
      <w:r>
        <w:rPr>
          <w:spacing w:val="-1"/>
        </w:rPr>
        <w:t>参考熟悉情况并自愿交易的各方最近进行的市场交易中使用的价格、参照实质上相同的其他金融工具当前</w:t>
      </w:r>
      <w:r>
        <w:rPr>
          <w:spacing w:val="-81"/>
        </w:rPr>
        <w:t> </w:t>
      </w:r>
      <w:r>
        <w:rPr>
          <w:spacing w:val="-81"/>
        </w:rPr>
      </w:r>
      <w:r>
        <w:rPr/>
        <w:t>的公允价值、现金流量折现法和期权定价模型等。</w:t>
      </w:r>
    </w:p>
    <w:p>
      <w:pPr>
        <w:pStyle w:val="BodyText"/>
        <w:spacing w:line="273" w:lineRule="auto"/>
        <w:ind w:right="1131" w:firstLine="420"/>
        <w:jc w:val="both"/>
      </w:pPr>
      <w:r>
        <w:rPr>
          <w:spacing w:val="-1"/>
        </w:rPr>
        <w:t>实际利率法：是指按照金融资产或金融负债</w:t>
      </w:r>
      <w:r>
        <w:rPr>
          <w:rFonts w:ascii="宋体" w:hAnsi="宋体" w:cs="宋体" w:eastAsia="宋体" w:hint="default"/>
          <w:spacing w:val="-1"/>
        </w:rPr>
        <w:t>(</w:t>
      </w:r>
      <w:r>
        <w:rPr>
          <w:spacing w:val="-1"/>
        </w:rPr>
        <w:t>含一组金融资产或金融负债</w:t>
      </w:r>
      <w:r>
        <w:rPr>
          <w:rFonts w:ascii="宋体" w:hAnsi="宋体" w:cs="宋体" w:eastAsia="宋体" w:hint="default"/>
          <w:spacing w:val="-1"/>
        </w:rPr>
        <w:t>)</w:t>
      </w:r>
      <w:r>
        <w:rPr>
          <w:spacing w:val="-1"/>
        </w:rPr>
        <w:t>的实际利率计算其摊余成本</w:t>
      </w:r>
      <w:r>
        <w:rPr/>
        <w:t> </w:t>
      </w:r>
      <w:r>
        <w:rPr>
          <w:spacing w:val="-1"/>
        </w:rPr>
        <w:t>及各期利息收入或支出的方法。实际利率是指将金融资产或金融负债在预期存续期间或适用的更短期间内</w:t>
      </w:r>
      <w:r>
        <w:rPr>
          <w:spacing w:val="-81"/>
        </w:rPr>
        <w:t> </w:t>
      </w:r>
      <w:r>
        <w:rPr>
          <w:spacing w:val="-81"/>
        </w:rPr>
      </w:r>
      <w:r>
        <w:rPr>
          <w:spacing w:val="-1"/>
        </w:rPr>
        <w:t>的未来现金流量，折现为该金融资产或金融负债当前账面价值所使用的利率。在计算实际利率时，本公司</w:t>
      </w:r>
      <w:r>
        <w:rPr>
          <w:spacing w:val="-83"/>
        </w:rPr>
        <w:t> </w:t>
      </w:r>
      <w:r>
        <w:rPr>
          <w:spacing w:val="-83"/>
        </w:rPr>
      </w:r>
      <w:r>
        <w:rPr>
          <w:spacing w:val="-1"/>
        </w:rPr>
        <w:t>在考虑金融资产或金融负债所有合同条款的基础上预计未来现金流量</w:t>
      </w:r>
      <w:r>
        <w:rPr>
          <w:rFonts w:ascii="宋体" w:hAnsi="宋体" w:cs="宋体" w:eastAsia="宋体" w:hint="default"/>
          <w:spacing w:val="-1"/>
        </w:rPr>
        <w:t>(</w:t>
      </w:r>
      <w:r>
        <w:rPr>
          <w:spacing w:val="-1"/>
        </w:rPr>
        <w:t>不考虑未来的信用损失</w:t>
      </w:r>
      <w:r>
        <w:rPr>
          <w:rFonts w:ascii="宋体" w:hAnsi="宋体" w:cs="宋体" w:eastAsia="宋体" w:hint="default"/>
          <w:spacing w:val="-1"/>
        </w:rPr>
        <w:t>)</w:t>
      </w:r>
      <w:r>
        <w:rPr>
          <w:spacing w:val="-1"/>
        </w:rPr>
        <w:t>，同时还考</w:t>
      </w:r>
      <w:r>
        <w:rPr>
          <w:spacing w:val="-82"/>
        </w:rPr>
        <w:t> </w:t>
      </w:r>
      <w:r>
        <w:rPr>
          <w:spacing w:val="-82"/>
        </w:rPr>
      </w:r>
      <w:r>
        <w:rPr>
          <w:spacing w:val="-1"/>
        </w:rPr>
        <w:t>虑金融资产或金融负债合同各方之间支付或收取的、属于实际利率组成部分的各项收费、交易费用及折价</w:t>
      </w:r>
      <w:r>
        <w:rPr>
          <w:spacing w:val="-81"/>
        </w:rPr>
        <w:t> </w:t>
      </w:r>
      <w:r>
        <w:rPr>
          <w:spacing w:val="-81"/>
        </w:rPr>
      </w:r>
      <w:r>
        <w:rPr/>
        <w:t>或溢价等。</w:t>
      </w:r>
    </w:p>
    <w:p>
      <w:pPr>
        <w:pStyle w:val="BodyText"/>
        <w:spacing w:line="273" w:lineRule="auto"/>
        <w:ind w:right="1018" w:firstLine="420"/>
        <w:jc w:val="left"/>
      </w:pPr>
      <w:r>
        <w:rPr>
          <w:spacing w:val="-3"/>
        </w:rPr>
        <w:t>金融资产于初始确认时分类为：以公允价值计量且其变动计入当期损益的金融资产、持有至到期投资、</w:t>
      </w:r>
      <w:r>
        <w:rPr/>
        <w:t> 贷款和应收款项、可供出售金融资产。除应收款项以外的金融资产的分类取决于本公司及其子公司对金融 资产的持有意图和持有能力等。金融负债于初始确认时分类为：以公允价值计量且其变动计入当期损益的 金融负债以及其他金融负债。</w:t>
      </w:r>
    </w:p>
    <w:p>
      <w:pPr>
        <w:pStyle w:val="BodyText"/>
        <w:spacing w:line="273" w:lineRule="auto"/>
        <w:ind w:right="1131" w:firstLine="420"/>
        <w:jc w:val="both"/>
      </w:pPr>
      <w:r>
        <w:rPr>
          <w:spacing w:val="3"/>
        </w:rPr>
        <w:t>以公允价值计量且其变动计入当期损益的金融资产包括交易性金融资产和指定为以公允价值计量且</w:t>
      </w:r>
      <w:r>
        <w:rPr/>
        <w:t> </w:t>
      </w:r>
      <w:r>
        <w:rPr>
          <w:spacing w:val="-1"/>
        </w:rPr>
        <w:t>其变动计入当期损益的金融资产：本公司以公允价值计量且其变动计入当期损益的金融资产均为交易性金</w:t>
      </w:r>
      <w:r>
        <w:rPr>
          <w:spacing w:val="-81"/>
        </w:rPr>
        <w:t> </w:t>
      </w:r>
      <w:r>
        <w:rPr>
          <w:spacing w:val="-81"/>
        </w:rPr>
      </w:r>
      <w:r>
        <w:rPr/>
        <w:t>融资产。满足下列条件之一的金融资产划分为交易性金融资产：</w:t>
      </w:r>
      <w:r>
        <w:rPr>
          <w:rFonts w:ascii="宋体" w:hAnsi="宋体" w:cs="宋体" w:eastAsia="宋体" w:hint="default"/>
        </w:rPr>
        <w:t>(1)</w:t>
      </w:r>
      <w:r>
        <w:rPr/>
        <w:t>取得该金融资产的目的，主要是为了</w:t>
      </w:r>
      <w:r>
        <w:rPr>
          <w:spacing w:val="-29"/>
        </w:rPr>
        <w:t> </w:t>
      </w:r>
      <w:r>
        <w:rPr>
          <w:spacing w:val="-29"/>
        </w:rPr>
      </w:r>
      <w:r>
        <w:rPr/>
        <w:t>近期内出售；</w:t>
      </w:r>
      <w:r>
        <w:rPr>
          <w:rFonts w:ascii="宋体" w:hAnsi="宋体" w:cs="宋体" w:eastAsia="宋体" w:hint="default"/>
        </w:rPr>
        <w:t>(2)</w:t>
      </w:r>
      <w:r>
        <w:rPr/>
        <w:t>初始确认时即属于进行集中管理的可辨认金融工具组合的一部分，且有客观证据表明本</w:t>
      </w:r>
      <w:r>
        <w:rPr>
          <w:spacing w:val="-34"/>
        </w:rPr>
        <w:t> </w:t>
      </w:r>
      <w:r>
        <w:rPr>
          <w:spacing w:val="-34"/>
        </w:rPr>
      </w:r>
      <w:r>
        <w:rPr/>
        <w:t>公司近期采用短期获利方式对该组合进行管理；</w:t>
      </w:r>
      <w:r>
        <w:rPr>
          <w:rFonts w:ascii="宋体" w:hAnsi="宋体" w:cs="宋体" w:eastAsia="宋体" w:hint="default"/>
        </w:rPr>
        <w:t>(3)</w:t>
      </w:r>
      <w:r>
        <w:rPr/>
        <w:t>属于衍生工具，但是被指定且为有效套期工具的衍生</w:t>
      </w:r>
      <w:r>
        <w:rPr>
          <w:spacing w:val="-30"/>
        </w:rPr>
        <w:t> </w:t>
      </w:r>
      <w:r>
        <w:rPr>
          <w:spacing w:val="-30"/>
        </w:rPr>
      </w:r>
      <w:r>
        <w:rPr>
          <w:spacing w:val="-1"/>
        </w:rPr>
        <w:t>工具、属于财务担保合同的衍生工具、与在活跃市场中没有报价且其公允价值不能可靠计量的权益工具投</w:t>
      </w:r>
      <w:r>
        <w:rPr>
          <w:spacing w:val="-81"/>
        </w:rPr>
        <w:t> </w:t>
      </w:r>
      <w:r>
        <w:rPr>
          <w:spacing w:val="-81"/>
        </w:rPr>
      </w:r>
      <w:r>
        <w:rPr>
          <w:spacing w:val="-1"/>
        </w:rPr>
        <w:t>资挂钩并须通过交付该权益工具结算的衍生工具除外。符合下述条件之一的金融资产，在初始确认时可指</w:t>
      </w:r>
      <w:r>
        <w:rPr>
          <w:spacing w:val="-81"/>
        </w:rPr>
        <w:t> </w:t>
      </w:r>
      <w:r>
        <w:rPr>
          <w:spacing w:val="-81"/>
        </w:rPr>
      </w:r>
      <w:r>
        <w:rPr/>
        <w:t>定为以公允价值计量且其变动计入当期损益的金融资产：</w:t>
      </w:r>
      <w:r>
        <w:rPr>
          <w:rFonts w:ascii="宋体" w:hAnsi="宋体" w:cs="宋体" w:eastAsia="宋体" w:hint="default"/>
        </w:rPr>
        <w:t>(1)</w:t>
      </w:r>
      <w:r>
        <w:rPr/>
        <w:t>该指定可以消除或明显减少由于该金融资产</w:t>
      </w:r>
      <w:r>
        <w:rPr>
          <w:spacing w:val="-30"/>
        </w:rPr>
        <w:t> </w:t>
      </w:r>
      <w:r>
        <w:rPr>
          <w:spacing w:val="-30"/>
        </w:rPr>
      </w:r>
      <w:r>
        <w:rPr/>
        <w:t>的计量基础不同所导致的相关利得或损失在确认或计量方面不一致的情况；</w:t>
      </w:r>
      <w:r>
        <w:rPr>
          <w:rFonts w:ascii="宋体" w:hAnsi="宋体" w:cs="宋体" w:eastAsia="宋体" w:hint="default"/>
        </w:rPr>
        <w:t>(2)</w:t>
      </w:r>
      <w:r>
        <w:rPr/>
        <w:t>本公司风险管理或投资策</w:t>
      </w:r>
      <w:r>
        <w:rPr>
          <w:spacing w:val="-28"/>
        </w:rPr>
        <w:t> </w:t>
      </w:r>
      <w:r>
        <w:rPr>
          <w:spacing w:val="-28"/>
        </w:rPr>
      </w:r>
      <w:r>
        <w:rPr>
          <w:spacing w:val="-1"/>
        </w:rPr>
        <w:t>略的正式书面文件已载明，该金融资产所在的金融资产组合或金融资产和金融负债组合以公允价值为基础</w:t>
      </w:r>
      <w:r>
        <w:rPr>
          <w:spacing w:val="-81"/>
        </w:rPr>
        <w:t> </w:t>
      </w:r>
      <w:r>
        <w:rPr>
          <w:spacing w:val="-81"/>
        </w:rPr>
      </w:r>
      <w:r>
        <w:rPr/>
        <w:t>进行管理、评价并向关键管理人员报告；</w:t>
      </w:r>
      <w:r>
        <w:rPr>
          <w:rFonts w:ascii="宋体" w:hAnsi="宋体" w:cs="宋体" w:eastAsia="宋体" w:hint="default"/>
        </w:rPr>
        <w:t>(3)</w:t>
      </w:r>
      <w:r>
        <w:rPr/>
        <w:t>《企业会计准则第</w:t>
      </w:r>
      <w:r>
        <w:rPr>
          <w:rFonts w:ascii="宋体" w:hAnsi="宋体" w:cs="宋体" w:eastAsia="宋体" w:hint="default"/>
        </w:rPr>
        <w:t>22</w:t>
      </w:r>
      <w:r>
        <w:rPr/>
        <w:t>号—金融工具确认和计量》允许指定为</w:t>
      </w:r>
      <w:r>
        <w:rPr>
          <w:spacing w:val="-30"/>
        </w:rPr>
        <w:t> </w:t>
      </w:r>
      <w:r>
        <w:rPr>
          <w:spacing w:val="-30"/>
        </w:rPr>
      </w:r>
      <w:r>
        <w:rPr>
          <w:spacing w:val="-1"/>
        </w:rPr>
        <w:t>以公允价值计量且其变动计入当期损益的金融资产的与嵌入衍生工具相关的混合工具。以公允价值计量且</w:t>
      </w:r>
      <w:r>
        <w:rPr>
          <w:spacing w:val="-81"/>
        </w:rPr>
        <w:t> </w:t>
      </w:r>
      <w:r>
        <w:rPr>
          <w:spacing w:val="-81"/>
        </w:rPr>
      </w:r>
      <w:r>
        <w:rPr>
          <w:spacing w:val="-1"/>
        </w:rPr>
        <w:t>变动计入当期损益的金融资产，除与套期保值有关外，采用公允价值进行后续计量，公允价值变动形成的</w:t>
      </w:r>
      <w:r>
        <w:rPr>
          <w:spacing w:val="-83"/>
        </w:rPr>
        <w:t> </w:t>
      </w:r>
      <w:r>
        <w:rPr>
          <w:spacing w:val="-83"/>
        </w:rPr>
      </w:r>
      <w:r>
        <w:rPr>
          <w:spacing w:val="-1"/>
        </w:rPr>
        <w:t>利得或损失，计入公允价值变动损益；在资产持有期间所取得的利息或现金股利，确认为投资收益；处置</w:t>
      </w:r>
      <w:r>
        <w:rPr>
          <w:spacing w:val="-85"/>
        </w:rPr>
        <w:t> </w:t>
      </w:r>
      <w:r>
        <w:rPr>
          <w:spacing w:val="-85"/>
        </w:rPr>
      </w:r>
      <w:r>
        <w:rPr/>
        <w:t>时，将实际收到的金额与初始入账金额之间的差额确认为投资收益，同时调整公允价值变动损益。</w:t>
      </w:r>
    </w:p>
    <w:p>
      <w:pPr>
        <w:pStyle w:val="BodyText"/>
        <w:spacing w:line="273" w:lineRule="auto"/>
        <w:ind w:left="154" w:right="1131" w:firstLine="420"/>
        <w:jc w:val="both"/>
      </w:pPr>
      <w:r>
        <w:rPr>
          <w:spacing w:val="-1"/>
        </w:rPr>
        <w:t>持有至到期投资是指：到期日固定、回收金额固定或可确定，且本公司有明确意图和能力持有至到期</w:t>
      </w:r>
      <w:r>
        <w:rPr/>
        <w:t> </w:t>
      </w:r>
      <w:r>
        <w:rPr>
          <w:spacing w:val="-1"/>
        </w:rPr>
        <w:t>的非衍生金融资产。持有至到期投资采用实际利率法，按摊余成本进行后续计量，在终止确认、发生减值</w:t>
      </w:r>
      <w:r>
        <w:rPr>
          <w:spacing w:val="-86"/>
        </w:rPr>
        <w:t> </w:t>
      </w:r>
      <w:r>
        <w:rPr>
          <w:spacing w:val="-86"/>
        </w:rPr>
      </w:r>
      <w:r>
        <w:rPr/>
        <w:t>或摊销时产生的利得或损失，计入当期损益。</w:t>
      </w:r>
    </w:p>
    <w:p>
      <w:pPr>
        <w:pStyle w:val="BodyText"/>
        <w:spacing w:line="273" w:lineRule="auto"/>
        <w:ind w:left="154" w:right="1130" w:firstLine="420"/>
        <w:jc w:val="both"/>
      </w:pPr>
      <w:r>
        <w:rPr>
          <w:spacing w:val="-1"/>
        </w:rPr>
        <w:t>贷款和应收款项是指：在活跃市场中没有报价、回收金额固定或可确定的非衍生金融资产。本公司划</w:t>
      </w:r>
      <w:r>
        <w:rPr/>
        <w:t> </w:t>
      </w:r>
      <w:r>
        <w:rPr>
          <w:spacing w:val="-1"/>
        </w:rPr>
        <w:t>分为贷款和应收款的金融资产包括应收票据、应收账款、其他应收款及长期应收款等。贷款和应收款项采</w:t>
      </w:r>
      <w:r>
        <w:rPr>
          <w:spacing w:val="-82"/>
        </w:rPr>
        <w:t> </w:t>
      </w:r>
      <w:r>
        <w:rPr>
          <w:spacing w:val="-82"/>
        </w:rPr>
      </w:r>
      <w:r>
        <w:rPr>
          <w:spacing w:val="-1"/>
        </w:rPr>
        <w:t>用实际利率法，按摊余成本进行后续计量。在终止确认、发生减值或摊销时产生的利得或损失，计入当期</w:t>
      </w:r>
      <w:r>
        <w:rPr>
          <w:spacing w:val="-86"/>
        </w:rPr>
        <w:t> </w:t>
      </w:r>
      <w:r>
        <w:rPr>
          <w:spacing w:val="-86"/>
        </w:rPr>
      </w:r>
      <w:r>
        <w:rPr/>
        <w:t>损益。</w:t>
      </w:r>
    </w:p>
    <w:p>
      <w:pPr>
        <w:pStyle w:val="BodyText"/>
        <w:spacing w:line="273" w:lineRule="auto"/>
        <w:ind w:left="154" w:right="1131" w:firstLine="420"/>
        <w:jc w:val="both"/>
      </w:pPr>
      <w:r>
        <w:rPr>
          <w:spacing w:val="-1"/>
        </w:rPr>
        <w:t>可供出售金融资产包括：初始确认时即被指定为可供出售的非衍生金融资产，以及除了以公允价值计</w:t>
      </w:r>
      <w:r>
        <w:rPr/>
        <w:t> </w:t>
      </w:r>
      <w:r>
        <w:rPr>
          <w:spacing w:val="-1"/>
        </w:rPr>
        <w:t>量且其变动计入当期损益的金融资产、贷款和应收款项、持有至到期投资以外的金融资产。可供出售金融</w:t>
      </w:r>
      <w:r>
        <w:rPr>
          <w:spacing w:val="-83"/>
        </w:rPr>
        <w:t> </w:t>
      </w:r>
      <w:r>
        <w:rPr>
          <w:spacing w:val="-83"/>
        </w:rPr>
      </w:r>
      <w:r>
        <w:rPr>
          <w:spacing w:val="-1"/>
        </w:rPr>
        <w:t>资产采用公允价值进行后续计量，公允价值变动形成的利得或损失，除减值损失和外币货币性金融资产与</w:t>
      </w:r>
      <w:r>
        <w:rPr>
          <w:spacing w:val="-81"/>
        </w:rPr>
        <w:t> </w:t>
      </w:r>
      <w:r>
        <w:rPr>
          <w:spacing w:val="-81"/>
        </w:rPr>
      </w:r>
      <w:r>
        <w:rPr>
          <w:spacing w:val="-1"/>
        </w:rPr>
        <w:t>摊余成本相关的汇兑差额计入当期损益外，确认为其他综合收益并计入其他综合收益（资本公积），在该</w:t>
      </w:r>
      <w:r>
        <w:rPr>
          <w:spacing w:val="-94"/>
        </w:rPr>
        <w:t> </w:t>
      </w:r>
      <w:r>
        <w:rPr>
          <w:spacing w:val="-94"/>
        </w:rPr>
      </w:r>
      <w:r>
        <w:rPr>
          <w:spacing w:val="-1"/>
        </w:rPr>
        <w:t>金融资产终止确认时转出，计入当期损益。可供出售金融资产持有期间按实际利率法计算的利息及被投资</w:t>
      </w:r>
      <w:r>
        <w:rPr>
          <w:spacing w:val="-81"/>
        </w:rPr>
        <w:t> </w:t>
      </w:r>
      <w:r>
        <w:rPr>
          <w:spacing w:val="-81"/>
        </w:rPr>
      </w:r>
      <w:r>
        <w:rPr>
          <w:spacing w:val="-1"/>
        </w:rPr>
        <w:t>单位宣告发放的现金股利，计入投资收益。处置时，将实际收到的金额与账面价值扣除原直接计入其他综</w:t>
      </w:r>
      <w:r>
        <w:rPr>
          <w:spacing w:val="-83"/>
        </w:rPr>
        <w:t> </w:t>
      </w:r>
      <w:r>
        <w:rPr>
          <w:spacing w:val="-83"/>
        </w:rPr>
      </w:r>
      <w:r>
        <w:rPr>
          <w:spacing w:val="-1"/>
        </w:rPr>
        <w:t>合收益的公允价值变动累计额之后的差额确认为投资收益。在活跃市场中没有报价且其公允价值不能可靠</w:t>
      </w:r>
      <w:r>
        <w:rPr>
          <w:spacing w:val="-81"/>
        </w:rPr>
        <w:t> </w:t>
      </w:r>
      <w:r>
        <w:rPr>
          <w:spacing w:val="-81"/>
        </w:rPr>
      </w:r>
      <w:r>
        <w:rPr>
          <w:spacing w:val="-1"/>
        </w:rPr>
        <w:t>计量的权益工具投资，以及与该权益工具挂钩并须通过交付该权益工具结算的衍生金融资产（或衍生金融</w:t>
      </w:r>
      <w:r>
        <w:rPr>
          <w:spacing w:val="-81"/>
        </w:rPr>
        <w:t> </w:t>
      </w:r>
      <w:r>
        <w:rPr>
          <w:spacing w:val="-81"/>
        </w:rPr>
      </w:r>
      <w:r>
        <w:rPr>
          <w:spacing w:val="-10"/>
        </w:rPr>
        <w:t>负债），按照成本计量。</w:t>
      </w:r>
    </w:p>
    <w:p>
      <w:pPr>
        <w:pStyle w:val="BodyText"/>
        <w:spacing w:line="240" w:lineRule="auto"/>
        <w:ind w:left="574" w:right="914"/>
        <w:jc w:val="left"/>
      </w:pPr>
      <w:r>
        <w:rPr/>
        <w:t>衍生金融工具，包括远期外汇合约和利率互换合同等。衍生工具于相关合同签署日以公允价值进行初</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始计量，并以公允价值进行后续计量。除指定为套期工具且套期高度有效的衍生工具，其公允价值变动形</w:t>
      </w:r>
      <w:r>
        <w:rPr>
          <w:spacing w:val="-83"/>
        </w:rPr>
        <w:t> </w:t>
      </w:r>
      <w:r>
        <w:rPr>
          <w:spacing w:val="-83"/>
        </w:rPr>
      </w:r>
      <w:r>
        <w:rPr>
          <w:spacing w:val="-1"/>
        </w:rPr>
        <w:t>成的利得或损失将根据套期关系的性质按照套期会计的要求确定计入损益的期间外，其余衍生工具的公允</w:t>
      </w:r>
      <w:r>
        <w:rPr>
          <w:spacing w:val="-81"/>
        </w:rPr>
        <w:t> </w:t>
      </w:r>
      <w:r>
        <w:rPr>
          <w:spacing w:val="-81"/>
        </w:rPr>
      </w:r>
      <w:r>
        <w:rPr/>
        <w:t>价值变动计入当期损益。</w:t>
      </w:r>
    </w:p>
    <w:p>
      <w:pPr>
        <w:pStyle w:val="BodyText"/>
        <w:spacing w:line="273" w:lineRule="auto"/>
        <w:ind w:right="1110" w:firstLine="420"/>
        <w:jc w:val="both"/>
      </w:pPr>
      <w:r>
        <w:rPr>
          <w:spacing w:val="-1"/>
        </w:rPr>
        <w:t>对包含嵌入衍生工具的混合工具，如未指定为以公允价值计量且其变动计入当期损益的金融资产或金</w:t>
      </w:r>
      <w:r>
        <w:rPr/>
        <w:t> 融负债，嵌入衍生工具与该主合同在经济特征及风险方面不存在紧密关系，且与嵌入衍生工具条件相同， 单独存在的工具符合衍生工具定义的，嵌入衍生工具从混合工具中分拆，作为单独的衍生金融工具处理。 </w:t>
      </w:r>
      <w:r>
        <w:rPr>
          <w:spacing w:val="-1"/>
        </w:rPr>
        <w:t>如果无法在取得时或后续的资产负债表日对嵌入衍生工具进行单独计量，则将混合工具整体指定为以公允</w:t>
      </w:r>
      <w:r>
        <w:rPr>
          <w:spacing w:val="-81"/>
        </w:rPr>
        <w:t> </w:t>
      </w:r>
      <w:r>
        <w:rPr>
          <w:spacing w:val="-81"/>
        </w:rPr>
      </w:r>
      <w:r>
        <w:rPr/>
        <w:t>价值计量且其变动计入当期损益的金融资产或金融负债。</w:t>
      </w:r>
    </w:p>
    <w:p>
      <w:pPr>
        <w:pStyle w:val="BodyText"/>
        <w:spacing w:line="273" w:lineRule="auto"/>
        <w:ind w:left="154" w:right="1131" w:firstLine="420"/>
        <w:jc w:val="both"/>
      </w:pPr>
      <w:r>
        <w:rPr>
          <w:spacing w:val="-1"/>
        </w:rPr>
        <w:t>权益工具：指能证明拥有本公司在扣除所有负债后的资产中的剩余权益的合同。发行权益工具时收到</w:t>
      </w:r>
      <w:r>
        <w:rPr/>
        <w:t> </w:t>
      </w:r>
      <w:r>
        <w:rPr>
          <w:spacing w:val="-1"/>
        </w:rPr>
        <w:t>的对价扣除交易费用后增加股东权益。本公司对权益工具持有方的各种分配</w:t>
      </w:r>
      <w:r>
        <w:rPr>
          <w:rFonts w:ascii="宋体" w:hAnsi="宋体" w:cs="宋体" w:eastAsia="宋体" w:hint="default"/>
          <w:spacing w:val="-1"/>
        </w:rPr>
        <w:t>(</w:t>
      </w:r>
      <w:r>
        <w:rPr>
          <w:spacing w:val="-1"/>
        </w:rPr>
        <w:t>不包括股票股利</w:t>
      </w:r>
      <w:r>
        <w:rPr>
          <w:rFonts w:ascii="宋体" w:hAnsi="宋体" w:cs="宋体" w:eastAsia="宋体" w:hint="default"/>
          <w:spacing w:val="-1"/>
        </w:rPr>
        <w:t>)</w:t>
      </w:r>
      <w:r>
        <w:rPr>
          <w:spacing w:val="-1"/>
        </w:rPr>
        <w:t>，减少股东</w:t>
      </w:r>
      <w:r>
        <w:rPr>
          <w:spacing w:val="-82"/>
        </w:rPr>
        <w:t> </w:t>
      </w:r>
      <w:r>
        <w:rPr>
          <w:spacing w:val="-82"/>
        </w:rPr>
      </w:r>
      <w:r>
        <w:rPr/>
        <w:t>权益。本公司不确认权益工具的公允价值变动额。</w:t>
      </w:r>
    </w:p>
    <w:p>
      <w:pPr>
        <w:spacing w:line="273" w:lineRule="auto" w:before="127"/>
        <w:ind w:left="574"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满足下列条件之一的金融资产，予以终止确认：</w:t>
      </w:r>
      <w:r>
        <w:rPr>
          <w:rFonts w:ascii="宋体" w:hAnsi="宋体" w:cs="宋体" w:eastAsia="宋体" w:hint="default"/>
          <w:spacing w:val="-1"/>
          <w:sz w:val="21"/>
          <w:szCs w:val="21"/>
        </w:rPr>
        <w:t>1)</w:t>
      </w:r>
      <w:r>
        <w:rPr>
          <w:rFonts w:ascii="宋体" w:hAnsi="宋体" w:cs="宋体" w:eastAsia="宋体" w:hint="default"/>
          <w:spacing w:val="-1"/>
          <w:sz w:val="21"/>
          <w:szCs w:val="21"/>
        </w:rPr>
        <w:t>收取该金融资产现金流量的合同权利终止；</w:t>
      </w:r>
      <w:r>
        <w:rPr>
          <w:rFonts w:ascii="宋体" w:hAnsi="宋体" w:cs="宋体" w:eastAsia="宋体" w:hint="default"/>
          <w:spacing w:val="-1"/>
          <w:sz w:val="21"/>
          <w:szCs w:val="21"/>
        </w:rPr>
        <w:t>2)</w:t>
      </w:r>
      <w:r>
        <w:rPr>
          <w:rFonts w:ascii="宋体" w:hAnsi="宋体" w:cs="宋体" w:eastAsia="宋体" w:hint="default"/>
          <w:spacing w:val="-1"/>
          <w:sz w:val="21"/>
          <w:szCs w:val="21"/>
        </w:rPr>
        <w:t>该金</w:t>
      </w:r>
    </w:p>
    <w:p>
      <w:pPr>
        <w:pStyle w:val="BodyText"/>
        <w:spacing w:line="273" w:lineRule="auto"/>
        <w:ind w:left="0" w:right="1109"/>
        <w:jc w:val="right"/>
      </w:pPr>
      <w:r>
        <w:rPr>
          <w:spacing w:val="-1"/>
        </w:rPr>
        <w:t>融资产已转移，且将金融资产所有权上几乎所有的风险和报酬转移给转入方；</w:t>
      </w:r>
      <w:r>
        <w:rPr>
          <w:rFonts w:ascii="宋体" w:hAnsi="宋体" w:cs="宋体" w:eastAsia="宋体" w:hint="default"/>
          <w:spacing w:val="-1"/>
        </w:rPr>
        <w:t>3)</w:t>
      </w:r>
      <w:r>
        <w:rPr>
          <w:spacing w:val="-1"/>
        </w:rPr>
        <w:t>该金融资产已转移，虽然</w:t>
      </w:r>
      <w:r>
        <w:rPr/>
        <w:t> 本公司既没有转移也没有保留金融资产所有权上几乎所有的风险和报酬，但是放弃了对该金融资产控制。 </w:t>
      </w:r>
      <w:r>
        <w:rPr>
          <w:spacing w:val="-1"/>
        </w:rPr>
        <w:t>若本公司既没有转移也没有保留金融资产所有权上几乎所有的风险和报酬，且未放弃对该金融资产的</w:t>
      </w:r>
      <w:r>
        <w:rPr/>
        <w:t> </w:t>
      </w:r>
      <w:r>
        <w:rPr>
          <w:spacing w:val="-1"/>
        </w:rPr>
        <w:t>控制的，则按照继续涉入所转移金融资产的程度确认有关金融资产，并相应确认有关负债。继续涉入所转</w:t>
      </w:r>
    </w:p>
    <w:p>
      <w:pPr>
        <w:pStyle w:val="BodyText"/>
        <w:spacing w:line="273" w:lineRule="auto"/>
        <w:ind w:left="574" w:right="914" w:hanging="420"/>
        <w:jc w:val="left"/>
      </w:pPr>
      <w:r>
        <w:rPr/>
        <w:t>移金融资产的程度，是指该金融资产价值变动使企业面临的风险水平。 </w:t>
      </w:r>
      <w:r>
        <w:rPr>
          <w:spacing w:val="-1"/>
        </w:rPr>
        <w:t>本公司金融资产整体转移满足终止确认条件的，将所转移金融资产的账面价值与因转移而收到的对价</w:t>
      </w:r>
    </w:p>
    <w:p>
      <w:pPr>
        <w:pStyle w:val="BodyText"/>
        <w:spacing w:line="273" w:lineRule="auto"/>
        <w:ind w:left="154" w:right="1131"/>
        <w:jc w:val="both"/>
      </w:pPr>
      <w:r>
        <w:rPr>
          <w:spacing w:val="-1"/>
        </w:rPr>
        <w:t>和原直接计入资本公积的公允价值变动累计额之和的差额部分，计入当期损益。金融资产部分转移满足终</w:t>
      </w:r>
      <w:r>
        <w:rPr>
          <w:spacing w:val="-81"/>
        </w:rPr>
        <w:t> </w:t>
      </w:r>
      <w:r>
        <w:rPr>
          <w:spacing w:val="-81"/>
        </w:rPr>
      </w:r>
      <w:r>
        <w:rPr>
          <w:spacing w:val="-1"/>
        </w:rPr>
        <w:t>止确认条件的，将所转移金融资产整体的账面价值，在终止确认部分和未终止确认部分之间，按照各自的</w:t>
      </w:r>
      <w:r>
        <w:rPr>
          <w:spacing w:val="-83"/>
        </w:rPr>
        <w:t> </w:t>
      </w:r>
      <w:r>
        <w:rPr>
          <w:spacing w:val="-83"/>
        </w:rPr>
      </w:r>
      <w:r>
        <w:rPr>
          <w:spacing w:val="-1"/>
        </w:rPr>
        <w:t>相对公允价值进行分摊，并将终止确认部分的账面价值与终止确认部分的收到对价和原直接计入资本公积</w:t>
      </w:r>
      <w:r>
        <w:rPr>
          <w:spacing w:val="-81"/>
        </w:rPr>
        <w:t> </w:t>
      </w:r>
      <w:r>
        <w:rPr>
          <w:spacing w:val="-81"/>
        </w:rPr>
      </w:r>
      <w:r>
        <w:rPr/>
        <w:t>的公允价值变动累计额之和的差额部分，计入当期损益。</w:t>
      </w:r>
    </w:p>
    <w:p>
      <w:pPr>
        <w:pStyle w:val="BodyText"/>
        <w:spacing w:line="273" w:lineRule="auto"/>
        <w:ind w:left="154" w:right="1131" w:firstLine="420"/>
        <w:jc w:val="both"/>
      </w:pPr>
      <w:r>
        <w:rPr>
          <w:spacing w:val="-1"/>
        </w:rPr>
        <w:t>当本公司具有抵销已确认金融资产和金融负债的法定权利，且目前可执行该种法定权利，同时本公司</w:t>
      </w:r>
      <w:r>
        <w:rPr/>
        <w:t> </w:t>
      </w: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spacing w:line="273" w:lineRule="auto" w:before="127"/>
        <w:ind w:left="573"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）金融负债的分类、确认和计量</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本公司将发行的金融工具根据该金融工具合同安排的实质以及金融负债和权益工具的定义确认为金</w:t>
      </w:r>
    </w:p>
    <w:p>
      <w:pPr>
        <w:pStyle w:val="BodyText"/>
        <w:spacing w:line="273" w:lineRule="auto"/>
        <w:ind w:right="1132"/>
        <w:jc w:val="both"/>
      </w:pPr>
      <w:r>
        <w:rPr>
          <w:spacing w:val="-1"/>
        </w:rPr>
        <w:t>融负债或权益工具。金融负债在初始确认时划分为以公允价值计量且其变动计入当期损益的金融负债和其</w:t>
      </w:r>
      <w:r>
        <w:rPr>
          <w:spacing w:val="-81"/>
        </w:rPr>
        <w:t> </w:t>
      </w:r>
      <w:r>
        <w:rPr>
          <w:spacing w:val="-81"/>
        </w:rPr>
      </w:r>
      <w:r>
        <w:rPr/>
        <w:t>他金融负债。</w:t>
      </w:r>
    </w:p>
    <w:p>
      <w:pPr>
        <w:pStyle w:val="BodyText"/>
        <w:spacing w:line="273" w:lineRule="auto"/>
        <w:ind w:right="1132" w:firstLine="420"/>
        <w:jc w:val="both"/>
      </w:pPr>
      <w:r>
        <w:rPr>
          <w:spacing w:val="-1"/>
        </w:rPr>
        <w:t>以公允价值计量且其变动计入当期损益的金融负债，包括交易性金融负债和指定为以公允价值计量且</w:t>
      </w:r>
      <w:r>
        <w:rPr/>
        <w:t> 其变动计入当期损益的金融负债。</w:t>
      </w:r>
    </w:p>
    <w:p>
      <w:pPr>
        <w:pStyle w:val="BodyText"/>
        <w:spacing w:line="273" w:lineRule="auto"/>
        <w:ind w:right="1130" w:firstLine="420"/>
        <w:jc w:val="both"/>
      </w:pPr>
      <w:r>
        <w:rPr>
          <w:spacing w:val="-1"/>
        </w:rPr>
        <w:t>满足下列条件之一的金融负债划分为交易性金融负债：</w:t>
      </w:r>
      <w:r>
        <w:rPr>
          <w:rFonts w:ascii="宋体" w:hAnsi="宋体" w:cs="宋体" w:eastAsia="宋体" w:hint="default"/>
          <w:spacing w:val="-1"/>
        </w:rPr>
        <w:t>1)</w:t>
      </w:r>
      <w:r>
        <w:rPr>
          <w:spacing w:val="-1"/>
        </w:rPr>
        <w:t>承担该金融负债的目的，主要是为了近期内</w:t>
      </w:r>
      <w:r>
        <w:rPr/>
        <w:t> </w:t>
      </w:r>
      <w:r>
        <w:rPr>
          <w:spacing w:val="-1"/>
        </w:rPr>
        <w:t>回购；</w:t>
      </w:r>
      <w:r>
        <w:rPr>
          <w:rFonts w:ascii="宋体" w:hAnsi="宋体" w:cs="宋体" w:eastAsia="宋体" w:hint="default"/>
          <w:spacing w:val="-1"/>
        </w:rPr>
        <w:t>2)</w:t>
      </w:r>
      <w:r>
        <w:rPr>
          <w:spacing w:val="-1"/>
        </w:rPr>
        <w:t>初始确认时即属于进行集中管理的可辨认金融工具组合的一部分，且有客观证据表明本公司近期</w:t>
      </w:r>
      <w:r>
        <w:rPr>
          <w:spacing w:val="-82"/>
        </w:rPr>
        <w:t> </w:t>
      </w:r>
      <w:r>
        <w:rPr>
          <w:spacing w:val="-82"/>
        </w:rPr>
      </w:r>
      <w:r>
        <w:rPr>
          <w:spacing w:val="-1"/>
        </w:rPr>
        <w:t>采用短期获利方式对该组合进行管理；</w:t>
      </w:r>
      <w:r>
        <w:rPr>
          <w:rFonts w:ascii="宋体" w:hAnsi="宋体" w:cs="宋体" w:eastAsia="宋体" w:hint="default"/>
          <w:spacing w:val="-1"/>
        </w:rPr>
        <w:t>3)</w:t>
      </w:r>
      <w:r>
        <w:rPr>
          <w:spacing w:val="-1"/>
        </w:rPr>
        <w:t>属于衍生工具，但是被指定且为有效套期工具的衍生工具、属于</w:t>
      </w:r>
      <w:r>
        <w:rPr>
          <w:spacing w:val="-82"/>
        </w:rPr>
        <w:t> </w:t>
      </w:r>
      <w:r>
        <w:rPr>
          <w:spacing w:val="-82"/>
        </w:rPr>
      </w:r>
      <w:r>
        <w:rPr>
          <w:spacing w:val="-1"/>
        </w:rPr>
        <w:t>财务担保合同的衍生工具、与在活跃市场中没有报价且其公允价值不能可靠计量的权益工具投资挂钩并须</w:t>
      </w:r>
      <w:r>
        <w:rPr>
          <w:spacing w:val="-81"/>
        </w:rPr>
        <w:t> </w:t>
      </w:r>
      <w:r>
        <w:rPr>
          <w:spacing w:val="-81"/>
        </w:rPr>
      </w:r>
      <w:r>
        <w:rPr/>
        <w:t>通过交付该权益工具结算的衍生工具除外。</w:t>
      </w:r>
    </w:p>
    <w:p>
      <w:pPr>
        <w:pStyle w:val="BodyText"/>
        <w:spacing w:line="273" w:lineRule="auto"/>
        <w:ind w:right="1130" w:firstLine="420"/>
        <w:jc w:val="both"/>
      </w:pPr>
      <w:r>
        <w:rPr>
          <w:spacing w:val="-1"/>
        </w:rPr>
        <w:t>符合下列条件之一的金融负债，在初始确认时可以指定为以公允价值计量且其变动计入当期损益的金</w:t>
      </w:r>
      <w:r>
        <w:rPr/>
        <w:t> </w:t>
      </w:r>
      <w:r>
        <w:rPr>
          <w:spacing w:val="-1"/>
        </w:rPr>
        <w:t>融负债：</w:t>
      </w:r>
      <w:r>
        <w:rPr>
          <w:rFonts w:ascii="宋体" w:hAnsi="宋体" w:cs="宋体" w:eastAsia="宋体" w:hint="default"/>
          <w:spacing w:val="-1"/>
        </w:rPr>
        <w:t>1)</w:t>
      </w:r>
      <w:r>
        <w:rPr>
          <w:spacing w:val="-1"/>
        </w:rPr>
        <w:t>该指定可以消除或明显减少由于该金融负债的计量基础不同所导致的相关利得或损失在确认和</w:t>
      </w:r>
      <w:r>
        <w:rPr>
          <w:spacing w:val="-81"/>
        </w:rPr>
        <w:t> </w:t>
      </w:r>
      <w:r>
        <w:rPr>
          <w:spacing w:val="-1"/>
        </w:rPr>
        <w:t>计量方面不一致的情况；</w:t>
      </w:r>
      <w:r>
        <w:rPr>
          <w:rFonts w:ascii="宋体" w:hAnsi="宋体" w:cs="宋体" w:eastAsia="宋体" w:hint="default"/>
          <w:spacing w:val="-1"/>
        </w:rPr>
        <w:t>2)</w:t>
      </w:r>
      <w:r>
        <w:rPr>
          <w:spacing w:val="-1"/>
        </w:rPr>
        <w:t>本公司风险管理或投资策略的正式书面文件已载明，该金融负债所在的金融负</w:t>
      </w:r>
      <w:r>
        <w:rPr>
          <w:spacing w:val="-82"/>
        </w:rPr>
        <w:t> </w:t>
      </w:r>
      <w:r>
        <w:rPr>
          <w:spacing w:val="-82"/>
        </w:rPr>
      </w:r>
      <w:r>
        <w:rPr>
          <w:spacing w:val="-1"/>
        </w:rPr>
        <w:t>债组合或金融资产和金融负债组合以公允价值为基础进行管理、评价并向关键管理人员报告；</w:t>
      </w:r>
      <w:r>
        <w:rPr>
          <w:rFonts w:ascii="宋体" w:hAnsi="宋体" w:cs="宋体" w:eastAsia="宋体" w:hint="default"/>
          <w:spacing w:val="-1"/>
        </w:rPr>
        <w:t>3)</w:t>
      </w:r>
      <w:r>
        <w:rPr>
          <w:spacing w:val="-1"/>
        </w:rPr>
        <w:t>《企业会</w:t>
      </w:r>
      <w:r>
        <w:rPr>
          <w:spacing w:val="-82"/>
        </w:rPr>
        <w:t> </w:t>
      </w:r>
      <w:r>
        <w:rPr>
          <w:spacing w:val="-82"/>
        </w:rPr>
      </w:r>
      <w:r>
        <w:rPr>
          <w:spacing w:val="-1"/>
        </w:rPr>
        <w:t>计准则第</w:t>
      </w:r>
      <w:r>
        <w:rPr>
          <w:rFonts w:ascii="宋体" w:hAnsi="宋体" w:cs="宋体" w:eastAsia="宋体" w:hint="default"/>
          <w:spacing w:val="-1"/>
        </w:rPr>
        <w:t>22</w:t>
      </w:r>
      <w:r>
        <w:rPr>
          <w:spacing w:val="-1"/>
        </w:rPr>
        <w:t>号—金融工具确认和计量》允许指定为以公允价值计量且其变动计入当期损益的金融负债的与</w:t>
      </w:r>
      <w:r>
        <w:rPr>
          <w:spacing w:val="-81"/>
        </w:rPr>
        <w:t> </w:t>
      </w:r>
      <w:r>
        <w:rPr>
          <w:spacing w:val="-81"/>
        </w:rPr>
      </w:r>
      <w:r>
        <w:rPr/>
        <w:t>嵌入衍生工具相关的混合工具。</w:t>
      </w:r>
    </w:p>
    <w:p>
      <w:pPr>
        <w:pStyle w:val="BodyText"/>
        <w:spacing w:line="240" w:lineRule="auto"/>
        <w:ind w:left="574" w:right="914"/>
        <w:jc w:val="left"/>
      </w:pPr>
      <w:r>
        <w:rPr/>
        <w:t>以公允价值计量且其变动计入当期损益的金融负债采用公允价值进行后续计量，公允价值变动形成的</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3" w:right="914" w:hanging="420"/>
        <w:jc w:val="left"/>
      </w:pPr>
      <w:r>
        <w:rPr/>
        <w:t>利得或损失以及与该等金融负债相关的股利和利息支出计入当期损益。 </w:t>
      </w:r>
      <w:r>
        <w:rPr>
          <w:spacing w:val="-1"/>
        </w:rPr>
        <w:t>其他金融负债：与在活跃市场中没有报价、公允价值不能可靠计量的权益工具挂钩并须通过交付该权</w:t>
      </w:r>
    </w:p>
    <w:p>
      <w:pPr>
        <w:pStyle w:val="BodyText"/>
        <w:spacing w:line="273" w:lineRule="auto"/>
        <w:ind w:right="914"/>
        <w:jc w:val="left"/>
      </w:pPr>
      <w:r>
        <w:rPr>
          <w:spacing w:val="-1"/>
        </w:rPr>
        <w:t>益工具结算的衍生金融负债，按照成本进行后续计量。除财务担保合同负债外的其他金融负债采用实际利</w:t>
      </w:r>
      <w:r>
        <w:rPr>
          <w:spacing w:val="-81"/>
        </w:rPr>
        <w:t> </w:t>
      </w:r>
      <w:r>
        <w:rPr>
          <w:spacing w:val="-81"/>
        </w:rPr>
      </w:r>
      <w:r>
        <w:rPr/>
        <w:t>率法，按摊余成本进行后续计量，终止确认或摊销产生的利得或损失计入当期损益。</w:t>
      </w:r>
    </w:p>
    <w:p>
      <w:pPr>
        <w:pStyle w:val="BodyText"/>
        <w:spacing w:line="273" w:lineRule="auto" w:before="8"/>
        <w:ind w:right="1131" w:firstLine="420"/>
        <w:jc w:val="both"/>
      </w:pPr>
      <w:r>
        <w:rPr>
          <w:spacing w:val="-1"/>
        </w:rPr>
        <w:t>财务担保合同：指保证人和债权人约定，当债务人不履行债务时，保证人按照约定履行债务或者承担</w:t>
      </w:r>
      <w:r>
        <w:rPr/>
        <w:t> </w:t>
      </w:r>
      <w:r>
        <w:rPr>
          <w:spacing w:val="-1"/>
        </w:rPr>
        <w:t>责任的合同。不属于指定为以公允价值计量且其变动计入当期损益的金融负债的财务担保合同，或没有指</w:t>
      </w:r>
      <w:r>
        <w:rPr>
          <w:spacing w:val="-81"/>
        </w:rPr>
        <w:t> </w:t>
      </w:r>
      <w:r>
        <w:rPr>
          <w:spacing w:val="-81"/>
        </w:rPr>
      </w:r>
      <w:r>
        <w:rPr>
          <w:spacing w:val="-1"/>
        </w:rPr>
        <w:t>定为以公允价值计量且其变动计入当期损益并将以低于市场利率贷款的贷款承诺，以公允价值减直接归属</w:t>
      </w:r>
      <w:r>
        <w:rPr>
          <w:spacing w:val="-81"/>
        </w:rPr>
        <w:t> </w:t>
      </w:r>
      <w:r>
        <w:rPr>
          <w:spacing w:val="-81"/>
        </w:rPr>
      </w:r>
      <w:r>
        <w:rPr>
          <w:spacing w:val="-1"/>
        </w:rPr>
        <w:t>的交易费用进行初始确认，在初始确认后按照《企业会计准则第</w:t>
      </w:r>
      <w:r>
        <w:rPr>
          <w:rFonts w:ascii="宋体" w:hAnsi="宋体" w:cs="宋体" w:eastAsia="宋体" w:hint="default"/>
          <w:spacing w:val="-1"/>
        </w:rPr>
        <w:t>13</w:t>
      </w:r>
      <w:r>
        <w:rPr>
          <w:spacing w:val="-1"/>
        </w:rPr>
        <w:t>号—或有事项》确定的金额和初始确认</w:t>
      </w:r>
      <w:r>
        <w:rPr>
          <w:spacing w:val="-84"/>
        </w:rPr>
        <w:t> </w:t>
      </w:r>
      <w:r>
        <w:rPr>
          <w:spacing w:val="-84"/>
        </w:rPr>
      </w:r>
      <w:r>
        <w:rPr>
          <w:spacing w:val="-1"/>
        </w:rPr>
        <w:t>金额扣除按照《企业会计准则第</w:t>
      </w:r>
      <w:r>
        <w:rPr>
          <w:rFonts w:ascii="宋体" w:hAnsi="宋体" w:cs="宋体" w:eastAsia="宋体" w:hint="default"/>
          <w:spacing w:val="-1"/>
        </w:rPr>
        <w:t>14</w:t>
      </w:r>
      <w:r>
        <w:rPr>
          <w:spacing w:val="-1"/>
        </w:rPr>
        <w:t>号—收入》的原则确定的累计摊销额后的余额之中的较高者进行后续计</w:t>
      </w:r>
      <w:r>
        <w:rPr>
          <w:spacing w:val="-81"/>
        </w:rPr>
        <w:t> </w:t>
      </w:r>
      <w:r>
        <w:rPr>
          <w:spacing w:val="-81"/>
        </w:rPr>
      </w:r>
      <w:r>
        <w:rPr/>
        <w:t>量。</w:t>
      </w:r>
    </w:p>
    <w:p>
      <w:pPr>
        <w:pStyle w:val="BodyText"/>
        <w:spacing w:line="273" w:lineRule="auto"/>
        <w:ind w:right="1018" w:firstLine="420"/>
        <w:jc w:val="left"/>
      </w:pPr>
      <w:r>
        <w:rPr>
          <w:spacing w:val="-3"/>
        </w:rPr>
        <w:t>金融负债的终止确认：金融负债的现时义务全部或部分已经解除的，终止确认该金融负债或其一部分。</w:t>
      </w:r>
      <w:r>
        <w:rPr/>
        <w:t> 本公司</w:t>
      </w:r>
      <w:r>
        <w:rPr>
          <w:rFonts w:ascii="宋体" w:hAnsi="宋体" w:cs="宋体" w:eastAsia="宋体" w:hint="default"/>
        </w:rPr>
        <w:t>(</w:t>
      </w:r>
      <w:r>
        <w:rPr/>
        <w:t>债务人</w:t>
      </w:r>
      <w:r>
        <w:rPr>
          <w:rFonts w:ascii="宋体" w:hAnsi="宋体" w:cs="宋体" w:eastAsia="宋体" w:hint="default"/>
        </w:rPr>
        <w:t>)</w:t>
      </w:r>
      <w:r>
        <w:rPr/>
        <w:t>与债权人之间签订协议，以承担新金融负债方式替换现存金融负债，且新金融负债与现存 金融负债的合同条款实质上不同的，终止确认现存金融负债，并同时确认新金融负债。金融负债全部或部 分终止确认的，将终止确认部分的账面价值与支付的对价</w:t>
      </w:r>
      <w:r>
        <w:rPr>
          <w:rFonts w:ascii="宋体" w:hAnsi="宋体" w:cs="宋体" w:eastAsia="宋体" w:hint="default"/>
        </w:rPr>
        <w:t>(</w:t>
      </w:r>
      <w:r>
        <w:rPr/>
        <w:t>包括转出的非现金资产或承担的新金融负债</w:t>
      </w:r>
      <w:r>
        <w:rPr>
          <w:rFonts w:ascii="宋体" w:hAnsi="宋体" w:cs="宋体" w:eastAsia="宋体" w:hint="default"/>
        </w:rPr>
        <w:t>)</w:t>
      </w:r>
      <w:r>
        <w:rPr/>
        <w:t>之 间的差额，计入当期损益。</w:t>
      </w:r>
    </w:p>
    <w:p>
      <w:pPr>
        <w:pStyle w:val="BodyText"/>
        <w:spacing w:line="273" w:lineRule="auto" w:before="127"/>
        <w:ind w:left="573" w:right="1093" w:firstLine="2"/>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）金融资产减值</w:t>
      </w:r>
      <w:r>
        <w:rPr>
          <w:rFonts w:ascii="宋体" w:hAnsi="宋体" w:cs="宋体" w:eastAsia="宋体" w:hint="default"/>
          <w:b/>
          <w:bCs/>
          <w:w w:val="99"/>
        </w:rPr>
        <w:t> </w:t>
      </w:r>
      <w:r>
        <w:rPr/>
        <w:t>公司在资产负债表日对以公允价值计量且其变动计入当期损益以外的金融资产的账面价值进行检查，</w:t>
      </w:r>
    </w:p>
    <w:p>
      <w:pPr>
        <w:pStyle w:val="BodyText"/>
        <w:spacing w:line="273" w:lineRule="auto"/>
        <w:ind w:left="573" w:right="914" w:hanging="420"/>
        <w:jc w:val="left"/>
      </w:pPr>
      <w:r>
        <w:rPr/>
        <w:t>有客观证据表明该金融资产发生减值的，确认减值损失，计提减值准备。 </w:t>
      </w:r>
      <w:r>
        <w:rPr>
          <w:rFonts w:ascii="宋体" w:hAnsi="宋体" w:cs="宋体" w:eastAsia="宋体" w:hint="default"/>
        </w:rPr>
        <w:t>1</w:t>
      </w:r>
      <w:r>
        <w:rPr/>
        <w:t>）对单项金额重大的金融资产单独进行减值测试；对单项金额不重大的金融资产，包括在具有类似</w:t>
      </w:r>
    </w:p>
    <w:p>
      <w:pPr>
        <w:pStyle w:val="BodyText"/>
        <w:spacing w:line="273" w:lineRule="auto"/>
        <w:ind w:right="914"/>
        <w:jc w:val="left"/>
      </w:pPr>
      <w:r>
        <w:rPr>
          <w:spacing w:val="-1"/>
        </w:rPr>
        <w:t>信用风险特征的金融资产组合中进行减值测试；单独测试未发生减值的金融资产（包括单项金额重大和不</w:t>
      </w:r>
      <w:r>
        <w:rPr>
          <w:spacing w:val="-81"/>
        </w:rPr>
        <w:t> </w:t>
      </w:r>
      <w:r>
        <w:rPr>
          <w:spacing w:val="-81"/>
        </w:rPr>
      </w:r>
      <w:r>
        <w:rPr>
          <w:spacing w:val="-3"/>
        </w:rPr>
        <w:t>重大的金融资产），包括在具有类似信用风险特征的金融资产组合中进行减值测试。</w:t>
      </w:r>
    </w:p>
    <w:p>
      <w:pPr>
        <w:pStyle w:val="BodyText"/>
        <w:spacing w:line="273" w:lineRule="auto"/>
        <w:ind w:right="1110" w:firstLine="420"/>
        <w:jc w:val="both"/>
      </w:pPr>
      <w:r>
        <w:rPr>
          <w:rFonts w:ascii="宋体" w:hAnsi="宋体" w:cs="宋体" w:eastAsia="宋体" w:hint="default"/>
        </w:rPr>
        <w:t>2</w:t>
      </w:r>
      <w:r>
        <w:rPr/>
        <w:t>）按摊余成本计量的金融资产，期末有客观证据表明其发生了减值的，根据其账面价值与预计未来 </w:t>
      </w:r>
      <w:r>
        <w:rPr>
          <w:spacing w:val="-1"/>
        </w:rPr>
        <w:t>现金流量现值之间的差额确认减值损失。在活跃市场中没有报价且其公允价值不能可靠计量的权益工具投</w:t>
      </w:r>
      <w:r>
        <w:rPr>
          <w:spacing w:val="-81"/>
        </w:rPr>
        <w:t> </w:t>
      </w:r>
      <w:r>
        <w:rPr>
          <w:spacing w:val="-81"/>
        </w:rPr>
      </w:r>
      <w:r>
        <w:rPr>
          <w:spacing w:val="-1"/>
        </w:rPr>
        <w:t>资，或与该权益工具挂钩并须通过交付该权益工具结算的衍生金融资产发生减值时，将该权益工具投资或</w:t>
      </w:r>
      <w:r>
        <w:rPr>
          <w:spacing w:val="-81"/>
        </w:rPr>
        <w:t> </w:t>
      </w:r>
      <w:r>
        <w:rPr>
          <w:spacing w:val="-81"/>
        </w:rPr>
      </w:r>
      <w:r>
        <w:rPr>
          <w:spacing w:val="-1"/>
        </w:rPr>
        <w:t>衍生金融资产的账面价值，与按照类似金融资产当时市场收益率对未来现金流量折现确定的现值之间的差</w:t>
      </w:r>
      <w:r>
        <w:rPr>
          <w:spacing w:val="-81"/>
        </w:rPr>
        <w:t> </w:t>
      </w:r>
      <w:r>
        <w:rPr>
          <w:spacing w:val="-81"/>
        </w:rPr>
      </w:r>
      <w:r>
        <w:rPr/>
        <w:t>额，确认为减值损失。可供出售金融资产的公允价值发生较大幅度下降且预期下降趋势属于非暂时性时， 确认其减值损失，并将原直接计入所有者权益的公允价值累计损失一并转出计入减值损失。</w:t>
      </w:r>
    </w:p>
    <w:p>
      <w:pPr>
        <w:pStyle w:val="BodyText"/>
        <w:spacing w:line="240" w:lineRule="auto"/>
        <w:ind w:left="573" w:right="914"/>
        <w:jc w:val="left"/>
      </w:pPr>
      <w:r>
        <w:rPr>
          <w:rFonts w:ascii="宋体" w:hAnsi="宋体" w:cs="宋体" w:eastAsia="宋体" w:hint="default"/>
        </w:rPr>
        <w:t>3</w:t>
      </w:r>
      <w:r>
        <w:rPr/>
        <w:t>）可供出售金融资产减值的具体标准</w:t>
      </w:r>
    </w:p>
    <w:p>
      <w:pPr>
        <w:pStyle w:val="BodyText"/>
        <w:spacing w:line="256" w:lineRule="auto" w:before="78"/>
        <w:ind w:right="1130" w:firstLine="420"/>
        <w:jc w:val="both"/>
        <w:rPr>
          <w:rFonts w:ascii="宋体" w:hAnsi="宋体" w:cs="宋体" w:eastAsia="宋体" w:hint="default"/>
        </w:rPr>
      </w:pPr>
      <w:r>
        <w:rPr>
          <w:spacing w:val="-3"/>
          <w:w w:val="100"/>
        </w:rPr>
        <w:t>①、公司对可供出售金融资产的公允价值下跌</w:t>
      </w:r>
      <w:r>
        <w:rPr>
          <w:rFonts w:ascii="Times New Roman" w:hAnsi="Times New Roman" w:cs="Times New Roman" w:eastAsia="Times New Roman" w:hint="default"/>
          <w:spacing w:val="-3"/>
          <w:w w:val="100"/>
        </w:rPr>
        <w:t>“</w:t>
      </w:r>
      <w:r>
        <w:rPr>
          <w:spacing w:val="-3"/>
          <w:w w:val="100"/>
        </w:rPr>
        <w:t>严重</w:t>
      </w:r>
      <w:r>
        <w:rPr>
          <w:rFonts w:ascii="Times New Roman" w:hAnsi="Times New Roman" w:cs="Times New Roman" w:eastAsia="Times New Roman" w:hint="default"/>
          <w:spacing w:val="-3"/>
          <w:w w:val="100"/>
        </w:rPr>
        <w:t>”</w:t>
      </w:r>
      <w:r>
        <w:rPr>
          <w:spacing w:val="-3"/>
          <w:w w:val="100"/>
        </w:rPr>
        <w:t>的标准为</w:t>
      </w:r>
      <w:r>
        <w:rPr>
          <w:rFonts w:ascii="宋体" w:hAnsi="宋体" w:cs="宋体" w:eastAsia="宋体" w:hint="default"/>
          <w:spacing w:val="-3"/>
          <w:w w:val="100"/>
        </w:rPr>
        <w:t>:</w:t>
      </w:r>
      <w:r>
        <w:rPr>
          <w:spacing w:val="-3"/>
          <w:w w:val="100"/>
        </w:rPr>
        <w:t>期末公允价值相对于成本的下跌幅度已</w:t>
      </w:r>
      <w:r>
        <w:rPr/>
        <w:t> 达到或超过</w:t>
      </w:r>
      <w:r>
        <w:rPr>
          <w:spacing w:val="-52"/>
        </w:rPr>
        <w:t> </w:t>
      </w:r>
      <w:r>
        <w:rPr>
          <w:rFonts w:ascii="宋体" w:hAnsi="宋体" w:cs="宋体" w:eastAsia="宋体" w:hint="default"/>
        </w:rPr>
        <w:t>50%;</w:t>
      </w:r>
    </w:p>
    <w:p>
      <w:pPr>
        <w:pStyle w:val="BodyText"/>
        <w:spacing w:line="240" w:lineRule="auto" w:before="63"/>
        <w:ind w:left="573" w:right="914"/>
        <w:jc w:val="left"/>
        <w:rPr>
          <w:rFonts w:ascii="宋体" w:hAnsi="宋体" w:cs="宋体" w:eastAsia="宋体" w:hint="default"/>
        </w:rPr>
      </w:pPr>
      <w:r>
        <w:rPr/>
        <w:t>②、公允价值下跌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w:t>
      </w:r>
      <w:r>
        <w:rPr>
          <w:rFonts w:ascii="宋体" w:hAnsi="宋体" w:cs="宋体" w:eastAsia="宋体" w:hint="default"/>
        </w:rPr>
        <w:t>:</w:t>
      </w:r>
      <w:r>
        <w:rPr/>
        <w:t>连续</w:t>
      </w:r>
      <w:r>
        <w:rPr>
          <w:spacing w:val="-54"/>
        </w:rPr>
        <w:t> </w:t>
      </w:r>
      <w:r>
        <w:rPr>
          <w:rFonts w:ascii="宋体" w:hAnsi="宋体" w:cs="宋体" w:eastAsia="宋体" w:hint="default"/>
        </w:rPr>
        <w:t>12</w:t>
      </w:r>
      <w:r>
        <w:rPr>
          <w:rFonts w:ascii="宋体" w:hAnsi="宋体" w:cs="宋体" w:eastAsia="宋体" w:hint="default"/>
          <w:spacing w:val="-54"/>
        </w:rPr>
        <w:t> </w:t>
      </w:r>
      <w:r>
        <w:rPr/>
        <w:t>个月出现下跌</w:t>
      </w:r>
      <w:r>
        <w:rPr>
          <w:rFonts w:ascii="宋体" w:hAnsi="宋体" w:cs="宋体" w:eastAsia="宋体" w:hint="default"/>
        </w:rPr>
        <w:t>;</w:t>
      </w:r>
    </w:p>
    <w:p>
      <w:pPr>
        <w:pStyle w:val="BodyText"/>
        <w:spacing w:line="273" w:lineRule="auto" w:before="59"/>
        <w:ind w:left="154" w:right="1132" w:firstLine="420"/>
        <w:jc w:val="both"/>
        <w:rPr>
          <w:rFonts w:ascii="宋体" w:hAnsi="宋体" w:cs="宋体" w:eastAsia="宋体" w:hint="default"/>
        </w:rPr>
      </w:pPr>
      <w:r>
        <w:rPr>
          <w:spacing w:val="-1"/>
        </w:rPr>
        <w:t>③、投资成本的计算方法为</w:t>
      </w:r>
      <w:r>
        <w:rPr>
          <w:rFonts w:ascii="宋体" w:hAnsi="宋体" w:cs="宋体" w:eastAsia="宋体" w:hint="default"/>
          <w:spacing w:val="-1"/>
        </w:rPr>
        <w:t>:</w:t>
      </w:r>
      <w:r>
        <w:rPr>
          <w:spacing w:val="-1"/>
        </w:rPr>
        <w:t>取得时交易价格</w:t>
      </w:r>
      <w:r>
        <w:rPr>
          <w:rFonts w:ascii="宋体" w:hAnsi="宋体" w:cs="宋体" w:eastAsia="宋体" w:hint="default"/>
          <w:spacing w:val="-1"/>
        </w:rPr>
        <w:t>(</w:t>
      </w:r>
      <w:r>
        <w:rPr>
          <w:spacing w:val="-1"/>
        </w:rPr>
        <w:t>扣除已宣告但尚未发放的现金股利或已到付息期但尚未</w:t>
      </w:r>
      <w:r>
        <w:rPr/>
        <w:t> 领取的债券利息</w:t>
      </w:r>
      <w:r>
        <w:rPr>
          <w:rFonts w:ascii="宋体" w:hAnsi="宋体" w:cs="宋体" w:eastAsia="宋体" w:hint="default"/>
        </w:rPr>
        <w:t>)</w:t>
      </w:r>
      <w:r>
        <w:rPr/>
        <w:t>和相关交易费用之和作为投资成本</w:t>
      </w:r>
      <w:r>
        <w:rPr>
          <w:rFonts w:ascii="宋体" w:hAnsi="宋体" w:cs="宋体" w:eastAsia="宋体" w:hint="default"/>
        </w:rPr>
        <w:t>;</w:t>
      </w:r>
    </w:p>
    <w:p>
      <w:pPr>
        <w:pStyle w:val="BodyText"/>
        <w:spacing w:line="273" w:lineRule="auto"/>
        <w:ind w:left="154" w:right="1197" w:firstLine="420"/>
        <w:jc w:val="left"/>
      </w:pPr>
      <w:r>
        <w:rPr/>
        <w:t>④、持续下跌期间的确定依据为</w:t>
      </w:r>
      <w:r>
        <w:rPr>
          <w:rFonts w:ascii="宋体" w:hAnsi="宋体" w:cs="宋体" w:eastAsia="宋体" w:hint="default"/>
        </w:rPr>
        <w:t>:</w:t>
      </w:r>
      <w:r>
        <w:rPr/>
        <w:t>连续下跌或在下跌趋势持续期间反弹上扬幅度低于</w:t>
      </w:r>
      <w:r>
        <w:rPr>
          <w:rFonts w:ascii="宋体" w:hAnsi="宋体" w:cs="宋体" w:eastAsia="宋体" w:hint="default"/>
        </w:rPr>
        <w:t>30%,</w:t>
      </w:r>
      <w:r>
        <w:rPr/>
        <w:t>反弹持续时 间未超过</w:t>
      </w:r>
      <w:r>
        <w:rPr>
          <w:rFonts w:ascii="宋体" w:hAnsi="宋体" w:cs="宋体" w:eastAsia="宋体" w:hint="default"/>
        </w:rPr>
        <w:t>6</w:t>
      </w:r>
      <w:r>
        <w:rPr/>
        <w:t>个月的均作为持续下跌期间。</w:t>
      </w:r>
    </w:p>
    <w:p>
      <w:pPr>
        <w:spacing w:line="240" w:lineRule="auto" w:before="8"/>
        <w:rPr>
          <w:rFonts w:ascii="宋体" w:hAnsi="宋体" w:cs="宋体" w:eastAsia="宋体" w:hint="default"/>
          <w:sz w:val="23"/>
          <w:szCs w:val="23"/>
        </w:rPr>
      </w:pPr>
    </w:p>
    <w:p>
      <w:pPr>
        <w:pStyle w:val="Heading4"/>
        <w:spacing w:line="240" w:lineRule="auto"/>
        <w:ind w:right="914"/>
        <w:jc w:val="left"/>
        <w:rPr>
          <w:b w:val="0"/>
          <w:bCs w:val="0"/>
        </w:rPr>
      </w:pPr>
      <w:bookmarkStart w:name="11、应收款项" w:id="167"/>
      <w:bookmarkEnd w:id="167"/>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单项金额重大并单独计提坏账准备的应收款项" w:id="168"/>
      <w:bookmarkEnd w:id="16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103" w:right="214"/>
              <w:jc w:val="left"/>
              <w:rPr>
                <w:rFonts w:ascii="宋体" w:hAnsi="宋体" w:cs="宋体" w:eastAsia="宋体" w:hint="default"/>
                <w:sz w:val="18"/>
                <w:szCs w:val="18"/>
              </w:rPr>
            </w:pPr>
            <w:r>
              <w:rPr>
                <w:rFonts w:ascii="宋体" w:hAnsi="宋体" w:cs="宋体" w:eastAsia="宋体" w:hint="default"/>
                <w:sz w:val="18"/>
                <w:szCs w:val="18"/>
              </w:rPr>
              <w:t>本公司单笔金额占应收款项余额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以上且单笔金额在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万元以上的应收款项，确定为单项金额重大的应收款 项。</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22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在资产负债表日，本公司对单项金额重大的应收款项单独 进行减值测试，经测试发生了减值的，按其未来现金流量 现值低于其账面价值的差额，确定减值损失，计提坏账准 备；对单项测试未减值的应收款项，汇同对单项金额非重 大的应收款项，按类似的信用风险特征划分为若干组合， 再按这些应收款项组合在资产负债表日余额的一定比例计 算确定减值损失，计提坏账准备。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914"/>
        <w:jc w:val="left"/>
        <w:rPr>
          <w:b w:val="0"/>
          <w:bCs w:val="0"/>
        </w:rPr>
      </w:pPr>
      <w:bookmarkStart w:name="（2）按信用风险特征组合计提坏账准备的应收款项" w:id="169"/>
      <w:bookmarkEnd w:id="16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帐龄分析法计提坏帐准备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57" w:lineRule="auto" w:before="117"/>
        <w:ind w:left="154" w:right="75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w:t>
      </w:r>
    </w:p>
    <w:p>
      <w:pPr>
        <w:spacing w:before="28"/>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right="914"/>
        <w:jc w:val="left"/>
        <w:rPr>
          <w:b w:val="0"/>
          <w:bCs w:val="0"/>
        </w:rPr>
      </w:pPr>
      <w:bookmarkStart w:name="（3）单项金额上重大但单独计提坏账准备的应收款项" w:id="170"/>
      <w:bookmarkEnd w:id="17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68"/>
              <w:jc w:val="both"/>
              <w:rPr>
                <w:rFonts w:ascii="宋体" w:hAnsi="宋体" w:cs="宋体" w:eastAsia="宋体" w:hint="default"/>
                <w:sz w:val="18"/>
                <w:szCs w:val="18"/>
              </w:rPr>
            </w:pPr>
            <w:r>
              <w:rPr>
                <w:rFonts w:ascii="宋体" w:hAnsi="宋体" w:cs="宋体" w:eastAsia="宋体" w:hint="default"/>
                <w:sz w:val="18"/>
                <w:szCs w:val="18"/>
              </w:rPr>
              <w:t>如果有迹象表明某项应收款项的可收回性与该账龄段其它 应收款项存在明显差别，导致该项应收款项如果按照既定 比例计提坏账准备，无法真实反映其可收回金额的。</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采用个别认定法计提坏账准备。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914"/>
        <w:jc w:val="left"/>
        <w:rPr>
          <w:b w:val="0"/>
          <w:bCs w:val="0"/>
        </w:rPr>
      </w:pPr>
      <w:bookmarkStart w:name="12、存货" w:id="171"/>
      <w:bookmarkEnd w:id="171"/>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3192"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）存货分类</w:t>
      </w:r>
      <w:r>
        <w:rPr>
          <w:rFonts w:ascii="宋体" w:hAnsi="宋体" w:cs="宋体" w:eastAsia="宋体" w:hint="default"/>
          <w:b/>
          <w:bCs/>
          <w:w w:val="99"/>
        </w:rPr>
        <w:t> </w:t>
      </w:r>
      <w:r>
        <w:rPr/>
        <w:t>公司存货包括生产经营过程中为销售或耗用而持有的原材料、低值易耗品等。</w:t>
      </w:r>
    </w:p>
    <w:p>
      <w:pPr>
        <w:spacing w:line="273" w:lineRule="auto" w:before="7"/>
        <w:ind w:left="573" w:right="32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）存货取得和发出的计价方法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）原材料中主要材料入库时按实际成本记账，发出时采用加权平均法核算。</w:t>
      </w:r>
    </w:p>
    <w:p>
      <w:pPr>
        <w:pStyle w:val="BodyText"/>
        <w:spacing w:line="240" w:lineRule="auto"/>
        <w:ind w:left="573" w:right="914"/>
        <w:jc w:val="left"/>
      </w:pPr>
      <w:r>
        <w:rPr>
          <w:rFonts w:ascii="宋体" w:hAnsi="宋体" w:cs="宋体" w:eastAsia="宋体" w:hint="default"/>
        </w:rPr>
        <w:t>2</w:t>
      </w:r>
      <w:r>
        <w:rPr/>
        <w:t>）低值易耗品采用一次摊销法核算。</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73" w:lineRule="auto" w:before="35"/>
        <w:ind w:left="694" w:right="6222" w:hanging="118"/>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）存货数量的盘存方法</w:t>
      </w:r>
      <w:r>
        <w:rPr>
          <w:rFonts w:ascii="宋体" w:hAnsi="宋体" w:cs="宋体" w:eastAsia="宋体" w:hint="default"/>
          <w:b/>
          <w:bCs/>
          <w:w w:val="99"/>
          <w:sz w:val="21"/>
          <w:szCs w:val="21"/>
        </w:rPr>
        <w:t> </w:t>
      </w:r>
      <w:r>
        <w:rPr>
          <w:rFonts w:ascii="宋体" w:hAnsi="宋体" w:cs="宋体" w:eastAsia="宋体" w:hint="default"/>
          <w:sz w:val="21"/>
          <w:szCs w:val="21"/>
        </w:rPr>
        <w:t>公司存货数量的盘存方法采用永续盘存制。</w:t>
      </w:r>
    </w:p>
    <w:p>
      <w:pPr>
        <w:pStyle w:val="BodyText"/>
        <w:spacing w:line="273" w:lineRule="auto"/>
        <w:ind w:left="573" w:right="914" w:firstLine="2"/>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）存货跌价准备</w:t>
      </w:r>
      <w:r>
        <w:rPr>
          <w:rFonts w:ascii="宋体" w:hAnsi="宋体" w:cs="宋体" w:eastAsia="宋体" w:hint="default"/>
          <w:b/>
          <w:bCs/>
          <w:w w:val="99"/>
        </w:rPr>
        <w:t> </w:t>
      </w:r>
      <w:r>
        <w:rPr>
          <w:spacing w:val="-1"/>
        </w:rPr>
        <w:t>资产负债表日，公司存货按照成本与可变现净值孰低计量，并按单个存货项目的可变现净值低于存货</w:t>
      </w:r>
    </w:p>
    <w:p>
      <w:pPr>
        <w:pStyle w:val="BodyText"/>
        <w:spacing w:line="273" w:lineRule="auto" w:before="8"/>
        <w:ind w:right="914"/>
        <w:jc w:val="left"/>
      </w:pPr>
      <w:r>
        <w:rPr>
          <w:spacing w:val="-1"/>
        </w:rPr>
        <w:t>成本的差额，计提存货跌价准备，计入当期损益；以前减记存货价值的影响因素已经消失的，减记的金额</w:t>
      </w:r>
      <w:r>
        <w:rPr>
          <w:spacing w:val="-86"/>
        </w:rPr>
        <w:t> </w:t>
      </w:r>
      <w:r>
        <w:rPr>
          <w:spacing w:val="-86"/>
        </w:rPr>
      </w:r>
      <w:r>
        <w:rPr/>
        <w:t>予以恢复，并在原已计提的存货跌价准备金额内转回，转回的金额计入当期损益。</w:t>
      </w:r>
    </w:p>
    <w:p>
      <w:pPr>
        <w:pStyle w:val="BodyText"/>
        <w:spacing w:line="273" w:lineRule="auto"/>
        <w:ind w:right="914" w:firstLine="420"/>
        <w:jc w:val="left"/>
      </w:pPr>
      <w:r>
        <w:rPr>
          <w:spacing w:val="-1"/>
        </w:rPr>
        <w:t>存货可变现净值是指在日常活动中，存货的估计售价减去至完工时估计将要发生的成本、估计的销售</w:t>
      </w:r>
      <w:r>
        <w:rPr/>
        <w:t> 费用以及相关税费后的金额。</w:t>
      </w:r>
    </w:p>
    <w:p>
      <w:pPr>
        <w:spacing w:line="240" w:lineRule="auto" w:before="8"/>
        <w:rPr>
          <w:rFonts w:ascii="宋体" w:hAnsi="宋体" w:cs="宋体" w:eastAsia="宋体" w:hint="default"/>
          <w:sz w:val="23"/>
          <w:szCs w:val="23"/>
        </w:rPr>
      </w:pPr>
    </w:p>
    <w:p>
      <w:pPr>
        <w:pStyle w:val="Heading4"/>
        <w:spacing w:line="240" w:lineRule="auto"/>
        <w:ind w:left="153" w:right="914"/>
        <w:jc w:val="left"/>
        <w:rPr>
          <w:b w:val="0"/>
          <w:bCs w:val="0"/>
        </w:rPr>
      </w:pPr>
      <w:bookmarkStart w:name="13、划分为持有待售资产" w:id="172"/>
      <w:bookmarkEnd w:id="172"/>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4"/>
          <w:szCs w:val="24"/>
        </w:rPr>
      </w:pPr>
    </w:p>
    <w:p>
      <w:pPr>
        <w:spacing w:line="273" w:lineRule="auto" w:before="0"/>
        <w:ind w:left="573"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）划分为持有待售的资产确认标准</w:t>
      </w:r>
      <w:r>
        <w:rPr>
          <w:rFonts w:ascii="宋体" w:hAnsi="宋体" w:cs="宋体" w:eastAsia="宋体" w:hint="default"/>
          <w:b/>
          <w:bCs/>
          <w:w w:val="99"/>
          <w:sz w:val="21"/>
          <w:szCs w:val="21"/>
        </w:rPr>
        <w:t> </w:t>
      </w:r>
      <w:r>
        <w:rPr>
          <w:rFonts w:ascii="宋体" w:hAnsi="宋体" w:cs="宋体" w:eastAsia="宋体" w:hint="default"/>
          <w:spacing w:val="-1"/>
          <w:sz w:val="21"/>
          <w:szCs w:val="21"/>
        </w:rPr>
        <w:t>同时满足下列条件</w:t>
      </w:r>
      <w:r>
        <w:rPr>
          <w:rFonts w:ascii="宋体" w:hAnsi="宋体" w:cs="宋体" w:eastAsia="宋体" w:hint="default"/>
          <w:spacing w:val="-1"/>
          <w:sz w:val="21"/>
          <w:szCs w:val="21"/>
        </w:rPr>
        <w:t>:</w:t>
      </w:r>
      <w:r>
        <w:rPr>
          <w:rFonts w:ascii="宋体" w:hAnsi="宋体" w:cs="宋体" w:eastAsia="宋体" w:hint="default"/>
          <w:spacing w:val="-1"/>
          <w:sz w:val="21"/>
          <w:szCs w:val="21"/>
        </w:rPr>
        <w:t>公司已经就处置该资产作出决议；公司已经与受让方签订了不可撤消的转让协议；</w:t>
      </w:r>
    </w:p>
    <w:p>
      <w:pPr>
        <w:pStyle w:val="BodyText"/>
        <w:spacing w:line="240" w:lineRule="auto"/>
        <w:ind w:right="914"/>
        <w:jc w:val="left"/>
      </w:pPr>
      <w:r>
        <w:rPr/>
        <w:t>该项资产转让将在一年内完成。</w:t>
      </w:r>
    </w:p>
    <w:p>
      <w:pPr>
        <w:spacing w:line="273" w:lineRule="auto" w:before="37"/>
        <w:ind w:left="573" w:right="11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）划分为持有待售的资产会计处理</w:t>
      </w:r>
      <w:r>
        <w:rPr>
          <w:rFonts w:ascii="宋体" w:hAnsi="宋体" w:cs="宋体" w:eastAsia="宋体" w:hint="default"/>
          <w:b/>
          <w:bCs/>
          <w:w w:val="99"/>
          <w:sz w:val="21"/>
          <w:szCs w:val="21"/>
        </w:rPr>
        <w:t> </w:t>
      </w:r>
      <w:r>
        <w:rPr>
          <w:rFonts w:ascii="宋体" w:hAnsi="宋体" w:cs="宋体" w:eastAsia="宋体" w:hint="default"/>
          <w:sz w:val="21"/>
          <w:szCs w:val="21"/>
        </w:rPr>
        <w:t>对于持有待售的固定资产</w:t>
      </w:r>
      <w:r>
        <w:rPr>
          <w:rFonts w:ascii="宋体" w:hAnsi="宋体" w:cs="宋体" w:eastAsia="宋体" w:hint="default"/>
          <w:sz w:val="21"/>
          <w:szCs w:val="21"/>
        </w:rPr>
        <w:t>,</w:t>
      </w:r>
      <w:r>
        <w:rPr>
          <w:rFonts w:ascii="宋体" w:hAnsi="宋体" w:cs="宋体" w:eastAsia="宋体" w:hint="default"/>
          <w:sz w:val="21"/>
          <w:szCs w:val="21"/>
        </w:rPr>
        <w:t>应当调整该项固定资产的预计净残值，使该固定资产的预计净残值反映其</w:t>
      </w:r>
    </w:p>
    <w:p>
      <w:pPr>
        <w:pStyle w:val="BodyText"/>
        <w:spacing w:line="273" w:lineRule="auto"/>
        <w:ind w:right="914"/>
        <w:jc w:val="left"/>
      </w:pPr>
      <w:r>
        <w:rPr>
          <w:spacing w:val="-1"/>
        </w:rPr>
        <w:t>公允价值减去处置费用后的金额，但不得超过符合持有待售条件时该项固定资产的原账面价值，原账面价</w:t>
      </w:r>
      <w:r>
        <w:rPr>
          <w:spacing w:val="-81"/>
        </w:rPr>
        <w:t> </w:t>
      </w:r>
      <w:r>
        <w:rPr>
          <w:spacing w:val="-81"/>
        </w:rPr>
      </w:r>
      <w:r>
        <w:rPr/>
        <w:t>值高于调整后预计净残值的差额，应作为资产减值损失计入当期损益。</w:t>
      </w:r>
    </w:p>
    <w:p>
      <w:pPr>
        <w:pStyle w:val="BodyText"/>
        <w:spacing w:line="273" w:lineRule="auto"/>
        <w:ind w:right="1093" w:firstLine="420"/>
        <w:jc w:val="left"/>
      </w:pPr>
      <w:r>
        <w:rPr/>
        <w:t>对于持有待售其他非流动资产，比照上述原则处理，持有待售的非流动资产包括单项资产和处置组， 处置组是指作为整体出售或其他方式一并处置的一组资产。</w:t>
      </w:r>
    </w:p>
    <w:p>
      <w:pPr>
        <w:spacing w:line="240" w:lineRule="auto" w:before="8"/>
        <w:rPr>
          <w:rFonts w:ascii="宋体" w:hAnsi="宋体" w:cs="宋体" w:eastAsia="宋体" w:hint="default"/>
          <w:sz w:val="23"/>
          <w:szCs w:val="23"/>
        </w:rPr>
      </w:pPr>
    </w:p>
    <w:p>
      <w:pPr>
        <w:pStyle w:val="Heading4"/>
        <w:spacing w:line="240" w:lineRule="auto"/>
        <w:ind w:left="153" w:right="914"/>
        <w:jc w:val="left"/>
        <w:rPr>
          <w:b w:val="0"/>
          <w:bCs w:val="0"/>
        </w:rPr>
      </w:pPr>
      <w:bookmarkStart w:name="14、长期股权投资" w:id="173"/>
      <w:bookmarkEnd w:id="17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4"/>
          <w:szCs w:val="24"/>
        </w:rPr>
      </w:pPr>
    </w:p>
    <w:p>
      <w:pPr>
        <w:spacing w:line="273" w:lineRule="auto" w:before="0"/>
        <w:ind w:left="574"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）初始投资成本确定</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）对于企业合并取得的长期股权投资，如为同一控制下的企业合并，应当按照取得被合并方所有者</w:t>
      </w:r>
    </w:p>
    <w:p>
      <w:pPr>
        <w:pStyle w:val="BodyText"/>
        <w:spacing w:line="273" w:lineRule="auto"/>
        <w:ind w:left="154" w:right="914"/>
        <w:jc w:val="left"/>
      </w:pPr>
      <w:r>
        <w:rPr>
          <w:spacing w:val="-1"/>
        </w:rPr>
        <w:t>权益账面价值的份额确认为初始成本；非同一控制下的企业合并，应当按购买日确定的合并成本确认为初</w:t>
      </w:r>
      <w:r>
        <w:rPr>
          <w:spacing w:val="-81"/>
        </w:rPr>
        <w:t> </w:t>
      </w:r>
      <w:r>
        <w:rPr>
          <w:spacing w:val="-81"/>
        </w:rPr>
      </w:r>
      <w:r>
        <w:rPr/>
        <w:t>始成本；</w:t>
      </w:r>
    </w:p>
    <w:p>
      <w:pPr>
        <w:pStyle w:val="BodyText"/>
        <w:spacing w:line="240" w:lineRule="auto"/>
        <w:ind w:left="574" w:right="914"/>
        <w:jc w:val="left"/>
      </w:pPr>
      <w:r>
        <w:rPr>
          <w:rFonts w:ascii="宋体" w:hAnsi="宋体" w:cs="宋体" w:eastAsia="宋体" w:hint="default"/>
        </w:rPr>
        <w:t>2</w:t>
      </w:r>
      <w:r>
        <w:rPr/>
        <w:t>）以支付现金取得的长期股权投资，初始投资成本为实际支付的购买价款；</w:t>
      </w:r>
    </w:p>
    <w:p>
      <w:pPr>
        <w:pStyle w:val="BodyText"/>
        <w:spacing w:line="240" w:lineRule="auto" w:before="37"/>
        <w:ind w:left="574" w:right="914"/>
        <w:jc w:val="left"/>
      </w:pPr>
      <w:r>
        <w:rPr>
          <w:rFonts w:ascii="宋体" w:hAnsi="宋体" w:cs="宋体" w:eastAsia="宋体" w:hint="default"/>
        </w:rPr>
        <w:t>3</w:t>
      </w:r>
      <w:r>
        <w:rPr/>
        <w:t>）以发行权益性证券取得的长期股权投资，初始投资成本为发行权益性证券的公允价值；</w:t>
      </w:r>
    </w:p>
    <w:p>
      <w:pPr>
        <w:pStyle w:val="BodyText"/>
        <w:spacing w:line="273" w:lineRule="auto" w:before="37"/>
        <w:ind w:left="154" w:right="914" w:firstLine="420"/>
        <w:jc w:val="left"/>
      </w:pPr>
      <w:r>
        <w:rPr>
          <w:rFonts w:ascii="宋体" w:hAnsi="宋体" w:cs="宋体" w:eastAsia="宋体" w:hint="default"/>
        </w:rPr>
        <w:t>4</w:t>
      </w:r>
      <w:r>
        <w:rPr/>
        <w:t>）通过债务重组取得的长期股权投资，其初始投资成本应当按照《企业会计准则第</w:t>
      </w:r>
      <w:r>
        <w:rPr>
          <w:rFonts w:ascii="宋体" w:hAnsi="宋体" w:cs="宋体" w:eastAsia="宋体" w:hint="default"/>
        </w:rPr>
        <w:t>12</w:t>
      </w:r>
      <w:r>
        <w:rPr/>
        <w:t>号——债务重</w:t>
      </w:r>
      <w:r>
        <w:rPr>
          <w:spacing w:val="2"/>
        </w:rPr>
        <w:t> </w:t>
      </w:r>
      <w:r>
        <w:rPr/>
        <w:t>组》的有关规定确定。</w:t>
      </w:r>
    </w:p>
    <w:p>
      <w:pPr>
        <w:pStyle w:val="BodyText"/>
        <w:spacing w:line="240" w:lineRule="auto"/>
        <w:ind w:left="574" w:right="914"/>
        <w:jc w:val="left"/>
      </w:pPr>
      <w:r>
        <w:rPr>
          <w:rFonts w:ascii="宋体" w:hAnsi="宋体" w:cs="宋体" w:eastAsia="宋体" w:hint="default"/>
        </w:rPr>
        <w:t>5</w:t>
      </w:r>
      <w:r>
        <w:rPr/>
        <w:t>）非货币性资产交换取得，初始投资成本根据准则相关规定确定。</w:t>
      </w:r>
    </w:p>
    <w:p>
      <w:pPr>
        <w:spacing w:line="273" w:lineRule="auto" w:before="37"/>
        <w:ind w:left="574" w:right="9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）后续计量及损益确认方法</w:t>
      </w:r>
      <w:r>
        <w:rPr>
          <w:rFonts w:ascii="宋体" w:hAnsi="宋体" w:cs="宋体" w:eastAsia="宋体" w:hint="default"/>
          <w:b/>
          <w:bCs/>
          <w:w w:val="99"/>
          <w:sz w:val="21"/>
          <w:szCs w:val="21"/>
        </w:rPr>
        <w:t> </w:t>
      </w:r>
      <w:r>
        <w:rPr>
          <w:rFonts w:ascii="宋体" w:hAnsi="宋体" w:cs="宋体" w:eastAsia="宋体" w:hint="default"/>
          <w:spacing w:val="-1"/>
          <w:sz w:val="21"/>
          <w:szCs w:val="21"/>
        </w:rPr>
        <w:t>投资方能够对被投资单位实施控制的长期股权投资应当采用成本法核算。采用成本法核算的长期股权</w:t>
      </w:r>
    </w:p>
    <w:p>
      <w:pPr>
        <w:pStyle w:val="BodyText"/>
        <w:spacing w:line="273" w:lineRule="auto"/>
        <w:ind w:left="154" w:right="914"/>
        <w:jc w:val="left"/>
      </w:pPr>
      <w:r>
        <w:rPr>
          <w:spacing w:val="-1"/>
        </w:rPr>
        <w:t>投资，除追加或收回投资外，账面价值一般不变。当宣告分派的利润或现金股利计算应分得的部分，确认</w:t>
      </w:r>
      <w:r>
        <w:rPr>
          <w:spacing w:val="-86"/>
        </w:rPr>
        <w:t> </w:t>
      </w:r>
      <w:r>
        <w:rPr>
          <w:spacing w:val="-86"/>
        </w:rPr>
      </w:r>
      <w:r>
        <w:rPr/>
        <w:t>投资收益。</w:t>
      </w:r>
    </w:p>
    <w:p>
      <w:pPr>
        <w:pStyle w:val="BodyText"/>
        <w:spacing w:line="271" w:lineRule="auto"/>
        <w:ind w:right="1130" w:firstLine="421"/>
        <w:jc w:val="both"/>
      </w:pPr>
      <w:r>
        <w:rPr>
          <w:spacing w:val="-1"/>
        </w:rPr>
        <w:t>投资方对联营企业和合营企业的长期股权投资采用权益法核算。投资方对联营企业的权益性投资，其</w:t>
      </w:r>
      <w:r>
        <w:rPr/>
        <w:t> </w:t>
      </w:r>
      <w:r>
        <w:rPr>
          <w:spacing w:val="-1"/>
        </w:rPr>
        <w:t>中一部分通过风险投资机构、共同基金、信托公司或包括投连险基金在内的类似主体间接持有的，无论以</w:t>
      </w:r>
      <w:r>
        <w:rPr>
          <w:spacing w:val="-82"/>
        </w:rPr>
        <w:t> </w:t>
      </w:r>
      <w:r>
        <w:rPr>
          <w:spacing w:val="-82"/>
        </w:rPr>
      </w:r>
      <w:r>
        <w:rPr>
          <w:spacing w:val="-1"/>
        </w:rPr>
        <w:t>上主体是否对这部分投资具有重大影响，投资方都可以按照《企业会计准则第</w:t>
      </w:r>
      <w:r>
        <w:rPr>
          <w:rFonts w:ascii="Times New Roman" w:hAnsi="Times New Roman" w:cs="Times New Roman" w:eastAsia="Times New Roman" w:hint="default"/>
          <w:spacing w:val="-1"/>
        </w:rPr>
        <w:t>22</w:t>
      </w:r>
      <w:r>
        <w:rPr>
          <w:spacing w:val="-1"/>
        </w:rPr>
        <w:t>号——金融工具确认和计</w:t>
      </w:r>
      <w:r>
        <w:rPr>
          <w:spacing w:val="-80"/>
        </w:rPr>
        <w:t> </w:t>
      </w:r>
      <w:r>
        <w:rPr>
          <w:spacing w:val="-1"/>
        </w:rPr>
        <w:t>量》的有关规定，对间接持有的该部分投资选择以公允价值计量且其变动计入损益，并对其余部分采用权</w:t>
      </w:r>
      <w:r>
        <w:rPr>
          <w:spacing w:val="-83"/>
        </w:rPr>
        <w:t> </w:t>
      </w:r>
      <w:r>
        <w:rPr>
          <w:spacing w:val="-83"/>
        </w:rPr>
      </w:r>
      <w:r>
        <w:rPr>
          <w:spacing w:val="-1"/>
        </w:rPr>
        <w:t>益法核算。采用权益法核算的长期股权投资，按照应享有或应分担的被投资单位实现的净损益的份额，确</w:t>
      </w:r>
      <w:r>
        <w:rPr>
          <w:spacing w:val="-83"/>
        </w:rPr>
        <w:t> </w:t>
      </w:r>
      <w:r>
        <w:rPr>
          <w:spacing w:val="-83"/>
        </w:rPr>
      </w:r>
      <w:r>
        <w:rPr>
          <w:spacing w:val="-1"/>
        </w:rPr>
        <w:t>认投资收益并调整长期股权投资。当宣告分派的利润或现金股利计算应分得的部分，相应减少长期股权投</w:t>
      </w:r>
      <w:r>
        <w:rPr>
          <w:spacing w:val="-81"/>
        </w:rPr>
        <w:t> </w:t>
      </w:r>
      <w:r>
        <w:rPr>
          <w:spacing w:val="-81"/>
        </w:rPr>
      </w:r>
      <w:r>
        <w:rPr/>
        <w:t>资的账面价值。</w:t>
      </w:r>
    </w:p>
    <w:p>
      <w:pPr>
        <w:pStyle w:val="Heading4"/>
        <w:spacing w:line="240" w:lineRule="auto" w:before="10"/>
        <w:ind w:left="573" w:right="914"/>
        <w:jc w:val="left"/>
        <w:rPr>
          <w:b w:val="0"/>
          <w:bCs w:val="0"/>
        </w:rPr>
      </w:pPr>
      <w:r>
        <w:rPr/>
        <w:t>（</w:t>
      </w:r>
      <w:r>
        <w:rPr>
          <w:rFonts w:ascii="宋体" w:hAnsi="宋体" w:cs="宋体" w:eastAsia="宋体" w:hint="default"/>
        </w:rPr>
        <w:t>3</w:t>
      </w:r>
      <w:r>
        <w:rPr/>
        <w:t>）长期股权投资核算方法的转换</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BodyText"/>
        <w:spacing w:line="273" w:lineRule="auto" w:before="35"/>
        <w:ind w:right="1130" w:firstLine="420"/>
        <w:jc w:val="both"/>
      </w:pPr>
      <w:r>
        <w:rPr>
          <w:spacing w:val="-1"/>
        </w:rPr>
        <w:t>公允价值计量转权益法核算：原持有的对被投资单位的股权投资（不具有控制、共同控制或重大影响</w:t>
      </w:r>
      <w:r>
        <w:rPr/>
        <w:t> </w:t>
      </w:r>
      <w:r>
        <w:rPr>
          <w:spacing w:val="-1"/>
        </w:rPr>
        <w:t>的），按照金融工具确认和计量准则进行会计处理的，因追加投资等原因导致持股比例上升，能够对被投</w:t>
      </w:r>
      <w:r>
        <w:rPr>
          <w:spacing w:val="-94"/>
        </w:rPr>
        <w:t> </w:t>
      </w:r>
      <w:r>
        <w:rPr>
          <w:spacing w:val="-94"/>
        </w:rPr>
      </w:r>
      <w:r>
        <w:rPr>
          <w:spacing w:val="-1"/>
        </w:rPr>
        <w:t>资单位施加共同控制或重大影响的，在转按权益法核算时，投资方应当按照金融工具确认和计量准则确定</w:t>
      </w:r>
      <w:r>
        <w:rPr>
          <w:spacing w:val="-81"/>
        </w:rPr>
        <w:t> </w:t>
      </w:r>
      <w:r>
        <w:rPr>
          <w:spacing w:val="-81"/>
        </w:rPr>
      </w:r>
      <w:r>
        <w:rPr>
          <w:spacing w:val="-1"/>
        </w:rPr>
        <w:t>的原股权投资的公允价值加上为取得新增投资而应支付对价的公允价值，作为改按权益法核算的初始投资</w:t>
      </w:r>
      <w:r>
        <w:rPr>
          <w:spacing w:val="-81"/>
        </w:rPr>
        <w:t> </w:t>
      </w:r>
      <w:r>
        <w:rPr>
          <w:spacing w:val="-81"/>
        </w:rPr>
      </w:r>
      <w:r>
        <w:rPr/>
        <w:t>成本。</w:t>
      </w:r>
    </w:p>
    <w:p>
      <w:pPr>
        <w:pStyle w:val="BodyText"/>
        <w:spacing w:line="273" w:lineRule="auto"/>
        <w:ind w:right="1131" w:firstLine="420"/>
        <w:jc w:val="both"/>
      </w:pPr>
      <w:r>
        <w:rPr>
          <w:spacing w:val="-1"/>
        </w:rPr>
        <w:t>公允价值计量或权益法核算转成本法核算：投资方原持有的对被投资单位不具有控制、共同控制或重</w:t>
      </w:r>
      <w:r>
        <w:rPr/>
        <w:t> </w:t>
      </w:r>
      <w:r>
        <w:rPr>
          <w:spacing w:val="-1"/>
        </w:rPr>
        <w:t>大影响的按照金融工具确认和计量准则进行会计处理的权益性投资，或者原持有对联营企业、合营企业的</w:t>
      </w:r>
      <w:r>
        <w:rPr>
          <w:spacing w:val="-81"/>
        </w:rPr>
        <w:t> </w:t>
      </w:r>
      <w:r>
        <w:rPr>
          <w:spacing w:val="-81"/>
        </w:rPr>
      </w:r>
      <w:r>
        <w:rPr>
          <w:spacing w:val="-1"/>
        </w:rPr>
        <w:t>长期股权投资，因追加投资等原因，能够对被投资单位实施控制的，按有关企业合并形成的长期股权投资</w:t>
      </w:r>
      <w:r>
        <w:rPr>
          <w:spacing w:val="-83"/>
        </w:rPr>
        <w:t> </w:t>
      </w:r>
      <w:r>
        <w:rPr>
          <w:spacing w:val="-83"/>
        </w:rPr>
      </w:r>
      <w:r>
        <w:rPr/>
        <w:t>进行会计处理。</w:t>
      </w:r>
    </w:p>
    <w:p>
      <w:pPr>
        <w:pStyle w:val="BodyText"/>
        <w:spacing w:line="273" w:lineRule="auto"/>
        <w:ind w:right="1131" w:firstLine="420"/>
        <w:jc w:val="both"/>
      </w:pPr>
      <w:r>
        <w:rPr>
          <w:spacing w:val="-1"/>
        </w:rPr>
        <w:t>权益法核算转公允价值计量：原持有的对被投资单位具有共同控制或重大影响的长期股权投资，因部</w:t>
      </w:r>
      <w:r>
        <w:rPr/>
        <w:t> </w:t>
      </w:r>
      <w:r>
        <w:rPr>
          <w:spacing w:val="-1"/>
        </w:rPr>
        <w:t>分处置等原因导致持股比例下降，不能再对被投资单位实施共同控制或重大影响的，应改按金融工具确认</w:t>
      </w:r>
      <w:r>
        <w:rPr>
          <w:spacing w:val="-81"/>
        </w:rPr>
        <w:t> </w:t>
      </w:r>
      <w:r>
        <w:rPr>
          <w:spacing w:val="-81"/>
        </w:rPr>
      </w:r>
      <w:r>
        <w:rPr>
          <w:spacing w:val="-1"/>
        </w:rPr>
        <w:t>和计量准则对剩余股权投资进行会计处理，其在丧失共同控制或重大影响之目的公允价值与账面价值之间</w:t>
      </w:r>
      <w:r>
        <w:rPr>
          <w:spacing w:val="-81"/>
        </w:rPr>
        <w:t> </w:t>
      </w:r>
      <w:r>
        <w:rPr>
          <w:spacing w:val="-81"/>
        </w:rPr>
      </w:r>
      <w:r>
        <w:rPr/>
        <w:t>的差额计入当期损益。</w:t>
      </w:r>
    </w:p>
    <w:p>
      <w:pPr>
        <w:pStyle w:val="BodyText"/>
        <w:spacing w:line="273" w:lineRule="auto"/>
        <w:ind w:right="1131" w:firstLine="420"/>
        <w:jc w:val="both"/>
      </w:pPr>
      <w:r>
        <w:rPr>
          <w:spacing w:val="-1"/>
        </w:rPr>
        <w:t>成本法转权益法：因处置投资等原因导致对被投资单位由能够实施控制转为具有重大影响或者与其他</w:t>
      </w:r>
      <w:r>
        <w:rPr/>
        <w:t> </w:t>
      </w:r>
      <w:r>
        <w:rPr>
          <w:spacing w:val="-1"/>
        </w:rPr>
        <w:t>投资方一起实施共同控制的，首先应按处置投资的比例结转应终止确认的长期股权投资成本。然后比较剩</w:t>
      </w:r>
      <w:r>
        <w:rPr>
          <w:spacing w:val="-81"/>
        </w:rPr>
        <w:t> </w:t>
      </w:r>
      <w:r>
        <w:rPr>
          <w:spacing w:val="-81"/>
        </w:rPr>
      </w:r>
      <w:r>
        <w:rPr>
          <w:spacing w:val="3"/>
        </w:rPr>
        <w:t>余长期股权投资的成本与按照剩余持股比例计算原投资时应享有被投资单位可辨认净资产公允价值的份</w:t>
      </w:r>
      <w:r>
        <w:rPr>
          <w:spacing w:val="-82"/>
        </w:rPr>
        <w:t> </w:t>
      </w:r>
      <w:r>
        <w:rPr>
          <w:spacing w:val="-82"/>
        </w:rPr>
      </w:r>
      <w:r>
        <w:rPr>
          <w:spacing w:val="-1"/>
        </w:rPr>
        <w:t>额，前者大于后者的，属于投资作价中体现的商誉部分，不调整长期股权投资的账面价值；前者小于后者</w:t>
      </w:r>
      <w:r>
        <w:rPr>
          <w:spacing w:val="-86"/>
        </w:rPr>
        <w:t> </w:t>
      </w:r>
      <w:r>
        <w:rPr>
          <w:spacing w:val="-86"/>
        </w:rPr>
      </w:r>
      <w:r>
        <w:rPr/>
        <w:t>的，在调整长期股权投资成本的同时，调整留存收益。</w:t>
      </w:r>
    </w:p>
    <w:p>
      <w:pPr>
        <w:spacing w:line="273" w:lineRule="auto" w:before="7"/>
        <w:ind w:left="573" w:right="9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）确定对被投资单位具有共同控制的依据：是指对某项安排的回报产生重大影响的活动必须经过分</w:t>
      </w:r>
    </w:p>
    <w:p>
      <w:pPr>
        <w:pStyle w:val="BodyText"/>
        <w:spacing w:line="273" w:lineRule="auto"/>
        <w:ind w:right="914"/>
        <w:jc w:val="left"/>
      </w:pPr>
      <w:r>
        <w:rPr>
          <w:spacing w:val="-1"/>
        </w:rPr>
        <w:t>享控制权的参与方一致同意后才能决策。包括商品或劳务的销售和购买、金融资产的管理、资产的购买和</w:t>
      </w:r>
      <w:r>
        <w:rPr>
          <w:spacing w:val="-83"/>
        </w:rPr>
        <w:t> </w:t>
      </w:r>
      <w:r>
        <w:rPr>
          <w:spacing w:val="-83"/>
        </w:rPr>
      </w:r>
      <w:r>
        <w:rPr/>
        <w:t>处置、研究与开发活动以及融资活动等。</w:t>
      </w:r>
    </w:p>
    <w:p>
      <w:pPr>
        <w:pStyle w:val="BodyText"/>
        <w:spacing w:line="273" w:lineRule="auto" w:before="8"/>
        <w:ind w:right="1134" w:firstLine="420"/>
        <w:jc w:val="both"/>
      </w:pPr>
      <w:r>
        <w:rPr>
          <w:rFonts w:ascii="宋体" w:hAnsi="宋体" w:cs="宋体" w:eastAsia="宋体" w:hint="default"/>
        </w:rPr>
        <w:t>2</w:t>
      </w:r>
      <w:r>
        <w:rPr/>
        <w:t>）确定对被投资单位具有重大影响的依据：当持有被投资单位</w:t>
      </w:r>
      <w:r>
        <w:rPr>
          <w:rFonts w:ascii="宋体" w:hAnsi="宋体" w:cs="宋体" w:eastAsia="宋体" w:hint="default"/>
        </w:rPr>
        <w:t>20%</w:t>
      </w:r>
      <w:r>
        <w:rPr/>
        <w:t>以上至</w:t>
      </w:r>
      <w:r>
        <w:rPr>
          <w:rFonts w:ascii="宋体" w:hAnsi="宋体" w:cs="宋体" w:eastAsia="宋体" w:hint="default"/>
        </w:rPr>
        <w:t>50%</w:t>
      </w:r>
      <w:r>
        <w:rPr/>
        <w:t>的表决权资本时，具有 重大影响。或虽不足</w:t>
      </w:r>
      <w:r>
        <w:rPr>
          <w:rFonts w:ascii="宋体" w:hAnsi="宋体" w:cs="宋体" w:eastAsia="宋体" w:hint="default"/>
        </w:rPr>
        <w:t>20%</w:t>
      </w:r>
      <w:r>
        <w:rPr/>
        <w:t>，但符合下列条件之一时，具有重大影响：</w:t>
      </w:r>
    </w:p>
    <w:p>
      <w:pPr>
        <w:pStyle w:val="BodyText"/>
        <w:spacing w:line="240" w:lineRule="auto"/>
        <w:ind w:left="573" w:right="914"/>
        <w:jc w:val="left"/>
      </w:pPr>
      <w:r>
        <w:rPr>
          <w:rFonts w:ascii="宋体" w:hAnsi="宋体" w:cs="宋体" w:eastAsia="宋体" w:hint="default"/>
        </w:rPr>
        <w:t>3</w:t>
      </w:r>
      <w:r>
        <w:rPr/>
        <w:t>）在被投资单位的董事会或类似的权力机构中派有代表；</w:t>
      </w:r>
    </w:p>
    <w:p>
      <w:pPr>
        <w:pStyle w:val="BodyText"/>
        <w:spacing w:line="240" w:lineRule="auto" w:before="37"/>
        <w:ind w:left="573" w:right="914"/>
        <w:jc w:val="left"/>
      </w:pPr>
      <w:r>
        <w:rPr>
          <w:rFonts w:ascii="宋体" w:hAnsi="宋体" w:cs="宋体" w:eastAsia="宋体" w:hint="default"/>
        </w:rPr>
        <w:t>4</w:t>
      </w:r>
      <w:r>
        <w:rPr/>
        <w:t>）参与被投资单位的政策制定过程；</w:t>
      </w:r>
    </w:p>
    <w:p>
      <w:pPr>
        <w:pStyle w:val="BodyText"/>
        <w:spacing w:line="240" w:lineRule="auto" w:before="37"/>
        <w:ind w:left="573" w:right="914"/>
        <w:jc w:val="left"/>
      </w:pPr>
      <w:r>
        <w:rPr>
          <w:rFonts w:ascii="宋体" w:hAnsi="宋体" w:cs="宋体" w:eastAsia="宋体" w:hint="default"/>
        </w:rPr>
        <w:t>5</w:t>
      </w:r>
      <w:r>
        <w:rPr/>
        <w:t>）向被投资单位派出管理人员；</w:t>
      </w:r>
    </w:p>
    <w:p>
      <w:pPr>
        <w:pStyle w:val="BodyText"/>
        <w:spacing w:line="240" w:lineRule="auto" w:before="37"/>
        <w:ind w:left="573" w:right="914"/>
        <w:jc w:val="left"/>
      </w:pPr>
      <w:r>
        <w:rPr>
          <w:rFonts w:ascii="宋体" w:hAnsi="宋体" w:cs="宋体" w:eastAsia="宋体" w:hint="default"/>
        </w:rPr>
        <w:t>6</w:t>
      </w:r>
      <w:r>
        <w:rPr/>
        <w:t>）被投资单位依赖投资公司的技术或技术资料；</w:t>
      </w:r>
    </w:p>
    <w:p>
      <w:pPr>
        <w:pStyle w:val="BodyText"/>
        <w:spacing w:line="240" w:lineRule="auto" w:before="37"/>
        <w:ind w:left="573" w:right="914"/>
        <w:jc w:val="left"/>
      </w:pPr>
      <w:r>
        <w:rPr>
          <w:rFonts w:ascii="宋体" w:hAnsi="宋体" w:cs="宋体" w:eastAsia="宋体" w:hint="default"/>
        </w:rPr>
        <w:t>7</w:t>
      </w:r>
      <w:r>
        <w:rPr/>
        <w:t>）与被投资单位之间发生重要交易。</w:t>
      </w:r>
    </w:p>
    <w:p>
      <w:pPr>
        <w:spacing w:line="273" w:lineRule="auto" w:before="37"/>
        <w:ind w:left="573" w:right="9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资产负债表日，本公司对长期股权投资检查是否存在可能发生减值的迹象，当存在减值迹象时应进行</w:t>
      </w:r>
    </w:p>
    <w:p>
      <w:pPr>
        <w:pStyle w:val="BodyText"/>
        <w:spacing w:line="273" w:lineRule="auto"/>
        <w:ind w:left="154" w:right="914"/>
        <w:jc w:val="left"/>
      </w:pPr>
      <w:r>
        <w:rPr>
          <w:spacing w:val="-1"/>
        </w:rPr>
        <w:t>减值测试确认其可收回金额，按可收回金额低于账面价值部分计提减值准备，减值损失一经计提，在以后</w:t>
      </w:r>
      <w:r>
        <w:rPr>
          <w:spacing w:val="-83"/>
        </w:rPr>
        <w:t> </w:t>
      </w:r>
      <w:r>
        <w:rPr>
          <w:spacing w:val="-83"/>
        </w:rPr>
      </w:r>
      <w:r>
        <w:rPr/>
        <w:t>会计期间不再转回。</w:t>
      </w:r>
    </w:p>
    <w:p>
      <w:pPr>
        <w:pStyle w:val="BodyText"/>
        <w:spacing w:line="240" w:lineRule="auto"/>
        <w:ind w:left="574" w:right="914"/>
        <w:jc w:val="left"/>
      </w:pPr>
      <w:r>
        <w:rPr/>
        <w:t>可收回金额按照长期股权投资出售的公允价值净额与预计未来现金流量的现值之间孰高确定。</w:t>
      </w:r>
    </w:p>
    <w:p>
      <w:pPr>
        <w:spacing w:line="240" w:lineRule="auto" w:before="11"/>
        <w:rPr>
          <w:rFonts w:ascii="宋体" w:hAnsi="宋体" w:cs="宋体" w:eastAsia="宋体" w:hint="default"/>
          <w:sz w:val="25"/>
          <w:szCs w:val="25"/>
        </w:rPr>
      </w:pPr>
    </w:p>
    <w:p>
      <w:pPr>
        <w:pStyle w:val="Heading4"/>
        <w:spacing w:line="240" w:lineRule="auto"/>
        <w:ind w:left="153" w:right="914"/>
        <w:jc w:val="left"/>
        <w:rPr>
          <w:b w:val="0"/>
          <w:bCs w:val="0"/>
        </w:rPr>
      </w:pPr>
      <w:bookmarkStart w:name="15、投资性房地产" w:id="174"/>
      <w:bookmarkEnd w:id="17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0"/>
        <w:ind w:left="154" w:right="1138" w:firstLine="424"/>
        <w:jc w:val="both"/>
      </w:pPr>
      <w:r>
        <w:rPr/>
        <w:t>（</w:t>
      </w:r>
      <w:r>
        <w:rPr>
          <w:rFonts w:ascii="宋体" w:hAnsi="宋体" w:cs="宋体" w:eastAsia="宋体" w:hint="default"/>
        </w:rPr>
        <w:t>1</w:t>
      </w:r>
      <w:r>
        <w:rPr/>
        <w:t>）公司是为赚取租金或资本增值，或两者兼有而持有的房地产，包括已出租的土地使用权、持有 并准备增值后转让的土地使用权和已出租的建筑物。</w:t>
      </w:r>
    </w:p>
    <w:p>
      <w:pPr>
        <w:pStyle w:val="BodyText"/>
        <w:spacing w:line="273" w:lineRule="auto"/>
        <w:ind w:left="154" w:right="1131" w:firstLine="424"/>
        <w:jc w:val="both"/>
      </w:pPr>
      <w:r>
        <w:rPr/>
        <w:t>（</w:t>
      </w:r>
      <w:r>
        <w:rPr>
          <w:rFonts w:ascii="宋体" w:hAnsi="宋体" w:cs="宋体" w:eastAsia="宋体" w:hint="default"/>
        </w:rPr>
        <w:t>2</w:t>
      </w:r>
      <w:r>
        <w:rPr/>
        <w:t>）投资性房地产按其取得时的成本进行初始计量，与投资性房地产有关的后续支出，如果与该资 </w:t>
      </w:r>
      <w:r>
        <w:rPr>
          <w:spacing w:val="-1"/>
        </w:rPr>
        <w:t>产有关的经济利益很可能流入且其成本能够可靠地计量的，则计入投资性房地产成本。其他后续支出，在</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914"/>
        <w:jc w:val="left"/>
      </w:pPr>
      <w:r>
        <w:rPr/>
        <w:t>发生时计入当期损益。</w:t>
      </w:r>
    </w:p>
    <w:p>
      <w:pPr>
        <w:pStyle w:val="BodyText"/>
        <w:spacing w:line="273" w:lineRule="auto" w:before="37"/>
        <w:ind w:right="914" w:firstLine="424"/>
        <w:jc w:val="left"/>
      </w:pPr>
      <w:r>
        <w:rPr/>
        <w:t>（</w:t>
      </w:r>
      <w:r>
        <w:rPr>
          <w:rFonts w:ascii="宋体" w:hAnsi="宋体" w:cs="宋体" w:eastAsia="宋体" w:hint="default"/>
        </w:rPr>
        <w:t>3</w:t>
      </w:r>
      <w:r>
        <w:rPr/>
        <w:t>）公司采用成本模式对投资性房地产进行后续计量，采用成本模式计量的建筑物，采用直线法平 均计算折旧</w:t>
      </w:r>
      <w:r>
        <w:rPr>
          <w:rFonts w:ascii="宋体" w:hAnsi="宋体" w:cs="宋体" w:eastAsia="宋体" w:hint="default"/>
        </w:rPr>
        <w:t>,</w:t>
      </w:r>
      <w:r>
        <w:rPr/>
        <w:t>按估计的使用年限和估计净残值率（原值的</w:t>
      </w:r>
      <w:r>
        <w:rPr>
          <w:rFonts w:ascii="宋体" w:hAnsi="宋体" w:cs="宋体" w:eastAsia="宋体" w:hint="default"/>
        </w:rPr>
        <w:t>5%</w:t>
      </w:r>
      <w:r>
        <w:rPr/>
        <w:t>）确定其折旧率</w:t>
      </w:r>
      <w:r>
        <w:rPr>
          <w:rFonts w:ascii="宋体" w:hAnsi="宋体" w:cs="宋体" w:eastAsia="宋体" w:hint="default"/>
        </w:rPr>
        <w:t>,</w:t>
      </w:r>
      <w:r>
        <w:rPr/>
        <w:t>明细列示如下：</w:t>
      </w:r>
    </w:p>
    <w:p>
      <w:pPr>
        <w:spacing w:line="240" w:lineRule="auto" w:before="1"/>
        <w:rPr>
          <w:rFonts w:ascii="宋体" w:hAnsi="宋体" w:cs="宋体" w:eastAsia="宋体" w:hint="default"/>
          <w:sz w:val="3"/>
          <w:szCs w:val="3"/>
        </w:rPr>
      </w:pPr>
    </w:p>
    <w:p>
      <w:pPr>
        <w:spacing w:line="900" w:lineRule="exact"/>
        <w:ind w:left="308" w:right="0" w:firstLine="0"/>
        <w:rPr>
          <w:rFonts w:ascii="宋体" w:hAnsi="宋体" w:cs="宋体" w:eastAsia="宋体" w:hint="default"/>
          <w:sz w:val="20"/>
          <w:szCs w:val="20"/>
        </w:rPr>
      </w:pPr>
      <w:r>
        <w:rPr>
          <w:rFonts w:ascii="宋体" w:hAnsi="宋体" w:cs="宋体" w:eastAsia="宋体" w:hint="default"/>
          <w:position w:val="-17"/>
          <w:sz w:val="20"/>
          <w:szCs w:val="20"/>
        </w:rPr>
        <w:drawing>
          <wp:inline distT="0" distB="0" distL="0" distR="0">
            <wp:extent cx="5924550" cy="571500"/>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21" cstate="print"/>
                    <a:stretch>
                      <a:fillRect/>
                    </a:stretch>
                  </pic:blipFill>
                  <pic:spPr>
                    <a:xfrm>
                      <a:off x="0" y="0"/>
                      <a:ext cx="5924550" cy="571500"/>
                    </a:xfrm>
                    <a:prstGeom prst="rect">
                      <a:avLst/>
                    </a:prstGeom>
                  </pic:spPr>
                </pic:pic>
              </a:graphicData>
            </a:graphic>
          </wp:inline>
        </w:drawing>
      </w:r>
      <w:r>
        <w:rPr>
          <w:rFonts w:ascii="宋体" w:hAnsi="宋体" w:cs="宋体" w:eastAsia="宋体" w:hint="default"/>
          <w:position w:val="-17"/>
          <w:sz w:val="20"/>
          <w:szCs w:val="20"/>
        </w:rPr>
      </w:r>
    </w:p>
    <w:p>
      <w:pPr>
        <w:pStyle w:val="BodyText"/>
        <w:spacing w:line="240" w:lineRule="auto" w:before="123"/>
        <w:ind w:left="631" w:right="914"/>
        <w:jc w:val="left"/>
      </w:pPr>
      <w:r>
        <w:rPr/>
        <w:t>采用成本模式计量的土地使用权，采用直线法，按土地使用权的使用年限进行摊销。</w:t>
      </w:r>
    </w:p>
    <w:p>
      <w:pPr>
        <w:pStyle w:val="BodyText"/>
        <w:spacing w:line="273" w:lineRule="auto" w:before="37"/>
        <w:ind w:left="578" w:right="914"/>
        <w:jc w:val="left"/>
      </w:pPr>
      <w:r>
        <w:rPr/>
        <w:t>（</w:t>
      </w:r>
      <w:r>
        <w:rPr>
          <w:rFonts w:ascii="宋体" w:hAnsi="宋体" w:cs="宋体" w:eastAsia="宋体" w:hint="default"/>
        </w:rPr>
        <w:t>4</w:t>
      </w:r>
      <w:r>
        <w:rPr/>
        <w:t>）投资性房地产的减值准备 </w:t>
      </w:r>
      <w:r>
        <w:rPr>
          <w:spacing w:val="-1"/>
        </w:rPr>
        <w:t>投资性房地产减值准备的计提按照资产减值核算方法处理。投资性房地产减值损失一经确认，在以后</w:t>
      </w:r>
    </w:p>
    <w:p>
      <w:pPr>
        <w:pStyle w:val="BodyText"/>
        <w:spacing w:line="240" w:lineRule="auto"/>
        <w:ind w:left="154" w:right="914"/>
        <w:jc w:val="left"/>
      </w:pPr>
      <w:r>
        <w:rPr/>
        <w:t>会计期间不再转回，当该项资产处置时予以转回。</w:t>
      </w:r>
    </w:p>
    <w:p>
      <w:pPr>
        <w:spacing w:line="240" w:lineRule="auto" w:before="11"/>
        <w:rPr>
          <w:rFonts w:ascii="宋体" w:hAnsi="宋体" w:cs="宋体" w:eastAsia="宋体" w:hint="default"/>
          <w:sz w:val="25"/>
          <w:szCs w:val="25"/>
        </w:rPr>
      </w:pPr>
    </w:p>
    <w:p>
      <w:pPr>
        <w:pStyle w:val="Heading4"/>
        <w:spacing w:line="240" w:lineRule="auto"/>
        <w:ind w:right="914"/>
        <w:jc w:val="left"/>
        <w:rPr>
          <w:b w:val="0"/>
          <w:bCs w:val="0"/>
        </w:rPr>
      </w:pPr>
      <w:bookmarkStart w:name="16、固定资产" w:id="175"/>
      <w:bookmarkEnd w:id="17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确认条件" w:id="176"/>
      <w:bookmarkEnd w:id="17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spacing w:line="348" w:lineRule="auto" w:before="0"/>
        <w:ind w:left="513" w:right="15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）固定资产确认条件 公司的固定资产是指为生产商品、提供劳务、出租或经营管理而持有且使用寿命超过一个会计年度的有形资产。 同时满足下列条件的，确认为固定资产：</w:t>
      </w:r>
    </w:p>
    <w:p>
      <w:pPr>
        <w:spacing w:line="338" w:lineRule="auto" w:before="35"/>
        <w:ind w:left="513" w:right="648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与该固定资产有关的经济利益很可能流入企业；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该固定资产的成本能够可靠计量。 </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）固定资产计价</w:t>
      </w:r>
    </w:p>
    <w:p>
      <w:pPr>
        <w:spacing w:line="319" w:lineRule="auto" w:before="20"/>
        <w:ind w:left="154" w:right="914" w:firstLine="360"/>
        <w:jc w:val="left"/>
        <w:rPr>
          <w:rFonts w:ascii="宋体" w:hAnsi="宋体" w:cs="宋体" w:eastAsia="宋体" w:hint="default"/>
          <w:sz w:val="18"/>
          <w:szCs w:val="18"/>
        </w:rPr>
      </w:pPr>
      <w:r>
        <w:rPr>
          <w:rFonts w:ascii="宋体" w:hAnsi="宋体" w:cs="宋体" w:eastAsia="宋体" w:hint="default"/>
          <w:spacing w:val="-2"/>
          <w:sz w:val="18"/>
          <w:szCs w:val="18"/>
        </w:rPr>
        <w:t>固定资产按照取得时的成本入账，取得成本包括购买价款、相关税费、使固定资产达到预定可使用状态前的发生的可归</w:t>
      </w:r>
      <w:r>
        <w:rPr>
          <w:rFonts w:ascii="宋体" w:hAnsi="宋体" w:cs="宋体" w:eastAsia="宋体" w:hint="default"/>
          <w:sz w:val="18"/>
          <w:szCs w:val="18"/>
        </w:rPr>
        <w:t> 属于该项资产的运输费、装卸费、安装费和专业人员服务费等。</w:t>
      </w:r>
    </w:p>
    <w:p>
      <w:pPr>
        <w:spacing w:line="319" w:lineRule="auto" w:before="55"/>
        <w:ind w:left="154" w:right="914" w:firstLine="360"/>
        <w:jc w:val="left"/>
        <w:rPr>
          <w:rFonts w:ascii="宋体" w:hAnsi="宋体" w:cs="宋体" w:eastAsia="宋体" w:hint="default"/>
          <w:sz w:val="18"/>
          <w:szCs w:val="18"/>
        </w:rPr>
      </w:pPr>
      <w:r>
        <w:rPr>
          <w:rFonts w:ascii="宋体" w:hAnsi="宋体" w:cs="宋体" w:eastAsia="宋体" w:hint="default"/>
          <w:spacing w:val="-4"/>
          <w:sz w:val="18"/>
          <w:szCs w:val="18"/>
        </w:rPr>
        <w:t>与固定资产有关的后续支出，符合上述确认条件的，计入固定资产成本；不符合上述确认条件的，发生时计入当期损益。</w:t>
      </w:r>
      <w:r>
        <w:rPr>
          <w:rFonts w:ascii="宋体" w:hAnsi="宋体" w:cs="宋体" w:eastAsia="宋体" w:hint="default"/>
          <w:sz w:val="18"/>
          <w:szCs w:val="18"/>
        </w:rPr>
        <w:t> 固定资产按照成本进行初始计量。</w:t>
      </w:r>
    </w:p>
    <w:p>
      <w:pPr>
        <w:spacing w:line="240" w:lineRule="auto" w:before="4"/>
        <w:rPr>
          <w:rFonts w:ascii="宋体" w:hAnsi="宋体" w:cs="宋体" w:eastAsia="宋体" w:hint="default"/>
          <w:sz w:val="22"/>
          <w:szCs w:val="22"/>
        </w:rPr>
      </w:pPr>
    </w:p>
    <w:p>
      <w:pPr>
        <w:pStyle w:val="Heading4"/>
        <w:spacing w:line="240" w:lineRule="auto"/>
        <w:ind w:right="914"/>
        <w:jc w:val="left"/>
        <w:rPr>
          <w:b w:val="0"/>
          <w:bCs w:val="0"/>
        </w:rPr>
      </w:pPr>
      <w:bookmarkStart w:name="（2）折旧方法" w:id="177"/>
      <w:bookmarkEnd w:id="17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9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4.5-1.9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9.50-7.92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11.88-7.92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19.00-9.50</w:t>
            </w:r>
          </w:p>
        </w:tc>
      </w:tr>
    </w:tbl>
    <w:p>
      <w:pPr>
        <w:spacing w:line="240" w:lineRule="auto" w:before="2"/>
        <w:rPr>
          <w:rFonts w:ascii="宋体" w:hAnsi="宋体" w:cs="宋体" w:eastAsia="宋体" w:hint="default"/>
          <w:b/>
          <w:bCs/>
          <w:sz w:val="19"/>
          <w:szCs w:val="19"/>
        </w:rPr>
      </w:pPr>
    </w:p>
    <w:p>
      <w:pPr>
        <w:pStyle w:val="Heading4"/>
        <w:spacing w:line="240" w:lineRule="auto" w:before="35"/>
        <w:ind w:right="914"/>
        <w:jc w:val="left"/>
        <w:rPr>
          <w:b w:val="0"/>
          <w:bCs w:val="0"/>
        </w:rPr>
      </w:pPr>
      <w:bookmarkStart w:name="17、在建工程" w:id="178"/>
      <w:bookmarkEnd w:id="17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914"/>
        <w:jc w:val="left"/>
      </w:pPr>
      <w:r>
        <w:rPr/>
        <w:t>（</w:t>
      </w:r>
      <w:r>
        <w:rPr>
          <w:rFonts w:ascii="宋体" w:hAnsi="宋体" w:cs="宋体" w:eastAsia="宋体" w:hint="default"/>
        </w:rPr>
        <w:t>1</w:t>
      </w:r>
      <w:r>
        <w:rPr/>
        <w:t>）在建工程是指正在施工中尚未完工或虽已完工但尚未达到预定可使用状态的工程。</w:t>
      </w:r>
    </w:p>
    <w:p>
      <w:pPr>
        <w:pStyle w:val="BodyText"/>
        <w:spacing w:line="240" w:lineRule="auto" w:before="37"/>
        <w:ind w:left="574" w:right="914"/>
        <w:jc w:val="left"/>
      </w:pPr>
      <w:r>
        <w:rPr/>
        <w:t>（</w:t>
      </w:r>
      <w:r>
        <w:rPr>
          <w:rFonts w:ascii="宋体" w:hAnsi="宋体" w:cs="宋体" w:eastAsia="宋体" w:hint="default"/>
        </w:rPr>
        <w:t>2</w:t>
      </w:r>
      <w:r>
        <w:rPr/>
        <w:t>）在建工程按实际发生的支出确定其工程成本。</w:t>
      </w:r>
    </w:p>
    <w:p>
      <w:pPr>
        <w:pStyle w:val="BodyText"/>
        <w:spacing w:line="273" w:lineRule="auto" w:before="37"/>
        <w:ind w:left="154" w:right="1133" w:firstLine="420"/>
        <w:jc w:val="both"/>
      </w:pPr>
      <w:r>
        <w:rPr/>
        <w:t>（</w:t>
      </w:r>
      <w:r>
        <w:rPr>
          <w:rFonts w:ascii="宋体" w:hAnsi="宋体" w:cs="宋体" w:eastAsia="宋体" w:hint="default"/>
        </w:rPr>
        <w:t>3</w:t>
      </w:r>
      <w:r>
        <w:rPr/>
        <w:t>）所建造的固定资产已达到预定可使用状态，但尚未办理竣工决算的，自达到预定可使用状态之 </w:t>
      </w:r>
      <w:r>
        <w:rPr>
          <w:spacing w:val="-1"/>
        </w:rPr>
        <w:t>日起，根据工程预算、造价或者工程实际成本等，按估计的价值转入固定资产，并按有关计提固定资产折</w:t>
      </w:r>
      <w:r>
        <w:rPr>
          <w:spacing w:val="-86"/>
        </w:rPr>
        <w:t> </w:t>
      </w:r>
      <w:r>
        <w:rPr>
          <w:spacing w:val="-86"/>
        </w:rPr>
      </w:r>
      <w:r>
        <w:rPr/>
        <w:t>旧的规定计提折旧，待办理竣工决算后再按实际成本调整原暂估价值，但不再调整原已计提的折旧。</w:t>
      </w:r>
    </w:p>
    <w:p>
      <w:pPr>
        <w:pStyle w:val="BodyText"/>
        <w:spacing w:line="240" w:lineRule="auto"/>
        <w:ind w:left="574" w:right="914"/>
        <w:jc w:val="left"/>
      </w:pPr>
      <w:r>
        <w:rPr/>
        <w:t>（</w:t>
      </w:r>
      <w:r>
        <w:rPr>
          <w:rFonts w:ascii="宋体" w:hAnsi="宋体" w:cs="宋体" w:eastAsia="宋体" w:hint="default"/>
        </w:rPr>
        <w:t>4</w:t>
      </w:r>
      <w:r>
        <w:rPr/>
        <w:t>）在建工程减值准备的计提按照资产减值核算方法处理。在建工程减值损失一经确认，在以后会</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914"/>
        <w:jc w:val="left"/>
      </w:pPr>
      <w:r>
        <w:rPr/>
        <w:t>计期间不再转回，当该项资产处置时予以转出。</w:t>
      </w:r>
    </w:p>
    <w:p>
      <w:pPr>
        <w:spacing w:line="240" w:lineRule="auto" w:before="11"/>
        <w:rPr>
          <w:rFonts w:ascii="宋体" w:hAnsi="宋体" w:cs="宋体" w:eastAsia="宋体" w:hint="default"/>
          <w:sz w:val="25"/>
          <w:szCs w:val="25"/>
        </w:rPr>
      </w:pPr>
    </w:p>
    <w:p>
      <w:pPr>
        <w:pStyle w:val="Heading4"/>
        <w:spacing w:line="240" w:lineRule="auto"/>
        <w:ind w:left="153" w:right="914"/>
        <w:jc w:val="left"/>
        <w:rPr>
          <w:b w:val="0"/>
          <w:bCs w:val="0"/>
        </w:rPr>
      </w:pPr>
      <w:bookmarkStart w:name="18、借款费用" w:id="179"/>
      <w:bookmarkEnd w:id="179"/>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4"/>
          <w:szCs w:val="24"/>
        </w:rPr>
      </w:pPr>
    </w:p>
    <w:p>
      <w:pPr>
        <w:spacing w:line="273" w:lineRule="auto" w:before="0"/>
        <w:ind w:left="574"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）借款费用资本化的原则</w:t>
      </w:r>
      <w:r>
        <w:rPr>
          <w:rFonts w:ascii="宋体" w:hAnsi="宋体" w:cs="宋体" w:eastAsia="宋体" w:hint="default"/>
          <w:b/>
          <w:bCs/>
          <w:w w:val="99"/>
          <w:sz w:val="21"/>
          <w:szCs w:val="21"/>
        </w:rPr>
        <w:t> </w:t>
      </w:r>
      <w:r>
        <w:rPr>
          <w:rFonts w:ascii="宋体" w:hAnsi="宋体" w:cs="宋体" w:eastAsia="宋体" w:hint="default"/>
          <w:spacing w:val="-1"/>
          <w:sz w:val="21"/>
          <w:szCs w:val="21"/>
        </w:rPr>
        <w:t>借款费用包括借款利息、折价或者溢价的摊销、辅助费用以及因外币借款而发生的汇兑差额等。公司</w:t>
      </w:r>
    </w:p>
    <w:p>
      <w:pPr>
        <w:pStyle w:val="BodyText"/>
        <w:spacing w:line="273" w:lineRule="auto"/>
        <w:ind w:left="154" w:right="914"/>
        <w:jc w:val="left"/>
      </w:pPr>
      <w:r>
        <w:rPr>
          <w:spacing w:val="-1"/>
        </w:rPr>
        <w:t>发生的借款费用，可直接归属于符合资本化条件的资产的购建，予以资本化，计入相关资产成本；其他借</w:t>
      </w:r>
      <w:r>
        <w:rPr>
          <w:spacing w:val="-86"/>
        </w:rPr>
        <w:t> </w:t>
      </w:r>
      <w:r>
        <w:rPr>
          <w:spacing w:val="-86"/>
        </w:rPr>
      </w:r>
      <w:r>
        <w:rPr/>
        <w:t>款费用，在发生时根据其发生额确认为费用，计入当期损益。</w:t>
      </w:r>
    </w:p>
    <w:p>
      <w:pPr>
        <w:pStyle w:val="BodyText"/>
        <w:spacing w:line="273" w:lineRule="auto"/>
        <w:ind w:left="574" w:right="914"/>
        <w:jc w:val="left"/>
      </w:pPr>
      <w:r>
        <w:rPr/>
        <w:t>借款费用同时满足下列条件的，才能开始资本化： </w:t>
      </w:r>
      <w:r>
        <w:rPr>
          <w:rFonts w:ascii="宋体" w:hAnsi="宋体" w:cs="宋体" w:eastAsia="宋体" w:hint="default"/>
        </w:rPr>
        <w:t>1</w:t>
      </w:r>
      <w:r>
        <w:rPr/>
        <w:t>）资产支出已经发生，资产支出包括为购建符合资本化条件的资产而以支付现金、转移非现金资产</w:t>
      </w:r>
    </w:p>
    <w:p>
      <w:pPr>
        <w:pStyle w:val="BodyText"/>
        <w:spacing w:line="273" w:lineRule="auto"/>
        <w:ind w:left="573" w:right="7393" w:hanging="420"/>
        <w:jc w:val="left"/>
      </w:pPr>
      <w:r>
        <w:rPr/>
        <w:t>或者承担带息债务形式发生的支出； </w:t>
      </w:r>
      <w:r>
        <w:rPr>
          <w:rFonts w:ascii="宋体" w:hAnsi="宋体" w:cs="宋体" w:eastAsia="宋体" w:hint="default"/>
        </w:rPr>
        <w:t>2</w:t>
      </w:r>
      <w:r>
        <w:rPr/>
        <w:t>）借款费用已经发生；</w:t>
      </w:r>
    </w:p>
    <w:p>
      <w:pPr>
        <w:pStyle w:val="BodyText"/>
        <w:spacing w:line="240" w:lineRule="auto"/>
        <w:ind w:left="573" w:right="914"/>
        <w:jc w:val="left"/>
      </w:pPr>
      <w:r>
        <w:rPr>
          <w:rFonts w:ascii="宋体" w:hAnsi="宋体" w:cs="宋体" w:eastAsia="宋体" w:hint="default"/>
        </w:rPr>
        <w:t>3</w:t>
      </w:r>
      <w:r>
        <w:rPr/>
        <w:t>）为使资产达到预定可使用状态所必要的购建活动已经开始。</w:t>
      </w:r>
    </w:p>
    <w:p>
      <w:pPr>
        <w:spacing w:line="273" w:lineRule="auto" w:before="37"/>
        <w:ind w:left="573"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为购建符合资本化条件的资产而借入专门借款的，以专门借款当期实际发生的利息费用，减去将尚未</w:t>
      </w:r>
    </w:p>
    <w:p>
      <w:pPr>
        <w:pStyle w:val="BodyText"/>
        <w:spacing w:line="273" w:lineRule="auto"/>
        <w:ind w:left="573" w:right="914" w:hanging="420"/>
        <w:jc w:val="left"/>
      </w:pPr>
      <w:r>
        <w:rPr/>
        <w:t>动用的借款资金存入银行取得的利息收入或进行暂时性投资取得的投资收益后的金额确定。 </w:t>
      </w:r>
      <w:r>
        <w:rPr>
          <w:spacing w:val="-1"/>
        </w:rPr>
        <w:t>为购建符合资本化条件的资产而占用了一般借款的，根据累计资产支出超过专门借款部分的资产支出</w:t>
      </w:r>
    </w:p>
    <w:p>
      <w:pPr>
        <w:pStyle w:val="BodyText"/>
        <w:spacing w:line="273" w:lineRule="auto"/>
        <w:ind w:right="914"/>
        <w:jc w:val="left"/>
      </w:pPr>
      <w:r>
        <w:rPr>
          <w:spacing w:val="-1"/>
        </w:rPr>
        <w:t>加权平均数乘以所占用一般借款的资本化率，计算确定一般借款应予资本化的利息金额。资本化率根据一</w:t>
      </w:r>
      <w:r>
        <w:rPr>
          <w:spacing w:val="-81"/>
        </w:rPr>
        <w:t> </w:t>
      </w:r>
      <w:r>
        <w:rPr>
          <w:spacing w:val="-81"/>
        </w:rPr>
      </w:r>
      <w:r>
        <w:rPr/>
        <w:t>般借款加权平均利率计算确认。</w:t>
      </w:r>
    </w:p>
    <w:p>
      <w:pPr>
        <w:pStyle w:val="BodyText"/>
        <w:spacing w:line="273" w:lineRule="auto"/>
        <w:ind w:right="1132" w:firstLine="420"/>
        <w:jc w:val="both"/>
      </w:pPr>
      <w:r>
        <w:rPr/>
        <w:t>符合资本化条件的资产在购建过程中发生非正常中断、且中断时间连续超过</w:t>
      </w:r>
      <w:r>
        <w:rPr>
          <w:rFonts w:ascii="宋体" w:hAnsi="宋体" w:cs="宋体" w:eastAsia="宋体" w:hint="default"/>
        </w:rPr>
        <w:t>3</w:t>
      </w:r>
      <w:r>
        <w:rPr/>
        <w:t>个月的，暂停借款费用 的资本化，在中断期间发生的借款费用，计入当期损益。</w:t>
      </w:r>
    </w:p>
    <w:p>
      <w:pPr>
        <w:pStyle w:val="BodyText"/>
        <w:spacing w:line="273" w:lineRule="auto"/>
        <w:ind w:left="154" w:right="1110" w:firstLine="420"/>
        <w:jc w:val="both"/>
      </w:pPr>
      <w:r>
        <w:rPr/>
        <w:t>购建符合资本化条件的资产达到预定可使用状态之后所发生的借款费用，根据其发生额确认为费用， 计入当期损益。</w:t>
      </w:r>
    </w:p>
    <w:p>
      <w:pPr>
        <w:spacing w:line="240" w:lineRule="auto" w:before="8"/>
        <w:rPr>
          <w:rFonts w:ascii="宋体" w:hAnsi="宋体" w:cs="宋体" w:eastAsia="宋体" w:hint="default"/>
          <w:sz w:val="23"/>
          <w:szCs w:val="23"/>
        </w:rPr>
      </w:pPr>
    </w:p>
    <w:p>
      <w:pPr>
        <w:pStyle w:val="Heading4"/>
        <w:spacing w:line="240" w:lineRule="auto"/>
        <w:ind w:right="914"/>
        <w:jc w:val="left"/>
        <w:rPr>
          <w:b w:val="0"/>
          <w:bCs w:val="0"/>
        </w:rPr>
      </w:pPr>
      <w:bookmarkStart w:name="生物资产" w:id="180"/>
      <w:bookmarkEnd w:id="180"/>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0"/>
        <w:rPr>
          <w:rFonts w:ascii="宋体" w:hAnsi="宋体" w:cs="宋体" w:eastAsia="宋体" w:hint="default"/>
          <w:sz w:val="26"/>
          <w:szCs w:val="26"/>
        </w:rPr>
      </w:pPr>
    </w:p>
    <w:p>
      <w:pPr>
        <w:pStyle w:val="Heading4"/>
        <w:spacing w:line="240" w:lineRule="auto"/>
        <w:ind w:right="914"/>
        <w:jc w:val="left"/>
        <w:rPr>
          <w:b w:val="0"/>
          <w:bCs w:val="0"/>
        </w:rPr>
      </w:pPr>
      <w:bookmarkStart w:name="20、油气资产" w:id="181"/>
      <w:bookmarkEnd w:id="181"/>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1"/>
        <w:rPr>
          <w:rFonts w:ascii="宋体" w:hAnsi="宋体" w:cs="宋体" w:eastAsia="宋体" w:hint="default"/>
          <w:sz w:val="26"/>
          <w:szCs w:val="26"/>
        </w:rPr>
      </w:pPr>
    </w:p>
    <w:p>
      <w:pPr>
        <w:pStyle w:val="Heading4"/>
        <w:spacing w:line="240" w:lineRule="auto"/>
        <w:ind w:right="914"/>
        <w:jc w:val="left"/>
        <w:rPr>
          <w:b w:val="0"/>
          <w:bCs w:val="0"/>
        </w:rPr>
      </w:pPr>
      <w:bookmarkStart w:name="21、无形资产" w:id="182"/>
      <w:bookmarkEnd w:id="182"/>
      <w:r>
        <w:rPr>
          <w:b w:val="0"/>
          <w:bCs w:val="0"/>
        </w:rPr>
      </w:r>
      <w:r>
        <w:rPr>
          <w:rFonts w:ascii="Times New Roman" w:hAnsi="Times New Roman" w:cs="Times New Roman" w:eastAsia="Times New Roman" w:hint="default"/>
        </w:rPr>
        <w:t>21</w:t>
      </w:r>
      <w:r>
        <w:rPr/>
        <w:t>、无形资产</w:t>
      </w:r>
      <w:r>
        <w:rPr>
          <w:b w:val="0"/>
          <w:bCs w:val="0"/>
        </w:rPr>
      </w:r>
    </w:p>
    <w:p>
      <w:pPr>
        <w:pStyle w:val="Heading4"/>
        <w:spacing w:line="590" w:lineRule="atLeast" w:before="23"/>
        <w:ind w:left="576" w:right="7275" w:hanging="423"/>
        <w:jc w:val="left"/>
        <w:rPr>
          <w:b w:val="0"/>
          <w:bCs w:val="0"/>
        </w:rPr>
      </w:pPr>
      <w:bookmarkStart w:name="（1）计价方法、使用寿命、减值测试" w:id="183"/>
      <w:bookmarkEnd w:id="183"/>
      <w:r>
        <w:rPr>
          <w:b w:val="0"/>
          <w:bCs w:val="0"/>
        </w:rPr>
      </w:r>
      <w:r>
        <w:rPr/>
        <w:t>（</w:t>
      </w:r>
      <w:r>
        <w:rPr>
          <w:rFonts w:ascii="Times New Roman" w:hAnsi="Times New Roman" w:cs="Times New Roman" w:eastAsia="Times New Roman" w:hint="default"/>
        </w:rPr>
        <w:t>1</w:t>
      </w:r>
      <w:r>
        <w:rPr/>
        <w:t>）计价方法、使用寿命、减值测试</w:t>
      </w:r>
      <w:r>
        <w:rPr>
          <w:w w:val="99"/>
        </w:rPr>
        <w:t> </w:t>
      </w:r>
      <w:r>
        <w:rPr>
          <w:rFonts w:ascii="宋体" w:hAnsi="宋体" w:cs="宋体" w:eastAsia="宋体" w:hint="default"/>
        </w:rPr>
        <w:t>1</w:t>
      </w:r>
      <w:r>
        <w:rPr/>
        <w:t>）无形资产的计价方法</w:t>
      </w:r>
      <w:r>
        <w:rPr>
          <w:b w:val="0"/>
          <w:bCs w:val="0"/>
        </w:rPr>
      </w:r>
    </w:p>
    <w:p>
      <w:pPr>
        <w:pStyle w:val="BodyText"/>
        <w:spacing w:line="273" w:lineRule="auto" w:before="37"/>
        <w:ind w:left="154" w:right="1131" w:firstLine="420"/>
        <w:jc w:val="both"/>
      </w:pPr>
      <w:r>
        <w:rPr>
          <w:spacing w:val="-1"/>
        </w:rPr>
        <w:t>本公司无形资产按照成本进行初始计量。购入的无形资产，按实际支付的价款和相关支出作为实际成</w:t>
      </w:r>
      <w:r>
        <w:rPr/>
        <w:t> </w:t>
      </w:r>
      <w:r>
        <w:rPr>
          <w:spacing w:val="-1"/>
        </w:rPr>
        <w:t>本。投资者投入的无形资产，按投资合同或协议约定的价值确定实际成本，但合同或协议约定价值不公允</w:t>
      </w:r>
      <w:r>
        <w:rPr>
          <w:spacing w:val="-83"/>
        </w:rPr>
        <w:t> </w:t>
      </w:r>
      <w:r>
        <w:rPr>
          <w:spacing w:val="-83"/>
        </w:rPr>
      </w:r>
      <w:r>
        <w:rPr/>
        <w:t>的，按公允价值确定实际成本。自行开发的无形资产，其成本为达到预定用途前所发生的支出总额。</w:t>
      </w:r>
    </w:p>
    <w:p>
      <w:pPr>
        <w:pStyle w:val="BodyText"/>
        <w:spacing w:line="273" w:lineRule="auto" w:before="8"/>
        <w:ind w:right="1130" w:firstLine="420"/>
        <w:jc w:val="both"/>
      </w:pPr>
      <w:r>
        <w:rPr>
          <w:spacing w:val="-1"/>
        </w:rPr>
        <w:t>本公司无形资产后续计量，分别为：①使用寿命有限无形资产采用直线法摊销，并在年度终了，对无</w:t>
      </w:r>
      <w:r>
        <w:rPr/>
        <w:t> </w:t>
      </w:r>
      <w:r>
        <w:rPr>
          <w:spacing w:val="-1"/>
        </w:rPr>
        <w:t>形资产的使用寿命和摊销方法进行复核，如与原先估计数存在差异的，进行相应的调整。②使用寿命不确</w:t>
      </w:r>
      <w:r>
        <w:rPr>
          <w:spacing w:val="-83"/>
        </w:rPr>
        <w:t> </w:t>
      </w:r>
      <w:r>
        <w:rPr>
          <w:spacing w:val="-83"/>
        </w:rPr>
      </w:r>
      <w:r>
        <w:rPr>
          <w:spacing w:val="-1"/>
        </w:rPr>
        <w:t>定的无形资产不摊销，但在年度终了，对使用寿命进行复核，当有确凿证据表明其使用寿命是有限的，则</w:t>
      </w:r>
      <w:r>
        <w:rPr>
          <w:spacing w:val="-85"/>
        </w:rPr>
        <w:t> </w:t>
      </w:r>
      <w:r>
        <w:rPr>
          <w:spacing w:val="-85"/>
        </w:rPr>
      </w:r>
      <w:r>
        <w:rPr/>
        <w:t>估计其使用寿命，按直线法进行摊销。</w:t>
      </w:r>
    </w:p>
    <w:p>
      <w:pPr>
        <w:pStyle w:val="Heading4"/>
        <w:spacing w:line="240" w:lineRule="auto" w:before="7"/>
        <w:ind w:left="576" w:right="914"/>
        <w:jc w:val="left"/>
        <w:rPr>
          <w:b w:val="0"/>
          <w:bCs w:val="0"/>
        </w:rPr>
      </w:pPr>
      <w:r>
        <w:rPr>
          <w:rFonts w:ascii="宋体" w:hAnsi="宋体" w:cs="宋体" w:eastAsia="宋体" w:hint="default"/>
        </w:rPr>
        <w:t>2</w:t>
      </w:r>
      <w:r>
        <w:rPr/>
        <w:t>）无形资产使用寿命的确定及复核</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BodyText"/>
        <w:spacing w:line="273" w:lineRule="auto" w:before="35"/>
        <w:ind w:left="154" w:right="1197" w:firstLine="420"/>
        <w:jc w:val="left"/>
      </w:pPr>
      <w:r>
        <w:rPr>
          <w:rFonts w:ascii="宋体" w:hAnsi="宋体" w:cs="宋体" w:eastAsia="宋体" w:hint="default"/>
        </w:rPr>
        <w:t>A</w:t>
      </w:r>
      <w:r>
        <w:rPr/>
        <w:t>、公司无形资产源自合同性权利或其他法定权利，且合同规定或法律规定有明确的使用年限，其使 用寿命按照合同性权利或其他法定权利的期限确定。</w:t>
      </w:r>
    </w:p>
    <w:p>
      <w:pPr>
        <w:pStyle w:val="BodyText"/>
        <w:spacing w:line="273" w:lineRule="auto"/>
        <w:ind w:right="914" w:firstLine="420"/>
        <w:jc w:val="left"/>
      </w:pPr>
      <w:r>
        <w:rPr>
          <w:rFonts w:ascii="宋体" w:hAnsi="宋体" w:cs="宋体" w:eastAsia="宋体" w:hint="default"/>
        </w:rPr>
        <w:t>B</w:t>
      </w:r>
      <w:r>
        <w:rPr/>
        <w:t>、没有明确的合同或法律规定的无形资产</w:t>
      </w:r>
      <w:r>
        <w:rPr>
          <w:rFonts w:ascii="宋体" w:hAnsi="宋体" w:cs="宋体" w:eastAsia="宋体" w:hint="default"/>
        </w:rPr>
        <w:t>,</w:t>
      </w:r>
      <w:r>
        <w:rPr/>
        <w:t>公司综合以下各方面情况</w:t>
      </w:r>
      <w:r>
        <w:rPr>
          <w:rFonts w:ascii="宋体" w:hAnsi="宋体" w:cs="宋体" w:eastAsia="宋体" w:hint="default"/>
        </w:rPr>
        <w:t>,</w:t>
      </w:r>
      <w:r>
        <w:rPr/>
        <w:t>来确定无形资产为公司带来未 来经济利益的期限。</w:t>
      </w:r>
    </w:p>
    <w:p>
      <w:pPr>
        <w:pStyle w:val="BodyText"/>
        <w:spacing w:line="240" w:lineRule="auto" w:before="8"/>
        <w:ind w:left="573" w:right="914"/>
        <w:jc w:val="left"/>
      </w:pPr>
      <w:r>
        <w:rPr/>
        <w:t>①运用该资产生产的产品通常的寿命周期、可获得的类似资产使用寿命的信息；</w:t>
      </w:r>
    </w:p>
    <w:p>
      <w:pPr>
        <w:pStyle w:val="BodyText"/>
        <w:spacing w:line="240" w:lineRule="auto" w:before="37"/>
        <w:ind w:left="573" w:right="914"/>
        <w:jc w:val="left"/>
      </w:pPr>
      <w:r>
        <w:rPr/>
        <w:t>②技术、工艺等方面的现阶段情况及对未来发展趋势的估计；</w:t>
      </w:r>
    </w:p>
    <w:p>
      <w:pPr>
        <w:pStyle w:val="BodyText"/>
        <w:spacing w:line="240" w:lineRule="auto" w:before="37"/>
        <w:ind w:left="573" w:right="914"/>
        <w:jc w:val="left"/>
      </w:pPr>
      <w:r>
        <w:rPr/>
        <w:t>③以该资产生产的产品或提供劳务的市场需求情况；</w:t>
      </w:r>
    </w:p>
    <w:p>
      <w:pPr>
        <w:pStyle w:val="BodyText"/>
        <w:spacing w:line="240" w:lineRule="auto" w:before="37"/>
        <w:ind w:left="573" w:right="914"/>
        <w:jc w:val="left"/>
      </w:pPr>
      <w:r>
        <w:rPr/>
        <w:t>④现在或潜在的竞争者预期采取的行动；</w:t>
      </w:r>
    </w:p>
    <w:p>
      <w:pPr>
        <w:pStyle w:val="BodyText"/>
        <w:spacing w:line="240" w:lineRule="auto" w:before="37"/>
        <w:ind w:left="573" w:right="914"/>
        <w:jc w:val="left"/>
      </w:pPr>
      <w:r>
        <w:rPr/>
        <w:t>⑤为维持该资产带来经济利益能力的预期维护支出，以及公司预计支付有关支出的能力；</w:t>
      </w:r>
    </w:p>
    <w:p>
      <w:pPr>
        <w:pStyle w:val="BodyText"/>
        <w:spacing w:line="273" w:lineRule="auto" w:before="37"/>
        <w:ind w:left="574" w:right="914"/>
        <w:jc w:val="left"/>
      </w:pPr>
      <w:r>
        <w:rPr/>
        <w:t>⑥与公司持有其他资产使用寿命的关联性等。 如果经过上述努力确实无法合理确定无形资产为公司带来经济利益的期限</w:t>
      </w:r>
      <w:r>
        <w:rPr>
          <w:rFonts w:ascii="宋体" w:hAnsi="宋体" w:cs="宋体" w:eastAsia="宋体" w:hint="default"/>
        </w:rPr>
        <w:t>,</w:t>
      </w:r>
      <w:r>
        <w:rPr/>
        <w:t>则将其作为使用寿命不确</w:t>
      </w:r>
    </w:p>
    <w:p>
      <w:pPr>
        <w:pStyle w:val="BodyText"/>
        <w:spacing w:line="273" w:lineRule="auto"/>
        <w:ind w:left="574" w:right="914" w:hanging="420"/>
        <w:jc w:val="left"/>
      </w:pPr>
      <w:r>
        <w:rPr/>
        <w:t>定的无形资产。 </w:t>
      </w:r>
      <w:r>
        <w:rPr>
          <w:rFonts w:ascii="宋体" w:hAnsi="宋体" w:cs="宋体" w:eastAsia="宋体" w:hint="default"/>
        </w:rPr>
        <w:t>C</w:t>
      </w:r>
      <w:r>
        <w:rPr/>
        <w:t>、根据可获得的情况判断</w:t>
      </w:r>
      <w:r>
        <w:rPr>
          <w:rFonts w:ascii="宋体" w:hAnsi="宋体" w:cs="宋体" w:eastAsia="宋体" w:hint="default"/>
        </w:rPr>
        <w:t>,</w:t>
      </w:r>
      <w:r>
        <w:rPr/>
        <w:t>有确凿证据表明无法合理估计其使用寿命的无形资产</w:t>
      </w:r>
      <w:r>
        <w:rPr>
          <w:rFonts w:ascii="宋体" w:hAnsi="宋体" w:cs="宋体" w:eastAsia="宋体" w:hint="default"/>
        </w:rPr>
        <w:t>,</w:t>
      </w:r>
      <w:r>
        <w:rPr/>
        <w:t>作为使用寿命不确</w:t>
      </w:r>
    </w:p>
    <w:p>
      <w:pPr>
        <w:pStyle w:val="BodyText"/>
        <w:spacing w:line="273" w:lineRule="auto"/>
        <w:ind w:right="1133"/>
        <w:jc w:val="both"/>
      </w:pPr>
      <w:r>
        <w:rPr/>
        <w:t>定的无形资产。如果期末重新复核后仍为不确定的</w:t>
      </w:r>
      <w:r>
        <w:rPr>
          <w:rFonts w:ascii="宋体" w:hAnsi="宋体" w:cs="宋体" w:eastAsia="宋体" w:hint="default"/>
        </w:rPr>
        <w:t>,</w:t>
      </w:r>
      <w:r>
        <w:rPr/>
        <w:t>公司在每个会计期间进行减值测试，严格按照计提资</w:t>
      </w:r>
      <w:r>
        <w:rPr>
          <w:spacing w:val="-28"/>
        </w:rPr>
        <w:t> </w:t>
      </w:r>
      <w:r>
        <w:rPr>
          <w:spacing w:val="-28"/>
        </w:rPr>
      </w:r>
      <w:r>
        <w:rPr/>
        <w:t>产减值核算方法的规定处理</w:t>
      </w:r>
      <w:r>
        <w:rPr>
          <w:rFonts w:ascii="宋体" w:hAnsi="宋体" w:cs="宋体" w:eastAsia="宋体" w:hint="default"/>
        </w:rPr>
        <w:t>,</w:t>
      </w:r>
      <w:r>
        <w:rPr/>
        <w:t>需要计提减值准备的</w:t>
      </w:r>
      <w:r>
        <w:rPr>
          <w:rFonts w:ascii="宋体" w:hAnsi="宋体" w:cs="宋体" w:eastAsia="宋体" w:hint="default"/>
        </w:rPr>
        <w:t>,</w:t>
      </w:r>
      <w:r>
        <w:rPr/>
        <w:t>相应计提有关的减值准备。</w:t>
      </w:r>
    </w:p>
    <w:p>
      <w:pPr>
        <w:pStyle w:val="BodyText"/>
        <w:spacing w:line="273" w:lineRule="auto"/>
        <w:ind w:right="914" w:firstLine="420"/>
        <w:jc w:val="left"/>
      </w:pPr>
      <w:r>
        <w:rPr>
          <w:rFonts w:ascii="宋体" w:hAnsi="宋体" w:cs="宋体" w:eastAsia="宋体" w:hint="default"/>
          <w:spacing w:val="-1"/>
        </w:rPr>
        <w:t>D</w:t>
      </w:r>
      <w:r>
        <w:rPr>
          <w:spacing w:val="-1"/>
        </w:rPr>
        <w:t>、公司于每年年度终了，对使用寿命有限的无形资产的使用寿命及未来经济利益消耗方式进行复核。</w:t>
      </w:r>
      <w:r>
        <w:rPr/>
        <w:t> 无形资产的预计使用寿命及未来经济利益的预期消耗方式与以前估计不同的，相应改变摊销期限和摊销方 法。</w:t>
      </w:r>
    </w:p>
    <w:p>
      <w:pPr>
        <w:pStyle w:val="BodyText"/>
        <w:spacing w:line="273" w:lineRule="auto"/>
        <w:ind w:left="154" w:right="914" w:firstLine="420"/>
        <w:jc w:val="left"/>
      </w:pPr>
      <w:r>
        <w:rPr>
          <w:spacing w:val="-1"/>
        </w:rPr>
        <w:t>公司在每个会计期间对使用寿命不确定的无形资产的使用寿命进行复核。如果有证据表明无形资产的</w:t>
      </w:r>
      <w:r>
        <w:rPr/>
        <w:t> 使用寿命是有限的，估计其使用寿命，并按其估计使用寿命进行摊销。</w:t>
      </w:r>
    </w:p>
    <w:p>
      <w:pPr>
        <w:spacing w:line="273" w:lineRule="auto" w:before="7"/>
        <w:ind w:left="574" w:right="914"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）无形资产的减值测试方法及减值准备计提方法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资产负债表日，本公司对无形资产检查是否存在可能发生减值的迹象，当存在减值迹象时应进行减值</w:t>
      </w:r>
    </w:p>
    <w:p>
      <w:pPr>
        <w:pStyle w:val="BodyText"/>
        <w:spacing w:line="273" w:lineRule="auto" w:before="8"/>
        <w:ind w:left="154" w:right="1131"/>
        <w:jc w:val="both"/>
      </w:pPr>
      <w:r>
        <w:rPr>
          <w:spacing w:val="-1"/>
        </w:rPr>
        <w:t>测试确认其可收回金额，按可收回金额低于账面价值部分计提减值准备，减值损失一经计提，在以后会计</w:t>
      </w:r>
      <w:r>
        <w:rPr>
          <w:spacing w:val="-83"/>
        </w:rPr>
        <w:t> </w:t>
      </w:r>
      <w:r>
        <w:rPr>
          <w:spacing w:val="-83"/>
        </w:rPr>
      </w:r>
      <w:r>
        <w:rPr/>
        <w:t>期间不再转回。</w:t>
      </w:r>
    </w:p>
    <w:p>
      <w:pPr>
        <w:pStyle w:val="BodyText"/>
        <w:spacing w:line="273" w:lineRule="auto"/>
        <w:ind w:left="154" w:right="914" w:firstLine="420"/>
        <w:jc w:val="left"/>
      </w:pPr>
      <w:r>
        <w:rPr>
          <w:spacing w:val="3"/>
        </w:rPr>
        <w:t>无形资产可收回金额根据资产公允价值减去处置费用后的净额与资产预计未来现金流量的现值两者</w:t>
      </w:r>
      <w:r>
        <w:rPr/>
        <w:t> 孰高确定。</w:t>
      </w:r>
    </w:p>
    <w:p>
      <w:pPr>
        <w:pStyle w:val="BodyText"/>
        <w:spacing w:line="273" w:lineRule="auto"/>
        <w:ind w:left="154" w:right="914" w:firstLine="420"/>
        <w:jc w:val="left"/>
      </w:pPr>
      <w:r>
        <w:rPr>
          <w:spacing w:val="-1"/>
        </w:rPr>
        <w:t>无形资产减值准备的计提按照资产减值核算方法处理。无形资产减值损失一经确认在以后会计期间不</w:t>
      </w:r>
      <w:r>
        <w:rPr/>
        <w:t> 再转回，当该项资产处置时予以转出。</w:t>
      </w:r>
    </w:p>
    <w:p>
      <w:pPr>
        <w:spacing w:line="590" w:lineRule="atLeast" w:before="9"/>
        <w:ind w:left="574" w:right="914" w:hanging="420"/>
        <w:jc w:val="left"/>
        <w:rPr>
          <w:rFonts w:ascii="宋体" w:hAnsi="宋体" w:cs="宋体" w:eastAsia="宋体" w:hint="default"/>
          <w:sz w:val="21"/>
          <w:szCs w:val="21"/>
        </w:rPr>
      </w:pPr>
      <w:bookmarkStart w:name="（2）内部研究开发支出会计政策" w:id="184"/>
      <w:bookmarkEnd w:id="1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公司将研究开发项目区分为研究阶段与开发阶段。公司划分内部研究开发项目研究阶段支出和开发阶</w:t>
      </w:r>
    </w:p>
    <w:p>
      <w:pPr>
        <w:pStyle w:val="BodyText"/>
        <w:spacing w:line="273" w:lineRule="auto" w:before="37"/>
        <w:ind w:left="154" w:right="1131"/>
        <w:jc w:val="both"/>
      </w:pPr>
      <w:r>
        <w:rPr>
          <w:spacing w:val="-1"/>
        </w:rPr>
        <w:t>段支出的具体标准为：为获取新的技术和知识等进行的有计划的调查阶段，确定为研究阶段，该阶段具有</w:t>
      </w:r>
      <w:r>
        <w:rPr>
          <w:spacing w:val="-83"/>
        </w:rPr>
        <w:t> </w:t>
      </w:r>
      <w:r>
        <w:rPr>
          <w:spacing w:val="-83"/>
        </w:rPr>
      </w:r>
      <w:r>
        <w:rPr>
          <w:spacing w:val="-1"/>
        </w:rPr>
        <w:t>计划性和探索性等特点；在进行商业性生产或使用前，将研究成果或其他知识应用于某项计划或设计，以</w:t>
      </w:r>
      <w:r>
        <w:rPr>
          <w:spacing w:val="-83"/>
        </w:rPr>
        <w:t> </w:t>
      </w:r>
      <w:r>
        <w:rPr>
          <w:spacing w:val="-83"/>
        </w:rPr>
      </w:r>
      <w:r>
        <w:rPr>
          <w:spacing w:val="-1"/>
        </w:rPr>
        <w:t>生产出新的或具有实质性改进的材料、装置、产品等阶段，确定为开发阶段，该阶段具有针对性和形成成</w:t>
      </w:r>
      <w:r>
        <w:rPr>
          <w:spacing w:val="-85"/>
        </w:rPr>
        <w:t> </w:t>
      </w:r>
      <w:r>
        <w:rPr>
          <w:spacing w:val="-85"/>
        </w:rPr>
      </w:r>
      <w:r>
        <w:rPr/>
        <w:t>果的可能性较大等特点。</w:t>
      </w:r>
    </w:p>
    <w:p>
      <w:pPr>
        <w:pStyle w:val="BodyText"/>
        <w:spacing w:line="273" w:lineRule="auto"/>
        <w:ind w:left="154" w:right="914" w:firstLine="420"/>
        <w:jc w:val="left"/>
      </w:pPr>
      <w:r>
        <w:rPr>
          <w:spacing w:val="-1"/>
        </w:rPr>
        <w:t>公司自行研究开发的无形资产，其研究阶段的支出，于发生时计入当期损益；其开发阶段的支出，同</w:t>
      </w:r>
      <w:r>
        <w:rPr/>
        <w:t> </w:t>
      </w:r>
      <w:r>
        <w:rPr>
          <w:spacing w:val="-4"/>
        </w:rPr>
        <w:t>时满足下列条件的，确认为无形资产（专利技术和非专利技术）：</w:t>
      </w:r>
    </w:p>
    <w:p>
      <w:pPr>
        <w:pStyle w:val="BodyText"/>
        <w:spacing w:line="240" w:lineRule="auto"/>
        <w:ind w:left="574" w:right="914"/>
        <w:jc w:val="left"/>
      </w:pPr>
      <w:r>
        <w:rPr>
          <w:rFonts w:ascii="宋体" w:hAnsi="宋体" w:cs="宋体" w:eastAsia="宋体" w:hint="default"/>
        </w:rPr>
        <w:t>1</w:t>
      </w:r>
      <w:r>
        <w:rPr/>
        <w:t>）完成该无形资产以使其能够使用或出售在技术上具有可行性；</w:t>
      </w:r>
    </w:p>
    <w:p>
      <w:pPr>
        <w:pStyle w:val="BodyText"/>
        <w:spacing w:line="240" w:lineRule="auto" w:before="37"/>
        <w:ind w:left="574" w:right="914"/>
        <w:jc w:val="left"/>
      </w:pPr>
      <w:r>
        <w:rPr>
          <w:rFonts w:ascii="宋体" w:hAnsi="宋体" w:cs="宋体" w:eastAsia="宋体" w:hint="default"/>
        </w:rPr>
        <w:t>2</w:t>
      </w:r>
      <w:r>
        <w:rPr/>
        <w:t>）具有完成该无形资产并使用或出售的意图；</w:t>
      </w:r>
    </w:p>
    <w:p>
      <w:pPr>
        <w:pStyle w:val="BodyText"/>
        <w:spacing w:line="273" w:lineRule="auto" w:before="37"/>
        <w:ind w:left="154" w:right="914" w:firstLine="420"/>
        <w:jc w:val="left"/>
      </w:pPr>
      <w:r>
        <w:rPr>
          <w:rFonts w:ascii="宋体" w:hAnsi="宋体" w:cs="宋体" w:eastAsia="宋体" w:hint="default"/>
        </w:rPr>
        <w:t>3</w:t>
      </w:r>
      <w:r>
        <w:rPr/>
        <w:t>）无形资产产生经济利益的方式，包括能够证明运用该无形资产生产的产品存在市场或无形资产自 身存在市场，无形资产将在内部使用的，证明其有用性；</w:t>
      </w:r>
    </w:p>
    <w:p>
      <w:pPr>
        <w:pStyle w:val="BodyText"/>
        <w:spacing w:line="273" w:lineRule="auto"/>
        <w:ind w:left="154" w:right="914" w:firstLine="420"/>
        <w:jc w:val="left"/>
      </w:pPr>
      <w:r>
        <w:rPr>
          <w:rFonts w:ascii="宋体" w:hAnsi="宋体" w:cs="宋体" w:eastAsia="宋体" w:hint="default"/>
        </w:rPr>
        <w:t>4</w:t>
      </w:r>
      <w:r>
        <w:rPr/>
        <w:t>）有足够的技术、财务资源和其他资源支持，以完成该无形资产的开发，并有能力使用或出售该无 形资产；</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4" w:right="914"/>
        <w:jc w:val="left"/>
      </w:pPr>
      <w:r>
        <w:rPr>
          <w:rFonts w:ascii="宋体" w:hAnsi="宋体" w:cs="宋体" w:eastAsia="宋体" w:hint="default"/>
        </w:rPr>
        <w:t>5</w:t>
      </w:r>
      <w:r>
        <w:rPr/>
        <w:t>）归属于该无形资产开发阶段的支出能够可靠地计量；</w:t>
      </w:r>
    </w:p>
    <w:p>
      <w:pPr>
        <w:pStyle w:val="BodyText"/>
        <w:spacing w:line="590" w:lineRule="atLeast" w:before="39"/>
        <w:ind w:left="574" w:right="914" w:hanging="420"/>
        <w:jc w:val="left"/>
      </w:pPr>
      <w:bookmarkStart w:name="22、长期资产减值" w:id="185"/>
      <w:bookmarkEnd w:id="185"/>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spacing w:val="-1"/>
        </w:rPr>
        <w:t>长期股权投资、采用成本模式计量的投资性房地产、固定资产、在建工程、无形资产等长期资产，于</w:t>
      </w:r>
    </w:p>
    <w:p>
      <w:pPr>
        <w:pStyle w:val="BodyText"/>
        <w:spacing w:line="273" w:lineRule="auto" w:before="37"/>
        <w:ind w:left="154" w:right="1110"/>
        <w:jc w:val="both"/>
      </w:pPr>
      <w:r>
        <w:rPr/>
        <w:t>资产负债表日存在减值迹象的，进行减值测试。减值测试结果表明资产的可收回金额低于其账面价值的， </w:t>
      </w:r>
      <w:r>
        <w:rPr>
          <w:spacing w:val="-1"/>
        </w:rPr>
        <w:t>按其差额计提减值准备并计入减值损失。可收回金额为资产的公允价值减去处置费用后的净额与资产预计</w:t>
      </w:r>
      <w:r>
        <w:rPr>
          <w:spacing w:val="-81"/>
        </w:rPr>
        <w:t> </w:t>
      </w:r>
      <w:r>
        <w:rPr>
          <w:spacing w:val="-81"/>
        </w:rPr>
      </w:r>
      <w:r>
        <w:rPr>
          <w:spacing w:val="-1"/>
        </w:rPr>
        <w:t>未来现金流量的现值两者之间的较高者。资产减值准备按单项资产为基础计算并确认，如果难以对单项资</w:t>
      </w:r>
      <w:r>
        <w:rPr>
          <w:spacing w:val="-81"/>
        </w:rPr>
        <w:t> </w:t>
      </w:r>
      <w:r>
        <w:rPr>
          <w:spacing w:val="-81"/>
        </w:rPr>
      </w:r>
      <w:r>
        <w:rPr>
          <w:spacing w:val="-1"/>
        </w:rPr>
        <w:t>产的可收回金额进行估计的，以该资产所属的资产组确定资产组的可收回金额。资产组是能够独立产生现</w:t>
      </w:r>
      <w:r>
        <w:rPr>
          <w:spacing w:val="-81"/>
        </w:rPr>
        <w:t> </w:t>
      </w:r>
      <w:r>
        <w:rPr>
          <w:spacing w:val="-81"/>
        </w:rPr>
      </w:r>
      <w:r>
        <w:rPr/>
        <w:t>金流入的最小资产组合。</w:t>
      </w:r>
    </w:p>
    <w:p>
      <w:pPr>
        <w:pStyle w:val="BodyText"/>
        <w:spacing w:line="273" w:lineRule="auto"/>
        <w:ind w:left="574" w:right="914"/>
        <w:jc w:val="left"/>
      </w:pPr>
      <w:r>
        <w:rPr/>
        <w:t>商誉至少在每年年度终了进行减值测试。 </w:t>
      </w:r>
      <w:r>
        <w:rPr>
          <w:spacing w:val="-1"/>
        </w:rPr>
        <w:t>本公司进行商誉减值测试，对于因企业合并形成的商誉的账面价值，自购买日起按照合理的方法分摊</w:t>
      </w:r>
    </w:p>
    <w:p>
      <w:pPr>
        <w:pStyle w:val="BodyText"/>
        <w:spacing w:line="273" w:lineRule="auto"/>
        <w:ind w:left="154" w:right="1131"/>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BodyText"/>
        <w:spacing w:line="273" w:lineRule="auto"/>
        <w:ind w:left="154" w:right="1131" w:firstLine="420"/>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w:t>
      </w:r>
    </w:p>
    <w:p>
      <w:pPr>
        <w:pStyle w:val="BodyText"/>
        <w:spacing w:line="240" w:lineRule="auto"/>
        <w:ind w:left="573" w:right="914"/>
        <w:jc w:val="left"/>
      </w:pPr>
      <w:r>
        <w:rPr/>
        <w:t>上述资产减值损失一经确认，在以后会计期间不予转回。</w:t>
      </w:r>
    </w:p>
    <w:p>
      <w:pPr>
        <w:pStyle w:val="BodyText"/>
        <w:spacing w:line="590" w:lineRule="atLeast" w:before="39"/>
        <w:ind w:left="574" w:right="914" w:hanging="420"/>
        <w:jc w:val="left"/>
      </w:pPr>
      <w:bookmarkStart w:name="23、长期待摊费用" w:id="186"/>
      <w:bookmarkEnd w:id="186"/>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长期待摊费用按实际发生额核算，在项目受益期内平均摊销。如果长期摊销的费用项目不能使以后会</w:t>
      </w:r>
    </w:p>
    <w:p>
      <w:pPr>
        <w:pStyle w:val="BodyText"/>
        <w:spacing w:line="240" w:lineRule="auto" w:before="37"/>
        <w:ind w:left="154" w:right="0"/>
        <w:jc w:val="both"/>
      </w:pPr>
      <w:r>
        <w:rPr/>
        <w:t>计期间受益的，应当将尚未摊销的该项目的摊余价值全部转入当期损益。</w:t>
      </w:r>
    </w:p>
    <w:p>
      <w:pPr>
        <w:spacing w:line="240" w:lineRule="auto" w:before="11"/>
        <w:rPr>
          <w:rFonts w:ascii="宋体" w:hAnsi="宋体" w:cs="宋体" w:eastAsia="宋体" w:hint="default"/>
          <w:sz w:val="25"/>
          <w:szCs w:val="25"/>
        </w:rPr>
      </w:pPr>
    </w:p>
    <w:p>
      <w:pPr>
        <w:pStyle w:val="Heading4"/>
        <w:spacing w:line="240" w:lineRule="auto"/>
        <w:ind w:left="153" w:right="0"/>
        <w:jc w:val="both"/>
        <w:rPr>
          <w:b w:val="0"/>
          <w:bCs w:val="0"/>
        </w:rPr>
      </w:pPr>
      <w:bookmarkStart w:name="24、职工薪酬" w:id="187"/>
      <w:bookmarkEnd w:id="187"/>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4" w:right="1092" w:hanging="420"/>
        <w:jc w:val="left"/>
        <w:rPr>
          <w:rFonts w:ascii="宋体" w:hAnsi="宋体" w:cs="宋体" w:eastAsia="宋体" w:hint="default"/>
          <w:sz w:val="21"/>
          <w:szCs w:val="21"/>
        </w:rPr>
      </w:pPr>
      <w:bookmarkStart w:name="（1）短期薪酬的会计处理方法" w:id="188"/>
      <w:bookmarkEnd w:id="1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短期薪酬包括短期工资、奖金、津贴、补贴、职工福利费、住房公积金、工会经费和职工教育经费、</w:t>
      </w:r>
    </w:p>
    <w:p>
      <w:pPr>
        <w:pStyle w:val="BodyText"/>
        <w:spacing w:line="273" w:lineRule="auto" w:before="37"/>
        <w:ind w:left="154" w:right="1130"/>
        <w:jc w:val="both"/>
      </w:pPr>
      <w:r>
        <w:rPr>
          <w:spacing w:val="-1"/>
        </w:rPr>
        <w:t>医疗保险费、工伤保险费、生育保险费、短期带薪缺勤、短期利润分享计划等。在职工提供服务的会计期</w:t>
      </w:r>
      <w:r>
        <w:rPr>
          <w:spacing w:val="-83"/>
        </w:rPr>
        <w:t> </w:t>
      </w:r>
      <w:r>
        <w:rPr>
          <w:spacing w:val="-83"/>
        </w:rPr>
      </w:r>
      <w:r>
        <w:rPr>
          <w:spacing w:val="-1"/>
        </w:rPr>
        <w:t>间，将实际发生的应付的短期薪酬确认为负债，并按照受益对象按照权责发生制原则计入当期损益或相关</w:t>
      </w:r>
      <w:r>
        <w:rPr>
          <w:spacing w:val="-80"/>
        </w:rPr>
        <w:t> </w:t>
      </w:r>
      <w:r>
        <w:rPr>
          <w:spacing w:val="-80"/>
        </w:rPr>
      </w:r>
      <w:r>
        <w:rPr/>
        <w:t>资产成本。</w:t>
      </w:r>
    </w:p>
    <w:p>
      <w:pPr>
        <w:spacing w:line="590" w:lineRule="atLeast" w:before="9"/>
        <w:ind w:left="594" w:right="914" w:hanging="441"/>
        <w:jc w:val="left"/>
        <w:rPr>
          <w:rFonts w:ascii="宋体" w:hAnsi="宋体" w:cs="宋体" w:eastAsia="宋体" w:hint="default"/>
          <w:sz w:val="21"/>
          <w:szCs w:val="21"/>
        </w:rPr>
      </w:pPr>
      <w:bookmarkStart w:name="（2）离职后福利的会计处理方法" w:id="189"/>
      <w:bookmarkEnd w:id="1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离职后福利主要包括基本养老保险费、企业年金等，按照公司承担的风险和义务，分类为设定提存计</w:t>
      </w:r>
    </w:p>
    <w:p>
      <w:pPr>
        <w:pStyle w:val="BodyText"/>
        <w:spacing w:line="273" w:lineRule="auto" w:before="37"/>
        <w:ind w:left="154" w:right="1131"/>
        <w:jc w:val="both"/>
      </w:pPr>
      <w:r>
        <w:rPr>
          <w:spacing w:val="-1"/>
        </w:rPr>
        <w:t>划、设定受益计划。设定提存计划：在根据在资产负债表日为换取职工在会计期间提供的服务而向单独主</w:t>
      </w:r>
      <w:r>
        <w:rPr>
          <w:spacing w:val="-83"/>
        </w:rPr>
        <w:t> </w:t>
      </w:r>
      <w:r>
        <w:rPr>
          <w:spacing w:val="-83"/>
        </w:rPr>
      </w:r>
      <w:r>
        <w:rPr>
          <w:spacing w:val="-1"/>
        </w:rPr>
        <w:t>体缴存的提存金确认为负债，并按照受益对象计入当期损益或相关资产成本。设定受益计划：在半年和年</w:t>
      </w:r>
      <w:r>
        <w:rPr>
          <w:spacing w:val="-83"/>
        </w:rPr>
        <w:t> </w:t>
      </w:r>
      <w:r>
        <w:rPr>
          <w:spacing w:val="-83"/>
        </w:rPr>
      </w:r>
      <w:r>
        <w:rPr>
          <w:spacing w:val="-1"/>
        </w:rPr>
        <w:t>度资产负债表日由独立精算师进行精算估值，以预期累积福利单位法确定提供福利的成本。本公司设定受</w:t>
      </w:r>
      <w:r>
        <w:rPr>
          <w:spacing w:val="-81"/>
        </w:rPr>
        <w:t> </w:t>
      </w:r>
      <w:r>
        <w:rPr>
          <w:spacing w:val="-81"/>
        </w:rPr>
      </w:r>
      <w:r>
        <w:rPr/>
        <w:t>益计划导致的职工薪酬成本包括下列组成部分：</w:t>
      </w:r>
      <w:r>
        <w:rPr>
          <w:rFonts w:ascii="宋体" w:hAnsi="宋体" w:cs="宋体" w:eastAsia="宋体" w:hint="default"/>
        </w:rPr>
        <w:t>1</w:t>
      </w:r>
      <w:r>
        <w:rPr/>
        <w:t>）服务成本，包括当期服务成本、过去服务成本和结算</w:t>
      </w:r>
      <w:r>
        <w:rPr>
          <w:spacing w:val="-29"/>
        </w:rPr>
        <w:t> </w:t>
      </w:r>
      <w:r>
        <w:rPr>
          <w:spacing w:val="-29"/>
        </w:rPr>
      </w:r>
      <w:r>
        <w:rPr>
          <w:spacing w:val="-1"/>
        </w:rPr>
        <w:t>利得或损失。其中，当期服务成本是指，职工当期提供服务所导致的设定受益义务现值的增加额；过去服</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914"/>
        <w:jc w:val="left"/>
      </w:pPr>
      <w:r>
        <w:rPr>
          <w:spacing w:val="-1"/>
        </w:rPr>
        <w:t>务成本是指，设定受益计划修改所导致的与以前期间职工服务相关的设定受益义务现值的增加或减少；</w:t>
      </w:r>
      <w:r>
        <w:rPr>
          <w:rFonts w:ascii="宋体" w:hAnsi="宋体" w:cs="宋体" w:eastAsia="宋体" w:hint="default"/>
          <w:spacing w:val="-1"/>
        </w:rPr>
        <w:t>2</w:t>
      </w:r>
      <w:r>
        <w:rPr>
          <w:spacing w:val="-1"/>
        </w:rPr>
        <w:t>）</w:t>
      </w:r>
      <w:r>
        <w:rPr>
          <w:spacing w:val="-80"/>
        </w:rPr>
        <w:t> </w:t>
      </w:r>
      <w:r>
        <w:rPr/>
        <w:t>设定受益义务的利息费用；</w:t>
      </w:r>
      <w:r>
        <w:rPr>
          <w:rFonts w:ascii="宋体" w:hAnsi="宋体" w:cs="宋体" w:eastAsia="宋体" w:hint="default"/>
        </w:rPr>
        <w:t>3</w:t>
      </w:r>
      <w:r>
        <w:rPr/>
        <w:t>）重新计量设定受益计划负债导致的变动。除非其他会计准则要求或允许职</w:t>
      </w:r>
      <w:r>
        <w:rPr>
          <w:spacing w:val="-31"/>
        </w:rPr>
        <w:t> </w:t>
      </w:r>
      <w:r>
        <w:rPr>
          <w:spacing w:val="-31"/>
        </w:rPr>
      </w:r>
      <w:r>
        <w:rPr/>
        <w:t>工福利成本计入资产成本，本公司将上述第</w:t>
      </w:r>
      <w:r>
        <w:rPr>
          <w:rFonts w:ascii="宋体" w:hAnsi="宋体" w:cs="宋体" w:eastAsia="宋体" w:hint="default"/>
        </w:rPr>
        <w:t>1)</w:t>
      </w:r>
      <w:r>
        <w:rPr/>
        <w:t>和</w:t>
      </w:r>
      <w:r>
        <w:rPr>
          <w:rFonts w:ascii="宋体" w:hAnsi="宋体" w:cs="宋体" w:eastAsia="宋体" w:hint="default"/>
        </w:rPr>
        <w:t>2)</w:t>
      </w:r>
      <w:r>
        <w:rPr/>
        <w:t>项计入当期损益；第</w:t>
      </w:r>
      <w:r>
        <w:rPr>
          <w:rFonts w:ascii="宋体" w:hAnsi="宋体" w:cs="宋体" w:eastAsia="宋体" w:hint="default"/>
        </w:rPr>
        <w:t>3)</w:t>
      </w:r>
      <w:r>
        <w:rPr/>
        <w:t>项计入其他综合收益且不会在后 续会计期间转回至损益。</w:t>
      </w:r>
    </w:p>
    <w:p>
      <w:pPr>
        <w:spacing w:line="590" w:lineRule="atLeast" w:before="10"/>
        <w:ind w:left="574" w:right="914" w:hanging="420"/>
        <w:jc w:val="left"/>
        <w:rPr>
          <w:rFonts w:ascii="宋体" w:hAnsi="宋体" w:cs="宋体" w:eastAsia="宋体" w:hint="default"/>
          <w:sz w:val="21"/>
          <w:szCs w:val="21"/>
        </w:rPr>
      </w:pPr>
      <w:bookmarkStart w:name="（3）辞退福利的会计处理方法" w:id="190"/>
      <w:bookmarkEnd w:id="1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辞退福利：本公司在职工劳动合同到期之前解除与职工的劳动关系，或者为鼓励职工自愿接受裁减而</w:t>
      </w:r>
    </w:p>
    <w:p>
      <w:pPr>
        <w:pStyle w:val="BodyText"/>
        <w:spacing w:line="273" w:lineRule="auto" w:before="37"/>
        <w:ind w:left="154" w:right="1023"/>
        <w:jc w:val="left"/>
      </w:pPr>
      <w:r>
        <w:rPr>
          <w:spacing w:val="-3"/>
        </w:rPr>
        <w:t>提出给予补偿的建议，在同时满足下列条件时，确认因解除与职工的劳动关系给予补偿而产生的预计负债，</w:t>
      </w:r>
      <w:r>
        <w:rPr>
          <w:spacing w:val="-92"/>
        </w:rPr>
        <w:t> </w:t>
      </w:r>
      <w:r>
        <w:rPr>
          <w:spacing w:val="-92"/>
        </w:rPr>
      </w:r>
      <w:r>
        <w:rPr/>
        <w:t>同时计入当期损益：本公司已经制定正式的解除劳动关系计划或提出自愿裁减建议，并即将实施；本公司</w:t>
      </w:r>
      <w:r>
        <w:rPr/>
        <w:t> 不能单方面撤回解除劳动关系计划或裁减建议。职工内部退休计划采用上述辞退福利相同的原则处理。本 公司将自职工停止提供服务日至正常退休日的期间拟支付的内退人员工资和缴纳的社会保险费等，在符合 预计负债确认条件时，计入当期损益。</w:t>
      </w:r>
    </w:p>
    <w:p>
      <w:pPr>
        <w:spacing w:line="240" w:lineRule="auto" w:before="8"/>
        <w:rPr>
          <w:rFonts w:ascii="宋体" w:hAnsi="宋体" w:cs="宋体" w:eastAsia="宋体" w:hint="default"/>
          <w:sz w:val="23"/>
          <w:szCs w:val="23"/>
        </w:rPr>
      </w:pPr>
    </w:p>
    <w:p>
      <w:pPr>
        <w:pStyle w:val="Heading4"/>
        <w:spacing w:line="240" w:lineRule="auto"/>
        <w:ind w:right="914"/>
        <w:jc w:val="left"/>
        <w:rPr>
          <w:b w:val="0"/>
          <w:bCs w:val="0"/>
        </w:rPr>
      </w:pPr>
      <w:bookmarkStart w:name="25、预计负债" w:id="191"/>
      <w:bookmarkEnd w:id="191"/>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spacing w:line="273" w:lineRule="auto" w:before="0"/>
        <w:ind w:left="574"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）预计负债的确认原则</w:t>
      </w:r>
      <w:r>
        <w:rPr>
          <w:rFonts w:ascii="宋体" w:hAnsi="宋体" w:cs="宋体" w:eastAsia="宋体" w:hint="default"/>
          <w:b/>
          <w:bCs/>
          <w:w w:val="99"/>
          <w:sz w:val="21"/>
          <w:szCs w:val="21"/>
        </w:rPr>
        <w:t> </w:t>
      </w:r>
      <w:r>
        <w:rPr>
          <w:rFonts w:ascii="宋体" w:hAnsi="宋体" w:cs="宋体" w:eastAsia="宋体" w:hint="default"/>
          <w:spacing w:val="-1"/>
          <w:sz w:val="21"/>
          <w:szCs w:val="21"/>
        </w:rPr>
        <w:t>当与对外担保、未决诉讼或仲裁、产品质量保证、裁员计划、亏损合同、重组义务等或有事项相关的</w:t>
      </w:r>
    </w:p>
    <w:p>
      <w:pPr>
        <w:pStyle w:val="BodyText"/>
        <w:spacing w:line="273" w:lineRule="auto"/>
        <w:ind w:left="574" w:right="6552" w:hanging="420"/>
        <w:jc w:val="left"/>
      </w:pPr>
      <w:r>
        <w:rPr/>
        <w:t>业务同时符合以下条件时，确认为预计负债： </w:t>
      </w:r>
      <w:r>
        <w:rPr>
          <w:rFonts w:ascii="宋体" w:hAnsi="宋体" w:cs="宋体" w:eastAsia="宋体" w:hint="default"/>
        </w:rPr>
        <w:t>1</w:t>
      </w:r>
      <w:r>
        <w:rPr/>
        <w:t>）该义务是企业承担的现时义务；</w:t>
      </w:r>
    </w:p>
    <w:p>
      <w:pPr>
        <w:pStyle w:val="BodyText"/>
        <w:spacing w:line="240" w:lineRule="auto"/>
        <w:ind w:left="574" w:right="914"/>
        <w:jc w:val="left"/>
      </w:pPr>
      <w:r>
        <w:rPr>
          <w:rFonts w:ascii="宋体" w:hAnsi="宋体" w:cs="宋体" w:eastAsia="宋体" w:hint="default"/>
        </w:rPr>
        <w:t>2</w:t>
      </w:r>
      <w:r>
        <w:rPr/>
        <w:t>）履行该义务很可能导致经济利益流出企业；</w:t>
      </w:r>
    </w:p>
    <w:p>
      <w:pPr>
        <w:pStyle w:val="BodyText"/>
        <w:spacing w:line="240" w:lineRule="auto" w:before="37"/>
        <w:ind w:left="574" w:right="914"/>
        <w:jc w:val="left"/>
      </w:pPr>
      <w:r>
        <w:rPr>
          <w:rFonts w:ascii="宋体" w:hAnsi="宋体" w:cs="宋体" w:eastAsia="宋体" w:hint="default"/>
        </w:rPr>
        <w:t>3</w:t>
      </w:r>
      <w:r>
        <w:rPr/>
        <w:t>）该义务的金额能够可靠地计量。</w:t>
      </w:r>
    </w:p>
    <w:p>
      <w:pPr>
        <w:spacing w:line="273" w:lineRule="auto" w:before="37"/>
        <w:ind w:left="574"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按照履行相关现时义务所需支出的最佳估计数进行初始计量，如所需支出存在一个连续范围，且该范</w:t>
      </w:r>
    </w:p>
    <w:p>
      <w:pPr>
        <w:pStyle w:val="BodyText"/>
        <w:spacing w:line="273" w:lineRule="auto"/>
        <w:ind w:left="154" w:right="914"/>
        <w:jc w:val="left"/>
      </w:pPr>
      <w:r>
        <w:rPr>
          <w:spacing w:val="-1"/>
        </w:rPr>
        <w:t>围内各种结果发生的可能性相同，最佳估计数按照该范围内的中间值确定；如涉及多个项目，按照各种可</w:t>
      </w:r>
      <w:r>
        <w:rPr>
          <w:spacing w:val="-83"/>
        </w:rPr>
        <w:t> </w:t>
      </w:r>
      <w:r>
        <w:rPr>
          <w:spacing w:val="-83"/>
        </w:rPr>
      </w:r>
      <w:r>
        <w:rPr/>
        <w:t>能结果及相关概率计算确定最佳估计数。</w:t>
      </w:r>
    </w:p>
    <w:p>
      <w:pPr>
        <w:pStyle w:val="BodyText"/>
        <w:spacing w:line="273" w:lineRule="auto"/>
        <w:ind w:left="154" w:right="914" w:firstLine="420"/>
        <w:jc w:val="left"/>
      </w:pPr>
      <w:r>
        <w:rPr>
          <w:spacing w:val="-1"/>
        </w:rPr>
        <w:t>资产负债表日应当对预计负债账面价值进行复核，有确凿证据表明该账面价值不能真实反映当前最佳</w:t>
      </w:r>
      <w:r>
        <w:rPr/>
        <w:t> 估计数，应当按照当前最佳估计数对该账面价值进行调整。</w:t>
      </w:r>
    </w:p>
    <w:p>
      <w:pPr>
        <w:spacing w:line="240" w:lineRule="auto" w:before="8"/>
        <w:rPr>
          <w:rFonts w:ascii="宋体" w:hAnsi="宋体" w:cs="宋体" w:eastAsia="宋体" w:hint="default"/>
          <w:sz w:val="23"/>
          <w:szCs w:val="23"/>
        </w:rPr>
      </w:pPr>
    </w:p>
    <w:p>
      <w:pPr>
        <w:pStyle w:val="Heading4"/>
        <w:spacing w:line="240" w:lineRule="auto"/>
        <w:ind w:right="914"/>
        <w:jc w:val="left"/>
        <w:rPr>
          <w:b w:val="0"/>
          <w:bCs w:val="0"/>
        </w:rPr>
      </w:pPr>
      <w:bookmarkStart w:name="26、股份支付" w:id="192"/>
      <w:bookmarkEnd w:id="192"/>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914"/>
        <w:jc w:val="left"/>
      </w:pPr>
      <w:r>
        <w:rPr/>
        <w:t>公司的股份支付分为以权益结算的股份支付和以现金结算的股份支付。</w:t>
      </w:r>
    </w:p>
    <w:p>
      <w:pPr>
        <w:spacing w:line="273" w:lineRule="auto" w:before="37"/>
        <w:ind w:left="573"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）权益工具公允价值的确定</w:t>
      </w:r>
      <w:r>
        <w:rPr>
          <w:rFonts w:ascii="宋体" w:hAnsi="宋体" w:cs="宋体" w:eastAsia="宋体" w:hint="default"/>
          <w:b/>
          <w:bCs/>
          <w:w w:val="99"/>
          <w:sz w:val="21"/>
          <w:szCs w:val="21"/>
        </w:rPr>
        <w:t> </w:t>
      </w:r>
      <w:r>
        <w:rPr>
          <w:rFonts w:ascii="宋体" w:hAnsi="宋体" w:cs="宋体" w:eastAsia="宋体" w:hint="default"/>
          <w:spacing w:val="-1"/>
          <w:sz w:val="21"/>
          <w:szCs w:val="21"/>
        </w:rPr>
        <w:t>以权益结算的股份支付，以授予职工权益工具的公允价值计量。以现金结算的股份支付，按照公司承</w:t>
      </w:r>
    </w:p>
    <w:p>
      <w:pPr>
        <w:pStyle w:val="BodyText"/>
        <w:spacing w:line="273" w:lineRule="auto"/>
        <w:ind w:left="573" w:right="914" w:hanging="420"/>
        <w:jc w:val="left"/>
      </w:pPr>
      <w:r>
        <w:rPr/>
        <w:t>担的以股份或其他权益工具为基础计算确定的负债的公允价值计量。 </w:t>
      </w:r>
      <w:r>
        <w:rPr>
          <w:spacing w:val="-1"/>
        </w:rPr>
        <w:t>对于授予的存在活跃市场的期权等权益工具，按照活跃市场中的报价确定其公允价值。对于授予的不</w:t>
      </w:r>
    </w:p>
    <w:p>
      <w:pPr>
        <w:pStyle w:val="BodyText"/>
        <w:spacing w:line="273" w:lineRule="auto"/>
        <w:ind w:right="914"/>
        <w:jc w:val="left"/>
      </w:pPr>
      <w:r>
        <w:rPr>
          <w:spacing w:val="-1"/>
        </w:rPr>
        <w:t>存在活跃市场的期权等权益工具，采用期权定价模型等确定其公允价值，选用的期权定价模型考虑以下因</w:t>
      </w:r>
      <w:r>
        <w:rPr>
          <w:spacing w:val="-81"/>
        </w:rPr>
        <w:t> </w:t>
      </w:r>
      <w:r>
        <w:rPr>
          <w:spacing w:val="-81"/>
        </w:rPr>
      </w:r>
      <w:r>
        <w:rPr/>
        <w:t>素：</w:t>
      </w:r>
    </w:p>
    <w:p>
      <w:pPr>
        <w:pStyle w:val="BodyText"/>
        <w:spacing w:line="273" w:lineRule="auto"/>
        <w:ind w:left="154" w:right="914" w:firstLine="420"/>
        <w:jc w:val="left"/>
      </w:pPr>
      <w:r>
        <w:rPr>
          <w:spacing w:val="-1"/>
        </w:rPr>
        <w:t>期权的行权价格、期权的有效期、标的股份的现行价格、股价预计波动率、股份的预计股利、期权有</w:t>
      </w:r>
      <w:r>
        <w:rPr/>
        <w:t> 效期内的无风险利率。</w:t>
      </w:r>
    </w:p>
    <w:p>
      <w:pPr>
        <w:spacing w:line="273" w:lineRule="auto" w:before="8"/>
        <w:ind w:left="574"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）以权益工具结算的股份支付会计处理</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）授予后立即可行权的以权益结算的股份支付，在授予日以权益工具的公允价值计入相关成本或费</w:t>
      </w:r>
    </w:p>
    <w:p>
      <w:pPr>
        <w:pStyle w:val="BodyText"/>
        <w:spacing w:line="273" w:lineRule="auto"/>
        <w:ind w:left="574" w:right="6132" w:hanging="420"/>
        <w:jc w:val="left"/>
      </w:pPr>
      <w:r>
        <w:rPr/>
        <w:t>用，相应增加资本公积。 授予日，是指股份支付协议获得批准的日期。</w:t>
      </w:r>
    </w:p>
    <w:p>
      <w:pPr>
        <w:pStyle w:val="BodyText"/>
        <w:spacing w:line="240" w:lineRule="auto"/>
        <w:ind w:left="574" w:right="914"/>
        <w:jc w:val="left"/>
      </w:pPr>
      <w:r>
        <w:rPr>
          <w:rFonts w:ascii="宋体" w:hAnsi="宋体" w:cs="宋体" w:eastAsia="宋体" w:hint="default"/>
        </w:rPr>
        <w:t>2</w:t>
      </w:r>
      <w:r>
        <w:rPr/>
        <w:t>）完成等待期内的服务或达到规定业绩条件才可行权的换取职工服务的以权益结算的股份支付，在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等待期内的每个资产负债表日，以对可行权权益工具数量的最佳估计为基础，按照权益工具授予日的公允</w:t>
      </w:r>
      <w:r>
        <w:rPr>
          <w:spacing w:val="-81"/>
        </w:rPr>
        <w:t> </w:t>
      </w:r>
      <w:r>
        <w:rPr>
          <w:spacing w:val="-81"/>
        </w:rPr>
      </w:r>
      <w:r>
        <w:rPr/>
        <w:t>价值，将当期取得的服务计入相关成本或费用和资本公积，不确认后续公允价值变动。</w:t>
      </w:r>
    </w:p>
    <w:p>
      <w:pPr>
        <w:pStyle w:val="BodyText"/>
        <w:spacing w:line="273" w:lineRule="auto"/>
        <w:ind w:right="1131" w:firstLine="420"/>
        <w:jc w:val="both"/>
      </w:pPr>
      <w:r>
        <w:rPr>
          <w:spacing w:val="-1"/>
        </w:rPr>
        <w:t>等待期内每个资产负债表日，公司根据最新取得的可行权职工人数变动等后续信息作出最佳估计，修</w:t>
      </w:r>
      <w:r>
        <w:rPr/>
        <w:t> </w:t>
      </w:r>
      <w:r>
        <w:rPr>
          <w:spacing w:val="-1"/>
        </w:rPr>
        <w:t>正预计可行权的权益工具数量。在可行权日，最终预计可行权权益工具的数量与实际可行权工具的数量一</w:t>
      </w:r>
      <w:r>
        <w:rPr>
          <w:spacing w:val="-81"/>
        </w:rPr>
        <w:t> </w:t>
      </w:r>
      <w:r>
        <w:rPr>
          <w:spacing w:val="-81"/>
        </w:rPr>
      </w:r>
      <w:r>
        <w:rPr/>
        <w:t>致。</w:t>
      </w:r>
    </w:p>
    <w:p>
      <w:pPr>
        <w:pStyle w:val="BodyText"/>
        <w:spacing w:line="273" w:lineRule="auto"/>
        <w:ind w:left="154" w:right="914" w:firstLine="420"/>
        <w:jc w:val="left"/>
      </w:pPr>
      <w:r>
        <w:rPr>
          <w:rFonts w:ascii="宋体" w:hAnsi="宋体" w:cs="宋体" w:eastAsia="宋体" w:hint="default"/>
          <w:spacing w:val="-1"/>
        </w:rPr>
        <w:t>3</w:t>
      </w:r>
      <w:r>
        <w:rPr>
          <w:spacing w:val="-1"/>
        </w:rPr>
        <w:t>）对于权益结算的股份支付，在可行权日之后不再对已确认的成本费用和所有者权益总额进行调整。</w:t>
      </w:r>
      <w:r>
        <w:rPr/>
        <w:t> 公司在行权日根据行权情况，确认股本和股本溢价，同时结转等待期内确认的资本公积。</w:t>
      </w:r>
    </w:p>
    <w:p>
      <w:pPr>
        <w:spacing w:line="273" w:lineRule="auto" w:before="7"/>
        <w:ind w:left="574"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）以现金结算的股份支付的会计处理</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）授予后立即可行权的以现金结算的股份支付，在授予日以本公司承担负债的公允价值计入相关成</w:t>
      </w:r>
    </w:p>
    <w:p>
      <w:pPr>
        <w:pStyle w:val="BodyText"/>
        <w:spacing w:line="273" w:lineRule="auto"/>
        <w:ind w:left="574" w:right="914" w:hanging="420"/>
        <w:jc w:val="left"/>
      </w:pPr>
      <w:r>
        <w:rPr/>
        <w:t>本或费用，相应增加应付职工薪酬。 </w:t>
      </w:r>
      <w:r>
        <w:rPr>
          <w:rFonts w:ascii="宋体" w:hAnsi="宋体" w:cs="宋体" w:eastAsia="宋体" w:hint="default"/>
        </w:rPr>
        <w:t>2</w:t>
      </w:r>
      <w:r>
        <w:rPr/>
        <w:t>）完成等待期内的服务或达到规定业绩条件以后才可行权的以现金结算的股份支付，在等待期内的</w:t>
      </w:r>
    </w:p>
    <w:p>
      <w:pPr>
        <w:pStyle w:val="BodyText"/>
        <w:spacing w:line="273" w:lineRule="auto"/>
        <w:ind w:left="154" w:right="1131"/>
        <w:jc w:val="both"/>
        <w:rPr>
          <w:sz w:val="18"/>
          <w:szCs w:val="18"/>
        </w:rPr>
      </w:pPr>
      <w:r>
        <w:rPr>
          <w:spacing w:val="-1"/>
        </w:rPr>
        <w:t>每个资产负债表日，以对可行权情况的最佳估计为基础，按照公司承担负债的公允价值金额，将当期取得</w:t>
      </w:r>
      <w:r>
        <w:rPr>
          <w:spacing w:val="-83"/>
        </w:rPr>
        <w:t> </w:t>
      </w:r>
      <w:r>
        <w:rPr>
          <w:spacing w:val="-83"/>
        </w:rPr>
      </w:r>
      <w:r>
        <w:rPr/>
        <w:t>的服务计入成本或费用和相应的负债</w:t>
      </w:r>
      <w:r>
        <w:rPr>
          <w:sz w:val="18"/>
          <w:szCs w:val="18"/>
        </w:rPr>
        <w:t>。</w:t>
      </w:r>
    </w:p>
    <w:p>
      <w:pPr>
        <w:pStyle w:val="BodyText"/>
        <w:spacing w:line="273" w:lineRule="auto"/>
        <w:ind w:right="914" w:firstLine="420"/>
        <w:jc w:val="left"/>
      </w:pPr>
      <w:r>
        <w:rPr>
          <w:rFonts w:ascii="宋体" w:hAnsi="宋体" w:cs="宋体" w:eastAsia="宋体" w:hint="default"/>
        </w:rPr>
        <w:t>3</w:t>
      </w:r>
      <w:r>
        <w:rPr/>
        <w:t>）对于现金结算的股份支付，公司在可行权日之后不再确认成本费用，负债</w:t>
      </w:r>
      <w:r>
        <w:rPr>
          <w:rFonts w:ascii="宋体" w:hAnsi="宋体" w:cs="宋体" w:eastAsia="宋体" w:hint="default"/>
        </w:rPr>
        <w:t>(</w:t>
      </w:r>
      <w:r>
        <w:rPr/>
        <w:t>应付职工薪酬</w:t>
      </w:r>
      <w:r>
        <w:rPr>
          <w:rFonts w:ascii="宋体" w:hAnsi="宋体" w:cs="宋体" w:eastAsia="宋体" w:hint="default"/>
        </w:rPr>
        <w:t>)</w:t>
      </w:r>
      <w:r>
        <w:rPr/>
        <w:t>公允价 值的变动计入当期损益</w:t>
      </w:r>
      <w:r>
        <w:rPr>
          <w:rFonts w:ascii="宋体" w:hAnsi="宋体" w:cs="宋体" w:eastAsia="宋体" w:hint="default"/>
        </w:rPr>
        <w:t>(</w:t>
      </w:r>
      <w:r>
        <w:rPr/>
        <w:t>公允价值变动损益</w:t>
      </w:r>
      <w:r>
        <w:rPr>
          <w:rFonts w:ascii="宋体" w:hAnsi="宋体" w:cs="宋体" w:eastAsia="宋体" w:hint="default"/>
        </w:rPr>
        <w:t>)</w:t>
      </w:r>
      <w:r>
        <w:rPr/>
        <w:t>。</w:t>
      </w:r>
    </w:p>
    <w:p>
      <w:pPr>
        <w:spacing w:line="273" w:lineRule="auto" w:before="7"/>
        <w:ind w:left="573"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）股份支付计划的修改、终止</w:t>
      </w:r>
      <w:r>
        <w:rPr>
          <w:rFonts w:ascii="宋体" w:hAnsi="宋体" w:cs="宋体" w:eastAsia="宋体" w:hint="default"/>
          <w:b/>
          <w:bCs/>
          <w:w w:val="99"/>
          <w:sz w:val="21"/>
          <w:szCs w:val="21"/>
        </w:rPr>
        <w:t> </w:t>
      </w:r>
      <w:r>
        <w:rPr>
          <w:rFonts w:ascii="宋体" w:hAnsi="宋体" w:cs="宋体" w:eastAsia="宋体" w:hint="default"/>
          <w:spacing w:val="-1"/>
          <w:sz w:val="21"/>
          <w:szCs w:val="21"/>
        </w:rPr>
        <w:t>无论已授予的权益工具的条款和条件如何修改，或者取消权益工具的授予或结算该权益工具，公司确</w:t>
      </w:r>
    </w:p>
    <w:p>
      <w:pPr>
        <w:pStyle w:val="BodyText"/>
        <w:spacing w:line="273" w:lineRule="auto"/>
        <w:ind w:right="1131"/>
        <w:jc w:val="both"/>
      </w:pPr>
      <w:r>
        <w:rPr>
          <w:spacing w:val="-1"/>
        </w:rPr>
        <w:t>认按照所授予的权益工具在授予日的公允价值来计量获取的相应的服务，除非因不能满足权益工具的可行</w:t>
      </w:r>
      <w:r>
        <w:rPr>
          <w:spacing w:val="-81"/>
        </w:rPr>
        <w:t> </w:t>
      </w:r>
      <w:r>
        <w:rPr>
          <w:spacing w:val="-81"/>
        </w:rPr>
      </w:r>
      <w:r>
        <w:rPr/>
        <w:t>权条件（除市场条件外）而无法可行权。</w:t>
      </w:r>
    </w:p>
    <w:p>
      <w:pPr>
        <w:spacing w:line="590" w:lineRule="atLeast" w:before="9"/>
        <w:ind w:left="573" w:right="914" w:hanging="420"/>
        <w:jc w:val="left"/>
        <w:rPr>
          <w:rFonts w:ascii="宋体" w:hAnsi="宋体" w:cs="宋体" w:eastAsia="宋体" w:hint="default"/>
          <w:sz w:val="21"/>
          <w:szCs w:val="21"/>
        </w:rPr>
      </w:pPr>
      <w:bookmarkStart w:name="27、优先股、永续债等其他金融工具" w:id="193"/>
      <w:bookmarkEnd w:id="193"/>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、优先股、永续债等其他金融工具</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本公司以所发行金融工具的分类为基础，确定该工具利息支出或股利分配等的会计处理。对于归类为</w:t>
      </w:r>
    </w:p>
    <w:p>
      <w:pPr>
        <w:pStyle w:val="BodyText"/>
        <w:spacing w:line="273" w:lineRule="auto" w:before="37"/>
        <w:ind w:right="1131"/>
        <w:jc w:val="both"/>
      </w:pPr>
      <w:r>
        <w:rPr>
          <w:spacing w:val="-1"/>
        </w:rPr>
        <w:t>债务工具的优先股、永续债，按其公允价值扣除交易费用后的金额进行初始计量，并采用实际利率法按摊</w:t>
      </w:r>
      <w:r>
        <w:rPr>
          <w:spacing w:val="-83"/>
        </w:rPr>
        <w:t> </w:t>
      </w:r>
      <w:r>
        <w:rPr>
          <w:spacing w:val="-83"/>
        </w:rPr>
      </w:r>
      <w:r>
        <w:rPr>
          <w:spacing w:val="-1"/>
        </w:rPr>
        <w:t>余成本进行后续计量，其利息支出或股利分配按照借款费用进行处理，其回购或赎回产生的利得或损失计</w:t>
      </w:r>
      <w:r>
        <w:rPr>
          <w:spacing w:val="-81"/>
        </w:rPr>
        <w:t> </w:t>
      </w:r>
      <w:r>
        <w:rPr>
          <w:spacing w:val="-81"/>
        </w:rPr>
      </w:r>
      <w:r>
        <w:rPr/>
        <w:t>入当期损益。</w:t>
      </w:r>
    </w:p>
    <w:p>
      <w:pPr>
        <w:pStyle w:val="BodyText"/>
        <w:spacing w:line="273" w:lineRule="auto"/>
        <w:ind w:right="1093" w:firstLine="420"/>
        <w:jc w:val="left"/>
      </w:pPr>
      <w:r>
        <w:rPr/>
        <w:t>对于归类为权益工具的优先股、永续债，在发行时收到的对价扣除交易费用后增加公司所有者权益， 其利息支出或股利分配按照利润分配进行处理，其回购或注销作为权益变动处理。</w:t>
      </w:r>
    </w:p>
    <w:p>
      <w:pPr>
        <w:spacing w:line="240" w:lineRule="auto" w:before="8"/>
        <w:rPr>
          <w:rFonts w:ascii="宋体" w:hAnsi="宋体" w:cs="宋体" w:eastAsia="宋体" w:hint="default"/>
          <w:sz w:val="23"/>
          <w:szCs w:val="23"/>
        </w:rPr>
      </w:pPr>
    </w:p>
    <w:p>
      <w:pPr>
        <w:pStyle w:val="Heading4"/>
        <w:spacing w:line="240" w:lineRule="auto"/>
        <w:ind w:left="153" w:right="914"/>
        <w:jc w:val="left"/>
        <w:rPr>
          <w:b w:val="0"/>
          <w:bCs w:val="0"/>
        </w:rPr>
      </w:pPr>
      <w:bookmarkStart w:name="28、收入" w:id="194"/>
      <w:bookmarkEnd w:id="194"/>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spacing w:line="273" w:lineRule="auto" w:before="0"/>
        <w:ind w:left="574" w:right="476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）确认销售商品收入的原则</w:t>
      </w:r>
      <w:r>
        <w:rPr>
          <w:rFonts w:ascii="宋体" w:hAnsi="宋体" w:cs="宋体" w:eastAsia="宋体" w:hint="default"/>
          <w:b/>
          <w:bCs/>
          <w:w w:val="99"/>
          <w:sz w:val="21"/>
          <w:szCs w:val="21"/>
        </w:rPr>
        <w:t> </w:t>
      </w:r>
      <w:r>
        <w:rPr>
          <w:rFonts w:ascii="宋体" w:hAnsi="宋体" w:cs="宋体" w:eastAsia="宋体" w:hint="default"/>
          <w:sz w:val="21"/>
          <w:szCs w:val="21"/>
        </w:rPr>
        <w:t>在同时符合下列条件时确认销售商品收入： </w:t>
      </w:r>
      <w:r>
        <w:rPr>
          <w:rFonts w:ascii="宋体" w:hAnsi="宋体" w:cs="宋体" w:eastAsia="宋体" w:hint="default"/>
          <w:sz w:val="21"/>
          <w:szCs w:val="21"/>
        </w:rPr>
        <w:t>1</w:t>
      </w:r>
      <w:r>
        <w:rPr>
          <w:rFonts w:ascii="宋体" w:hAnsi="宋体" w:cs="宋体" w:eastAsia="宋体" w:hint="default"/>
          <w:sz w:val="21"/>
          <w:szCs w:val="21"/>
        </w:rPr>
        <w:t>）公司已将商品所有权上的主要风险和报酬转移给购货方；</w:t>
      </w:r>
    </w:p>
    <w:p>
      <w:pPr>
        <w:pStyle w:val="BodyText"/>
        <w:spacing w:line="240" w:lineRule="auto"/>
        <w:ind w:left="573" w:right="914"/>
        <w:jc w:val="left"/>
      </w:pPr>
      <w:r>
        <w:rPr>
          <w:rFonts w:ascii="宋体" w:hAnsi="宋体" w:cs="宋体" w:eastAsia="宋体" w:hint="default"/>
        </w:rPr>
        <w:t>2</w:t>
      </w:r>
      <w:r>
        <w:rPr/>
        <w:t>）公司既没有保留通常与所有权相联系的继续管理权，也没有对已售出的商品实施有效控制；</w:t>
      </w:r>
    </w:p>
    <w:p>
      <w:pPr>
        <w:pStyle w:val="BodyText"/>
        <w:spacing w:line="240" w:lineRule="auto" w:before="37"/>
        <w:ind w:left="574" w:right="914"/>
        <w:jc w:val="left"/>
      </w:pPr>
      <w:r>
        <w:rPr>
          <w:rFonts w:ascii="宋体" w:hAnsi="宋体" w:cs="宋体" w:eastAsia="宋体" w:hint="default"/>
        </w:rPr>
        <w:t>3</w:t>
      </w:r>
      <w:r>
        <w:rPr/>
        <w:t>）收入的金额能够可靠地计量；</w:t>
      </w:r>
    </w:p>
    <w:p>
      <w:pPr>
        <w:pStyle w:val="BodyText"/>
        <w:spacing w:line="240" w:lineRule="auto" w:before="37"/>
        <w:ind w:left="574" w:right="914"/>
        <w:jc w:val="left"/>
      </w:pPr>
      <w:r>
        <w:rPr>
          <w:rFonts w:ascii="宋体" w:hAnsi="宋体" w:cs="宋体" w:eastAsia="宋体" w:hint="default"/>
        </w:rPr>
        <w:t>4</w:t>
      </w:r>
      <w:r>
        <w:rPr/>
        <w:t>）相关的经济利益很可能流入企业；</w:t>
      </w:r>
    </w:p>
    <w:p>
      <w:pPr>
        <w:pStyle w:val="BodyText"/>
        <w:spacing w:line="240" w:lineRule="auto" w:before="37"/>
        <w:ind w:left="574" w:right="914"/>
        <w:jc w:val="left"/>
      </w:pPr>
      <w:r>
        <w:rPr>
          <w:rFonts w:ascii="宋体" w:hAnsi="宋体" w:cs="宋体" w:eastAsia="宋体" w:hint="default"/>
        </w:rPr>
        <w:t>5</w:t>
      </w:r>
      <w:r>
        <w:rPr/>
        <w:t>）相关的已发生或将发生的成本能够可靠地计量。</w:t>
      </w:r>
    </w:p>
    <w:p>
      <w:pPr>
        <w:spacing w:line="273" w:lineRule="auto" w:before="37"/>
        <w:ind w:left="574" w:right="9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）提供劳务确认收入的原则</w:t>
      </w:r>
      <w:r>
        <w:rPr>
          <w:rFonts w:ascii="宋体" w:hAnsi="宋体" w:cs="宋体" w:eastAsia="宋体" w:hint="default"/>
          <w:b/>
          <w:bCs/>
          <w:w w:val="99"/>
          <w:sz w:val="21"/>
          <w:szCs w:val="21"/>
        </w:rPr>
        <w:t> </w:t>
      </w:r>
      <w:r>
        <w:rPr>
          <w:rFonts w:ascii="宋体" w:hAnsi="宋体" w:cs="宋体" w:eastAsia="宋体" w:hint="default"/>
          <w:spacing w:val="-1"/>
          <w:sz w:val="21"/>
          <w:szCs w:val="21"/>
        </w:rPr>
        <w:t>在同一会计年度内开始并完成的劳务，在完成劳务时确认收入。如劳务的开始和完成分属不同的会计</w:t>
      </w:r>
    </w:p>
    <w:p>
      <w:pPr>
        <w:pStyle w:val="BodyText"/>
        <w:spacing w:line="273" w:lineRule="auto" w:before="8"/>
        <w:ind w:left="154" w:right="1131"/>
        <w:jc w:val="both"/>
      </w:pPr>
      <w:r>
        <w:rPr>
          <w:spacing w:val="-1"/>
        </w:rPr>
        <w:t>年度，在提供劳务交易的结果能够可靠估计的情况下，在资产负债表日按完工百分比法确认相关的劳务收</w:t>
      </w:r>
      <w:r>
        <w:rPr>
          <w:spacing w:val="-81"/>
        </w:rPr>
        <w:t> </w:t>
      </w:r>
      <w:r>
        <w:rPr>
          <w:spacing w:val="-81"/>
        </w:rPr>
      </w:r>
      <w:r>
        <w:rPr/>
        <w:t>入。在同时符合下列条件时，劳务交易的结果能够可靠地计量：</w:t>
      </w:r>
    </w:p>
    <w:p>
      <w:pPr>
        <w:pStyle w:val="BodyText"/>
        <w:spacing w:line="240" w:lineRule="auto"/>
        <w:ind w:left="574" w:right="914"/>
        <w:jc w:val="left"/>
      </w:pPr>
      <w:r>
        <w:rPr>
          <w:rFonts w:ascii="宋体" w:hAnsi="宋体" w:cs="宋体" w:eastAsia="宋体" w:hint="default"/>
        </w:rPr>
        <w:t>1</w:t>
      </w:r>
      <w:r>
        <w:rPr/>
        <w:t>）收入的金额能够可靠地计量；</w:t>
      </w:r>
    </w:p>
    <w:p>
      <w:pPr>
        <w:pStyle w:val="BodyText"/>
        <w:spacing w:line="240" w:lineRule="auto" w:before="37"/>
        <w:ind w:left="574" w:right="914"/>
        <w:jc w:val="left"/>
      </w:pPr>
      <w:r>
        <w:rPr>
          <w:rFonts w:ascii="宋体" w:hAnsi="宋体" w:cs="宋体" w:eastAsia="宋体" w:hint="default"/>
        </w:rPr>
        <w:t>2</w:t>
      </w:r>
      <w:r>
        <w:rPr/>
        <w:t>）相关的经济利益很可能流入企业；</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914"/>
        <w:jc w:val="left"/>
      </w:pPr>
      <w:r>
        <w:rPr>
          <w:rFonts w:ascii="宋体" w:hAnsi="宋体" w:cs="宋体" w:eastAsia="宋体" w:hint="default"/>
        </w:rPr>
        <w:t>3</w:t>
      </w:r>
      <w:r>
        <w:rPr/>
        <w:t>）交易的完工进度能够可靠地确定；</w:t>
      </w:r>
    </w:p>
    <w:p>
      <w:pPr>
        <w:pStyle w:val="BodyText"/>
        <w:spacing w:line="273" w:lineRule="auto" w:before="37"/>
        <w:ind w:left="573" w:right="914"/>
        <w:jc w:val="left"/>
      </w:pPr>
      <w:r>
        <w:rPr>
          <w:rFonts w:ascii="宋体" w:hAnsi="宋体" w:cs="宋体" w:eastAsia="宋体" w:hint="default"/>
        </w:rPr>
        <w:t>4</w:t>
      </w:r>
      <w:r>
        <w:rPr/>
        <w:t>）交易中已发生和将发生的成本能够可靠地计量。 </w:t>
      </w:r>
      <w:r>
        <w:rPr>
          <w:spacing w:val="-1"/>
        </w:rPr>
        <w:t>采用完工百分比法确认提供劳务的收入，按已经发生的成本占估计总成本的比例确定提供劳务交易的</w:t>
      </w:r>
    </w:p>
    <w:p>
      <w:pPr>
        <w:pStyle w:val="BodyText"/>
        <w:spacing w:line="273" w:lineRule="auto"/>
        <w:ind w:right="1131"/>
        <w:jc w:val="both"/>
      </w:pPr>
      <w:r>
        <w:rPr>
          <w:spacing w:val="-1"/>
        </w:rPr>
        <w:t>完工进度。提供劳务交易的结果在资产负债表日不能够可靠估计的，若已经发生的劳务成本预计能够得到</w:t>
      </w:r>
      <w:r>
        <w:rPr>
          <w:spacing w:val="-81"/>
        </w:rPr>
        <w:t> </w:t>
      </w:r>
      <w:r>
        <w:rPr>
          <w:spacing w:val="-81"/>
        </w:rPr>
      </w:r>
      <w:r>
        <w:rPr>
          <w:spacing w:val="-1"/>
        </w:rPr>
        <w:t>补偿，按已经发生的劳务成本金额确认提供劳务收入，并按相同金额结转劳务成本；若已经发生的劳务成</w:t>
      </w:r>
      <w:r>
        <w:rPr>
          <w:spacing w:val="-83"/>
        </w:rPr>
        <w:t> </w:t>
      </w:r>
      <w:r>
        <w:rPr>
          <w:spacing w:val="-83"/>
        </w:rPr>
      </w:r>
      <w:r>
        <w:rPr/>
        <w:t>本预计不能够得到补偿，将已经发生的劳务成本计入当期损益，不确认劳务收入。</w:t>
      </w:r>
    </w:p>
    <w:p>
      <w:pPr>
        <w:spacing w:line="273" w:lineRule="auto" w:before="7"/>
        <w:ind w:left="573" w:right="518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）让渡资产使用权确认收入的原则</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）在同时满足以下条件时，确认让渡资产使用权收入：</w:t>
      </w:r>
    </w:p>
    <w:p>
      <w:pPr>
        <w:pStyle w:val="BodyText"/>
        <w:spacing w:line="240" w:lineRule="auto"/>
        <w:ind w:left="573" w:right="914"/>
        <w:jc w:val="left"/>
      </w:pPr>
      <w:r>
        <w:rPr/>
        <w:t>①相关的经济利益很可能流入企业；</w:t>
      </w:r>
    </w:p>
    <w:p>
      <w:pPr>
        <w:pStyle w:val="BodyText"/>
        <w:spacing w:line="273" w:lineRule="auto" w:before="37"/>
        <w:ind w:left="573" w:right="7288"/>
        <w:jc w:val="left"/>
      </w:pPr>
      <w:r>
        <w:rPr/>
        <w:t>②收入金额能够可靠地计量。 </w:t>
      </w:r>
      <w:r>
        <w:rPr>
          <w:rFonts w:ascii="宋体" w:hAnsi="宋体" w:cs="宋体" w:eastAsia="宋体" w:hint="default"/>
        </w:rPr>
        <w:t>2</w:t>
      </w:r>
      <w:r>
        <w:rPr/>
        <w:t>）让渡资产使用权收入确认依据</w:t>
      </w:r>
    </w:p>
    <w:p>
      <w:pPr>
        <w:pStyle w:val="BodyText"/>
        <w:spacing w:line="240" w:lineRule="auto"/>
        <w:ind w:left="573" w:right="914"/>
        <w:jc w:val="left"/>
      </w:pPr>
      <w:r>
        <w:rPr/>
        <w:t>①利息收入金额，按照他人使用本公司货币资金的时间和实际利率计算确定。</w:t>
      </w:r>
    </w:p>
    <w:p>
      <w:pPr>
        <w:pStyle w:val="BodyText"/>
        <w:spacing w:line="240" w:lineRule="auto" w:before="37"/>
        <w:ind w:left="573" w:right="914"/>
        <w:jc w:val="left"/>
      </w:pPr>
      <w:r>
        <w:rPr/>
        <w:t>②使用费收入金额，按照有关合同或协议约定的收费时间和方法计算确定。</w:t>
      </w:r>
    </w:p>
    <w:p>
      <w:pPr>
        <w:pStyle w:val="BodyText"/>
        <w:spacing w:line="273" w:lineRule="auto" w:before="37"/>
        <w:ind w:left="573" w:right="914"/>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）建造合同</w:t>
      </w:r>
      <w:r>
        <w:rPr>
          <w:rFonts w:ascii="宋体" w:hAnsi="宋体" w:cs="宋体" w:eastAsia="宋体" w:hint="default"/>
          <w:b/>
          <w:bCs/>
          <w:w w:val="99"/>
        </w:rPr>
        <w:t> </w:t>
      </w:r>
      <w:r>
        <w:rPr>
          <w:rFonts w:ascii="宋体" w:hAnsi="宋体" w:cs="宋体" w:eastAsia="宋体" w:hint="default"/>
        </w:rPr>
        <w:t>1</w:t>
      </w:r>
      <w:r>
        <w:rPr/>
        <w:t>）建造合同的结果在资产负债表日能够可靠估计的，根据完工百分比法确认合同收入和合同费用。</w:t>
      </w:r>
    </w:p>
    <w:p>
      <w:pPr>
        <w:pStyle w:val="BodyText"/>
        <w:spacing w:line="273" w:lineRule="auto"/>
        <w:ind w:right="1131"/>
        <w:jc w:val="both"/>
      </w:pPr>
      <w:r>
        <w:rPr>
          <w:spacing w:val="-1"/>
        </w:rPr>
        <w:t>建造合同的结果在资产负债表日不能够可靠估计的，若合同成本能够收回的，合同收入根据能够收回的实</w:t>
      </w:r>
      <w:r>
        <w:rPr>
          <w:spacing w:val="-81"/>
        </w:rPr>
        <w:t> </w:t>
      </w:r>
      <w:r>
        <w:rPr>
          <w:spacing w:val="-81"/>
        </w:rPr>
      </w:r>
      <w:r>
        <w:rPr>
          <w:spacing w:val="-1"/>
        </w:rPr>
        <w:t>际合同成本予以确认，合同成本在其发生的当期确认为合同费用；若合同成本不可能收回的，在发生时立</w:t>
      </w:r>
      <w:r>
        <w:rPr>
          <w:spacing w:val="-83"/>
        </w:rPr>
        <w:t> </w:t>
      </w:r>
      <w:r>
        <w:rPr>
          <w:spacing w:val="-83"/>
        </w:rPr>
      </w:r>
      <w:r>
        <w:rPr/>
        <w:t>即确认为合同费用，不确认合同收入。</w:t>
      </w:r>
    </w:p>
    <w:p>
      <w:pPr>
        <w:pStyle w:val="BodyText"/>
        <w:spacing w:line="273" w:lineRule="auto"/>
        <w:ind w:right="1131" w:firstLine="421"/>
        <w:jc w:val="both"/>
      </w:pPr>
      <w:r>
        <w:rPr>
          <w:rFonts w:ascii="宋体" w:hAnsi="宋体" w:cs="宋体" w:eastAsia="宋体" w:hint="default"/>
        </w:rPr>
        <w:t>2</w:t>
      </w:r>
      <w:r>
        <w:rPr/>
        <w:t>）固定造价合同同时满足下列条件表明其结果能够可靠估计：合同总收入能够可靠计量、与合同相 </w:t>
      </w:r>
      <w:r>
        <w:rPr>
          <w:spacing w:val="-1"/>
        </w:rPr>
        <w:t>关的经济利益很可能流入、实际发生的合同成本能够清楚地区分和可靠地计量、合同完工进度和为完成合</w:t>
      </w:r>
      <w:r>
        <w:rPr>
          <w:spacing w:val="-81"/>
        </w:rPr>
        <w:t> </w:t>
      </w:r>
      <w:r>
        <w:rPr>
          <w:spacing w:val="-81"/>
        </w:rPr>
      </w:r>
      <w:r>
        <w:rPr>
          <w:spacing w:val="-1"/>
        </w:rPr>
        <w:t>同尚需发生的成本能够可靠地计量。成本加成合同同时满足下列条件表明其结果能够可靠估计：与合同相</w:t>
      </w:r>
      <w:r>
        <w:rPr>
          <w:spacing w:val="-81"/>
        </w:rPr>
        <w:t> </w:t>
      </w:r>
      <w:r>
        <w:rPr>
          <w:spacing w:val="-81"/>
        </w:rPr>
      </w:r>
      <w:r>
        <w:rPr/>
        <w:t>关的经济利益很可能流入、实际发生的合同成本能够清楚地区分和可靠地计量。</w:t>
      </w:r>
    </w:p>
    <w:p>
      <w:pPr>
        <w:pStyle w:val="BodyText"/>
        <w:spacing w:line="240" w:lineRule="auto" w:before="8"/>
        <w:ind w:left="573" w:right="914"/>
        <w:jc w:val="left"/>
      </w:pPr>
      <w:r>
        <w:rPr>
          <w:rFonts w:ascii="宋体" w:hAnsi="宋体" w:cs="宋体" w:eastAsia="宋体" w:hint="default"/>
        </w:rPr>
        <w:t>3</w:t>
      </w:r>
      <w:r>
        <w:rPr/>
        <w:t>）确定合同完工进度的方法为累计实际发生的合同成本占合同预计总成本的比例。</w:t>
      </w:r>
    </w:p>
    <w:p>
      <w:pPr>
        <w:pStyle w:val="BodyText"/>
        <w:spacing w:line="273" w:lineRule="auto" w:before="37"/>
        <w:ind w:left="574" w:right="914"/>
        <w:jc w:val="left"/>
      </w:pPr>
      <w:r>
        <w:rPr>
          <w:rFonts w:ascii="宋体" w:hAnsi="宋体" w:cs="宋体" w:eastAsia="宋体" w:hint="default"/>
        </w:rPr>
        <w:t>4</w:t>
      </w:r>
      <w:r>
        <w:rPr/>
        <w:t>）资产负债表日，合同预计总成本超过合同总收入的，将预计损失确认为当期费用。执行中的建造</w:t>
      </w:r>
      <w:r>
        <w:rPr>
          <w:spacing w:val="-36"/>
        </w:rPr>
        <w:t> </w:t>
      </w:r>
      <w:r>
        <w:rPr>
          <w:spacing w:val="-36"/>
        </w:rPr>
      </w:r>
      <w:r>
        <w:rPr/>
        <w:t>合同，按其差额计提存货跌价准备；待执行的亏损合同，按其差额确认预计负债。</w:t>
      </w:r>
    </w:p>
    <w:p>
      <w:pPr>
        <w:spacing w:line="273" w:lineRule="auto" w:before="7"/>
        <w:ind w:left="574" w:right="9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）收入确认的具体方法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公司产品收入按照协议或合同将产品交付客户，客户按合同或协议约定确认收货，产品价格经双方确</w:t>
      </w:r>
    </w:p>
    <w:p>
      <w:pPr>
        <w:pStyle w:val="BodyText"/>
        <w:spacing w:line="273" w:lineRule="auto"/>
        <w:ind w:left="557" w:right="914" w:hanging="404"/>
        <w:jc w:val="left"/>
      </w:pPr>
      <w:r>
        <w:rPr/>
        <w:t>认，公司开具销售发票后，确认收入的实现。 </w:t>
      </w:r>
      <w:r>
        <w:rPr>
          <w:rFonts w:ascii="宋体" w:hAnsi="宋体" w:cs="宋体" w:eastAsia="宋体" w:hint="default"/>
        </w:rPr>
        <w:t>1</w:t>
      </w:r>
      <w:r>
        <w:rPr/>
        <w:t>）内销铝盖、塑料盖、铝塑结合盖等包装产品按照协议或合同将产品交付客户，客户按合同或协议</w:t>
      </w:r>
    </w:p>
    <w:p>
      <w:pPr>
        <w:pStyle w:val="BodyText"/>
        <w:spacing w:line="273" w:lineRule="auto"/>
        <w:ind w:left="573" w:right="3088" w:hanging="420"/>
        <w:jc w:val="left"/>
      </w:pPr>
      <w:r>
        <w:rPr/>
        <w:t>约定确认收货，产品价格经双方确认，公司开具销售发票后，确认收入的实现。 </w:t>
      </w:r>
      <w:r>
        <w:rPr>
          <w:rFonts w:ascii="宋体" w:hAnsi="宋体" w:cs="宋体" w:eastAsia="宋体" w:hint="default"/>
        </w:rPr>
        <w:t>2</w:t>
      </w:r>
      <w:r>
        <w:rPr/>
        <w:t>）外销铝盖、塑料盖、铝塑结合盖等包装产品报关出口完成，确认收入实现。</w:t>
      </w:r>
    </w:p>
    <w:p>
      <w:pPr>
        <w:pStyle w:val="BodyText"/>
        <w:spacing w:line="273" w:lineRule="auto"/>
        <w:ind w:left="154" w:right="914" w:firstLine="420"/>
        <w:jc w:val="left"/>
      </w:pPr>
      <w:r>
        <w:rPr>
          <w:rFonts w:ascii="宋体" w:hAnsi="宋体" w:cs="宋体" w:eastAsia="宋体" w:hint="default"/>
        </w:rPr>
        <w:t>3</w:t>
      </w:r>
      <w:r>
        <w:rPr/>
        <w:t>）园林建造施工收入按照完工百分比法确认合同收入和合同费用，完工百分比为累计发生的实际合 同成本占合同预计总成本的比例。</w:t>
      </w:r>
    </w:p>
    <w:p>
      <w:pPr>
        <w:pStyle w:val="BodyText"/>
        <w:spacing w:line="273" w:lineRule="auto"/>
        <w:ind w:left="154" w:right="1115" w:firstLine="420"/>
        <w:jc w:val="left"/>
      </w:pPr>
      <w:r>
        <w:rPr>
          <w:rFonts w:ascii="宋体" w:hAnsi="宋体" w:cs="宋体" w:eastAsia="宋体" w:hint="default"/>
        </w:rPr>
        <w:t>4</w:t>
      </w:r>
      <w:r>
        <w:rPr/>
        <w:t>）</w:t>
      </w:r>
      <w:r>
        <w:rPr>
          <w:spacing w:val="-23"/>
        </w:rPr>
        <w:t> </w:t>
      </w:r>
      <w:r>
        <w:rPr/>
        <w:t>销售苗木收入确认时点为苗木销售合同或订单已经签订，按合约苗木已经销售出库，购货方确定</w:t>
      </w:r>
      <w:r>
        <w:rPr/>
        <w:t> 收到苗木并无退货风险。</w:t>
      </w:r>
    </w:p>
    <w:p>
      <w:pPr>
        <w:pStyle w:val="BodyText"/>
        <w:spacing w:line="273" w:lineRule="auto"/>
        <w:ind w:left="154" w:right="914" w:firstLine="420"/>
        <w:jc w:val="left"/>
      </w:pPr>
      <w:r>
        <w:rPr>
          <w:rFonts w:ascii="宋体" w:hAnsi="宋体" w:cs="宋体" w:eastAsia="宋体" w:hint="default"/>
        </w:rPr>
        <w:t>5</w:t>
      </w:r>
      <w:r>
        <w:rPr/>
        <w:t>）设计收入根据设计合同约定完工进度及应收设计进度款确认，设计收入确认时点为公司根据设计 合同提供给客户设计方案或图纸等资料时确认。</w:t>
      </w:r>
    </w:p>
    <w:p>
      <w:pPr>
        <w:pStyle w:val="BodyText"/>
        <w:spacing w:line="273" w:lineRule="auto"/>
        <w:ind w:left="154" w:right="914" w:firstLine="420"/>
        <w:jc w:val="left"/>
      </w:pPr>
      <w:r>
        <w:rPr>
          <w:rFonts w:ascii="宋体" w:hAnsi="宋体" w:cs="宋体" w:eastAsia="宋体" w:hint="default"/>
        </w:rPr>
        <w:t>6</w:t>
      </w:r>
      <w:r>
        <w:rPr/>
        <w:t>）养护收入以提供绿化养护劳务的结果是否可靠估计为标准分情况确认收入，根据提供绿化养护的 工作量和合同约定的价格确认。</w:t>
      </w:r>
    </w:p>
    <w:p>
      <w:pPr>
        <w:pStyle w:val="BodyText"/>
        <w:spacing w:line="273" w:lineRule="auto"/>
        <w:ind w:left="574" w:right="1020"/>
        <w:jc w:val="left"/>
      </w:pPr>
      <w:r>
        <w:rPr>
          <w:rFonts w:ascii="宋体" w:hAnsi="宋体" w:cs="宋体" w:eastAsia="宋体" w:hint="default"/>
        </w:rPr>
        <w:t>7</w:t>
      </w:r>
      <w:r>
        <w:rPr/>
        <w:t>）</w:t>
      </w:r>
      <w:r>
        <w:rPr>
          <w:rFonts w:ascii="宋体" w:hAnsi="宋体" w:cs="宋体" w:eastAsia="宋体" w:hint="default"/>
        </w:rPr>
        <w:t>BT</w:t>
      </w:r>
      <w:r>
        <w:rPr/>
        <w:t>项目核算方法 </w:t>
      </w:r>
      <w:r>
        <w:rPr>
          <w:spacing w:val="-3"/>
        </w:rPr>
        <w:t>以</w:t>
      </w:r>
      <w:r>
        <w:rPr>
          <w:rFonts w:ascii="宋体" w:hAnsi="宋体" w:cs="宋体" w:eastAsia="宋体" w:hint="default"/>
          <w:spacing w:val="-3"/>
        </w:rPr>
        <w:t>BT</w:t>
      </w:r>
      <w:r>
        <w:rPr>
          <w:spacing w:val="-3"/>
        </w:rPr>
        <w:t>（建造一移交）方式建设公共基础设施，即政府或代理公司与本公司签订工程投资建设回购协议，</w:t>
      </w:r>
    </w:p>
    <w:p>
      <w:pPr>
        <w:pStyle w:val="BodyText"/>
        <w:spacing w:line="273" w:lineRule="auto"/>
        <w:ind w:left="154" w:right="1131"/>
        <w:jc w:val="both"/>
      </w:pPr>
      <w:r>
        <w:rPr>
          <w:spacing w:val="-1"/>
        </w:rPr>
        <w:t>并授权本公司代理其实施投融资职能进行工程建设，工程完工后移交政府，政府根据协议在约定的期限内</w:t>
      </w:r>
      <w:r>
        <w:rPr>
          <w:spacing w:val="-81"/>
        </w:rPr>
        <w:t> </w:t>
      </w:r>
      <w:r>
        <w:rPr>
          <w:spacing w:val="-81"/>
        </w:rPr>
      </w:r>
      <w:r>
        <w:rPr>
          <w:spacing w:val="-7"/>
        </w:rPr>
        <w:t>支付回购资金（包括投资补偿等）。</w:t>
      </w:r>
    </w:p>
    <w:p>
      <w:pPr>
        <w:pStyle w:val="BodyText"/>
        <w:spacing w:line="240" w:lineRule="auto"/>
        <w:ind w:left="574" w:right="914"/>
        <w:jc w:val="left"/>
      </w:pPr>
      <w:r>
        <w:rPr/>
        <w:t>具体核算时，本公司对同时提供建造服务的</w:t>
      </w:r>
      <w:r>
        <w:rPr>
          <w:rFonts w:ascii="宋体" w:hAnsi="宋体" w:cs="宋体" w:eastAsia="宋体" w:hint="default"/>
        </w:rPr>
        <w:t>BT</w:t>
      </w:r>
      <w:r>
        <w:rPr/>
        <w:t>项目，建造期间发生的项目成本在“长期应收款”中归</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集，并按《企业会计准则第</w:t>
      </w:r>
      <w:r>
        <w:rPr>
          <w:rFonts w:ascii="宋体" w:hAnsi="宋体" w:cs="宋体" w:eastAsia="宋体" w:hint="default"/>
          <w:spacing w:val="-1"/>
        </w:rPr>
        <w:t>15</w:t>
      </w:r>
      <w:r>
        <w:rPr>
          <w:spacing w:val="-1"/>
        </w:rPr>
        <w:t>号——建造合同》确认于建造相关的收入和成本。长期应收款—</w:t>
      </w:r>
      <w:r>
        <w:rPr>
          <w:rFonts w:ascii="宋体" w:hAnsi="宋体" w:cs="宋体" w:eastAsia="宋体" w:hint="default"/>
          <w:spacing w:val="-1"/>
        </w:rPr>
        <w:t>BT</w:t>
      </w:r>
      <w:r>
        <w:rPr>
          <w:spacing w:val="-1"/>
        </w:rPr>
        <w:t>项目按以</w:t>
      </w:r>
      <w:r>
        <w:rPr>
          <w:spacing w:val="-88"/>
        </w:rPr>
        <w:t> </w:t>
      </w:r>
      <w:r>
        <w:rPr>
          <w:spacing w:val="-88"/>
        </w:rPr>
      </w:r>
      <w:r>
        <w:rPr>
          <w:spacing w:val="-1"/>
        </w:rPr>
        <w:t>实际利率法计算的摊余成本进行后续计量，实际利率根据合同约定收取的回购款项（含融资财务费用、投</w:t>
      </w:r>
      <w:r>
        <w:rPr>
          <w:spacing w:val="-83"/>
        </w:rPr>
        <w:t> </w:t>
      </w:r>
      <w:r>
        <w:rPr>
          <w:spacing w:val="-83"/>
        </w:rPr>
      </w:r>
      <w:r>
        <w:rPr/>
        <w:t>资补偿）在未来现金流量折现利率确认。</w:t>
      </w:r>
    </w:p>
    <w:p>
      <w:pPr>
        <w:pStyle w:val="BodyText"/>
        <w:spacing w:line="273" w:lineRule="auto"/>
        <w:ind w:left="574" w:right="1092"/>
        <w:jc w:val="left"/>
      </w:pPr>
      <w:r>
        <w:rPr>
          <w:rFonts w:ascii="宋体" w:hAnsi="宋体" w:cs="宋体" w:eastAsia="宋体" w:hint="default"/>
        </w:rPr>
        <w:t>8</w:t>
      </w:r>
      <w:r>
        <w:rPr/>
        <w:t>）</w:t>
      </w:r>
      <w:r>
        <w:rPr>
          <w:rFonts w:ascii="宋体" w:hAnsi="宋体" w:cs="宋体" w:eastAsia="宋体" w:hint="default"/>
        </w:rPr>
        <w:t>BOT</w:t>
      </w:r>
      <w:r>
        <w:rPr/>
        <w:t>项目核算方法 建造期间，公司对于所提供的建造服务根据完工百分比法确认相关的收入和费用。基础设施建成后，</w:t>
      </w:r>
    </w:p>
    <w:p>
      <w:pPr>
        <w:pStyle w:val="BodyText"/>
        <w:spacing w:line="240" w:lineRule="auto"/>
        <w:ind w:left="154" w:right="0"/>
        <w:jc w:val="both"/>
      </w:pPr>
      <w:r>
        <w:rPr/>
        <w:t>作为无形资产，在合同规定的营运期以直线法摊销。</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bookmarkStart w:name="29、政府补助" w:id="195"/>
      <w:bookmarkEnd w:id="195"/>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与资产相关的政府补助判断依据及会计处理方法" w:id="196"/>
      <w:bookmarkEnd w:id="196"/>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914" w:firstLine="4"/>
        <w:jc w:val="left"/>
      </w:pPr>
      <w:r>
        <w:rPr/>
        <w:t>企业取得的政府补助，用于补助长期资产购置、建造等直接相关支出，为与资产相关的政府补助。 </w:t>
      </w:r>
      <w:r>
        <w:rPr>
          <w:spacing w:val="-1"/>
        </w:rPr>
        <w:t>与资产相关的政府补助，确认为递延收益，并在相关资产使用寿命内平均分配，计入当期损益；按照</w:t>
      </w:r>
    </w:p>
    <w:p>
      <w:pPr>
        <w:pStyle w:val="BodyText"/>
        <w:spacing w:line="273" w:lineRule="auto"/>
        <w:ind w:left="578" w:right="1132" w:hanging="425"/>
        <w:jc w:val="left"/>
      </w:pPr>
      <w:r>
        <w:rPr/>
        <w:t>名义金额计量的政府补助，直接计入当期损益。 </w:t>
      </w:r>
      <w:r>
        <w:rPr>
          <w:spacing w:val="-1"/>
        </w:rPr>
        <w:t>公司取得与资产相关的政府补助，确认为递延收益，递延收益自相关资产可供使用时起，在该资产使</w:t>
      </w:r>
    </w:p>
    <w:p>
      <w:pPr>
        <w:pStyle w:val="BodyText"/>
        <w:spacing w:line="273" w:lineRule="auto"/>
        <w:ind w:left="154" w:right="1129"/>
        <w:jc w:val="both"/>
      </w:pPr>
      <w:r>
        <w:rPr>
          <w:spacing w:val="-1"/>
        </w:rPr>
        <w:t>用寿命内平均分配，分次计入以后各期的损益（营业外收入）。递延收益摊销期限的起点是“相关资产可</w:t>
      </w:r>
      <w:r>
        <w:rPr>
          <w:spacing w:val="-84"/>
        </w:rPr>
        <w:t> </w:t>
      </w:r>
      <w:r>
        <w:rPr>
          <w:spacing w:val="-84"/>
        </w:rPr>
      </w:r>
      <w:r>
        <w:rPr>
          <w:spacing w:val="-6"/>
        </w:rPr>
        <w:t>供使用时”，摊销的终点是“资产使用寿命结束或资产被处置时（孰早）”，相关资产在使用寿命结束时或</w:t>
      </w:r>
      <w:r>
        <w:rPr>
          <w:spacing w:val="-65"/>
        </w:rPr>
        <w:t> </w:t>
      </w:r>
      <w:r>
        <w:rPr>
          <w:spacing w:val="-65"/>
        </w:rPr>
      </w:r>
      <w:r>
        <w:rPr>
          <w:spacing w:val="-1"/>
        </w:rPr>
        <w:t>结束前被处置（出售、转让、报废）的，尚未分摊的递延收益余额一次性转入资产处置当期的收益，不再</w:t>
      </w:r>
      <w:r>
        <w:rPr>
          <w:spacing w:val="-83"/>
        </w:rPr>
        <w:t> </w:t>
      </w:r>
      <w:r>
        <w:rPr>
          <w:spacing w:val="-83"/>
        </w:rPr>
      </w:r>
      <w:r>
        <w:rPr/>
        <w:t>递延。</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2）与收益相关的政府补助判断依据及会计处理方法" w:id="197"/>
      <w:bookmarkEnd w:id="197"/>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575" w:right="914" w:firstLine="3"/>
        <w:jc w:val="left"/>
      </w:pPr>
      <w:r>
        <w:rPr/>
        <w:t>企业取得的政府补助，用于补助补偿的期间费用或损失的，为与收益相关的政府补助。 </w:t>
      </w:r>
      <w:r>
        <w:rPr>
          <w:spacing w:val="-1"/>
        </w:rPr>
        <w:t>与收益相关的政府补助，分别下列情况处理：①用于补偿企业以后期间的相关费用或损失的，确认为</w:t>
      </w:r>
    </w:p>
    <w:p>
      <w:pPr>
        <w:pStyle w:val="BodyText"/>
        <w:spacing w:line="273" w:lineRule="auto"/>
        <w:ind w:right="1132"/>
        <w:jc w:val="both"/>
      </w:pPr>
      <w:r>
        <w:rPr>
          <w:spacing w:val="-1"/>
        </w:rPr>
        <w:t>递延收益，并在确认相关费用的期间，计入当期损益；②用于补偿企业已发生的相关费用或损失的，直接</w:t>
      </w:r>
      <w:r>
        <w:rPr>
          <w:spacing w:val="-85"/>
        </w:rPr>
        <w:t> </w:t>
      </w:r>
      <w:r>
        <w:rPr>
          <w:spacing w:val="-85"/>
        </w:rPr>
      </w:r>
      <w:r>
        <w:rPr/>
        <w:t>计入当期损益。</w:t>
      </w:r>
    </w:p>
    <w:p>
      <w:pPr>
        <w:pStyle w:val="BodyText"/>
        <w:spacing w:line="273" w:lineRule="auto"/>
        <w:ind w:right="1132" w:firstLine="424"/>
        <w:jc w:val="both"/>
      </w:pPr>
      <w:r>
        <w:rPr>
          <w:spacing w:val="-1"/>
        </w:rPr>
        <w:t>公司取得与收益相关的政府补助，用于补偿公司以后期间的相关费用或损失的，取得时确认为递延收</w:t>
      </w:r>
      <w:r>
        <w:rPr/>
        <w:t> </w:t>
      </w:r>
      <w:r>
        <w:rPr>
          <w:spacing w:val="-1"/>
        </w:rPr>
        <w:t>益，在确认相关费用的期间计入当期损益（营业外收入）。用于补偿企业已发生的相关费用或损失的，取</w:t>
      </w:r>
      <w:r>
        <w:rPr>
          <w:spacing w:val="-94"/>
        </w:rPr>
        <w:t> </w:t>
      </w:r>
      <w:r>
        <w:rPr>
          <w:spacing w:val="-94"/>
        </w:rPr>
      </w:r>
      <w:r>
        <w:rPr>
          <w:spacing w:val="-6"/>
        </w:rPr>
        <w:t>得时直接计入当期损益（营业外收入）。</w:t>
      </w:r>
    </w:p>
    <w:p>
      <w:pPr>
        <w:spacing w:line="240" w:lineRule="auto" w:before="8"/>
        <w:rPr>
          <w:rFonts w:ascii="宋体" w:hAnsi="宋体" w:cs="宋体" w:eastAsia="宋体" w:hint="default"/>
          <w:sz w:val="23"/>
          <w:szCs w:val="23"/>
        </w:rPr>
      </w:pPr>
    </w:p>
    <w:p>
      <w:pPr>
        <w:pStyle w:val="Heading4"/>
        <w:spacing w:line="240" w:lineRule="auto"/>
        <w:ind w:left="153" w:right="0"/>
        <w:jc w:val="both"/>
        <w:rPr>
          <w:b w:val="0"/>
          <w:bCs w:val="0"/>
        </w:rPr>
      </w:pPr>
      <w:bookmarkStart w:name="30、递延所得税资产/递延所得税负债" w:id="198"/>
      <w:bookmarkEnd w:id="19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40" w:firstLine="420"/>
        <w:jc w:val="both"/>
      </w:pPr>
      <w:r>
        <w:rPr/>
        <w:t>（</w:t>
      </w:r>
      <w:r>
        <w:rPr>
          <w:rFonts w:ascii="宋体" w:hAnsi="宋体" w:cs="宋体" w:eastAsia="宋体" w:hint="default"/>
        </w:rPr>
        <w:t>1</w:t>
      </w:r>
      <w:r>
        <w:rPr/>
        <w:t>）公司根据资产、负债的账面价值与其计税基础之间的差额（未作为资产和负债确认的项目按照 </w:t>
      </w:r>
      <w:r>
        <w:rPr>
          <w:spacing w:val="-1"/>
        </w:rPr>
        <w:t>税法规定可以确定其计税基础的，该计税基础与其账面数之间的差额），按照预期收回该资产或清偿该负</w:t>
      </w:r>
      <w:r>
        <w:rPr>
          <w:spacing w:val="-94"/>
        </w:rPr>
        <w:t> </w:t>
      </w:r>
      <w:r>
        <w:rPr>
          <w:spacing w:val="-94"/>
        </w:rPr>
      </w:r>
      <w:r>
        <w:rPr/>
        <w:t>债期间的适用税率计算确认递延所得税资产或递延所得税负债。</w:t>
      </w:r>
    </w:p>
    <w:p>
      <w:pPr>
        <w:pStyle w:val="BodyText"/>
        <w:spacing w:line="273" w:lineRule="auto"/>
        <w:ind w:right="1131" w:firstLine="420"/>
        <w:jc w:val="both"/>
      </w:pPr>
      <w:r>
        <w:rPr/>
        <w:t>（</w:t>
      </w:r>
      <w:r>
        <w:rPr>
          <w:rFonts w:ascii="宋体" w:hAnsi="宋体" w:cs="宋体" w:eastAsia="宋体" w:hint="default"/>
        </w:rPr>
        <w:t>2</w:t>
      </w:r>
      <w:r>
        <w:rPr/>
        <w:t>）确认递延所得税资产以很可能取得用来抵扣可抵扣暂时性差异的应纳税所得额为限。资产负债 </w:t>
      </w:r>
      <w:r>
        <w:rPr>
          <w:spacing w:val="-1"/>
        </w:rPr>
        <w:t>表日，有确凿证据表明未来期间很可能获得足够的应纳税所得额用来抵扣可抵扣暂时性差异的，确认以前</w:t>
      </w:r>
      <w:r>
        <w:rPr>
          <w:spacing w:val="-81"/>
        </w:rPr>
        <w:t> </w:t>
      </w:r>
      <w:r>
        <w:rPr>
          <w:spacing w:val="-81"/>
        </w:rPr>
      </w:r>
      <w:r>
        <w:rPr/>
        <w:t>会计期间未确认的递延所得税资产。</w:t>
      </w:r>
    </w:p>
    <w:p>
      <w:pPr>
        <w:pStyle w:val="BodyText"/>
        <w:spacing w:line="273" w:lineRule="auto"/>
        <w:ind w:left="154" w:right="1131" w:firstLine="420"/>
        <w:jc w:val="both"/>
      </w:pPr>
      <w:r>
        <w:rPr/>
        <w:t>（</w:t>
      </w:r>
      <w:r>
        <w:rPr>
          <w:rFonts w:ascii="宋体" w:hAnsi="宋体" w:cs="宋体" w:eastAsia="宋体" w:hint="default"/>
        </w:rPr>
        <w:t>3</w:t>
      </w:r>
      <w:r>
        <w:rPr/>
        <w:t>）资产负债表日，对已确认的递延所得税资产账面价值进行复核，如果未来期间很可能无法获得 </w:t>
      </w:r>
      <w:r>
        <w:rPr>
          <w:spacing w:val="-1"/>
        </w:rPr>
        <w:t>足够的应纳税所得额用以抵扣递延所得税资产时，则减记递延所得税资产的账面价值。在很可能获得足够</w:t>
      </w:r>
      <w:r>
        <w:rPr>
          <w:spacing w:val="-81"/>
        </w:rPr>
        <w:t> </w:t>
      </w:r>
      <w:r>
        <w:rPr>
          <w:spacing w:val="-81"/>
        </w:rPr>
      </w:r>
      <w:r>
        <w:rPr>
          <w:spacing w:val="-1"/>
        </w:rPr>
        <w:t>的应纳税所得额时，减记的金额予以转回。公司未来期间很可能获得足够的应纳税所得额的金额是依据管</w:t>
      </w:r>
      <w:r>
        <w:rPr>
          <w:spacing w:val="-81"/>
        </w:rPr>
        <w:t> </w:t>
      </w:r>
      <w:r>
        <w:rPr>
          <w:spacing w:val="-81"/>
        </w:rPr>
      </w:r>
      <w:r>
        <w:rPr/>
        <w:t>理层批准的经营计划（或盈利预测）确定。</w:t>
      </w:r>
    </w:p>
    <w:p>
      <w:pPr>
        <w:pStyle w:val="BodyText"/>
        <w:spacing w:line="273" w:lineRule="auto"/>
        <w:ind w:left="154" w:right="1141" w:firstLine="420"/>
        <w:jc w:val="both"/>
      </w:pPr>
      <w:r>
        <w:rPr/>
        <w:t>（</w:t>
      </w:r>
      <w:r>
        <w:rPr>
          <w:rFonts w:ascii="宋体" w:hAnsi="宋体" w:cs="宋体" w:eastAsia="宋体" w:hint="default"/>
        </w:rPr>
        <w:t>4</w:t>
      </w:r>
      <w:r>
        <w:rPr/>
        <w:t>）公司当期所得税和递延所得税作为所得税费用或收益计入当期损益，但不包括下列情况产生的 所得税：</w:t>
      </w:r>
    </w:p>
    <w:p>
      <w:pPr>
        <w:pStyle w:val="BodyText"/>
        <w:spacing w:line="240" w:lineRule="auto"/>
        <w:ind w:left="574" w:right="914"/>
        <w:jc w:val="left"/>
      </w:pPr>
      <w:r>
        <w:rPr>
          <w:rFonts w:ascii="宋体" w:hAnsi="宋体" w:cs="宋体" w:eastAsia="宋体" w:hint="default"/>
        </w:rPr>
        <w:t>1</w:t>
      </w:r>
      <w:r>
        <w:rPr/>
        <w:t>）企业合并；</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914"/>
        <w:jc w:val="left"/>
      </w:pPr>
      <w:r>
        <w:rPr>
          <w:rFonts w:ascii="宋体" w:hAnsi="宋体" w:cs="宋体" w:eastAsia="宋体" w:hint="default"/>
        </w:rPr>
        <w:t>2</w:t>
      </w:r>
      <w:r>
        <w:rPr/>
        <w:t>）直接在所有者权益中确认的交易或者事项。</w:t>
      </w:r>
    </w:p>
    <w:p>
      <w:pPr>
        <w:spacing w:line="240" w:lineRule="auto" w:before="11"/>
        <w:rPr>
          <w:rFonts w:ascii="宋体" w:hAnsi="宋体" w:cs="宋体" w:eastAsia="宋体" w:hint="default"/>
          <w:sz w:val="25"/>
          <w:szCs w:val="25"/>
        </w:rPr>
      </w:pPr>
    </w:p>
    <w:p>
      <w:pPr>
        <w:pStyle w:val="Heading4"/>
        <w:spacing w:line="240" w:lineRule="auto"/>
        <w:ind w:left="153" w:right="914"/>
        <w:jc w:val="left"/>
        <w:rPr>
          <w:b w:val="0"/>
          <w:bCs w:val="0"/>
        </w:rPr>
      </w:pPr>
      <w:bookmarkStart w:name="31、租赁" w:id="199"/>
      <w:bookmarkEnd w:id="199"/>
      <w:r>
        <w:rPr>
          <w:b w:val="0"/>
          <w:bCs w:val="0"/>
        </w:rPr>
      </w:r>
      <w:r>
        <w:rPr>
          <w:rFonts w:ascii="Times New Roman" w:hAnsi="Times New Roman" w:cs="Times New Roman" w:eastAsia="Times New Roman" w:hint="default"/>
        </w:rPr>
        <w:t>31</w:t>
      </w:r>
      <w:r>
        <w:rPr/>
        <w:t>、租赁</w:t>
      </w:r>
      <w:r>
        <w:rPr>
          <w:b w:val="0"/>
          <w:bCs w:val="0"/>
        </w:rPr>
      </w:r>
    </w:p>
    <w:p>
      <w:pPr>
        <w:spacing w:line="590" w:lineRule="atLeast" w:before="23"/>
        <w:ind w:left="574" w:right="914" w:hanging="420"/>
        <w:jc w:val="left"/>
        <w:rPr>
          <w:rFonts w:ascii="宋体" w:hAnsi="宋体" w:cs="宋体" w:eastAsia="宋体" w:hint="default"/>
          <w:sz w:val="21"/>
          <w:szCs w:val="21"/>
        </w:rPr>
      </w:pPr>
      <w:bookmarkStart w:name="（1）经营租赁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）对于经营租赁的租金，承租人（公司）在租赁期内各个期间按照直线法确认为当期损益；其他方</w:t>
      </w:r>
    </w:p>
    <w:p>
      <w:pPr>
        <w:pStyle w:val="BodyText"/>
        <w:spacing w:line="273" w:lineRule="auto" w:before="37"/>
        <w:ind w:left="573" w:right="914" w:hanging="420"/>
        <w:jc w:val="left"/>
      </w:pPr>
      <w:r>
        <w:rPr/>
        <w:t>法更为系统合理的，可以采用其他方法。 承租人（公司）发生的初始直接费用，计入当期损益。或有租金在实际发生时计入当期损益。 </w:t>
      </w:r>
      <w:r>
        <w:rPr>
          <w:rFonts w:ascii="宋体" w:hAnsi="宋体" w:cs="宋体" w:eastAsia="宋体" w:hint="default"/>
        </w:rPr>
        <w:t>2</w:t>
      </w:r>
      <w:r>
        <w:rPr/>
        <w:t>）对于经营租赁的租金，出租人（公司）在租赁期内各个期间按照直线法确认为当期损益；其他方</w:t>
      </w:r>
    </w:p>
    <w:p>
      <w:pPr>
        <w:pStyle w:val="BodyText"/>
        <w:spacing w:line="273" w:lineRule="auto"/>
        <w:ind w:left="573" w:right="5293" w:hanging="420"/>
        <w:jc w:val="left"/>
      </w:pPr>
      <w:r>
        <w:rPr/>
        <w:t>法更为系统合理的，可以采用其他方法。 出租人（公司）发生的初始直接费用，计入当期损益。</w:t>
      </w:r>
    </w:p>
    <w:p>
      <w:pPr>
        <w:pStyle w:val="BodyText"/>
        <w:spacing w:line="273" w:lineRule="auto"/>
        <w:ind w:left="154" w:right="1133" w:firstLine="420"/>
        <w:jc w:val="both"/>
      </w:pPr>
      <w:r>
        <w:rPr>
          <w:spacing w:val="-1"/>
        </w:rPr>
        <w:t>对于经营租赁资产中的固定资产，出租人（公司）采用类似资产的折旧政策计提折旧；对于其它经营</w:t>
      </w:r>
      <w:r>
        <w:rPr/>
        <w:t> 租赁资产，采用系统合理的方法进行摊销。</w:t>
      </w:r>
    </w:p>
    <w:p>
      <w:pPr>
        <w:pStyle w:val="BodyText"/>
        <w:spacing w:line="240" w:lineRule="auto"/>
        <w:ind w:left="154" w:right="914"/>
        <w:jc w:val="left"/>
      </w:pPr>
      <w:r>
        <w:rPr/>
        <w:t>出租人（公司）或有租金在实际发生时计入当期损益。</w:t>
      </w:r>
    </w:p>
    <w:p>
      <w:pPr>
        <w:spacing w:line="590" w:lineRule="atLeast" w:before="39"/>
        <w:ind w:left="574" w:right="914" w:hanging="420"/>
        <w:jc w:val="left"/>
        <w:rPr>
          <w:rFonts w:ascii="宋体" w:hAnsi="宋体" w:cs="宋体" w:eastAsia="宋体" w:hint="default"/>
          <w:sz w:val="21"/>
          <w:szCs w:val="21"/>
        </w:rPr>
      </w:pPr>
      <w:bookmarkStart w:name="（2）融资租赁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）在租赁期开始日，承租人（公司）将租赁开始日租赁资产公允价值与最低租赁付款额现值两者中</w:t>
      </w:r>
    </w:p>
    <w:p>
      <w:pPr>
        <w:pStyle w:val="BodyText"/>
        <w:spacing w:line="273" w:lineRule="auto" w:before="37"/>
        <w:ind w:left="154" w:right="914"/>
        <w:jc w:val="left"/>
      </w:pPr>
      <w:r>
        <w:rPr>
          <w:spacing w:val="-1"/>
        </w:rPr>
        <w:t>较低者作为租入资产的入账价值，将最低租赁付款额作为长期应付款的入账价值，其差额作为未确认融资</w:t>
      </w:r>
      <w:r>
        <w:rPr>
          <w:spacing w:val="-81"/>
        </w:rPr>
        <w:t> </w:t>
      </w:r>
      <w:r>
        <w:rPr>
          <w:spacing w:val="-81"/>
        </w:rPr>
      </w:r>
      <w:r>
        <w:rPr/>
        <w:t>费用。</w:t>
      </w:r>
    </w:p>
    <w:p>
      <w:pPr>
        <w:pStyle w:val="BodyText"/>
        <w:spacing w:line="273" w:lineRule="auto"/>
        <w:ind w:left="154" w:right="1131" w:firstLine="420"/>
        <w:jc w:val="both"/>
      </w:pPr>
      <w:r>
        <w:rPr>
          <w:rFonts w:ascii="宋体" w:hAnsi="宋体" w:cs="宋体" w:eastAsia="宋体" w:hint="default"/>
        </w:rPr>
        <w:t>2</w:t>
      </w:r>
      <w:r>
        <w:rPr/>
        <w:t>）在租赁期开始日，出租人（公司）将租赁开始日最低租赁收款额与初始直接费用之和作为应收融 </w:t>
      </w:r>
      <w:r>
        <w:rPr>
          <w:spacing w:val="-1"/>
        </w:rPr>
        <w:t>资租赁款的入账价值，同时记录未担保余值；将最低租赁收款额、初始直接费用及未担保余值之和与其现</w:t>
      </w:r>
      <w:r>
        <w:rPr>
          <w:spacing w:val="-83"/>
        </w:rPr>
        <w:t> </w:t>
      </w:r>
      <w:r>
        <w:rPr>
          <w:spacing w:val="-83"/>
        </w:rPr>
      </w:r>
      <w:r>
        <w:rPr/>
        <w:t>值之和的差额确认为未实现融资收益。</w:t>
      </w:r>
    </w:p>
    <w:p>
      <w:pPr>
        <w:pStyle w:val="BodyText"/>
        <w:spacing w:line="273" w:lineRule="auto"/>
        <w:ind w:left="154" w:right="1131" w:firstLine="421"/>
        <w:jc w:val="both"/>
      </w:pPr>
      <w:r>
        <w:rPr>
          <w:spacing w:val="-1"/>
        </w:rPr>
        <w:t>融资租入的固定资产按同类固定资产的折旧政策采用直线法计提折旧。对能够合理确定租赁期届满时</w:t>
      </w:r>
      <w:r>
        <w:rPr/>
        <w:t> </w:t>
      </w:r>
      <w:r>
        <w:rPr>
          <w:spacing w:val="-1"/>
        </w:rPr>
        <w:t>取得租入资产所有权的租入资产在使用寿命内计提折旧。否则，租赁资产在租赁期与租赁资产使用寿命两</w:t>
      </w:r>
      <w:r>
        <w:rPr>
          <w:spacing w:val="-81"/>
        </w:rPr>
        <w:t> </w:t>
      </w:r>
      <w:r>
        <w:rPr>
          <w:spacing w:val="-81"/>
        </w:rPr>
      </w:r>
      <w:r>
        <w:rPr/>
        <w:t>者中较短的期间内计提折旧。</w:t>
      </w:r>
    </w:p>
    <w:p>
      <w:pPr>
        <w:pStyle w:val="BodyText"/>
        <w:spacing w:line="273" w:lineRule="auto"/>
        <w:ind w:left="154" w:right="1302" w:firstLine="420"/>
        <w:jc w:val="left"/>
      </w:pPr>
      <w:r>
        <w:rPr/>
        <w:t>本公司对未确认融资费用采用实际利率法在租赁期内各个期间进行分摊，并按照借款费用的原则处 理。</w:t>
      </w:r>
    </w:p>
    <w:p>
      <w:pPr>
        <w:pStyle w:val="BodyText"/>
        <w:spacing w:line="273" w:lineRule="auto"/>
        <w:ind w:left="154" w:right="1131" w:firstLine="420"/>
        <w:jc w:val="both"/>
      </w:pPr>
      <w:r>
        <w:rPr>
          <w:spacing w:val="-1"/>
        </w:rPr>
        <w:t>资产负债表日，本公司将与融资租赁相关的长期应付款减去未确认融资费用的差额，分别以长期负债</w:t>
      </w:r>
      <w:r>
        <w:rPr/>
        <w:t> 和一年内到期的长期负债列示。</w:t>
      </w:r>
    </w:p>
    <w:p>
      <w:pPr>
        <w:spacing w:line="240" w:lineRule="auto" w:before="8"/>
        <w:rPr>
          <w:rFonts w:ascii="宋体" w:hAnsi="宋体" w:cs="宋体" w:eastAsia="宋体" w:hint="default"/>
          <w:sz w:val="23"/>
          <w:szCs w:val="23"/>
        </w:rPr>
      </w:pPr>
    </w:p>
    <w:p>
      <w:pPr>
        <w:pStyle w:val="Heading4"/>
        <w:spacing w:line="240" w:lineRule="auto"/>
        <w:ind w:right="914"/>
        <w:jc w:val="left"/>
        <w:rPr>
          <w:b w:val="0"/>
          <w:bCs w:val="0"/>
        </w:rPr>
      </w:pPr>
      <w:bookmarkStart w:name="32、其他重要的会计政策和会计估计" w:id="202"/>
      <w:bookmarkEnd w:id="202"/>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914"/>
        <w:jc w:val="left"/>
        <w:rPr>
          <w:b w:val="0"/>
          <w:bCs w:val="0"/>
        </w:rPr>
      </w:pPr>
      <w:bookmarkStart w:name="33、重要会计政策和会计估计变更" w:id="203"/>
      <w:bookmarkEnd w:id="20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重要会计政策变更" w:id="204"/>
      <w:bookmarkEnd w:id="20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90"/>
        <w:ind w:right="1132" w:firstLine="423"/>
        <w:jc w:val="both"/>
      </w:pPr>
      <w:r>
        <w:rPr>
          <w:spacing w:val="-1"/>
        </w:rPr>
        <w:t>本公司采用的会计基本准则根据中华人民共和国财政部令【第</w:t>
      </w:r>
      <w:r>
        <w:rPr/>
        <w:t> </w:t>
      </w:r>
      <w:r>
        <w:rPr>
          <w:rFonts w:ascii="宋体" w:hAnsi="宋体" w:cs="宋体" w:eastAsia="宋体" w:hint="default"/>
        </w:rPr>
        <w:t>76</w:t>
      </w:r>
      <w:r>
        <w:rPr>
          <w:rFonts w:ascii="宋体" w:hAnsi="宋体" w:cs="宋体" w:eastAsia="宋体" w:hint="default"/>
          <w:spacing w:val="20"/>
        </w:rPr>
        <w:t> </w:t>
      </w:r>
      <w:r>
        <w:rPr>
          <w:spacing w:val="-8"/>
        </w:rPr>
        <w:t>号】《财政部关于修改</w:t>
      </w:r>
      <w:r>
        <w:rPr>
          <w:rFonts w:ascii="宋体" w:hAnsi="宋体" w:cs="宋体" w:eastAsia="宋体" w:hint="default"/>
          <w:spacing w:val="-8"/>
        </w:rPr>
        <w:t>&lt;</w:t>
      </w:r>
      <w:r>
        <w:rPr>
          <w:spacing w:val="-8"/>
        </w:rPr>
        <w:t>企业会计准</w:t>
      </w:r>
      <w:r>
        <w:rPr/>
        <w:t> 则——基本准则</w:t>
      </w:r>
      <w:r>
        <w:rPr>
          <w:rFonts w:ascii="宋体" w:hAnsi="宋体" w:cs="宋体" w:eastAsia="宋体" w:hint="default"/>
        </w:rPr>
        <w:t>&gt;</w:t>
      </w:r>
      <w:r>
        <w:rPr/>
        <w:t>的决定》进行变更。</w:t>
      </w:r>
    </w:p>
    <w:p>
      <w:pPr>
        <w:pStyle w:val="BodyText"/>
        <w:spacing w:line="240" w:lineRule="auto" w:before="127"/>
        <w:ind w:left="577" w:right="914"/>
        <w:jc w:val="left"/>
      </w:pPr>
      <w:r>
        <w:rPr>
          <w:rFonts w:ascii="宋体" w:hAnsi="宋体" w:cs="宋体" w:eastAsia="宋体" w:hint="default"/>
          <w:spacing w:val="1"/>
        </w:rPr>
        <w:t>1</w:t>
      </w:r>
      <w:r>
        <w:rPr>
          <w:spacing w:val="-27"/>
        </w:rPr>
        <w:t>）</w:t>
      </w:r>
      <w:r>
        <w:rPr/>
        <w:t>公司根据财政</w:t>
      </w:r>
      <w:r>
        <w:rPr>
          <w:spacing w:val="-27"/>
        </w:rPr>
        <w:t>部</w:t>
      </w:r>
      <w:r>
        <w:rPr/>
        <w:t>（财会</w:t>
      </w:r>
      <w:r>
        <w:rPr>
          <w:rFonts w:ascii="宋体" w:hAnsi="宋体" w:cs="宋体" w:eastAsia="宋体" w:hint="default"/>
        </w:rPr>
        <w:t>[2014]14</w:t>
      </w:r>
      <w:r>
        <w:rPr>
          <w:rFonts w:ascii="宋体" w:hAnsi="宋体" w:cs="宋体" w:eastAsia="宋体" w:hint="default"/>
          <w:spacing w:val="-1"/>
        </w:rPr>
        <w:t> </w:t>
      </w:r>
      <w:r>
        <w:rPr/>
        <w:t>号</w:t>
      </w:r>
      <w:r>
        <w:rPr>
          <w:spacing w:val="-27"/>
        </w:rPr>
        <w:t>）</w:t>
      </w:r>
      <w:r>
        <w:rPr/>
        <w:t>的通知要求</w:t>
      </w:r>
      <w:r>
        <w:rPr>
          <w:spacing w:val="-27"/>
        </w:rPr>
        <w:t>，</w:t>
      </w:r>
      <w:r>
        <w:rPr/>
        <w:t>执</w:t>
      </w:r>
      <w:r>
        <w:rPr>
          <w:spacing w:val="-27"/>
        </w:rPr>
        <w:t>行</w:t>
      </w:r>
      <w:r>
        <w:rPr/>
        <w:t>《企业会计准则第</w:t>
      </w:r>
      <w:r>
        <w:rPr>
          <w:rFonts w:ascii="宋体" w:hAnsi="宋体" w:cs="宋体" w:eastAsia="宋体" w:hint="default"/>
        </w:rPr>
        <w:t>2</w:t>
      </w:r>
      <w:r>
        <w:rPr/>
        <w:t>号—</w:t>
      </w:r>
      <w:r>
        <w:rPr>
          <w:spacing w:val="-2"/>
        </w:rPr>
        <w:t>—</w:t>
      </w:r>
      <w:r>
        <w:rPr/>
        <w:t>长期股权投资</w:t>
      </w:r>
      <w:r>
        <w:rPr>
          <w:spacing w:val="-104"/>
        </w:rPr>
        <w:t>》</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2"/>
        <w:jc w:val="both"/>
      </w:pPr>
      <w:r>
        <w:rPr>
          <w:spacing w:val="-1"/>
        </w:rPr>
        <w:t>对“持有的对被投资单位不具有控制、共同控制或重大影响，并在活跃市场中没有报价、公允价值不能可</w:t>
      </w:r>
      <w:r>
        <w:rPr>
          <w:spacing w:val="-86"/>
        </w:rPr>
        <w:t> </w:t>
      </w:r>
      <w:r>
        <w:rPr>
          <w:spacing w:val="-86"/>
        </w:rPr>
      </w:r>
      <w:r>
        <w:rPr/>
        <w:t>靠计量的权益性投资”按《企业会计准则第 </w:t>
      </w:r>
      <w:r>
        <w:rPr>
          <w:rFonts w:ascii="宋体" w:hAnsi="宋体" w:cs="宋体" w:eastAsia="宋体" w:hint="default"/>
        </w:rPr>
        <w:t>22</w:t>
      </w:r>
      <w:r>
        <w:rPr>
          <w:rFonts w:ascii="宋体" w:hAnsi="宋体" w:cs="宋体" w:eastAsia="宋体" w:hint="default"/>
          <w:spacing w:val="-26"/>
        </w:rPr>
        <w:t> </w:t>
      </w:r>
      <w:r>
        <w:rPr/>
        <w:t>号——金融资产的确认和计量》处理。对联营企业和合营 </w:t>
      </w:r>
      <w:r>
        <w:rPr>
          <w:spacing w:val="-1"/>
        </w:rPr>
        <w:t>企业的长期股权投资采用权益法核算，其中对间接持有的该部分投资选择以公允价值计量且其变动计入损</w:t>
      </w:r>
      <w:r>
        <w:rPr>
          <w:spacing w:val="-81"/>
        </w:rPr>
        <w:t> </w:t>
      </w:r>
      <w:r>
        <w:rPr>
          <w:spacing w:val="-81"/>
        </w:rPr>
      </w:r>
      <w:r>
        <w:rPr/>
        <w:t>益，并对其余部分采用权益法核算。</w:t>
      </w:r>
    </w:p>
    <w:p>
      <w:pPr>
        <w:pStyle w:val="BodyText"/>
        <w:spacing w:line="273" w:lineRule="auto" w:before="8"/>
        <w:ind w:right="1015" w:firstLine="423"/>
        <w:jc w:val="left"/>
      </w:pPr>
      <w:r>
        <w:rPr>
          <w:spacing w:val="-3"/>
        </w:rPr>
        <w:t>根据修订后准则规定，公司之前在“长期股权投资”项目中核算的“持有的对被投资单位不具有控制、</w:t>
      </w:r>
      <w:r>
        <w:rPr/>
        <w:t> </w:t>
      </w:r>
      <w:r>
        <w:rPr>
          <w:spacing w:val="-3"/>
        </w:rPr>
        <w:t>共同控制或重大影响，并且在活跃市场中没有报价、公允价值能可靠计划的权益性投资”，要求按《企业</w:t>
      </w:r>
      <w:r>
        <w:rPr>
          <w:spacing w:val="-73"/>
        </w:rPr>
        <w:t> </w:t>
      </w:r>
      <w:r>
        <w:rPr>
          <w:spacing w:val="-73"/>
        </w:rPr>
      </w:r>
      <w:r>
        <w:rPr/>
        <w:t>会计准则第 </w:t>
      </w:r>
      <w:r>
        <w:rPr>
          <w:rFonts w:ascii="宋体" w:hAnsi="宋体" w:cs="宋体" w:eastAsia="宋体" w:hint="default"/>
        </w:rPr>
        <w:t>22</w:t>
      </w:r>
      <w:r>
        <w:rPr>
          <w:rFonts w:ascii="宋体" w:hAnsi="宋体" w:cs="宋体" w:eastAsia="宋体" w:hint="default"/>
          <w:spacing w:val="-17"/>
        </w:rPr>
        <w:t> </w:t>
      </w:r>
      <w:r>
        <w:rPr/>
        <w:t>号——金融资产的确认和计量》处理。本公司已根据该准则要求调整了</w:t>
      </w:r>
      <w:r>
        <w:rPr>
          <w:rFonts w:ascii="宋体" w:hAnsi="宋体" w:cs="宋体" w:eastAsia="宋体" w:hint="default"/>
        </w:rPr>
        <w:t>2014</w:t>
      </w:r>
      <w:r>
        <w:rPr/>
        <w:t>年中期财务报 表中的列报，并对比较报表的列报也进行了追溯调整，其结果如下：</w:t>
      </w:r>
    </w:p>
    <w:p>
      <w:pPr>
        <w:spacing w:before="33"/>
        <w:ind w:left="154" w:right="0" w:firstLine="0"/>
        <w:jc w:val="both"/>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6"/>
        <w:rPr>
          <w:rFonts w:ascii="宋体" w:hAnsi="宋体" w:cs="宋体" w:eastAsia="宋体" w:hint="default"/>
          <w:sz w:val="7"/>
          <w:szCs w:val="7"/>
        </w:rPr>
      </w:pPr>
    </w:p>
    <w:p>
      <w:pPr>
        <w:spacing w:line="870" w:lineRule="exact"/>
        <w:ind w:left="154" w:right="0" w:firstLine="0"/>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5848350" cy="552450"/>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22" cstate="print"/>
                    <a:stretch>
                      <a:fillRect/>
                    </a:stretch>
                  </pic:blipFill>
                  <pic:spPr>
                    <a:xfrm>
                      <a:off x="0" y="0"/>
                      <a:ext cx="5848350" cy="552450"/>
                    </a:xfrm>
                    <a:prstGeom prst="rect">
                      <a:avLst/>
                    </a:prstGeom>
                  </pic:spPr>
                </pic:pic>
              </a:graphicData>
            </a:graphic>
          </wp:inline>
        </w:drawing>
      </w:r>
      <w:r>
        <w:rPr>
          <w:rFonts w:ascii="宋体" w:hAnsi="宋体" w:cs="宋体" w:eastAsia="宋体" w:hint="default"/>
          <w:position w:val="-16"/>
          <w:sz w:val="20"/>
          <w:szCs w:val="20"/>
        </w:rPr>
      </w:r>
    </w:p>
    <w:p>
      <w:pPr>
        <w:pStyle w:val="BodyText"/>
        <w:spacing w:line="273" w:lineRule="auto" w:before="139"/>
        <w:ind w:right="1124" w:firstLine="423"/>
        <w:jc w:val="left"/>
      </w:pPr>
      <w:r>
        <w:rPr>
          <w:rFonts w:ascii="宋体" w:hAnsi="宋体" w:cs="宋体" w:eastAsia="宋体" w:hint="default"/>
          <w:spacing w:val="1"/>
        </w:rPr>
        <w:t>2</w:t>
      </w:r>
      <w:r>
        <w:rPr>
          <w:spacing w:val="1"/>
        </w:rPr>
        <w:t>）公司根据财政部（财会</w:t>
      </w:r>
      <w:r>
        <w:rPr>
          <w:rFonts w:ascii="宋体" w:hAnsi="宋体" w:cs="宋体" w:eastAsia="宋体" w:hint="default"/>
          <w:spacing w:val="1"/>
        </w:rPr>
        <w:t>[2014]8</w:t>
      </w:r>
      <w:r>
        <w:rPr>
          <w:rFonts w:ascii="宋体" w:hAnsi="宋体" w:cs="宋体" w:eastAsia="宋体" w:hint="default"/>
          <w:spacing w:val="5"/>
        </w:rPr>
        <w:t> </w:t>
      </w:r>
      <w:r>
        <w:rPr>
          <w:spacing w:val="-2"/>
        </w:rPr>
        <w:t>号）的通知要求，执行《企业会计准则第</w:t>
      </w:r>
      <w:r>
        <w:rPr>
          <w:rFonts w:ascii="宋体" w:hAnsi="宋体" w:cs="宋体" w:eastAsia="宋体" w:hint="default"/>
          <w:spacing w:val="-2"/>
        </w:rPr>
        <w:t>9</w:t>
      </w:r>
      <w:r>
        <w:rPr>
          <w:spacing w:val="-2"/>
        </w:rPr>
        <w:t>号——职工薪酬》，该</w:t>
      </w:r>
      <w:r>
        <w:rPr/>
        <w:t> 会计政策的变更对公司财务报表无重大影响。</w:t>
      </w:r>
    </w:p>
    <w:p>
      <w:pPr>
        <w:pStyle w:val="BodyText"/>
        <w:spacing w:line="273" w:lineRule="auto"/>
        <w:ind w:right="1017" w:firstLine="423"/>
        <w:jc w:val="left"/>
      </w:pPr>
      <w:r>
        <w:rPr>
          <w:rFonts w:ascii="宋体" w:hAnsi="宋体" w:cs="宋体" w:eastAsia="宋体" w:hint="default"/>
          <w:spacing w:val="-3"/>
        </w:rPr>
        <w:t>3</w:t>
      </w:r>
      <w:r>
        <w:rPr>
          <w:spacing w:val="-3"/>
        </w:rPr>
        <w:t>）公司根据财政部（财会</w:t>
      </w:r>
      <w:r>
        <w:rPr>
          <w:rFonts w:ascii="宋体" w:hAnsi="宋体" w:cs="宋体" w:eastAsia="宋体" w:hint="default"/>
          <w:spacing w:val="-3"/>
        </w:rPr>
        <w:t>[2014]7 </w:t>
      </w:r>
      <w:r>
        <w:rPr>
          <w:spacing w:val="-5"/>
        </w:rPr>
        <w:t>号）的通知要求，执行《企业会计准则第</w:t>
      </w:r>
      <w:r>
        <w:rPr>
          <w:rFonts w:ascii="宋体" w:hAnsi="宋体" w:cs="宋体" w:eastAsia="宋体" w:hint="default"/>
          <w:spacing w:val="-5"/>
        </w:rPr>
        <w:t>30</w:t>
      </w:r>
      <w:r>
        <w:rPr>
          <w:rFonts w:ascii="宋体" w:hAnsi="宋体" w:cs="宋体" w:eastAsia="宋体" w:hint="default"/>
          <w:spacing w:val="23"/>
        </w:rPr>
        <w:t> </w:t>
      </w:r>
      <w:r>
        <w:rPr/>
        <w:t>号——财务报表列报》 的会计准则，修改了财务报表中的列报，包括利润表中其他综合收益项目分为两类列报：</w:t>
      </w:r>
    </w:p>
    <w:p>
      <w:pPr>
        <w:pStyle w:val="BodyText"/>
        <w:spacing w:line="273" w:lineRule="auto"/>
        <w:ind w:left="577" w:right="4870"/>
        <w:jc w:val="left"/>
      </w:pPr>
      <w:r>
        <w:rPr>
          <w:rFonts w:ascii="宋体" w:hAnsi="宋体" w:cs="宋体" w:eastAsia="宋体" w:hint="default"/>
        </w:rPr>
        <w:t>A</w:t>
      </w:r>
      <w:r>
        <w:rPr>
          <w:rFonts w:ascii="宋体" w:hAnsi="宋体" w:cs="宋体" w:eastAsia="宋体" w:hint="default"/>
          <w:spacing w:val="-1"/>
        </w:rPr>
        <w:t> </w:t>
      </w:r>
      <w:r>
        <w:rPr/>
        <w:t>以后会计期间在满足规定条件时将重分类进损益的项目； </w:t>
      </w:r>
      <w:r>
        <w:rPr>
          <w:rFonts w:ascii="宋体" w:hAnsi="宋体" w:cs="宋体" w:eastAsia="宋体" w:hint="default"/>
        </w:rPr>
        <w:t>B</w:t>
      </w:r>
      <w:r>
        <w:rPr>
          <w:rFonts w:ascii="宋体" w:hAnsi="宋体" w:cs="宋体" w:eastAsia="宋体" w:hint="default"/>
          <w:spacing w:val="-1"/>
        </w:rPr>
        <w:t> </w:t>
      </w:r>
      <w:r>
        <w:rPr/>
        <w:t>以后会计期间不能重分类进损益的项目。</w:t>
      </w:r>
    </w:p>
    <w:p>
      <w:pPr>
        <w:pStyle w:val="BodyText"/>
        <w:spacing w:line="273" w:lineRule="auto"/>
        <w:ind w:left="154" w:right="1131" w:firstLine="423"/>
        <w:jc w:val="both"/>
      </w:pPr>
      <w:r>
        <w:rPr/>
        <w:t>根据修订后的《企业会计准则第</w:t>
      </w:r>
      <w:r>
        <w:rPr>
          <w:rFonts w:ascii="宋体" w:hAnsi="宋体" w:cs="宋体" w:eastAsia="宋体" w:hint="default"/>
        </w:rPr>
        <w:t>30</w:t>
      </w:r>
      <w:r>
        <w:rPr>
          <w:rFonts w:ascii="宋体" w:hAnsi="宋体" w:cs="宋体" w:eastAsia="宋体" w:hint="default"/>
          <w:spacing w:val="60"/>
        </w:rPr>
        <w:t> </w:t>
      </w:r>
      <w:r>
        <w:rPr/>
        <w:t>号——财务报表列报》准则及其应用指南要求，本公司修改了财 </w:t>
      </w:r>
      <w:r>
        <w:rPr>
          <w:spacing w:val="-1"/>
        </w:rPr>
        <w:t>务报表中的列报。本公司根据该准则要求修订了</w:t>
      </w:r>
      <w:r>
        <w:rPr>
          <w:rFonts w:ascii="宋体" w:hAnsi="宋体" w:cs="宋体" w:eastAsia="宋体" w:hint="default"/>
          <w:spacing w:val="-1"/>
        </w:rPr>
        <w:t>2014</w:t>
      </w:r>
      <w:r>
        <w:rPr>
          <w:spacing w:val="-1"/>
        </w:rPr>
        <w:t>年中期财务报表中的列报，并对比较报表的列报也进</w:t>
      </w:r>
      <w:r>
        <w:rPr>
          <w:spacing w:val="-80"/>
        </w:rPr>
        <w:t> </w:t>
      </w:r>
      <w:r>
        <w:rPr>
          <w:spacing w:val="-80"/>
        </w:rPr>
      </w:r>
      <w:r>
        <w:rPr/>
        <w:t>行了相应调整，其结果如下：</w:t>
      </w:r>
    </w:p>
    <w:p>
      <w:pPr>
        <w:spacing w:after="0" w:line="273" w:lineRule="auto"/>
        <w:jc w:val="both"/>
        <w:sectPr>
          <w:pgSz w:w="11910" w:h="16840"/>
          <w:pgMar w:header="747" w:footer="979" w:top="1060" w:bottom="1160" w:left="980" w:right="0"/>
        </w:sect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31"/>
          <w:szCs w:val="31"/>
        </w:rPr>
      </w:pPr>
    </w:p>
    <w:p>
      <w:pPr>
        <w:pStyle w:val="Heading4"/>
        <w:spacing w:line="240" w:lineRule="auto"/>
        <w:ind w:left="153" w:right="0"/>
        <w:jc w:val="left"/>
        <w:rPr>
          <w:b w:val="0"/>
          <w:bCs w:val="0"/>
        </w:rPr>
      </w:pPr>
      <w:r>
        <w:rPr/>
        <w:pict>
          <v:shape style="position:absolute;margin-left:56.699997pt;margin-top:-58.756348pt;width:459.800003pt;height:42pt;mso-position-horizontal-relative:page;mso-position-vertical-relative:paragraph;z-index:1264" type="#_x0000_t75" stroked="false">
            <v:imagedata r:id="rId23" o:title=""/>
          </v:shape>
        </w:pict>
      </w:r>
      <w:bookmarkStart w:name="（2）重要会计估计变更" w:id="205"/>
      <w:bookmarkEnd w:id="205"/>
      <w:r>
        <w:rPr>
          <w:b w:val="0"/>
          <w:bCs w:val="0"/>
        </w:rPr>
      </w:r>
      <w:r>
        <w:rPr>
          <w:w w:val="95"/>
        </w:rPr>
        <w:t>（</w:t>
      </w:r>
      <w:r>
        <w:rPr>
          <w:rFonts w:ascii="Times New Roman" w:hAnsi="Times New Roman" w:cs="Times New Roman" w:eastAsia="Times New Roman" w:hint="default"/>
          <w:w w:val="95"/>
        </w:rPr>
        <w:t>2</w:t>
      </w:r>
      <w:r>
        <w:rPr>
          <w:w w:val="95"/>
        </w:rPr>
        <w:t>）重要会计估计变更</w:t>
      </w:r>
      <w:r>
        <w:rPr>
          <w:b w:val="0"/>
          <w:bCs w:val="0"/>
        </w:rPr>
      </w:r>
    </w:p>
    <w:p>
      <w:pPr>
        <w:spacing w:before="33"/>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单位：人民币元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67" w:space="5697"/>
            <w:col w:w="2866"/>
          </w:cols>
        </w:sectPr>
      </w:pPr>
    </w:p>
    <w:p>
      <w:pPr>
        <w:spacing w:line="240" w:lineRule="auto" w:before="3"/>
        <w:rPr>
          <w:rFonts w:ascii="宋体" w:hAnsi="宋体" w:cs="宋体" w:eastAsia="宋体" w:hint="default"/>
          <w:sz w:val="23"/>
          <w:szCs w:val="23"/>
        </w:rPr>
      </w:pPr>
    </w:p>
    <w:p>
      <w:pPr>
        <w:spacing w:before="44"/>
        <w:ind w:left="135" w:right="9221" w:firstLine="0"/>
        <w:jc w:val="center"/>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89"/>
        <w:ind w:right="1131" w:firstLine="423"/>
        <w:jc w:val="both"/>
      </w:pPr>
      <w:r>
        <w:rPr>
          <w:spacing w:val="-1"/>
        </w:rPr>
        <w:t>公司第三届董事会第八次会议审议通过了《关于公司部分会计政策及估计变更的议案》，公司的应收</w:t>
      </w:r>
      <w:r>
        <w:rPr/>
        <w:t> </w:t>
      </w:r>
      <w:r>
        <w:rPr>
          <w:spacing w:val="-1"/>
        </w:rPr>
        <w:t>款项以账龄为风险特征划分信用风险组合，本期应收款项坏账准备计提比例发生变更。前后坏账准备计提</w:t>
      </w:r>
      <w:r>
        <w:rPr>
          <w:spacing w:val="-81"/>
        </w:rPr>
        <w:t> </w:t>
      </w:r>
      <w:r>
        <w:rPr>
          <w:spacing w:val="-81"/>
        </w:rPr>
      </w:r>
      <w:r>
        <w:rPr/>
        <w:t>比例如下：</w:t>
      </w:r>
    </w:p>
    <w:p>
      <w:pPr>
        <w:pStyle w:val="BodyText"/>
        <w:spacing w:line="240" w:lineRule="auto"/>
        <w:ind w:left="135" w:right="9064"/>
        <w:jc w:val="center"/>
      </w:pPr>
      <w:r>
        <w:rPr/>
        <w:t>变更前：</w:t>
      </w:r>
    </w:p>
    <w:p>
      <w:pPr>
        <w:spacing w:after="0" w:line="240" w:lineRule="auto"/>
        <w:jc w:val="cente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3555" w:lineRule="exact"/>
        <w:ind w:left="154"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5943600" cy="2257425"/>
            <wp:effectExtent l="0" t="0" r="0" b="0"/>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25" cstate="print"/>
                    <a:stretch>
                      <a:fillRect/>
                    </a:stretch>
                  </pic:blipFill>
                  <pic:spPr>
                    <a:xfrm>
                      <a:off x="0" y="0"/>
                      <a:ext cx="5943600" cy="2257425"/>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8"/>
        <w:rPr>
          <w:rFonts w:ascii="宋体" w:hAnsi="宋体" w:cs="宋体" w:eastAsia="宋体" w:hint="default"/>
          <w:sz w:val="12"/>
          <w:szCs w:val="12"/>
        </w:rPr>
      </w:pPr>
    </w:p>
    <w:p>
      <w:pPr>
        <w:pStyle w:val="BodyText"/>
        <w:spacing w:line="240" w:lineRule="auto" w:before="35"/>
        <w:ind w:left="577" w:right="914"/>
        <w:jc w:val="left"/>
      </w:pPr>
      <w:r>
        <w:rPr/>
        <w:t>公司会计估计变更导致应收款项坏账准备计提比例发生变化，会计估计变更产生影响如下：</w:t>
      </w:r>
    </w:p>
    <w:p>
      <w:pPr>
        <w:spacing w:before="62"/>
        <w:ind w:left="8218" w:right="914"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3"/>
        <w:rPr>
          <w:rFonts w:ascii="宋体" w:hAnsi="宋体" w:cs="宋体" w:eastAsia="宋体" w:hint="default"/>
          <w:sz w:val="15"/>
          <w:szCs w:val="15"/>
        </w:rPr>
      </w:pPr>
    </w:p>
    <w:p>
      <w:pPr>
        <w:spacing w:line="1290" w:lineRule="exact"/>
        <w:ind w:left="154" w:right="0" w:firstLine="0"/>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5810249" cy="819150"/>
            <wp:effectExtent l="0" t="0" r="0" b="0"/>
            <wp:docPr id="23" name="image14.jpeg" descr=""/>
            <wp:cNvGraphicFramePr>
              <a:graphicFrameLocks noChangeAspect="1"/>
            </wp:cNvGraphicFramePr>
            <a:graphic>
              <a:graphicData uri="http://schemas.openxmlformats.org/drawingml/2006/picture">
                <pic:pic>
                  <pic:nvPicPr>
                    <pic:cNvPr id="24" name="image14.jpeg"/>
                    <pic:cNvPicPr/>
                  </pic:nvPicPr>
                  <pic:blipFill>
                    <a:blip r:embed="rId26" cstate="print"/>
                    <a:stretch>
                      <a:fillRect/>
                    </a:stretch>
                  </pic:blipFill>
                  <pic:spPr>
                    <a:xfrm>
                      <a:off x="0" y="0"/>
                      <a:ext cx="5810249" cy="819150"/>
                    </a:xfrm>
                    <a:prstGeom prst="rect">
                      <a:avLst/>
                    </a:prstGeom>
                  </pic:spPr>
                </pic:pic>
              </a:graphicData>
            </a:graphic>
          </wp:inline>
        </w:drawing>
      </w:r>
      <w:r>
        <w:rPr>
          <w:rFonts w:ascii="宋体" w:hAnsi="宋体" w:cs="宋体" w:eastAsia="宋体" w:hint="default"/>
          <w:position w:val="-25"/>
          <w:sz w:val="20"/>
          <w:szCs w:val="20"/>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spacing w:line="487" w:lineRule="auto" w:before="0"/>
        <w:ind w:left="154" w:right="8966" w:firstLine="0"/>
        <w:jc w:val="left"/>
        <w:rPr>
          <w:rFonts w:ascii="宋体" w:hAnsi="宋体" w:cs="宋体" w:eastAsia="宋体" w:hint="default"/>
          <w:sz w:val="21"/>
          <w:szCs w:val="21"/>
        </w:rPr>
      </w:pPr>
      <w:bookmarkStart w:name="34、其他" w:id="206"/>
      <w:bookmarkEnd w:id="206"/>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07"/>
      <w:bookmarkEnd w:id="207"/>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08"/>
      <w:bookmarkEnd w:id="208"/>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应纳税销售收入</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工程、养护收入</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r>
    </w:tbl>
    <w:p>
      <w:pPr>
        <w:spacing w:before="52"/>
        <w:ind w:left="154" w:right="914"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山东丽鹏股份有限公司、重庆华宇园林有限公司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footerReference w:type="default" r:id="rId24"/>
          <w:pgSz w:w="11910" w:h="16840"/>
          <w:pgMar w:footer="979" w:header="747"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914"/>
        <w:jc w:val="left"/>
        <w:rPr>
          <w:b w:val="0"/>
          <w:bCs w:val="0"/>
        </w:rPr>
      </w:pPr>
      <w:bookmarkStart w:name="2、税收优惠" w:id="209"/>
      <w:bookmarkEnd w:id="20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914" w:firstLine="420"/>
        <w:jc w:val="left"/>
      </w:pPr>
      <w:r>
        <w:rPr/>
        <w:t>（</w:t>
      </w:r>
      <w:r>
        <w:rPr>
          <w:rFonts w:ascii="宋体" w:hAnsi="宋体" w:cs="宋体" w:eastAsia="宋体" w:hint="default"/>
        </w:rPr>
        <w:t>1</w:t>
      </w:r>
      <w:r>
        <w:rPr/>
        <w:t>）根据《增值税暂行条例实施细则》相关规定，子公司重庆华宇园林有限公司苗木销售为免税农 产品免征增值税。</w:t>
      </w:r>
    </w:p>
    <w:p>
      <w:pPr>
        <w:pStyle w:val="BodyText"/>
        <w:spacing w:line="273" w:lineRule="auto" w:before="8"/>
        <w:ind w:right="2038" w:firstLine="420"/>
        <w:jc w:val="left"/>
      </w:pPr>
      <w:r>
        <w:rPr/>
        <w:t>（</w:t>
      </w:r>
      <w:r>
        <w:rPr>
          <w:rFonts w:ascii="宋体" w:hAnsi="宋体" w:cs="宋体" w:eastAsia="宋体" w:hint="default"/>
        </w:rPr>
        <w:t>2</w:t>
      </w:r>
      <w:r>
        <w:rPr/>
        <w:t>）根据《中华人民共和国企业所得税法》及《中华人民共和国企业所得税法实施条例》 的规定，子公司重庆华宇园林有限公司苗木销售所得免征企业所得税。</w:t>
      </w:r>
    </w:p>
    <w:p>
      <w:pPr>
        <w:pStyle w:val="BodyText"/>
        <w:spacing w:line="273" w:lineRule="auto"/>
        <w:ind w:right="1129" w:firstLine="420"/>
        <w:jc w:val="both"/>
      </w:pPr>
      <w:r>
        <w:rPr/>
        <w:t>（</w:t>
      </w:r>
      <w:r>
        <w:rPr>
          <w:rFonts w:ascii="宋体" w:hAnsi="宋体" w:cs="宋体" w:eastAsia="宋体" w:hint="default"/>
        </w:rPr>
        <w:t>3</w:t>
      </w:r>
      <w:r>
        <w:rPr/>
        <w:t>）根据山东省科学技术厅、山东省财政厅、山东省国家税务局、山东省地方税务局联合下发的鲁 </w:t>
      </w:r>
      <w:r>
        <w:rPr>
          <w:spacing w:val="-3"/>
        </w:rPr>
        <w:t>科高字</w:t>
      </w:r>
      <w:r>
        <w:rPr>
          <w:rFonts w:ascii="宋体" w:hAnsi="宋体" w:cs="宋体" w:eastAsia="宋体" w:hint="default"/>
          <w:spacing w:val="-3"/>
        </w:rPr>
        <w:t>[2013]33</w:t>
      </w:r>
      <w:r>
        <w:rPr>
          <w:spacing w:val="-3"/>
        </w:rPr>
        <w:t>号文《关于保利民爆济南科技有限公司等</w:t>
      </w:r>
      <w:r>
        <w:rPr>
          <w:rFonts w:ascii="宋体" w:hAnsi="宋体" w:cs="宋体" w:eastAsia="宋体" w:hint="default"/>
          <w:spacing w:val="-3"/>
        </w:rPr>
        <w:t>322</w:t>
      </w:r>
      <w:r>
        <w:rPr>
          <w:spacing w:val="-3"/>
        </w:rPr>
        <w:t>家企业通过高新技术企业复审的通知》，公司</w:t>
      </w:r>
      <w:r>
        <w:rPr>
          <w:spacing w:val="-77"/>
        </w:rPr>
        <w:t> </w:t>
      </w:r>
      <w:r>
        <w:rPr>
          <w:spacing w:val="-77"/>
        </w:rPr>
      </w:r>
      <w:r>
        <w:rPr>
          <w:rFonts w:ascii="宋体" w:hAnsi="宋体" w:cs="宋体" w:eastAsia="宋体" w:hint="default"/>
          <w:spacing w:val="-1"/>
        </w:rPr>
        <w:t>2012</w:t>
      </w:r>
      <w:r>
        <w:rPr>
          <w:spacing w:val="-1"/>
        </w:rPr>
        <w:t>年度被认定为高新技术企业，执行</w:t>
      </w:r>
      <w:r>
        <w:rPr>
          <w:rFonts w:ascii="宋体" w:hAnsi="宋体" w:cs="宋体" w:eastAsia="宋体" w:hint="default"/>
          <w:spacing w:val="-1"/>
        </w:rPr>
        <w:t>15%</w:t>
      </w:r>
      <w:r>
        <w:rPr>
          <w:spacing w:val="-1"/>
        </w:rPr>
        <w:t>企业所得税税率，有效期</w:t>
      </w:r>
      <w:r>
        <w:rPr>
          <w:rFonts w:ascii="宋体" w:hAnsi="宋体" w:cs="宋体" w:eastAsia="宋体" w:hint="default"/>
          <w:spacing w:val="-1"/>
        </w:rPr>
        <w:t>3</w:t>
      </w:r>
      <w:r>
        <w:rPr>
          <w:spacing w:val="-1"/>
        </w:rPr>
        <w:t>年，优惠期为</w:t>
      </w:r>
      <w:r>
        <w:rPr>
          <w:rFonts w:ascii="宋体" w:hAnsi="宋体" w:cs="宋体" w:eastAsia="宋体" w:hint="default"/>
          <w:spacing w:val="-1"/>
        </w:rPr>
        <w:t>2012</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日至</w:t>
      </w:r>
      <w:r>
        <w:rPr>
          <w:rFonts w:ascii="宋体" w:hAnsi="宋体" w:cs="宋体" w:eastAsia="宋体" w:hint="default"/>
          <w:spacing w:val="-1"/>
        </w:rPr>
        <w:t>2014</w:t>
      </w:r>
      <w:r>
        <w:rPr>
          <w:spacing w:val="-1"/>
        </w:rPr>
        <w:t>年</w:t>
      </w:r>
    </w:p>
    <w:p>
      <w:pPr>
        <w:pStyle w:val="BodyText"/>
        <w:spacing w:line="240" w:lineRule="auto"/>
        <w:ind w:right="914"/>
        <w:jc w:val="left"/>
      </w:pPr>
      <w:r>
        <w:rPr>
          <w:rFonts w:ascii="宋体" w:hAnsi="宋体" w:cs="宋体" w:eastAsia="宋体" w:hint="default"/>
        </w:rPr>
        <w:t>12</w:t>
      </w:r>
      <w:r>
        <w:rPr/>
        <w:t>月</w:t>
      </w:r>
      <w:r>
        <w:rPr>
          <w:rFonts w:ascii="宋体" w:hAnsi="宋体" w:cs="宋体" w:eastAsia="宋体" w:hint="default"/>
        </w:rPr>
        <w:t>31</w:t>
      </w:r>
      <w:r>
        <w:rPr/>
        <w:t>日。</w:t>
      </w:r>
    </w:p>
    <w:p>
      <w:pPr>
        <w:pStyle w:val="BodyText"/>
        <w:spacing w:line="273" w:lineRule="auto" w:before="37"/>
        <w:ind w:right="914" w:firstLine="420"/>
        <w:jc w:val="left"/>
      </w:pPr>
      <w:r>
        <w:rPr>
          <w:spacing w:val="-3"/>
        </w:rPr>
        <w:t>（</w:t>
      </w:r>
      <w:r>
        <w:rPr>
          <w:rFonts w:ascii="宋体" w:hAnsi="宋体" w:cs="宋体" w:eastAsia="宋体" w:hint="default"/>
          <w:spacing w:val="-3"/>
        </w:rPr>
        <w:t>4</w:t>
      </w:r>
      <w:r>
        <w:rPr>
          <w:spacing w:val="-3"/>
        </w:rPr>
        <w:t>）根据《财政部、海关总署、国家税务总局关于深入实施西部大开发战略有关税收政策问题的通</w:t>
      </w:r>
      <w:r>
        <w:rPr/>
        <w:t> </w:t>
      </w:r>
      <w:r>
        <w:rPr>
          <w:spacing w:val="-10"/>
        </w:rPr>
        <w:t>知》（财税</w:t>
      </w:r>
      <w:r>
        <w:rPr>
          <w:rFonts w:ascii="宋体" w:hAnsi="宋体" w:cs="宋体" w:eastAsia="宋体" w:hint="default"/>
          <w:spacing w:val="-10"/>
        </w:rPr>
        <w:t>[2011]58</w:t>
      </w:r>
      <w:r>
        <w:rPr>
          <w:spacing w:val="-10"/>
        </w:rPr>
        <w:t>号），子公司重庆华宇园林有限公司的业务符合《产业结构调整指导目录》（</w:t>
      </w:r>
      <w:r>
        <w:rPr>
          <w:rFonts w:ascii="宋体" w:hAnsi="宋体" w:cs="宋体" w:eastAsia="宋体" w:hint="default"/>
          <w:spacing w:val="-10"/>
        </w:rPr>
        <w:t>2011</w:t>
      </w:r>
      <w:r>
        <w:rPr>
          <w:spacing w:val="-10"/>
        </w:rPr>
        <w:t>年本）</w:t>
      </w:r>
      <w:r>
        <w:rPr>
          <w:spacing w:val="-77"/>
        </w:rPr>
        <w:t> </w:t>
      </w:r>
      <w:r>
        <w:rPr/>
        <w:t>鼓励类产业中第二十二款“城市基础设施”第</w:t>
      </w:r>
      <w:r>
        <w:rPr>
          <w:rFonts w:ascii="宋体" w:hAnsi="宋体" w:cs="宋体" w:eastAsia="宋体" w:hint="default"/>
        </w:rPr>
        <w:t>13</w:t>
      </w:r>
      <w:r>
        <w:rPr/>
        <w:t>项“城镇园林绿化及生态小区建设”的列举范围，且鼓</w:t>
      </w:r>
      <w:r>
        <w:rPr>
          <w:spacing w:val="-92"/>
        </w:rPr>
        <w:t> </w:t>
      </w:r>
      <w:r>
        <w:rPr>
          <w:spacing w:val="-92"/>
        </w:rPr>
      </w:r>
      <w:r>
        <w:rPr>
          <w:spacing w:val="-2"/>
        </w:rPr>
        <w:t>励类收入占总收入的</w:t>
      </w:r>
      <w:r>
        <w:rPr>
          <w:rFonts w:ascii="宋体" w:hAnsi="宋体" w:cs="宋体" w:eastAsia="宋体" w:hint="default"/>
          <w:spacing w:val="-2"/>
        </w:rPr>
        <w:t>70%</w:t>
      </w:r>
      <w:r>
        <w:rPr>
          <w:spacing w:val="-2"/>
        </w:rPr>
        <w:t>以上。根据国家税务总局《关于深入实施西部大开发战略有关企业所得税问题的</w:t>
      </w:r>
      <w:r>
        <w:rPr>
          <w:spacing w:val="-100"/>
        </w:rPr>
        <w:t> </w:t>
      </w:r>
      <w:r>
        <w:rPr>
          <w:spacing w:val="-100"/>
        </w:rPr>
      </w:r>
      <w:r>
        <w:rPr>
          <w:spacing w:val="-4"/>
        </w:rPr>
        <w:t>公告》（国家税务总局公告</w:t>
      </w:r>
      <w:r>
        <w:rPr>
          <w:rFonts w:ascii="宋体" w:hAnsi="宋体" w:cs="宋体" w:eastAsia="宋体" w:hint="default"/>
          <w:spacing w:val="-4"/>
        </w:rPr>
        <w:t>[2012]12</w:t>
      </w:r>
      <w:r>
        <w:rPr>
          <w:spacing w:val="-4"/>
        </w:rPr>
        <w:t>号）规定，在《西部地区鼓励类产业目录》公布前，企业符合《产业</w:t>
      </w:r>
      <w:r>
        <w:rPr>
          <w:spacing w:val="-98"/>
        </w:rPr>
        <w:t> </w:t>
      </w:r>
      <w:r>
        <w:rPr>
          <w:spacing w:val="-98"/>
        </w:rPr>
      </w:r>
      <w:r>
        <w:rPr>
          <w:spacing w:val="-2"/>
        </w:rPr>
        <w:t>结构调整指导目录》范围的，经税务机关确认后，企业所得税可按照</w:t>
      </w:r>
      <w:r>
        <w:rPr>
          <w:rFonts w:ascii="宋体" w:hAnsi="宋体" w:cs="宋体" w:eastAsia="宋体" w:hint="default"/>
          <w:spacing w:val="-2"/>
        </w:rPr>
        <w:t>15%</w:t>
      </w:r>
      <w:r>
        <w:rPr>
          <w:spacing w:val="-2"/>
        </w:rPr>
        <w:t>税率缴纳。</w:t>
      </w:r>
      <w:r>
        <w:rPr>
          <w:rFonts w:ascii="宋体" w:hAnsi="宋体" w:cs="宋体" w:eastAsia="宋体" w:hint="default"/>
          <w:spacing w:val="-2"/>
        </w:rPr>
        <w:t>2012</w:t>
      </w:r>
      <w:r>
        <w:rPr>
          <w:spacing w:val="-2"/>
        </w:rPr>
        <w:t>年度、</w:t>
      </w:r>
      <w:r>
        <w:rPr>
          <w:rFonts w:ascii="宋体" w:hAnsi="宋体" w:cs="宋体" w:eastAsia="宋体" w:hint="default"/>
          <w:spacing w:val="-2"/>
        </w:rPr>
        <w:t>2013</w:t>
      </w:r>
      <w:r>
        <w:rPr>
          <w:spacing w:val="-2"/>
        </w:rPr>
        <w:t>年度</w:t>
      </w:r>
      <w:r>
        <w:rPr>
          <w:spacing w:val="-94"/>
        </w:rPr>
        <w:t> </w:t>
      </w:r>
      <w:r>
        <w:rPr>
          <w:spacing w:val="-2"/>
        </w:rPr>
        <w:t>经主管税务机关同意，享受西部大开发税收优惠政策，</w:t>
      </w:r>
      <w:r>
        <w:rPr>
          <w:rFonts w:ascii="宋体" w:hAnsi="宋体" w:cs="宋体" w:eastAsia="宋体" w:hint="default"/>
          <w:spacing w:val="-2"/>
        </w:rPr>
        <w:t>2014</w:t>
      </w:r>
      <w:r>
        <w:rPr>
          <w:spacing w:val="-2"/>
        </w:rPr>
        <w:t>年向主管税务机关备案后，仍按</w:t>
      </w:r>
      <w:r>
        <w:rPr>
          <w:rFonts w:ascii="宋体" w:hAnsi="宋体" w:cs="宋体" w:eastAsia="宋体" w:hint="default"/>
          <w:spacing w:val="-2"/>
        </w:rPr>
        <w:t>15%</w:t>
      </w:r>
      <w:r>
        <w:rPr>
          <w:spacing w:val="-2"/>
        </w:rPr>
        <w:t>计缴企业</w:t>
      </w:r>
      <w:r>
        <w:rPr>
          <w:spacing w:val="-97"/>
        </w:rPr>
        <w:t> </w:t>
      </w:r>
      <w:r>
        <w:rPr/>
        <w:t>所得税。</w:t>
      </w:r>
    </w:p>
    <w:p>
      <w:pPr>
        <w:spacing w:line="240" w:lineRule="auto" w:before="8"/>
        <w:rPr>
          <w:rFonts w:ascii="宋体" w:hAnsi="宋体" w:cs="宋体" w:eastAsia="宋体" w:hint="default"/>
          <w:sz w:val="23"/>
          <w:szCs w:val="23"/>
        </w:rPr>
      </w:pPr>
    </w:p>
    <w:p>
      <w:pPr>
        <w:pStyle w:val="Heading4"/>
        <w:spacing w:line="240" w:lineRule="auto"/>
        <w:ind w:right="914"/>
        <w:jc w:val="left"/>
        <w:rPr>
          <w:b w:val="0"/>
          <w:bCs w:val="0"/>
        </w:rPr>
      </w:pPr>
      <w:bookmarkStart w:name="3、其他" w:id="210"/>
      <w:bookmarkEnd w:id="210"/>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3297"/>
        <w:jc w:val="left"/>
      </w:pPr>
      <w:r>
        <w:rPr>
          <w:rFonts w:ascii="宋体" w:hAnsi="宋体" w:cs="宋体" w:eastAsia="宋体" w:hint="default"/>
        </w:rPr>
        <w:t>(1)</w:t>
      </w:r>
      <w:r>
        <w:rPr/>
        <w:t>增值税： </w:t>
      </w:r>
      <w:r>
        <w:rPr>
          <w:rFonts w:ascii="宋体" w:hAnsi="宋体" w:cs="宋体" w:eastAsia="宋体" w:hint="default"/>
        </w:rPr>
        <w:t>1</w:t>
      </w:r>
      <w:r>
        <w:rPr/>
        <w:t>）公司及子公司除华宇园林的设计收入外</w:t>
      </w:r>
      <w:r>
        <w:rPr>
          <w:rFonts w:ascii="宋体" w:hAnsi="宋体" w:cs="宋体" w:eastAsia="宋体" w:hint="default"/>
        </w:rPr>
        <w:t>,</w:t>
      </w:r>
      <w:r>
        <w:rPr/>
        <w:t>均按应税收入</w:t>
      </w:r>
      <w:r>
        <w:rPr>
          <w:rFonts w:ascii="宋体" w:hAnsi="宋体" w:cs="宋体" w:eastAsia="宋体" w:hint="default"/>
        </w:rPr>
        <w:t>17%</w:t>
      </w:r>
      <w:r>
        <w:rPr/>
        <w:t>的计缴增值税。</w:t>
      </w:r>
    </w:p>
    <w:p>
      <w:pPr>
        <w:pStyle w:val="BodyText"/>
        <w:spacing w:line="273" w:lineRule="auto"/>
        <w:ind w:left="573" w:right="2668"/>
        <w:jc w:val="left"/>
      </w:pPr>
      <w:r>
        <w:rPr>
          <w:rFonts w:ascii="宋体" w:hAnsi="宋体" w:cs="宋体" w:eastAsia="宋体" w:hint="default"/>
        </w:rPr>
        <w:t>2</w:t>
      </w:r>
      <w:r>
        <w:rPr/>
        <w:t>）公司子公司重庆华宇园林有限公司设计收入按现代服务业执行</w:t>
      </w:r>
      <w:r>
        <w:rPr>
          <w:rFonts w:ascii="宋体" w:hAnsi="宋体" w:cs="宋体" w:eastAsia="宋体" w:hint="default"/>
        </w:rPr>
        <w:t>6%</w:t>
      </w:r>
      <w:r>
        <w:rPr/>
        <w:t>的增值税税率。 </w:t>
      </w:r>
      <w:r>
        <w:rPr>
          <w:rFonts w:ascii="宋体" w:hAnsi="宋体" w:cs="宋体" w:eastAsia="宋体" w:hint="default"/>
        </w:rPr>
        <w:t>(2)</w:t>
      </w:r>
      <w:r>
        <w:rPr/>
        <w:t>营业税：华宇园林园林工程收入按应税收入的</w:t>
      </w:r>
      <w:r>
        <w:rPr>
          <w:rFonts w:ascii="宋体" w:hAnsi="宋体" w:cs="宋体" w:eastAsia="宋体" w:hint="default"/>
        </w:rPr>
        <w:t>3%</w:t>
      </w:r>
      <w:r>
        <w:rPr/>
        <w:t>计征；</w:t>
      </w:r>
    </w:p>
    <w:p>
      <w:pPr>
        <w:pStyle w:val="BodyText"/>
        <w:spacing w:line="273" w:lineRule="auto"/>
        <w:ind w:left="573" w:right="4348"/>
        <w:jc w:val="left"/>
      </w:pPr>
      <w:r>
        <w:rPr/>
        <w:t>（</w:t>
      </w:r>
      <w:r>
        <w:rPr>
          <w:rFonts w:ascii="宋体" w:hAnsi="宋体" w:cs="宋体" w:eastAsia="宋体" w:hint="default"/>
        </w:rPr>
        <w:t>3</w:t>
      </w:r>
      <w:r>
        <w:rPr/>
        <w:t>）城建税： </w:t>
      </w:r>
      <w:r>
        <w:rPr>
          <w:rFonts w:ascii="宋体" w:hAnsi="宋体" w:cs="宋体" w:eastAsia="宋体" w:hint="default"/>
        </w:rPr>
        <w:t>1</w:t>
      </w:r>
      <w:r>
        <w:rPr/>
        <w:t>）公司子公司新疆军鹏制盖有限公司按应缴流转税额的</w:t>
      </w:r>
      <w:r>
        <w:rPr>
          <w:rFonts w:ascii="宋体" w:hAnsi="宋体" w:cs="宋体" w:eastAsia="宋体" w:hint="default"/>
        </w:rPr>
        <w:t>1%</w:t>
      </w:r>
      <w:r>
        <w:rPr/>
        <w:t>计征。</w:t>
      </w:r>
    </w:p>
    <w:p>
      <w:pPr>
        <w:pStyle w:val="BodyText"/>
        <w:spacing w:line="240" w:lineRule="auto"/>
        <w:ind w:left="573" w:right="914"/>
        <w:jc w:val="left"/>
      </w:pPr>
      <w:r>
        <w:rPr>
          <w:rFonts w:ascii="宋体" w:hAnsi="宋体" w:cs="宋体" w:eastAsia="宋体" w:hint="default"/>
        </w:rPr>
        <w:t>2</w:t>
      </w:r>
      <w:r>
        <w:rPr/>
        <w:t>）公司子公司北京鹏和祥包装制品有限公司、亳州丽鹏制盖有限公司按应缴流转税额的</w:t>
      </w:r>
      <w:r>
        <w:rPr>
          <w:rFonts w:ascii="宋体" w:hAnsi="宋体" w:cs="宋体" w:eastAsia="宋体" w:hint="default"/>
        </w:rPr>
        <w:t>5%</w:t>
      </w:r>
      <w:r>
        <w:rPr/>
        <w:t>计征。</w:t>
      </w:r>
    </w:p>
    <w:p>
      <w:pPr>
        <w:pStyle w:val="BodyText"/>
        <w:spacing w:line="240" w:lineRule="auto" w:before="37"/>
        <w:ind w:left="574" w:right="914"/>
        <w:jc w:val="left"/>
      </w:pPr>
      <w:r>
        <w:rPr>
          <w:rFonts w:ascii="宋体" w:hAnsi="宋体" w:cs="宋体" w:eastAsia="宋体" w:hint="default"/>
        </w:rPr>
        <w:t>3</w:t>
      </w:r>
      <w:r>
        <w:rPr/>
        <w:t>）其他公司按</w:t>
      </w:r>
      <w:r>
        <w:rPr>
          <w:rFonts w:ascii="宋体" w:hAnsi="宋体" w:cs="宋体" w:eastAsia="宋体" w:hint="default"/>
        </w:rPr>
        <w:t>7%</w:t>
      </w:r>
      <w:r>
        <w:rPr/>
        <w:t>计征。</w:t>
      </w:r>
    </w:p>
    <w:p>
      <w:pPr>
        <w:pStyle w:val="BodyText"/>
        <w:spacing w:line="240" w:lineRule="auto" w:before="37"/>
        <w:ind w:left="574" w:right="914"/>
        <w:jc w:val="left"/>
      </w:pPr>
      <w:r>
        <w:rPr/>
        <w:t>（</w:t>
      </w:r>
      <w:r>
        <w:rPr>
          <w:rFonts w:ascii="宋体" w:hAnsi="宋体" w:cs="宋体" w:eastAsia="宋体" w:hint="default"/>
        </w:rPr>
        <w:t>4</w:t>
      </w:r>
      <w:r>
        <w:rPr/>
        <w:t>）教育费附加：按应缴流转税额的</w:t>
      </w:r>
      <w:r>
        <w:rPr>
          <w:rFonts w:ascii="宋体" w:hAnsi="宋体" w:cs="宋体" w:eastAsia="宋体" w:hint="default"/>
        </w:rPr>
        <w:t>3%</w:t>
      </w:r>
      <w:r>
        <w:rPr/>
        <w:t>计征；</w:t>
      </w:r>
    </w:p>
    <w:p>
      <w:pPr>
        <w:pStyle w:val="BodyText"/>
        <w:spacing w:line="240" w:lineRule="auto" w:before="37"/>
        <w:ind w:left="573" w:right="914"/>
        <w:jc w:val="left"/>
      </w:pPr>
      <w:r>
        <w:rPr/>
        <w:t>（</w:t>
      </w:r>
      <w:r>
        <w:rPr>
          <w:rFonts w:ascii="宋体" w:hAnsi="宋体" w:cs="宋体" w:eastAsia="宋体" w:hint="default"/>
        </w:rPr>
        <w:t>5</w:t>
      </w:r>
      <w:r>
        <w:rPr/>
        <w:t>）地方教育费附加：按应交流转税额的</w:t>
      </w:r>
      <w:r>
        <w:rPr>
          <w:rFonts w:ascii="宋体" w:hAnsi="宋体" w:cs="宋体" w:eastAsia="宋体" w:hint="default"/>
        </w:rPr>
        <w:t>2%</w:t>
      </w:r>
      <w:r>
        <w:rPr/>
        <w:t>计征；</w:t>
      </w:r>
    </w:p>
    <w:p>
      <w:pPr>
        <w:pStyle w:val="BodyText"/>
        <w:spacing w:line="240" w:lineRule="auto" w:before="37"/>
        <w:ind w:left="573" w:right="914"/>
        <w:jc w:val="left"/>
      </w:pPr>
      <w:r>
        <w:rPr/>
        <w:t>（</w:t>
      </w:r>
      <w:r>
        <w:rPr>
          <w:rFonts w:ascii="宋体" w:hAnsi="宋体" w:cs="宋体" w:eastAsia="宋体" w:hint="default"/>
        </w:rPr>
        <w:t>6</w:t>
      </w:r>
      <w:r>
        <w:rPr/>
        <w:t>）地方水利建设基金：按应交流转税额的</w:t>
      </w:r>
      <w:r>
        <w:rPr>
          <w:rFonts w:ascii="宋体" w:hAnsi="宋体" w:cs="宋体" w:eastAsia="宋体" w:hint="default"/>
        </w:rPr>
        <w:t>1%</w:t>
      </w:r>
      <w:r>
        <w:rPr/>
        <w:t>计征；</w:t>
      </w:r>
    </w:p>
    <w:p>
      <w:pPr>
        <w:pStyle w:val="BodyText"/>
        <w:spacing w:line="273" w:lineRule="auto" w:before="37"/>
        <w:ind w:left="573" w:right="4663"/>
        <w:jc w:val="left"/>
      </w:pPr>
      <w:r>
        <w:rPr/>
        <w:t>（</w:t>
      </w:r>
      <w:r>
        <w:rPr>
          <w:rFonts w:ascii="宋体" w:hAnsi="宋体" w:cs="宋体" w:eastAsia="宋体" w:hint="default"/>
        </w:rPr>
        <w:t>7</w:t>
      </w:r>
      <w:r>
        <w:rPr/>
        <w:t>）企业所得税： </w:t>
      </w:r>
      <w:r>
        <w:rPr>
          <w:rFonts w:ascii="宋体" w:hAnsi="宋体" w:cs="宋体" w:eastAsia="宋体" w:hint="default"/>
        </w:rPr>
        <w:t>1</w:t>
      </w:r>
      <w:r>
        <w:rPr/>
        <w:t>）公司及子公司重庆华宇园林有限公司适用</w:t>
      </w:r>
      <w:r>
        <w:rPr>
          <w:rFonts w:ascii="宋体" w:hAnsi="宋体" w:cs="宋体" w:eastAsia="宋体" w:hint="default"/>
        </w:rPr>
        <w:t>15%</w:t>
      </w:r>
      <w:r>
        <w:rPr/>
        <w:t>的所得税率。</w:t>
      </w:r>
    </w:p>
    <w:p>
      <w:pPr>
        <w:spacing w:line="501" w:lineRule="auto" w:before="7"/>
        <w:ind w:left="153" w:right="6973"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）其他子公司适用</w:t>
      </w:r>
      <w:r>
        <w:rPr>
          <w:rFonts w:ascii="宋体" w:hAnsi="宋体" w:cs="宋体" w:eastAsia="宋体" w:hint="default"/>
          <w:sz w:val="21"/>
          <w:szCs w:val="21"/>
        </w:rPr>
        <w:t>25%</w:t>
      </w:r>
      <w:r>
        <w:rPr>
          <w:rFonts w:ascii="宋体" w:hAnsi="宋体" w:cs="宋体" w:eastAsia="宋体" w:hint="default"/>
          <w:sz w:val="21"/>
          <w:szCs w:val="21"/>
        </w:rPr>
        <w:t>的所得税率。 </w:t>
      </w:r>
      <w:bookmarkStart w:name="七、合并财务报表项目注释" w:id="211"/>
      <w:bookmarkEnd w:id="211"/>
      <w:r>
        <w:rPr>
          <w:rFonts w:ascii="宋体" w:hAnsi="宋体" w:cs="宋体" w:eastAsia="宋体" w:hint="default"/>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12"/>
      <w:bookmarkEnd w:id="21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9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657,392.15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610,549.73</w:t>
            </w:r>
          </w:p>
        </w:tc>
      </w:tr>
    </w:tbl>
    <w:p>
      <w:pPr>
        <w:spacing w:after="0" w:line="240" w:lineRule="auto"/>
        <w:jc w:val="right"/>
        <w:rPr>
          <w:rFonts w:ascii="Times New Roman" w:hAnsi="Times New Roman" w:cs="Times New Roman" w:eastAsia="Times New Roman" w:hint="default"/>
          <w:sz w:val="18"/>
          <w:szCs w:val="18"/>
        </w:rPr>
        <w:sectPr>
          <w:footerReference w:type="default" r:id="rId27"/>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145,208,312.90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170,163,075.01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21,401,162.78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183,865,705.05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192,174,787.52</w:t>
            </w:r>
          </w:p>
        </w:tc>
      </w:tr>
    </w:tbl>
    <w:p>
      <w:pPr>
        <w:spacing w:line="240" w:lineRule="auto" w:before="3"/>
        <w:rPr>
          <w:rFonts w:ascii="宋体" w:hAnsi="宋体" w:cs="宋体" w:eastAsia="宋体" w:hint="default"/>
          <w:sz w:val="19"/>
          <w:szCs w:val="19"/>
        </w:rPr>
      </w:pPr>
    </w:p>
    <w:p>
      <w:pPr>
        <w:pStyle w:val="Heading4"/>
        <w:spacing w:line="240" w:lineRule="auto" w:before="35"/>
        <w:ind w:right="914"/>
        <w:jc w:val="left"/>
        <w:rPr>
          <w:b w:val="0"/>
          <w:bCs w:val="0"/>
        </w:rPr>
      </w:pPr>
      <w:bookmarkStart w:name="2、应收票据" w:id="213"/>
      <w:bookmarkEnd w:id="213"/>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应收票据分类列示" w:id="214"/>
      <w:bookmarkEnd w:id="21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9,656,390.51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15,931,451.00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9,656,390.51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15,931,451.00</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期末公司已背书或贴现且在资产负债表日尚未到期的应收票据" w:id="215"/>
      <w:bookmarkEnd w:id="215"/>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40,591,682.78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40,591,682.78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5"/>
        <w:ind w:right="914"/>
        <w:jc w:val="left"/>
        <w:rPr>
          <w:b w:val="0"/>
          <w:bCs w:val="0"/>
        </w:rPr>
      </w:pPr>
      <w:bookmarkStart w:name="3、应收账款" w:id="216"/>
      <w:bookmarkEnd w:id="216"/>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应收账款分类披露" w:id="217"/>
      <w:bookmarkEnd w:id="21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444,26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5,406.1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28,744,</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441.54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415,52</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0,964.6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2" w:right="0"/>
              <w:jc w:val="left"/>
              <w:rPr>
                <w:rFonts w:ascii="Times New Roman" w:hAnsi="Times New Roman" w:cs="Times New Roman" w:eastAsia="Times New Roman" w:hint="default"/>
                <w:sz w:val="18"/>
                <w:szCs w:val="18"/>
              </w:rPr>
            </w:pPr>
            <w:r>
              <w:rPr>
                <w:rFonts w:ascii="Times New Roman"/>
                <w:sz w:val="18"/>
              </w:rPr>
              <w:t>118,3</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04,52</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5.08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9,686,8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46.12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108,617,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678.96</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444,26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5,406.1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28,744,</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441.54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415,52</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0,964.6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2" w:right="0"/>
              <w:jc w:val="left"/>
              <w:rPr>
                <w:rFonts w:ascii="Times New Roman" w:hAnsi="Times New Roman" w:cs="Times New Roman" w:eastAsia="Times New Roman" w:hint="default"/>
                <w:sz w:val="18"/>
                <w:szCs w:val="18"/>
              </w:rPr>
            </w:pPr>
            <w:r>
              <w:rPr>
                <w:rFonts w:ascii="Times New Roman"/>
                <w:sz w:val="18"/>
              </w:rPr>
              <w:t>118,3</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04,52</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5.08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9,686,8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46.12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108,617,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678.96</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60" w:lineRule="auto" w:before="116"/>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6"/>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393,839,207.47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19,691,960.37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393,839,207.47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19,691,960.37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27,511,576.50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2,751,157.66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19,759,492.26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3,951,898.45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735,745.18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220,723.55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581,366.45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290,683.23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1,838,018.28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1,838,018.28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444,265,406.14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28,744,441.54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57" w:lineRule="auto" w:before="29"/>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13"/>
        <w:rPr>
          <w:rFonts w:ascii="宋体" w:hAnsi="宋体" w:cs="宋体" w:eastAsia="宋体" w:hint="default"/>
          <w:sz w:val="19"/>
          <w:szCs w:val="19"/>
        </w:rPr>
      </w:pPr>
    </w:p>
    <w:p>
      <w:pPr>
        <w:pStyle w:val="Heading4"/>
        <w:spacing w:line="240" w:lineRule="auto"/>
        <w:ind w:right="914"/>
        <w:jc w:val="left"/>
        <w:rPr>
          <w:b w:val="0"/>
          <w:bCs w:val="0"/>
        </w:rPr>
      </w:pPr>
      <w:bookmarkStart w:name="（2）本期计提、收回或转回的坏账准备情况" w:id="218"/>
      <w:bookmarkEnd w:id="21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19,057,595.42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left="153" w:right="914"/>
        <w:jc w:val="left"/>
        <w:rPr>
          <w:b w:val="0"/>
          <w:bCs w:val="0"/>
        </w:rPr>
      </w:pPr>
      <w:bookmarkStart w:name="（3）按欠款方归集的期末余额前五吊的应收账款情况" w:id="219"/>
      <w:bookmarkEnd w:id="219"/>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9"/>
          <w:szCs w:val="29"/>
        </w:rPr>
      </w:pPr>
    </w:p>
    <w:p>
      <w:pPr>
        <w:spacing w:line="2085" w:lineRule="exact"/>
        <w:ind w:left="154" w:right="0" w:firstLine="0"/>
        <w:rPr>
          <w:rFonts w:ascii="宋体" w:hAnsi="宋体" w:cs="宋体" w:eastAsia="宋体" w:hint="default"/>
          <w:sz w:val="20"/>
          <w:szCs w:val="20"/>
        </w:rPr>
      </w:pPr>
      <w:r>
        <w:rPr>
          <w:rFonts w:ascii="宋体" w:hAnsi="宋体" w:cs="宋体" w:eastAsia="宋体" w:hint="default"/>
          <w:position w:val="-41"/>
          <w:sz w:val="20"/>
          <w:szCs w:val="20"/>
        </w:rPr>
        <w:drawing>
          <wp:inline distT="0" distB="0" distL="0" distR="0">
            <wp:extent cx="5934710" cy="1323975"/>
            <wp:effectExtent l="0" t="0" r="0" b="0"/>
            <wp:docPr id="25" name="image15.png" descr=""/>
            <wp:cNvGraphicFramePr>
              <a:graphicFrameLocks noChangeAspect="1"/>
            </wp:cNvGraphicFramePr>
            <a:graphic>
              <a:graphicData uri="http://schemas.openxmlformats.org/drawingml/2006/picture">
                <pic:pic>
                  <pic:nvPicPr>
                    <pic:cNvPr id="26" name="image15.png"/>
                    <pic:cNvPicPr/>
                  </pic:nvPicPr>
                  <pic:blipFill>
                    <a:blip r:embed="rId28" cstate="print"/>
                    <a:stretch>
                      <a:fillRect/>
                    </a:stretch>
                  </pic:blipFill>
                  <pic:spPr>
                    <a:xfrm>
                      <a:off x="0" y="0"/>
                      <a:ext cx="5934710" cy="1323975"/>
                    </a:xfrm>
                    <a:prstGeom prst="rect">
                      <a:avLst/>
                    </a:prstGeom>
                  </pic:spPr>
                </pic:pic>
              </a:graphicData>
            </a:graphic>
          </wp:inline>
        </w:drawing>
      </w:r>
      <w:r>
        <w:rPr>
          <w:rFonts w:ascii="宋体" w:hAnsi="宋体" w:cs="宋体" w:eastAsia="宋体" w:hint="default"/>
          <w:position w:val="-41"/>
          <w:sz w:val="20"/>
          <w:szCs w:val="20"/>
        </w:rPr>
      </w:r>
    </w:p>
    <w:p>
      <w:pPr>
        <w:spacing w:line="240" w:lineRule="auto" w:before="9"/>
        <w:rPr>
          <w:rFonts w:ascii="宋体" w:hAnsi="宋体" w:cs="宋体" w:eastAsia="宋体" w:hint="default"/>
          <w:b/>
          <w:bCs/>
          <w:sz w:val="25"/>
          <w:szCs w:val="25"/>
        </w:rPr>
      </w:pPr>
    </w:p>
    <w:p>
      <w:pPr>
        <w:pStyle w:val="Heading4"/>
        <w:spacing w:line="240" w:lineRule="auto"/>
        <w:ind w:left="153" w:right="914"/>
        <w:jc w:val="left"/>
        <w:rPr>
          <w:b w:val="0"/>
          <w:bCs w:val="0"/>
        </w:rPr>
      </w:pPr>
      <w:bookmarkStart w:name="4、预付款项" w:id="220"/>
      <w:bookmarkEnd w:id="220"/>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预付款项按账龄列示" w:id="221"/>
      <w:bookmarkEnd w:id="22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7" w:right="0"/>
              <w:jc w:val="left"/>
              <w:rPr>
                <w:rFonts w:ascii="Times New Roman" w:hAnsi="Times New Roman" w:cs="Times New Roman" w:eastAsia="Times New Roman" w:hint="default"/>
                <w:sz w:val="18"/>
                <w:szCs w:val="18"/>
              </w:rPr>
            </w:pPr>
            <w:r>
              <w:rPr>
                <w:rFonts w:ascii="Times New Roman"/>
                <w:sz w:val="18"/>
              </w:rPr>
              <w:t>8,248,803.41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6" w:right="0"/>
              <w:jc w:val="left"/>
              <w:rPr>
                <w:rFonts w:ascii="Times New Roman" w:hAnsi="Times New Roman" w:cs="Times New Roman" w:eastAsia="Times New Roman" w:hint="default"/>
                <w:sz w:val="18"/>
                <w:szCs w:val="18"/>
              </w:rPr>
            </w:pPr>
            <w:r>
              <w:rPr>
                <w:rFonts w:ascii="Times New Roman"/>
                <w:sz w:val="18"/>
              </w:rPr>
              <w:t>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9,893,240.24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7" w:right="0"/>
              <w:jc w:val="left"/>
              <w:rPr>
                <w:rFonts w:ascii="Times New Roman" w:hAnsi="Times New Roman" w:cs="Times New Roman" w:eastAsia="Times New Roman" w:hint="default"/>
                <w:sz w:val="18"/>
                <w:szCs w:val="18"/>
              </w:rPr>
            </w:pPr>
            <w:r>
              <w:rPr>
                <w:rFonts w:ascii="Times New Roman"/>
                <w:sz w:val="18"/>
              </w:rPr>
              <w:t>68.51%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97,700.94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145,094.08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38,427.62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70,202.63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32,350.03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104,765.41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8,417,282.00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10,213,302.36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按预付对象归集的期末余额前五吊的预付款情况" w:id="222"/>
      <w:bookmarkEnd w:id="22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line="2865" w:lineRule="exact"/>
        <w:ind w:left="154"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5979612" cy="1819275"/>
            <wp:effectExtent l="0" t="0" r="0" b="0"/>
            <wp:docPr id="27" name="image16.png" descr=""/>
            <wp:cNvGraphicFramePr>
              <a:graphicFrameLocks noChangeAspect="1"/>
            </wp:cNvGraphicFramePr>
            <a:graphic>
              <a:graphicData uri="http://schemas.openxmlformats.org/drawingml/2006/picture">
                <pic:pic>
                  <pic:nvPicPr>
                    <pic:cNvPr id="28" name="image16.png"/>
                    <pic:cNvPicPr/>
                  </pic:nvPicPr>
                  <pic:blipFill>
                    <a:blip r:embed="rId29" cstate="print"/>
                    <a:stretch>
                      <a:fillRect/>
                    </a:stretch>
                  </pic:blipFill>
                  <pic:spPr>
                    <a:xfrm>
                      <a:off x="0" y="0"/>
                      <a:ext cx="5979612" cy="1819275"/>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13"/>
        <w:rPr>
          <w:rFonts w:ascii="宋体" w:hAnsi="宋体" w:cs="宋体" w:eastAsia="宋体" w:hint="default"/>
          <w:b/>
          <w:bCs/>
          <w:sz w:val="28"/>
          <w:szCs w:val="28"/>
        </w:rPr>
      </w:pPr>
    </w:p>
    <w:p>
      <w:pPr>
        <w:pStyle w:val="Heading4"/>
        <w:spacing w:line="240" w:lineRule="auto" w:before="35"/>
        <w:ind w:left="153" w:right="914"/>
        <w:jc w:val="left"/>
        <w:rPr>
          <w:b w:val="0"/>
          <w:bCs w:val="0"/>
        </w:rPr>
      </w:pPr>
      <w:bookmarkStart w:name="5、其他应收款" w:id="223"/>
      <w:bookmarkEnd w:id="223"/>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其他应收款分类披露" w:id="224"/>
      <w:bookmarkEnd w:id="22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78,681,</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580.20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7,313,5</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09.77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71,368,</w:t>
            </w:r>
          </w:p>
          <w:p>
            <w:pPr>
              <w:pStyle w:val="TableParagraph"/>
              <w:spacing w:line="240" w:lineRule="auto" w:before="106"/>
              <w:ind w:left="181" w:right="0"/>
              <w:jc w:val="left"/>
              <w:rPr>
                <w:rFonts w:ascii="Times New Roman" w:hAnsi="Times New Roman" w:cs="Times New Roman" w:eastAsia="Times New Roman" w:hint="default"/>
                <w:sz w:val="18"/>
                <w:szCs w:val="18"/>
              </w:rPr>
            </w:pPr>
            <w:r>
              <w:rPr>
                <w:rFonts w:ascii="Times New Roman"/>
                <w:sz w:val="18"/>
              </w:rPr>
              <w:t>070.43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6,496</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,869.</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569,958</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sz w:val="18"/>
              </w:rPr>
              <w:t>.97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5,926,91</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0.03</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78,681,</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580.20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7,313,5</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09.77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71,368,</w:t>
            </w:r>
          </w:p>
          <w:p>
            <w:pPr>
              <w:pStyle w:val="TableParagraph"/>
              <w:spacing w:line="240" w:lineRule="auto" w:before="106"/>
              <w:ind w:left="181" w:right="0"/>
              <w:jc w:val="left"/>
              <w:rPr>
                <w:rFonts w:ascii="Times New Roman" w:hAnsi="Times New Roman" w:cs="Times New Roman" w:eastAsia="Times New Roman" w:hint="default"/>
                <w:sz w:val="18"/>
                <w:szCs w:val="18"/>
              </w:rPr>
            </w:pPr>
            <w:r>
              <w:rPr>
                <w:rFonts w:ascii="Times New Roman"/>
                <w:sz w:val="18"/>
              </w:rPr>
              <w:t>070.43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6,496</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,869.</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569,958</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sz w:val="18"/>
              </w:rPr>
              <w:t>.97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5,926,91</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57" w:lineRule="auto" w:before="117"/>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9"/>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58,883,432.12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2,944,171.61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58,883,432.12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2,944,171.61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7,899,874.27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789,987.43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7,383,879.88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1,476,775.98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813,052.04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243,915.61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3,685,365.50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1,842,682.75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15,976.39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15,976.39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78,681,580.20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7,313,509.77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57" w:lineRule="auto" w:before="117"/>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9"/>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914"/>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6,743,550.80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left="153" w:right="914"/>
        <w:jc w:val="left"/>
        <w:rPr>
          <w:b w:val="0"/>
          <w:bCs w:val="0"/>
        </w:rPr>
      </w:pPr>
      <w:bookmarkStart w:name="（3）其他应收款按款项性质分类情况" w:id="226"/>
      <w:bookmarkEnd w:id="226"/>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1,862,133.52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1,376,209.77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74,632,918.55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4,485,600.00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1,445,675.79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117,538.04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740,852.34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517,521.19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78,681,580.20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6,496,869.00</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4）按欠款方归集的期末余额前五吊的其他应收款情况" w:id="227"/>
      <w:bookmarkEnd w:id="227"/>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4"/>
        <w:gridCol w:w="1595"/>
        <w:gridCol w:w="1594"/>
        <w:gridCol w:w="1596"/>
        <w:gridCol w:w="1595"/>
      </w:tblGrid>
      <w:tr>
        <w:trPr>
          <w:trHeight w:val="102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1031"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6"/>
              <w:ind w:left="103" w:right="219"/>
              <w:jc w:val="both"/>
              <w:rPr>
                <w:rFonts w:ascii="宋体" w:hAnsi="宋体" w:cs="宋体" w:eastAsia="宋体" w:hint="default"/>
                <w:sz w:val="18"/>
                <w:szCs w:val="18"/>
              </w:rPr>
            </w:pPr>
            <w:r>
              <w:rPr>
                <w:rFonts w:ascii="宋体" w:hAnsi="宋体" w:cs="宋体" w:eastAsia="宋体" w:hint="default"/>
                <w:sz w:val="18"/>
                <w:szCs w:val="18"/>
              </w:rPr>
              <w:t>莱芜市雪野湖旅 游产业发展有限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30,000,000.00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674"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陕西省通达公路 建设集团有限责</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19,000,000.00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4"/>
        <w:gridCol w:w="1595"/>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贵州水城县水务 投资有限责任公 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陕西省成通机械 化公路生态工程 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雅安发展投资有 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3,643,365.50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1,821,682.75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62,643,365.50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5,871,682.75</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6、存货" w:id="228"/>
      <w:bookmarkEnd w:id="228"/>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存货分类" w:id="229"/>
      <w:bookmarkEnd w:id="22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76,823,198.40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76,823,198.40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85,219,413.57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85,219,413.57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13,384,383.67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13,384,383.67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14,004,733.11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14,004,733.11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117,441,960.35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707,330.55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116,734,629.80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88,194,324.89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8" w:right="0"/>
              <w:jc w:val="left"/>
              <w:rPr>
                <w:rFonts w:ascii="Times New Roman" w:hAnsi="Times New Roman" w:cs="Times New Roman" w:eastAsia="Times New Roman" w:hint="default"/>
                <w:sz w:val="18"/>
                <w:szCs w:val="18"/>
              </w:rPr>
            </w:pPr>
            <w:r>
              <w:rPr>
                <w:rFonts w:ascii="Times New Roman"/>
                <w:sz w:val="18"/>
              </w:rPr>
              <w:t>1,581,348.96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86,612,975.93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823,977.97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823,977.97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消耗性生物资 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7,073,060.00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7,073,060.00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3"/>
              <w:jc w:val="both"/>
              <w:rPr>
                <w:rFonts w:ascii="宋体" w:hAnsi="宋体" w:cs="宋体" w:eastAsia="宋体" w:hint="default"/>
                <w:sz w:val="18"/>
                <w:szCs w:val="18"/>
              </w:rPr>
            </w:pPr>
            <w:r>
              <w:rPr>
                <w:rFonts w:ascii="宋体" w:hAnsi="宋体" w:cs="宋体" w:eastAsia="宋体" w:hint="default"/>
                <w:sz w:val="18"/>
                <w:szCs w:val="18"/>
              </w:rPr>
              <w:t>建造合同形成 的已完工未结 算资产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530,146,030.75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530,146,030.75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745,692,611.14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707,330.55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744,985,280.59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187,418,471.57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8" w:right="0"/>
              <w:jc w:val="left"/>
              <w:rPr>
                <w:rFonts w:ascii="Times New Roman" w:hAnsi="Times New Roman" w:cs="Times New Roman" w:eastAsia="Times New Roman" w:hint="default"/>
                <w:sz w:val="18"/>
                <w:szCs w:val="18"/>
              </w:rPr>
            </w:pPr>
            <w:r>
              <w:rPr>
                <w:rFonts w:ascii="Times New Roman"/>
                <w:sz w:val="18"/>
              </w:rPr>
              <w:t>1,581,348.96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185,837,122.61</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存货跌价准备" w:id="230"/>
      <w:bookmarkEnd w:id="23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1,581,348.96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710,330.55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42,735.49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1,541,613.47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707,330.55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1,581,348.96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710,330.55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42,735.49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1,541,613.47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707,330.55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914"/>
        <w:jc w:val="left"/>
        <w:rPr>
          <w:b w:val="0"/>
          <w:bCs w:val="0"/>
        </w:rPr>
      </w:pPr>
      <w:bookmarkStart w:name="（3）期末建造合同形成的已完工未结算资产情况" w:id="231"/>
      <w:bookmarkEnd w:id="231"/>
      <w:r>
        <w:rPr>
          <w:b w:val="0"/>
          <w:bCs w:val="0"/>
        </w:rPr>
      </w:r>
      <w:r>
        <w:rPr/>
        <w:t>（</w:t>
      </w:r>
      <w:r>
        <w:rPr>
          <w:rFonts w:ascii="Times New Roman" w:hAnsi="Times New Roman" w:cs="Times New Roman" w:eastAsia="Times New Roman" w:hint="default"/>
        </w:rPr>
        <w:t>3</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1,235,562,786.20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505,547,713.45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1,210,964,468.90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530,146,030.75</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7、一年内到期的非流动资产" w:id="232"/>
      <w:bookmarkEnd w:id="232"/>
      <w:r>
        <w:rPr>
          <w:b w:val="0"/>
          <w:bCs w:val="0"/>
        </w:rPr>
      </w:r>
      <w:r>
        <w:rPr>
          <w:rFonts w:ascii="Times New Roman" w:hAnsi="Times New Roman" w:cs="Times New Roman" w:eastAsia="Times New Roman" w:hint="default"/>
        </w:rPr>
        <w:t>7</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705,828.72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705,828.72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8、其他流动资产" w:id="233"/>
      <w:bookmarkEnd w:id="233"/>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27,439,449.57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37,597,275.60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1,414,155.92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1,160,264.01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10,904,034.31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28,853,605.49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49,661,573.92</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9、可供出售金融资产" w:id="234"/>
      <w:bookmarkEnd w:id="234"/>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可供出售金融资产情况" w:id="235"/>
      <w:bookmarkEnd w:id="23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10,550,000.00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10,550,000.00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10,550,000.00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914"/>
        <w:jc w:val="left"/>
        <w:rPr>
          <w:b w:val="0"/>
          <w:bCs w:val="0"/>
        </w:rPr>
      </w:pPr>
      <w:bookmarkStart w:name="（2）期末按成本计量的可供出售金融资产" w:id="236"/>
      <w:bookmarkEnd w:id="236"/>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59"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59"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5"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四川融 圣投资 管理股 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成都商 业银行 股份有 限公司 蒲江鹤 山分理 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10,550,0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10,550,0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914"/>
        <w:jc w:val="left"/>
        <w:rPr>
          <w:b w:val="0"/>
          <w:bCs w:val="0"/>
        </w:rPr>
      </w:pPr>
      <w:bookmarkStart w:name="10、长期应收款" w:id="237"/>
      <w:bookmarkEnd w:id="237"/>
      <w:r>
        <w:rPr>
          <w:b w:val="0"/>
          <w:bCs w:val="0"/>
        </w:rPr>
      </w:r>
      <w:r>
        <w:rPr>
          <w:rFonts w:ascii="Times New Roman" w:hAnsi="Times New Roman" w:cs="Times New Roman" w:eastAsia="Times New Roman" w:hint="default"/>
        </w:rPr>
        <w:t>10</w:t>
      </w:r>
      <w:r>
        <w:rPr/>
        <w:t>、长期应收款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长期应收款情况" w:id="238"/>
      <w:bookmarkEnd w:id="238"/>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8"/>
              <w:jc w:val="left"/>
              <w:rPr>
                <w:rFonts w:ascii="宋体" w:hAnsi="宋体" w:cs="宋体" w:eastAsia="宋体" w:hint="default"/>
                <w:sz w:val="18"/>
                <w:szCs w:val="18"/>
              </w:rPr>
            </w:pPr>
            <w:r>
              <w:rPr>
                <w:rFonts w:ascii="宋体" w:hAnsi="宋体" w:cs="宋体" w:eastAsia="宋体" w:hint="default"/>
                <w:sz w:val="18"/>
                <w:szCs w:val="18"/>
              </w:rPr>
              <w:t>分期收款提供 劳务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290,541,643.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290,541,643.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35</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208"/>
              <w:jc w:val="left"/>
              <w:rPr>
                <w:rFonts w:ascii="宋体" w:hAnsi="宋体" w:cs="宋体" w:eastAsia="宋体" w:hint="default"/>
                <w:sz w:val="18"/>
                <w:szCs w:val="18"/>
              </w:rPr>
            </w:pPr>
            <w:r>
              <w:rPr>
                <w:rFonts w:ascii="宋体" w:hAnsi="宋体" w:cs="宋体" w:eastAsia="宋体" w:hint="default"/>
                <w:sz w:val="18"/>
                <w:szCs w:val="18"/>
              </w:rPr>
              <w:t>未实现融资收 益</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-61,223.32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-61,223.32</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290,480,420.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290,480,420.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11、投资性房地产" w:id="239"/>
      <w:bookmarkEnd w:id="239"/>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14"/>
        <w:jc w:val="left"/>
        <w:rPr>
          <w:b w:val="0"/>
          <w:bCs w:val="0"/>
        </w:rPr>
      </w:pPr>
      <w:bookmarkStart w:name="（1）采用成本计量模式的投资性房地产" w:id="240"/>
      <w:bookmarkEnd w:id="24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151,580.27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239,088.00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390,668.27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2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151,580.27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239,088.00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390,668.27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70,495.01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29,089.04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99,584.05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10,895.14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9,812.00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20,707.14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1"/>
                <w:w w:val="95"/>
                <w:sz w:val="18"/>
                <w:szCs w:val="18"/>
              </w:rPr>
              <w:t>（</w:t>
            </w:r>
            <w:r>
              <w:rPr>
                <w:rFonts w:ascii="Times New Roman" w:hAnsi="Times New Roman" w:cs="Times New Roman" w:eastAsia="Times New Roman" w:hint="default"/>
                <w:spacing w:val="-1"/>
                <w:w w:val="95"/>
                <w:sz w:val="18"/>
                <w:szCs w:val="18"/>
              </w:rPr>
              <w:t>1</w:t>
            </w:r>
            <w:r>
              <w:rPr>
                <w:rFonts w:ascii="宋体" w:hAnsi="宋体" w:cs="宋体" w:eastAsia="宋体" w:hint="default"/>
                <w:spacing w:val="-1"/>
                <w:w w:val="95"/>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10,895.14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9,812.00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20,707.14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81,390.15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38,901.04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120,291.19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70,190.12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200,186.96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270,377.08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81,085.26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209,998.96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291,084.22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14"/>
        <w:jc w:val="left"/>
        <w:rPr>
          <w:b w:val="0"/>
          <w:bCs w:val="0"/>
        </w:rPr>
      </w:pPr>
      <w:bookmarkStart w:name="（2）采用公允价值计量模式的投资性房地产" w:id="241"/>
      <w:bookmarkEnd w:id="24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right="914"/>
        <w:jc w:val="left"/>
        <w:rPr>
          <w:b w:val="0"/>
          <w:bCs w:val="0"/>
        </w:rPr>
      </w:pPr>
      <w:bookmarkStart w:name="12、固定资产" w:id="242"/>
      <w:bookmarkEnd w:id="242"/>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固定资产情况" w:id="243"/>
      <w:bookmarkEnd w:id="24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140" w:hanging="360"/>
              <w:jc w:val="left"/>
              <w:rPr>
                <w:rFonts w:ascii="宋体" w:hAnsi="宋体" w:cs="宋体" w:eastAsia="宋体" w:hint="default"/>
                <w:sz w:val="18"/>
                <w:szCs w:val="18"/>
              </w:rPr>
            </w:pPr>
            <w:r>
              <w:rPr>
                <w:rFonts w:ascii="宋体" w:hAnsi="宋体" w:cs="宋体" w:eastAsia="宋体" w:hint="default"/>
                <w:sz w:val="18"/>
                <w:szCs w:val="18"/>
              </w:rPr>
              <w:t>房屋及建筑 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299,900,426.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455,485,045.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16,217,488.9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16,304,090.6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787,907,051.99</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56,594,293.9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98,895,488.8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8,331,949.17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6,576,940.85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170,398,672.72</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4,494,724.81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63,823,803.5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6,419,788.65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2,663,725.01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77,402,042.01</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31,348,190.7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31,145,770.2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62,493,961.02</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20,751,378.3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3,925,915.00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1,912,160.52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3,913,215.84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30,502,669.69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8,965,904.41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17,798,148.8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512,368.28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2,572,931.50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29,849,353.01</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8,965,904.41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17,798,148.8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512,368.28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2,572,931.50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29,849,353.01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347,528,816.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536,582,385.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24,037,069.8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20,308,100.0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928,456,371.70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19,646,770.5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94,461,415.4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5,525,272.19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8,646,815.41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128,280,273.59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8,772,312.69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 w:right="0"/>
              <w:jc w:val="center"/>
              <w:rPr>
                <w:rFonts w:ascii="Times New Roman" w:hAnsi="Times New Roman" w:cs="Times New Roman" w:eastAsia="Times New Roman" w:hint="default"/>
                <w:sz w:val="18"/>
                <w:szCs w:val="18"/>
              </w:rPr>
            </w:pPr>
            <w:r>
              <w:rPr>
                <w:rFonts w:ascii="Times New Roman"/>
                <w:sz w:val="18"/>
              </w:rPr>
              <w:t>51,461,403.2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3,234,069.29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3,487,991.89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66,955,777.15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36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7,509,678.63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49,764,877.1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2,137,800.87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1,916,262.65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61,328,619.30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1,262,634.06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1,696,526.13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1,096,268.42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1,571,729.24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5,627,157.85</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15,092,310.2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408,822.86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2,002,863.89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17,503,996.96</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15,092,310.2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408,822.86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2,002,863.89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17,503,996.96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28,419,083.2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130,830,508.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8,350,518.62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10,131,943.4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177,732,053.78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105,236.11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105,236.11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105,236.11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105,236.11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105,236.11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105,236.11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319,109,733.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405,751,876.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15,686,551.2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10,176,156.5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750,724,317.92</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280,253,656.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360,918,393.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10,692,216.7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7,657,275.24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659,521,542.29</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通过经营租赁租出的固定资产" w:id="244"/>
      <w:bookmarkEnd w:id="244"/>
      <w:r>
        <w:rPr>
          <w:b w:val="0"/>
          <w:bCs w:val="0"/>
        </w:rPr>
      </w: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老铝板厂房及仓库房产</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70,190.12</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3）未办妥产权证书的固定资产情况" w:id="245"/>
      <w:bookmarkEnd w:id="245"/>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海川二期厂房扩建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8,031,859.90</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大冶房屋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16,387,031.87</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泸州厂房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17,391,672.49</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亳州厂房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31,612,992.44</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亳州仓库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17,206,211.75</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亳州办公楼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11,775,700.47</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亳州职工食堂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2,435,850.13</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瓶盖厂新车间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18,515,273.60</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新办公大楼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36,856,343.57</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新研发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10,531,299.52</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中盛国际接待中心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6,189,568.00</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13、在建工程" w:id="246"/>
      <w:bookmarkEnd w:id="246"/>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在建工程情况" w:id="247"/>
      <w:bookmarkEnd w:id="24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海川楼房二期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6,068,249.17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6,068,249.17</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亳州高档组合 式防伪瓶盖项 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141,206.61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141,206.61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87,657.00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87,657.00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586,493.00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586,493.00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设备安装工程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4,229,064.21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4,229,064.21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2,706,690.41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2,706,690.41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龙泉办事处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5,086,611.80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5,086,611.80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光伏大棚光伏 发电项目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124,339.62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124,339.62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新招待所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8,604,388.70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8,604,388.70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13,045,449.53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13,045,449.53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14,589,250.99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14,589,250.99</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重要在建工程项目本期变动情况" w:id="248"/>
      <w:bookmarkEnd w:id="24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2" w:right="181"/>
              <w:jc w:val="both"/>
              <w:rPr>
                <w:rFonts w:ascii="宋体" w:hAnsi="宋体" w:cs="宋体" w:eastAsia="宋体" w:hint="default"/>
                <w:sz w:val="18"/>
                <w:szCs w:val="18"/>
              </w:rPr>
            </w:pPr>
            <w:r>
              <w:rPr>
                <w:rFonts w:ascii="宋体" w:hAnsi="宋体" w:cs="宋体" w:eastAsia="宋体" w:hint="default"/>
                <w:sz w:val="18"/>
                <w:szCs w:val="18"/>
              </w:rPr>
              <w:t>工程 累计 投入 占预 算比</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2" w:right="80"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7"/>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海川 楼房 二期</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6,068,</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249.17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1,963,</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610.73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8,031,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859.90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亳州 高档 组合 式防 伪瓶 盖项 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141,20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7,410,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852.85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7,552,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059.46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其他 零星 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586,49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2,023,</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951.33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2,522,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787.33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87,657</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设备 安装 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2,706,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690.41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30,176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,630.8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28,654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,257.0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4,229,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064.21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龙泉 办事 处</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5,086,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611.80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5,086,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611.80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57"/>
              <w:jc w:val="left"/>
              <w:rPr>
                <w:rFonts w:ascii="宋体" w:hAnsi="宋体" w:cs="宋体" w:eastAsia="宋体" w:hint="default"/>
                <w:sz w:val="18"/>
                <w:szCs w:val="18"/>
              </w:rPr>
            </w:pPr>
            <w:r>
              <w:rPr>
                <w:rFonts w:ascii="宋体" w:hAnsi="宋体" w:cs="宋体" w:eastAsia="宋体" w:hint="default"/>
                <w:sz w:val="18"/>
                <w:szCs w:val="18"/>
              </w:rPr>
              <w:t>新办 公楼</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3,614,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293.32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3,614,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293.32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光伏 大棚 光伏 发电 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124,33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9.62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124,33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9.62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瓶盖 厂南 车间</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7,032,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092.45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7,032,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092.45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57"/>
              <w:jc w:val="left"/>
              <w:rPr>
                <w:rFonts w:ascii="宋体" w:hAnsi="宋体" w:cs="宋体" w:eastAsia="宋体" w:hint="default"/>
                <w:sz w:val="18"/>
                <w:szCs w:val="18"/>
              </w:rPr>
            </w:pPr>
            <w:r>
              <w:rPr>
                <w:rFonts w:ascii="宋体" w:hAnsi="宋体" w:cs="宋体" w:eastAsia="宋体" w:hint="default"/>
                <w:sz w:val="18"/>
                <w:szCs w:val="18"/>
              </w:rPr>
              <w:t>新招 待所</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8,604,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388.70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8,604,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388.70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14,589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,250.9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60,950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,159.8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62,493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,961.3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13,045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,449.5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14、无形资产" w:id="249"/>
      <w:bookmarkEnd w:id="249"/>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14"/>
        <w:jc w:val="left"/>
        <w:rPr>
          <w:b w:val="0"/>
          <w:bCs w:val="0"/>
        </w:rPr>
      </w:pPr>
      <w:bookmarkStart w:name="（1）无形资产情况" w:id="250"/>
      <w:bookmarkEnd w:id="25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35,489,387.20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35,594,387.20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33,000.00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128,220.00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241,220.00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33,000.00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33,000.00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128,220.00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208,220.00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3,058.25</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3,058.25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3,058.25</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3,058.25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35,522,387.20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230,161.75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35,832,548.95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2,577,507.52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2,577,507.52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699,519.24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60,982.70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54,799.58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815,301.52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699,519.24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16,938.93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1,333.32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717,791.49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44,043.77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53,466.26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97,510.03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3,277,026.76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60,982.70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54,799.58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3,392,809.04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32,245,360.44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169,179.05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25,200.42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32,439,739.91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32,911,879.68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33,016,879.68</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914"/>
        <w:jc w:val="left"/>
        <w:rPr>
          <w:b w:val="0"/>
          <w:bCs w:val="0"/>
        </w:rPr>
      </w:pPr>
      <w:bookmarkStart w:name="15、商誉" w:id="251"/>
      <w:bookmarkEnd w:id="251"/>
      <w:r>
        <w:rPr>
          <w:b w:val="0"/>
          <w:bCs w:val="0"/>
        </w:rPr>
      </w: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14"/>
        <w:jc w:val="left"/>
        <w:rPr>
          <w:b w:val="0"/>
          <w:bCs w:val="0"/>
        </w:rPr>
      </w:pPr>
      <w:bookmarkStart w:name="（1）商誉账面原值" w:id="252"/>
      <w:bookmarkEnd w:id="25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137" w:hanging="450"/>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重庆华宇园林 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296,278,562.27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296,278,562.27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296,278,562.27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9" w:right="0"/>
              <w:jc w:val="left"/>
              <w:rPr>
                <w:rFonts w:ascii="Times New Roman" w:hAnsi="Times New Roman" w:cs="Times New Roman" w:eastAsia="Times New Roman" w:hint="default"/>
                <w:sz w:val="18"/>
                <w:szCs w:val="18"/>
              </w:rPr>
            </w:pPr>
            <w:r>
              <w:rPr>
                <w:rFonts w:ascii="Times New Roman"/>
                <w:sz w:val="18"/>
              </w:rPr>
              <w:t>296,278,562.27</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16、长期待摊费用" w:id="253"/>
      <w:bookmarkEnd w:id="253"/>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1,444,092.77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66,020.51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685,258.72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692,813.54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101,135.83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13,484.80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20,570.00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67,081.03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1,545,228.60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79,505.31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705,828.72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759,894.57</w:t>
            </w:r>
          </w:p>
        </w:tc>
      </w:tr>
    </w:tbl>
    <w:p>
      <w:pPr>
        <w:spacing w:line="240" w:lineRule="auto" w:before="3"/>
        <w:rPr>
          <w:rFonts w:ascii="宋体" w:hAnsi="宋体" w:cs="宋体" w:eastAsia="宋体" w:hint="default"/>
          <w:sz w:val="19"/>
          <w:szCs w:val="19"/>
        </w:rPr>
      </w:pPr>
    </w:p>
    <w:p>
      <w:pPr>
        <w:pStyle w:val="Heading4"/>
        <w:spacing w:line="240" w:lineRule="auto" w:before="35"/>
        <w:ind w:right="914"/>
        <w:jc w:val="left"/>
        <w:rPr>
          <w:b w:val="0"/>
          <w:bCs w:val="0"/>
        </w:rPr>
      </w:pPr>
      <w:bookmarkStart w:name="17、递延所得税资产/递延所得税负债" w:id="254"/>
      <w:bookmarkEnd w:id="254"/>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未经抵销的递延所得税资产" w:id="255"/>
      <w:bookmarkEnd w:id="25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34,501,868.74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5,862,864.90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11,651,369.20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2,188,417.42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8,830,807.28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1,153,014.60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6,964,759.69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1,120,396.67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3,071,316.06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767,829.01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3,385,587.73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846,396.94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19,662,500.03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2,949,375.00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9,075.00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66,066,492.11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10,733,083.51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22,038,016.62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4,164,286.03</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未确认递延所得税资产明细" w:id="256"/>
      <w:bookmarkEnd w:id="256"/>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1,611,218.42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2,263,413.12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3,874,631.54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3）未确认递延所得税资产的可抵扣亏损将于以下年度到期" w:id="257"/>
      <w:bookmarkEnd w:id="257"/>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707,661.28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903,557.14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1,611,218.42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18、其他非流动资产" w:id="258"/>
      <w:bookmarkEnd w:id="258"/>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10,901,938.09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10,194,652.20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10,223,682.00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5,630,006.39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22,625,620.09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15,824,658.59</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19、短期借款" w:id="259"/>
      <w:bookmarkEnd w:id="259"/>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短期借款分类" w:id="260"/>
      <w:bookmarkEnd w:id="26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377,500,000.00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310,000,000.00</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0、应付票据" w:id="261"/>
      <w:bookmarkEnd w:id="261"/>
      <w:r>
        <w:rPr>
          <w:b w:val="0"/>
          <w:bCs w:val="0"/>
        </w:rPr>
      </w:r>
      <w:r>
        <w:rPr>
          <w:rFonts w:ascii="Times New Roman" w:hAnsi="Times New Roman" w:cs="Times New Roman" w:eastAsia="Times New Roman" w:hint="default"/>
        </w:rPr>
        <w:t>20</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47,000,000.00</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914"/>
        <w:jc w:val="left"/>
        <w:rPr>
          <w:b w:val="0"/>
          <w:bCs w:val="0"/>
        </w:rPr>
      </w:pPr>
      <w:bookmarkStart w:name="21、应付账款" w:id="262"/>
      <w:bookmarkEnd w:id="262"/>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14"/>
        <w:jc w:val="left"/>
        <w:rPr>
          <w:b w:val="0"/>
          <w:bCs w:val="0"/>
        </w:rPr>
      </w:pPr>
      <w:bookmarkStart w:name="（1）应付账款列示" w:id="263"/>
      <w:bookmarkEnd w:id="26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388,158,042.55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71,039,904.59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388,158,042.55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71,039,904.59</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2、预收款项" w:id="264"/>
      <w:bookmarkEnd w:id="264"/>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预收款项列示" w:id="265"/>
      <w:bookmarkEnd w:id="26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8,962,224.06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10,863,777.05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8,962,224.06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10,863,777.05</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3、应付职工薪酬" w:id="266"/>
      <w:bookmarkEnd w:id="266"/>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14"/>
        <w:jc w:val="left"/>
        <w:rPr>
          <w:b w:val="0"/>
          <w:bCs w:val="0"/>
        </w:rPr>
      </w:pPr>
      <w:bookmarkStart w:name="（1）应付职工薪酬列示" w:id="267"/>
      <w:bookmarkEnd w:id="26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6,554,648.13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119,716,260.17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114,308,508.32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11,962,399.98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79,069.44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8,529,576.98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8,398,898.95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209,747.47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6,633,717.57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128,245,837.15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122,707,407.27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12,172,147.45</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短期薪酬列示" w:id="268"/>
      <w:bookmarkEnd w:id="26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6,526,063.22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109,499,147.40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104,114,271.87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11,910,938.75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3,769,324.98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3,769,324.98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4,547,301.72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4,531,713.19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15,588.53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3,201,056.25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3,186,210.03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14,846.22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929,242.52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928,685.79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556.73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417,002.95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416,817.37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185.58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556,127.80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556,127.80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育经费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28,584.91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1,344,358.27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1,337,070.48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35,872.70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6,554,648.13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119,716,260.17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114,308,508.32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11,962,399.98</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3）设定提存计划列示" w:id="269"/>
      <w:bookmarkEnd w:id="26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79,069.44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7,937,756.32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7,810,789.84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206,035.92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591,820.66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588,109.11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3,711.55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79,069.44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8,529,576.98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8,398,898.95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209,747.47</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4、应交税费" w:id="270"/>
      <w:bookmarkEnd w:id="270"/>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1,299,845.57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2,336,635.12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30,293,971.15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46,750.00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14,675,492.57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3,964,731.60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19,254.76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39,160.82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2,356,190.31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198,793.02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28,952.78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55,176.66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859,417.07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425,837.83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617,719.76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318,795.47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982,354.76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85,414.19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555,616.37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47,079.45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262,138.92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37,248.12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51,950,954.02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7,555,622.28</w:t>
            </w:r>
          </w:p>
        </w:tc>
      </w:tr>
    </w:tbl>
    <w:p>
      <w:pPr>
        <w:spacing w:line="240" w:lineRule="auto" w:before="3"/>
        <w:rPr>
          <w:rFonts w:ascii="宋体" w:hAnsi="宋体" w:cs="宋体" w:eastAsia="宋体" w:hint="default"/>
          <w:sz w:val="19"/>
          <w:szCs w:val="19"/>
        </w:rPr>
      </w:pPr>
    </w:p>
    <w:p>
      <w:pPr>
        <w:pStyle w:val="Heading4"/>
        <w:spacing w:line="240" w:lineRule="auto" w:before="35"/>
        <w:ind w:right="914"/>
        <w:jc w:val="left"/>
        <w:rPr>
          <w:b w:val="0"/>
          <w:bCs w:val="0"/>
        </w:rPr>
      </w:pPr>
      <w:bookmarkStart w:name="25、应付利息" w:id="271"/>
      <w:bookmarkEnd w:id="271"/>
      <w:r>
        <w:rPr>
          <w:b w:val="0"/>
          <w:bCs w:val="0"/>
        </w:rPr>
      </w:r>
      <w:r>
        <w:rPr>
          <w:rFonts w:ascii="Times New Roman" w:hAnsi="Times New Roman" w:cs="Times New Roman" w:eastAsia="Times New Roman" w:hint="default"/>
        </w:rPr>
        <w:t>25</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887,670.87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580,766.71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887,670.87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580,766.71</w:t>
            </w:r>
          </w:p>
        </w:tc>
      </w:tr>
    </w:tbl>
    <w:p>
      <w:pPr>
        <w:spacing w:line="240" w:lineRule="auto" w:before="3"/>
        <w:rPr>
          <w:rFonts w:ascii="宋体" w:hAnsi="宋体" w:cs="宋体" w:eastAsia="宋体" w:hint="default"/>
          <w:sz w:val="19"/>
          <w:szCs w:val="19"/>
        </w:rPr>
      </w:pPr>
    </w:p>
    <w:p>
      <w:pPr>
        <w:pStyle w:val="Heading4"/>
        <w:spacing w:line="240" w:lineRule="auto" w:before="35"/>
        <w:ind w:right="914"/>
        <w:jc w:val="left"/>
        <w:rPr>
          <w:b w:val="0"/>
          <w:bCs w:val="0"/>
        </w:rPr>
      </w:pPr>
      <w:bookmarkStart w:name="26、其他应付款" w:id="272"/>
      <w:bookmarkEnd w:id="272"/>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按款项性质列示其他应付款" w:id="273"/>
      <w:bookmarkEnd w:id="27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726,900.31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787,855.61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72,583.10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代扣个人款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366,493.29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46,186.50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29,989,305.45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297,015.02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31,155,282.15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1,131,057.13</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7、一年内到期的非流动负债" w:id="274"/>
      <w:bookmarkEnd w:id="274"/>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8、其他流动负债" w:id="275"/>
      <w:bookmarkEnd w:id="275"/>
      <w:r>
        <w:rPr>
          <w:b w:val="0"/>
          <w:bCs w:val="0"/>
        </w:rPr>
      </w:r>
      <w:r>
        <w:rPr>
          <w:rFonts w:ascii="Times New Roman" w:hAnsi="Times New Roman" w:cs="Times New Roman" w:eastAsia="Times New Roman" w:hint="default"/>
        </w:rPr>
        <w:t>28</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一年内摊销的递延收益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1,787,500.00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1,444,166.67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1,787,500.00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1,444,166.67</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9、长期借款" w:id="276"/>
      <w:bookmarkEnd w:id="276"/>
      <w:r>
        <w:rPr>
          <w:b w:val="0"/>
          <w:bCs w:val="0"/>
        </w:rPr>
      </w:r>
      <w:r>
        <w:rPr>
          <w:rFonts w:ascii="Times New Roman" w:hAnsi="Times New Roman" w:cs="Times New Roman" w:eastAsia="Times New Roman" w:hint="default"/>
        </w:rPr>
        <w:t>29</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长期借款分类" w:id="277"/>
      <w:bookmarkEnd w:id="27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8,580,000.00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6" w:right="0"/>
              <w:jc w:val="left"/>
              <w:rPr>
                <w:rFonts w:ascii="Times New Roman" w:hAnsi="Times New Roman" w:cs="Times New Roman" w:eastAsia="Times New Roman" w:hint="default"/>
                <w:sz w:val="18"/>
                <w:szCs w:val="18"/>
              </w:rPr>
            </w:pPr>
            <w:r>
              <w:rPr>
                <w:rFonts w:ascii="Times New Roman"/>
                <w:sz w:val="18"/>
              </w:rPr>
              <w:t>33,580,000.00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30、递延收益" w:id="278"/>
      <w:bookmarkEnd w:id="278"/>
      <w:r>
        <w:rPr>
          <w:b w:val="0"/>
          <w:bCs w:val="0"/>
        </w:rPr>
      </w:r>
      <w:r>
        <w:rPr>
          <w:rFonts w:ascii="Times New Roman" w:hAnsi="Times New Roman" w:cs="Times New Roman" w:eastAsia="Times New Roman" w:hint="default"/>
        </w:rPr>
        <w:t>30</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15,885,833.33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2,130,833.30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17,875,000.03</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15,885,833.33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2,130,833.30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17,875,000.03</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7"/>
          <w:szCs w:val="27"/>
        </w:rPr>
      </w:pPr>
    </w:p>
    <w:p>
      <w:pPr>
        <w:spacing w:before="44"/>
        <w:ind w:left="154" w:right="914"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137"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137"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317" w:right="113"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太阳能光电建 筑应用项目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8,827,500.00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1,145,833.33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343,333.33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11,458,333.34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侧光伏发电项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7,058,333.33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641,666.64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6,416,666.69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15,885,833.33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1,787,499.97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343,333.33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17,875,000.03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914"/>
        <w:jc w:val="left"/>
        <w:rPr>
          <w:b w:val="0"/>
          <w:bCs w:val="0"/>
        </w:rPr>
      </w:pPr>
      <w:bookmarkStart w:name="31、股本" w:id="279"/>
      <w:bookmarkEnd w:id="279"/>
      <w:r>
        <w:rPr>
          <w:b w:val="0"/>
          <w:bCs w:val="0"/>
        </w:rPr>
      </w:r>
      <w:r>
        <w:rPr>
          <w:rFonts w:ascii="Times New Roman" w:hAnsi="Times New Roman" w:cs="Times New Roman" w:eastAsia="Times New Roman" w:hint="default"/>
        </w:rPr>
        <w:t>31</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191,409,229.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138,243,992.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138,243,992.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329,653,221.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73" w:lineRule="auto" w:before="0"/>
        <w:ind w:left="154" w:right="1257" w:firstLine="420"/>
        <w:jc w:val="both"/>
      </w:pPr>
      <w:r>
        <w:rPr/>
        <w:t>（</w:t>
      </w: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15</w:t>
      </w:r>
      <w:r>
        <w:rPr/>
        <w:t>日，公司召开第一次临时股东股东大会，审议通过了《关于山东丽鹏股份有限公 </w:t>
      </w:r>
      <w:r>
        <w:rPr>
          <w:spacing w:val="-3"/>
        </w:rPr>
        <w:t>司发行股份及支付现金购买资产并募集配套资金暨关联交易报告书（草案）及其摘要的议案》。</w:t>
      </w:r>
    </w:p>
    <w:p>
      <w:pPr>
        <w:pStyle w:val="BodyText"/>
        <w:spacing w:line="273" w:lineRule="auto" w:before="127"/>
        <w:ind w:right="1251" w:firstLine="420"/>
        <w:jc w:val="both"/>
      </w:pPr>
      <w:r>
        <w:rPr>
          <w:spacing w:val="-1"/>
        </w:rPr>
        <w:t>（</w:t>
      </w:r>
      <w:r>
        <w:rPr>
          <w:rFonts w:ascii="宋体" w:hAnsi="宋体" w:cs="宋体" w:eastAsia="宋体" w:hint="default"/>
          <w:spacing w:val="-1"/>
        </w:rPr>
        <w:t>2</w:t>
      </w:r>
      <w:r>
        <w:rPr>
          <w:spacing w:val="-1"/>
        </w:rPr>
        <w:t>）</w:t>
      </w:r>
      <w:r>
        <w:rPr>
          <w:rFonts w:ascii="宋体" w:hAnsi="宋体" w:cs="宋体" w:eastAsia="宋体" w:hint="default"/>
          <w:spacing w:val="-1"/>
        </w:rPr>
        <w:t>2014</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28</w:t>
      </w:r>
      <w:r>
        <w:rPr>
          <w:spacing w:val="-1"/>
        </w:rPr>
        <w:t>日，丽鹏公司收到中国证监会</w:t>
      </w:r>
      <w:r>
        <w:rPr>
          <w:rFonts w:ascii="宋体" w:hAnsi="宋体" w:cs="宋体" w:eastAsia="宋体" w:hint="default"/>
          <w:spacing w:val="-1"/>
        </w:rPr>
        <w:t>2014</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25</w:t>
      </w:r>
      <w:r>
        <w:rPr>
          <w:spacing w:val="-1"/>
        </w:rPr>
        <w:t>日印发的《关于核准山东丽鹏股份有</w:t>
      </w:r>
      <w:r>
        <w:rPr/>
        <w:t> </w:t>
      </w:r>
      <w:r>
        <w:rPr>
          <w:spacing w:val="-3"/>
        </w:rPr>
        <w:t>限公司向汤于等发行股份购买资产并募集配套资金的批复》（证监许可</w:t>
      </w:r>
      <w:r>
        <w:rPr>
          <w:rFonts w:ascii="宋体" w:hAnsi="宋体" w:cs="宋体" w:eastAsia="宋体" w:hint="default"/>
          <w:spacing w:val="-3"/>
        </w:rPr>
        <w:t>[2014]1256</w:t>
      </w:r>
      <w:r>
        <w:rPr>
          <w:spacing w:val="-3"/>
        </w:rPr>
        <w:t>号），丽鹏股份发行股</w:t>
      </w:r>
      <w:r>
        <w:rPr>
          <w:spacing w:val="-102"/>
        </w:rPr>
        <w:t> </w:t>
      </w:r>
      <w:r>
        <w:rPr>
          <w:spacing w:val="-102"/>
        </w:rPr>
      </w:r>
      <w:r>
        <w:rPr/>
        <w:t>份及支付现金购买资产并募集配套资金事项获得中国证监会的正式批准。</w:t>
      </w:r>
    </w:p>
    <w:p>
      <w:pPr>
        <w:pStyle w:val="BodyText"/>
        <w:spacing w:line="273" w:lineRule="auto" w:before="127"/>
        <w:ind w:right="1252" w:firstLine="420"/>
        <w:jc w:val="both"/>
      </w:pPr>
      <w:r>
        <w:rPr>
          <w:spacing w:val="-1"/>
        </w:rPr>
        <w:t>（</w:t>
      </w:r>
      <w:r>
        <w:rPr>
          <w:rFonts w:ascii="宋体" w:hAnsi="宋体" w:cs="宋体" w:eastAsia="宋体" w:hint="default"/>
          <w:spacing w:val="-1"/>
        </w:rPr>
        <w:t>3</w:t>
      </w:r>
      <w:r>
        <w:rPr>
          <w:spacing w:val="-1"/>
        </w:rPr>
        <w:t>）公司通过发行股份购买资产并募集配套资金定向增发人民币普通股</w:t>
      </w:r>
      <w:r>
        <w:rPr>
          <w:rFonts w:ascii="宋体" w:hAnsi="宋体" w:cs="宋体" w:eastAsia="宋体" w:hint="default"/>
          <w:spacing w:val="-1"/>
        </w:rPr>
        <w:t>138,243,993.00</w:t>
      </w:r>
      <w:r>
        <w:rPr>
          <w:spacing w:val="-1"/>
        </w:rPr>
        <w:t>股，增加注</w:t>
      </w:r>
      <w:r>
        <w:rPr/>
        <w:t> 册资本</w:t>
      </w:r>
      <w:r>
        <w:rPr>
          <w:rFonts w:ascii="宋体" w:hAnsi="宋体" w:cs="宋体" w:eastAsia="宋体" w:hint="default"/>
        </w:rPr>
        <w:t>138,243,992.00</w:t>
      </w:r>
      <w:r>
        <w:rPr/>
        <w:t>元，变更后的注册资本人民币</w:t>
      </w:r>
      <w:r>
        <w:rPr>
          <w:rFonts w:ascii="宋体" w:hAnsi="宋体" w:cs="宋体" w:eastAsia="宋体" w:hint="default"/>
        </w:rPr>
        <w:t>329,653,221.00</w:t>
      </w:r>
      <w:r>
        <w:rPr/>
        <w:t>元。此次增资经天健会计师事务所</w:t>
      </w:r>
    </w:p>
    <w:p>
      <w:pPr>
        <w:pStyle w:val="BodyText"/>
        <w:spacing w:line="240" w:lineRule="auto"/>
        <w:ind w:left="154" w:right="914"/>
        <w:jc w:val="left"/>
      </w:pPr>
      <w:r>
        <w:rPr/>
        <w:t>（特殊普通合伙）以天健验</w:t>
      </w:r>
      <w:r>
        <w:rPr>
          <w:spacing w:val="-4"/>
        </w:rPr>
        <w:t> </w:t>
      </w:r>
      <w:r>
        <w:rPr>
          <w:rFonts w:ascii="宋体" w:hAnsi="宋体" w:cs="宋体" w:eastAsia="宋体" w:hint="default"/>
        </w:rPr>
        <w:t>[2014]3-84</w:t>
      </w:r>
      <w:r>
        <w:rPr/>
        <w:t>号验资报告予以验证。</w:t>
      </w:r>
    </w:p>
    <w:p>
      <w:pPr>
        <w:spacing w:line="240" w:lineRule="auto" w:before="12"/>
        <w:rPr>
          <w:rFonts w:ascii="宋体" w:hAnsi="宋体" w:cs="宋体" w:eastAsia="宋体" w:hint="default"/>
          <w:sz w:val="25"/>
          <w:szCs w:val="25"/>
        </w:rPr>
      </w:pPr>
    </w:p>
    <w:p>
      <w:pPr>
        <w:pStyle w:val="Heading4"/>
        <w:spacing w:line="240" w:lineRule="auto"/>
        <w:ind w:left="153" w:right="914"/>
        <w:jc w:val="left"/>
        <w:rPr>
          <w:b w:val="0"/>
          <w:bCs w:val="0"/>
        </w:rPr>
      </w:pPr>
      <w:bookmarkStart w:name="32、资本公积" w:id="280"/>
      <w:bookmarkEnd w:id="280"/>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461,348,124.48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897,948,083.30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1" w:right="0"/>
              <w:jc w:val="left"/>
              <w:rPr>
                <w:rFonts w:ascii="Times New Roman" w:hAnsi="Times New Roman" w:cs="Times New Roman" w:eastAsia="Times New Roman" w:hint="default"/>
                <w:sz w:val="18"/>
                <w:szCs w:val="18"/>
              </w:rPr>
            </w:pPr>
            <w:r>
              <w:rPr>
                <w:rFonts w:ascii="Times New Roman"/>
                <w:sz w:val="18"/>
              </w:rPr>
              <w:t>1,359,296,207.78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461,348,124.48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897,948,083.30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1" w:right="0"/>
              <w:jc w:val="left"/>
              <w:rPr>
                <w:rFonts w:ascii="Times New Roman" w:hAnsi="Times New Roman" w:cs="Times New Roman" w:eastAsia="Times New Roman" w:hint="default"/>
                <w:sz w:val="18"/>
                <w:szCs w:val="18"/>
              </w:rPr>
            </w:pPr>
            <w:r>
              <w:rPr>
                <w:rFonts w:ascii="Times New Roman"/>
                <w:sz w:val="18"/>
              </w:rPr>
              <w:t>1,359,296,207.78</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13"/>
          <w:szCs w:val="13"/>
        </w:rPr>
      </w:pPr>
    </w:p>
    <w:p>
      <w:pPr>
        <w:pStyle w:val="BodyText"/>
        <w:spacing w:line="273" w:lineRule="auto" w:before="0"/>
        <w:ind w:right="1248" w:firstLine="420"/>
        <w:jc w:val="both"/>
      </w:pPr>
      <w:r>
        <w:rPr/>
        <w:t>丽鹏股份通过发行股份购买资产并募集配套资金定向增发人民币普通股</w:t>
      </w:r>
      <w:r>
        <w:rPr>
          <w:rFonts w:ascii="宋体" w:hAnsi="宋体" w:cs="宋体" w:eastAsia="宋体" w:hint="default"/>
        </w:rPr>
        <w:t>138,243,993.00</w:t>
      </w:r>
      <w:r>
        <w:rPr/>
        <w:t>股，汤于等 </w:t>
      </w:r>
      <w:r>
        <w:rPr>
          <w:rFonts w:ascii="宋体" w:hAnsi="宋体" w:cs="宋体" w:eastAsia="宋体" w:hint="default"/>
        </w:rPr>
        <w:t>58</w:t>
      </w:r>
      <w:r>
        <w:rPr/>
        <w:t>名交易对象以其持有的重庆华宇园林股份有限公司</w:t>
      </w:r>
      <w:r>
        <w:rPr>
          <w:rFonts w:ascii="宋体" w:hAnsi="宋体" w:cs="宋体" w:eastAsia="宋体" w:hint="default"/>
        </w:rPr>
        <w:t>100%</w:t>
      </w:r>
      <w:r>
        <w:rPr/>
        <w:t>股权出资，该股权作价人民币</w:t>
      </w:r>
      <w:r>
        <w:rPr>
          <w:rFonts w:ascii="宋体" w:hAnsi="宋体" w:cs="宋体" w:eastAsia="宋体" w:hint="default"/>
        </w:rPr>
        <w:t>998,600,000.00</w:t>
      </w:r>
      <w:r>
        <w:rPr>
          <w:rFonts w:ascii="宋体" w:hAnsi="宋体" w:cs="宋体" w:eastAsia="宋体" w:hint="default"/>
          <w:spacing w:val="-39"/>
        </w:rPr>
        <w:t> </w:t>
      </w:r>
      <w:r>
        <w:rPr/>
        <w:t>元，扣除公司以现金支付的对价人民币</w:t>
      </w:r>
      <w:r>
        <w:rPr>
          <w:rFonts w:ascii="宋体" w:hAnsi="宋体" w:cs="宋体" w:eastAsia="宋体" w:hint="default"/>
        </w:rPr>
        <w:t>229,836,300.00</w:t>
      </w:r>
      <w:r>
        <w:rPr/>
        <w:t>元，其余部分人民币</w:t>
      </w:r>
      <w:r>
        <w:rPr>
          <w:rFonts w:ascii="宋体" w:hAnsi="宋体" w:cs="宋体" w:eastAsia="宋体" w:hint="default"/>
        </w:rPr>
        <w:t>768,763,700.00</w:t>
      </w:r>
      <w:r>
        <w:rPr/>
        <w:t>元用于认购</w:t>
      </w:r>
      <w:r>
        <w:rPr>
          <w:spacing w:val="-41"/>
        </w:rPr>
        <w:t> </w:t>
      </w:r>
      <w:r>
        <w:rPr>
          <w:spacing w:val="-41"/>
        </w:rPr>
      </w:r>
      <w:r>
        <w:rPr>
          <w:spacing w:val="14"/>
        </w:rPr>
        <w:t>公司定向增发人民币普通股股票</w:t>
      </w:r>
      <w:r>
        <w:rPr>
          <w:spacing w:val="-74"/>
        </w:rPr>
        <w:t> </w:t>
      </w:r>
      <w:r>
        <w:rPr>
          <w:rFonts w:ascii="宋体" w:hAnsi="宋体" w:cs="宋体" w:eastAsia="宋体" w:hint="default"/>
          <w:spacing w:val="9"/>
        </w:rPr>
        <w:t>101,553,993</w:t>
      </w:r>
      <w:r>
        <w:rPr>
          <w:spacing w:val="9"/>
        </w:rPr>
        <w:t>股，每股发行价为人民币</w:t>
      </w:r>
      <w:r>
        <w:rPr>
          <w:rFonts w:ascii="宋体" w:hAnsi="宋体" w:cs="宋体" w:eastAsia="宋体" w:hint="default"/>
          <w:spacing w:val="9"/>
        </w:rPr>
        <w:t>7.57</w:t>
      </w:r>
      <w:r>
        <w:rPr>
          <w:spacing w:val="9"/>
        </w:rPr>
        <w:t>元，认购价值为人民币</w:t>
      </w:r>
      <w:r>
        <w:rPr>
          <w:spacing w:val="-83"/>
        </w:rPr>
        <w:t> </w:t>
      </w:r>
      <w:r>
        <w:rPr>
          <w:spacing w:val="-83"/>
        </w:rPr>
      </w:r>
      <w:r>
        <w:rPr>
          <w:rFonts w:ascii="宋体" w:hAnsi="宋体" w:cs="宋体" w:eastAsia="宋体" w:hint="default"/>
          <w:spacing w:val="7"/>
        </w:rPr>
        <w:t>768,763,700.00</w:t>
      </w:r>
      <w:r>
        <w:rPr>
          <w:spacing w:val="7"/>
        </w:rPr>
        <w:t>元；此外公司收到由孙世尧等</w:t>
      </w:r>
      <w:r>
        <w:rPr>
          <w:spacing w:val="-68"/>
        </w:rPr>
        <w:t> </w:t>
      </w:r>
      <w:r>
        <w:rPr>
          <w:rFonts w:ascii="宋体" w:hAnsi="宋体" w:cs="宋体" w:eastAsia="宋体" w:hint="default"/>
          <w:spacing w:val="15"/>
        </w:rPr>
        <w:t>9</w:t>
      </w:r>
      <w:r>
        <w:rPr>
          <w:spacing w:val="15"/>
        </w:rPr>
        <w:t>名特定投资者缴足的出资款，募集资金总额人民币</w:t>
      </w:r>
    </w:p>
    <w:p>
      <w:pPr>
        <w:pStyle w:val="BodyText"/>
        <w:spacing w:line="240" w:lineRule="auto"/>
        <w:ind w:right="914"/>
        <w:jc w:val="left"/>
      </w:pPr>
      <w:r>
        <w:rPr>
          <w:rFonts w:ascii="宋体" w:hAnsi="宋体" w:cs="宋体" w:eastAsia="宋体" w:hint="default"/>
        </w:rPr>
        <w:t>277,743,300.00</w:t>
      </w:r>
      <w:r>
        <w:rPr>
          <w:rFonts w:ascii="宋体" w:hAnsi="宋体" w:cs="宋体" w:eastAsia="宋体" w:hint="default"/>
          <w:spacing w:val="-76"/>
        </w:rPr>
        <w:t> </w:t>
      </w:r>
      <w:r>
        <w:rPr/>
        <w:t>元</w:t>
      </w:r>
      <w:r>
        <w:rPr>
          <w:spacing w:val="-78"/>
        </w:rPr>
        <w:t> </w:t>
      </w:r>
      <w:r>
        <w:rPr/>
        <w:t>，</w:t>
      </w:r>
      <w:r>
        <w:rPr>
          <w:spacing w:val="-78"/>
        </w:rPr>
        <w:t> </w:t>
      </w:r>
      <w:r>
        <w:rPr/>
        <w:t>扣</w:t>
      </w:r>
      <w:r>
        <w:rPr>
          <w:spacing w:val="-79"/>
        </w:rPr>
        <w:t> </w:t>
      </w:r>
      <w:r>
        <w:rPr/>
        <w:t>除</w:t>
      </w:r>
      <w:r>
        <w:rPr>
          <w:spacing w:val="-78"/>
        </w:rPr>
        <w:t> </w:t>
      </w:r>
      <w:r>
        <w:rPr/>
        <w:t>与</w:t>
      </w:r>
      <w:r>
        <w:rPr>
          <w:spacing w:val="-78"/>
        </w:rPr>
        <w:t> </w:t>
      </w:r>
      <w:r>
        <w:rPr/>
        <w:t>发</w:t>
      </w:r>
      <w:r>
        <w:rPr>
          <w:spacing w:val="-78"/>
        </w:rPr>
        <w:t> </w:t>
      </w:r>
      <w:r>
        <w:rPr/>
        <w:t>行</w:t>
      </w:r>
      <w:r>
        <w:rPr>
          <w:spacing w:val="-78"/>
        </w:rPr>
        <w:t> </w:t>
      </w:r>
      <w:r>
        <w:rPr/>
        <w:t>费</w:t>
      </w:r>
      <w:r>
        <w:rPr>
          <w:spacing w:val="-78"/>
        </w:rPr>
        <w:t> </w:t>
      </w:r>
      <w:r>
        <w:rPr/>
        <w:t>有</w:t>
      </w:r>
      <w:r>
        <w:rPr>
          <w:spacing w:val="-78"/>
        </w:rPr>
        <w:t> </w:t>
      </w:r>
      <w:r>
        <w:rPr/>
        <w:t>关</w:t>
      </w:r>
      <w:r>
        <w:rPr>
          <w:spacing w:val="-78"/>
        </w:rPr>
        <w:t> </w:t>
      </w:r>
      <w:r>
        <w:rPr/>
        <w:t>的</w:t>
      </w:r>
      <w:r>
        <w:rPr>
          <w:spacing w:val="-78"/>
        </w:rPr>
        <w:t> </w:t>
      </w:r>
      <w:r>
        <w:rPr/>
        <w:t>费</w:t>
      </w:r>
      <w:r>
        <w:rPr>
          <w:spacing w:val="-78"/>
        </w:rPr>
        <w:t> </w:t>
      </w:r>
      <w:r>
        <w:rPr/>
        <w:t>用</w:t>
      </w:r>
      <w:r>
        <w:rPr>
          <w:spacing w:val="-78"/>
        </w:rPr>
        <w:t> </w:t>
      </w:r>
      <w:r>
        <w:rPr/>
        <w:t>人</w:t>
      </w:r>
      <w:r>
        <w:rPr>
          <w:spacing w:val="-78"/>
        </w:rPr>
        <w:t> </w:t>
      </w:r>
      <w:r>
        <w:rPr/>
        <w:t>民</w:t>
      </w:r>
      <w:r>
        <w:rPr>
          <w:spacing w:val="-78"/>
        </w:rPr>
        <w:t> </w:t>
      </w:r>
      <w:r>
        <w:rPr/>
        <w:t>币</w:t>
      </w:r>
      <w:r>
        <w:rPr>
          <w:spacing w:val="-73"/>
        </w:rPr>
        <w:t> </w:t>
      </w:r>
      <w:r>
        <w:rPr>
          <w:rFonts w:ascii="宋体" w:hAnsi="宋体" w:cs="宋体" w:eastAsia="宋体" w:hint="default"/>
        </w:rPr>
        <w:t>10,314,924.70</w:t>
      </w:r>
      <w:r>
        <w:rPr>
          <w:rFonts w:ascii="宋体" w:hAnsi="宋体" w:cs="宋体" w:eastAsia="宋体" w:hint="default"/>
          <w:spacing w:val="-77"/>
        </w:rPr>
        <w:t> </w:t>
      </w:r>
      <w:r>
        <w:rPr/>
        <w:t>元</w:t>
      </w:r>
      <w:r>
        <w:rPr>
          <w:spacing w:val="-79"/>
        </w:rPr>
        <w:t> </w:t>
      </w:r>
      <w:r>
        <w:rPr/>
        <w:t>，</w:t>
      </w:r>
      <w:r>
        <w:rPr>
          <w:spacing w:val="-78"/>
        </w:rPr>
        <w:t> </w:t>
      </w:r>
      <w:r>
        <w:rPr/>
        <w:t>募</w:t>
      </w:r>
      <w:r>
        <w:rPr>
          <w:spacing w:val="-78"/>
        </w:rPr>
        <w:t> </w:t>
      </w:r>
      <w:r>
        <w:rPr/>
        <w:t>集</w:t>
      </w:r>
      <w:r>
        <w:rPr>
          <w:spacing w:val="-78"/>
        </w:rPr>
        <w:t> </w:t>
      </w:r>
      <w:r>
        <w:rPr/>
        <w:t>资</w:t>
      </w:r>
      <w:r>
        <w:rPr>
          <w:spacing w:val="-78"/>
        </w:rPr>
        <w:t> </w:t>
      </w:r>
      <w:r>
        <w:rPr/>
        <w:t>金</w:t>
      </w:r>
      <w:r>
        <w:rPr>
          <w:spacing w:val="-78"/>
        </w:rPr>
        <w:t> </w:t>
      </w:r>
      <w:r>
        <w:rPr/>
        <w:t>净</w:t>
      </w:r>
      <w:r>
        <w:rPr>
          <w:spacing w:val="-78"/>
        </w:rPr>
        <w:t> </w:t>
      </w:r>
      <w:r>
        <w:rPr/>
        <w:t>额</w:t>
      </w:r>
      <w:r>
        <w:rPr>
          <w:spacing w:val="-78"/>
        </w:rPr>
        <w:t> </w:t>
      </w:r>
      <w:r>
        <w:rPr/>
        <w:t>为</w:t>
      </w:r>
      <w:r>
        <w:rPr>
          <w:spacing w:val="-78"/>
        </w:rPr>
        <w:t> </w:t>
      </w:r>
      <w:r>
        <w:rPr/>
        <w:t>人</w:t>
      </w:r>
      <w:r>
        <w:rPr>
          <w:spacing w:val="-78"/>
        </w:rPr>
        <w:t> </w:t>
      </w:r>
      <w:r>
        <w:rPr/>
        <w:t>民</w:t>
      </w:r>
      <w:r>
        <w:rPr>
          <w:spacing w:val="-77"/>
        </w:rPr>
        <w:t> </w:t>
      </w:r>
      <w:r>
        <w:rPr/>
        <w:t>币</w:t>
      </w:r>
    </w:p>
    <w:p>
      <w:pPr>
        <w:pStyle w:val="BodyText"/>
        <w:spacing w:line="273" w:lineRule="auto" w:before="37"/>
        <w:ind w:right="914"/>
        <w:jc w:val="left"/>
      </w:pPr>
      <w:r>
        <w:rPr>
          <w:rFonts w:ascii="宋体" w:hAnsi="宋体" w:cs="宋体" w:eastAsia="宋体" w:hint="default"/>
          <w:spacing w:val="-3"/>
        </w:rPr>
        <w:t>267,428,375.30</w:t>
      </w:r>
      <w:r>
        <w:rPr>
          <w:spacing w:val="-3"/>
        </w:rPr>
        <w:t>元。两项合计，计入股本人民币</w:t>
      </w:r>
      <w:r>
        <w:rPr>
          <w:rFonts w:ascii="宋体" w:hAnsi="宋体" w:cs="宋体" w:eastAsia="宋体" w:hint="default"/>
          <w:spacing w:val="-3"/>
        </w:rPr>
        <w:t>138,243,992.00</w:t>
      </w:r>
      <w:r>
        <w:rPr>
          <w:spacing w:val="-3"/>
        </w:rPr>
        <w:t>元，计入资本公积人民币</w:t>
      </w:r>
      <w:r>
        <w:rPr>
          <w:rFonts w:ascii="宋体" w:hAnsi="宋体" w:cs="宋体" w:eastAsia="宋体" w:hint="default"/>
          <w:spacing w:val="-3"/>
        </w:rPr>
        <w:t>897,948,083.30</w:t>
      </w:r>
      <w:r>
        <w:rPr>
          <w:rFonts w:ascii="宋体" w:hAnsi="宋体" w:cs="宋体" w:eastAsia="宋体" w:hint="default"/>
          <w:spacing w:val="-50"/>
        </w:rPr>
        <w:t> </w:t>
      </w:r>
      <w:r>
        <w:rPr>
          <w:rFonts w:ascii="宋体" w:hAnsi="宋体" w:cs="宋体" w:eastAsia="宋体" w:hint="default"/>
          <w:spacing w:val="-50"/>
        </w:rPr>
      </w:r>
      <w:r>
        <w:rPr/>
        <w:t>元。</w:t>
      </w:r>
    </w:p>
    <w:p>
      <w:pPr>
        <w:spacing w:line="240" w:lineRule="auto" w:before="8"/>
        <w:rPr>
          <w:rFonts w:ascii="宋体" w:hAnsi="宋体" w:cs="宋体" w:eastAsia="宋体" w:hint="default"/>
          <w:sz w:val="23"/>
          <w:szCs w:val="23"/>
        </w:rPr>
      </w:pPr>
    </w:p>
    <w:p>
      <w:pPr>
        <w:pStyle w:val="Heading4"/>
        <w:spacing w:line="240" w:lineRule="auto"/>
        <w:ind w:right="914"/>
        <w:jc w:val="left"/>
        <w:rPr>
          <w:b w:val="0"/>
          <w:bCs w:val="0"/>
        </w:rPr>
      </w:pPr>
      <w:bookmarkStart w:name="33、盈余公积" w:id="281"/>
      <w:bookmarkEnd w:id="281"/>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13,222,677.81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1,432,720.76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14,655,398.57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13,222,677.81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1,432,720.76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14,655,398.57</w:t>
            </w:r>
          </w:p>
        </w:tc>
      </w:tr>
    </w:tbl>
    <w:p>
      <w:pPr>
        <w:spacing w:line="240" w:lineRule="auto" w:before="3"/>
        <w:rPr>
          <w:rFonts w:ascii="宋体" w:hAnsi="宋体" w:cs="宋体" w:eastAsia="宋体" w:hint="default"/>
          <w:sz w:val="19"/>
          <w:szCs w:val="19"/>
        </w:rPr>
      </w:pPr>
    </w:p>
    <w:p>
      <w:pPr>
        <w:pStyle w:val="Heading4"/>
        <w:spacing w:line="240" w:lineRule="auto" w:before="35"/>
        <w:ind w:right="914"/>
        <w:jc w:val="left"/>
        <w:rPr>
          <w:b w:val="0"/>
          <w:bCs w:val="0"/>
        </w:rPr>
      </w:pPr>
      <w:bookmarkStart w:name="34、未分配利润" w:id="282"/>
      <w:bookmarkEnd w:id="282"/>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142,738,729.82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139,072,391.51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142,738,729.82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139,072,391.51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31,350,531.97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37,836,354.03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1,432,720.76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2,268,477.42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9,570,461.45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31,901,538.30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163,086,079.58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142,738,729.82</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914"/>
        <w:jc w:val="left"/>
        <w:rPr>
          <w:b w:val="0"/>
          <w:bCs w:val="0"/>
        </w:rPr>
      </w:pPr>
      <w:bookmarkStart w:name="35、营业收入和营业成本" w:id="283"/>
      <w:bookmarkEnd w:id="283"/>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678,587,081.60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537,731,338.35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629,416,067.07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490,579,914.53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23,336,032.99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19,007,444.99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31,185,694.01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27,926,367.56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701,923,114.59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556,738,783.34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660,601,761.08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518,506,282.09</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36、营业税金及附加" w:id="284"/>
      <w:bookmarkEnd w:id="284"/>
      <w:r>
        <w:rPr>
          <w:b w:val="0"/>
          <w:bCs w:val="0"/>
        </w:rPr>
      </w:r>
      <w:r>
        <w:rPr>
          <w:rFonts w:ascii="Times New Roman" w:hAnsi="Times New Roman" w:cs="Times New Roman" w:eastAsia="Times New Roman" w:hint="default"/>
        </w:rPr>
        <w:t>36</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1,109,166.07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74,120.93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1,175,552.80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1,516,003.89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598,048.97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753,497.61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403,209.30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502,155.06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75,427.45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93,376.31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59,142.35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48,781.11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3,420,546.94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2,987,934.91</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37、销售费用" w:id="285"/>
      <w:bookmarkEnd w:id="285"/>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9,527,677.40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8,122,649.21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2,097,977.21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2,039,959.80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823,160.06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876,772.28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4,585,291.97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5,054,907.62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758,014.03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550,931.91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6,856,171.50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7,207,349.58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1,102,875.35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350,163.69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25,751,167.52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24,202,734.09</w:t>
            </w:r>
          </w:p>
        </w:tc>
      </w:tr>
    </w:tbl>
    <w:p>
      <w:pPr>
        <w:spacing w:line="240" w:lineRule="auto" w:before="3"/>
        <w:rPr>
          <w:rFonts w:ascii="宋体" w:hAnsi="宋体" w:cs="宋体" w:eastAsia="宋体" w:hint="default"/>
          <w:sz w:val="19"/>
          <w:szCs w:val="19"/>
        </w:rPr>
      </w:pPr>
    </w:p>
    <w:p>
      <w:pPr>
        <w:pStyle w:val="Heading4"/>
        <w:spacing w:line="240" w:lineRule="auto" w:before="35"/>
        <w:ind w:right="914"/>
        <w:jc w:val="left"/>
        <w:rPr>
          <w:b w:val="0"/>
          <w:bCs w:val="0"/>
        </w:rPr>
      </w:pPr>
      <w:bookmarkStart w:name="38、管理费用" w:id="286"/>
      <w:bookmarkEnd w:id="286"/>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2,661,801.33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1,588,816.73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5,697,889.14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2,756,569.76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1,011,557.35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826,824.52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1,083,751.37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1,078,220.26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5,406,511.82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4,033,517.03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25,586,400.73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23,689,675.89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6,331,085.20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3,978,710.66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5,016,192.62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3,442,282.63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942,265.64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696,899.27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物料消耗及其他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2,144,624.51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4,091,236.43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65,733.23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993,331.30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933,249.87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57,025,411.01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47,181,736.28</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39、财务费用" w:id="287"/>
      <w:bookmarkEnd w:id="287"/>
      <w:r>
        <w:rPr>
          <w:b w:val="0"/>
          <w:bCs w:val="0"/>
        </w:rPr>
      </w:r>
      <w:r>
        <w:rPr>
          <w:rFonts w:ascii="Times New Roman" w:hAnsi="Times New Roman" w:cs="Times New Roman" w:eastAsia="Times New Roman" w:hint="default"/>
        </w:rPr>
        <w:t>39</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20,098,440.43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17,939,014.51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3,838,028.26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3,191,406.48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-521,583.14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2,667,259.68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196,594.93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625,582.75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15,935,423.96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18,040,450.46</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40、资产减值损失" w:id="288"/>
      <w:bookmarkEnd w:id="288"/>
      <w:r>
        <w:rPr>
          <w:b w:val="0"/>
          <w:bCs w:val="0"/>
        </w:rPr>
      </w:r>
      <w:r>
        <w:rPr>
          <w:rFonts w:ascii="Times New Roman" w:hAnsi="Times New Roman" w:cs="Times New Roman" w:eastAsia="Times New Roman" w:hint="default"/>
        </w:rPr>
        <w:t>40</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3,016,571.31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2,250,560.62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667,595.06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1,581,348.95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3,684,166.37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3,831,909.57</w:t>
            </w:r>
          </w:p>
        </w:tc>
      </w:tr>
    </w:tbl>
    <w:p>
      <w:pPr>
        <w:spacing w:line="240" w:lineRule="auto" w:before="3"/>
        <w:rPr>
          <w:rFonts w:ascii="宋体" w:hAnsi="宋体" w:cs="宋体" w:eastAsia="宋体" w:hint="default"/>
          <w:sz w:val="19"/>
          <w:szCs w:val="19"/>
        </w:rPr>
      </w:pPr>
    </w:p>
    <w:p>
      <w:pPr>
        <w:pStyle w:val="Heading4"/>
        <w:spacing w:line="240" w:lineRule="auto" w:before="35"/>
        <w:ind w:right="914"/>
        <w:jc w:val="left"/>
        <w:rPr>
          <w:b w:val="0"/>
          <w:bCs w:val="0"/>
        </w:rPr>
      </w:pPr>
      <w:bookmarkStart w:name="41、投资收益" w:id="289"/>
      <w:bookmarkEnd w:id="289"/>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177,937.18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127,053.44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127,053.44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177,937.18</w:t>
            </w:r>
          </w:p>
        </w:tc>
      </w:tr>
    </w:tbl>
    <w:p>
      <w:pPr>
        <w:spacing w:line="240" w:lineRule="auto" w:before="3"/>
        <w:rPr>
          <w:rFonts w:ascii="宋体" w:hAnsi="宋体" w:cs="宋体" w:eastAsia="宋体" w:hint="default"/>
          <w:sz w:val="19"/>
          <w:szCs w:val="19"/>
        </w:rPr>
      </w:pPr>
    </w:p>
    <w:p>
      <w:pPr>
        <w:pStyle w:val="Heading4"/>
        <w:spacing w:line="240" w:lineRule="auto" w:before="35"/>
        <w:ind w:right="914"/>
        <w:jc w:val="left"/>
        <w:rPr>
          <w:b w:val="0"/>
          <w:bCs w:val="0"/>
        </w:rPr>
      </w:pPr>
      <w:bookmarkStart w:name="42、营业外收入" w:id="290"/>
      <w:bookmarkEnd w:id="290"/>
      <w:r>
        <w:rPr>
          <w:b w:val="0"/>
          <w:bCs w:val="0"/>
        </w:rPr>
      </w:r>
      <w:r>
        <w:rPr>
          <w:rFonts w:ascii="Times New Roman" w:hAnsi="Times New Roman" w:cs="Times New Roman" w:eastAsia="Times New Roman" w:hint="default"/>
        </w:rPr>
        <w:t>42</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44,334.81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93,121.90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44,334.81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44,334.81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93,121.90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44,334.81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9,349,936.97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8,566,846.00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9,349,936.97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308,178.24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35,287.50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308,178.24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9,702,450.02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8,695,255.40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9,702,450.02</w:t>
            </w:r>
          </w:p>
        </w:tc>
      </w:tr>
    </w:tbl>
    <w:p>
      <w:pPr>
        <w:spacing w:line="240" w:lineRule="auto" w:before="6"/>
        <w:rPr>
          <w:rFonts w:ascii="宋体" w:hAnsi="宋体" w:cs="宋体" w:eastAsia="宋体" w:hint="default"/>
          <w:sz w:val="27"/>
          <w:szCs w:val="27"/>
        </w:rPr>
      </w:pPr>
    </w:p>
    <w:p>
      <w:pPr>
        <w:spacing w:before="44"/>
        <w:ind w:left="154" w:right="914"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2"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3"/>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"8515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工程</w:t>
            </w:r>
            <w:r>
              <w:rPr>
                <w:rFonts w:ascii="Times New Roman" w:hAnsi="Times New Roman" w:cs="Times New Roman" w:eastAsia="Times New Roman" w:hint="default"/>
                <w:sz w:val="18"/>
                <w:szCs w:val="18"/>
              </w:rPr>
              <w:t>"</w:t>
            </w:r>
            <w:r>
              <w:rPr>
                <w:rFonts w:ascii="宋体" w:hAnsi="宋体" w:cs="宋体" w:eastAsia="宋体" w:hint="default"/>
                <w:sz w:val="18"/>
                <w:szCs w:val="18"/>
              </w:rPr>
              <w:t>企业技术改造项 目补助资金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416,000.00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烟台市牟平区财政局太阳能 光电建筑应用示范补助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1,787,499.97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专利发展基金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烟台市牟平区科技局优势企 业培育资金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烟台市牟平区财政局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年度市级循环经济及节能专 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53,850.00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烟台市牟平区财政局中小企 业国际市场开拓资金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牟平区科技局技术创新项目 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70,870.00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34,300.00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中小企业扶持奖励资金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烟台市牟平区财政局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涉企相关扶持奖励资金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994,000.00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大学生实习财政局补贴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105,600.00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山东知识产权局优势企业培 育资金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山东省财政厅优势企业培育</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山东省财政厅专利补贴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100,780.00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山东省知识产权保护局专利 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北京市怀柔区桥梓镇政府北 京企业发展财政奖励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127,756.00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烟台市牟平区财政局中小企 业国际市场开拓资金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烟台市牟平区财政局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年文化产业发展专项资金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烟台市牟平区财政局省级服 </w:t>
            </w:r>
            <w:r>
              <w:rPr>
                <w:rFonts w:ascii="宋体" w:hAnsi="宋体" w:cs="宋体" w:eastAsia="宋体" w:hint="default"/>
                <w:spacing w:val="-6"/>
                <w:sz w:val="18"/>
                <w:szCs w:val="18"/>
              </w:rPr>
              <w:t>务业发展资金（外经贸发展）</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14"/>
              <w:jc w:val="both"/>
              <w:rPr>
                <w:rFonts w:ascii="宋体" w:hAnsi="宋体" w:cs="宋体" w:eastAsia="宋体" w:hint="default"/>
                <w:sz w:val="18"/>
                <w:szCs w:val="18"/>
              </w:rPr>
            </w:pPr>
            <w:r>
              <w:rPr>
                <w:rFonts w:ascii="宋体" w:hAnsi="宋体" w:cs="宋体" w:eastAsia="宋体" w:hint="default"/>
                <w:sz w:val="18"/>
                <w:szCs w:val="18"/>
              </w:rPr>
              <w:t>国家工商行政管理总局商标 局引进国际知名品牌奖励资 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浦江县经济和信息化局纳税 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中小企业国际市场开拓资金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国家补贴哈展会展位费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浦江县就业补贴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四川省知识产权局专利资助 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蒲江县人民政府办公室专利 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成都市科学技术局专利补贴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北京怀柔区财政局残联岗补 及超比例奖金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泸州市财政局鼓励企业发展 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泸州市财政局拨发的四川中 小企业技术改造扶持资金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泸州市江阳区财政局拨发的 培训补贴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182,700.00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山东省知识产权局省专利一 等奖奖励资金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中共烟台市牟平区委办公室</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487,790.00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67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10"/>
              <w:ind w:left="103" w:right="204"/>
              <w:jc w:val="left"/>
              <w:rPr>
                <w:rFonts w:ascii="宋体" w:hAnsi="宋体" w:cs="宋体" w:eastAsia="宋体" w:hint="default"/>
                <w:sz w:val="18"/>
                <w:szCs w:val="18"/>
              </w:rPr>
            </w:pPr>
            <w:r>
              <w:rPr>
                <w:rFonts w:ascii="宋体" w:hAnsi="宋体" w:cs="宋体" w:eastAsia="宋体" w:hint="default"/>
                <w:sz w:val="18"/>
                <w:szCs w:val="18"/>
              </w:rPr>
              <w:t>兑现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年度涉企优惠政 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14"/>
              <w:jc w:val="both"/>
              <w:rPr>
                <w:rFonts w:ascii="宋体" w:hAnsi="宋体" w:cs="宋体" w:eastAsia="宋体" w:hint="default"/>
                <w:sz w:val="18"/>
                <w:szCs w:val="18"/>
              </w:rPr>
            </w:pPr>
            <w:r>
              <w:rPr>
                <w:rFonts w:ascii="宋体" w:hAnsi="宋体" w:cs="宋体" w:eastAsia="宋体" w:hint="default"/>
                <w:sz w:val="18"/>
                <w:szCs w:val="18"/>
              </w:rPr>
              <w:t>烟台市牟平区财政局山东省 名牌产品和著名商标奖励资 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14"/>
              <w:jc w:val="both"/>
              <w:rPr>
                <w:rFonts w:ascii="宋体" w:hAnsi="宋体" w:cs="宋体" w:eastAsia="宋体" w:hint="default"/>
                <w:sz w:val="18"/>
                <w:szCs w:val="18"/>
              </w:rPr>
            </w:pPr>
            <w:r>
              <w:rPr>
                <w:rFonts w:ascii="宋体" w:hAnsi="宋体" w:cs="宋体" w:eastAsia="宋体" w:hint="default"/>
                <w:sz w:val="18"/>
                <w:szCs w:val="18"/>
              </w:rPr>
              <w:t>烟台市牟平区财政局、牟平 区环境保护局环保治理专项 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烟台市牟平区科学技术局烟 台市科技进步三等奖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烟台市牟平区财政局政策扶 持资金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619,800.00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烟台市牟平区财政局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年度外经贸发展政策资金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浦江县经济和信息化局纳税 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71,200.00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北京市社会保险事业管理中 心社保补贴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1,469.00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新疆建设兵团农四师劳动就 业服务中心社保补助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92,440.00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新疆建设兵团农四师中小企 业资金开拓资金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35,900.00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亳州市市级战略性新兴产业 和服务业发展专项资金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2,130,388.00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重庆市江北区财政局科委科 技项目专利补助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重庆市知识产权局专利资助 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2,820.00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重庆市江北大石坝街道办事 处产业扶持资金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9,349,936.97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8,566,846.00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14"/>
        <w:jc w:val="left"/>
        <w:rPr>
          <w:b w:val="0"/>
          <w:bCs w:val="0"/>
        </w:rPr>
      </w:pPr>
      <w:bookmarkStart w:name="43、营业外支出" w:id="291"/>
      <w:bookmarkEnd w:id="291"/>
      <w:r>
        <w:rPr>
          <w:b w:val="0"/>
          <w:bCs w:val="0"/>
        </w:rPr>
      </w:r>
      <w:r>
        <w:rPr>
          <w:rFonts w:ascii="Times New Roman" w:hAnsi="Times New Roman" w:cs="Times New Roman" w:eastAsia="Times New Roman" w:hint="default"/>
        </w:rPr>
        <w:t>43</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557,035.72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2,067,031.71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557,035.72</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557,035.72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2,067,031.71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557,035.72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工伤就业补助金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589,634.00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208,201.73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589,634.00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482,620.90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112,562.94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482,620.90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1,683,290.62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2,638,396.38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1,683,290.62</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44、所得税费用" w:id="292"/>
      <w:bookmarkEnd w:id="292"/>
      <w:r>
        <w:rPr>
          <w:b w:val="0"/>
          <w:bCs w:val="0"/>
        </w:rPr>
      </w:r>
      <w:r>
        <w:rPr>
          <w:rFonts w:ascii="Times New Roman" w:hAnsi="Times New Roman" w:cs="Times New Roman" w:eastAsia="Times New Roman" w:hint="default"/>
        </w:rPr>
        <w:t>44</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所得税费用表" w:id="293"/>
      <w:bookmarkEnd w:id="29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15,582,804.70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11,714,444.31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-3,151,111.31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128,279.53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12,431,693.39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11,842,723.84</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会计利润与所得税费用调整过程" w:id="294"/>
      <w:bookmarkEnd w:id="29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47,513,828.29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7,127,074.24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1,780,448.16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-82,212.28</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2,637,725.38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968,657.89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12,431,693.39</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45、现金流量表项目" w:id="295"/>
      <w:bookmarkEnd w:id="295"/>
      <w:r>
        <w:rPr>
          <w:b w:val="0"/>
          <w:bCs w:val="0"/>
        </w:rPr>
      </w:r>
      <w:r>
        <w:rPr>
          <w:rFonts w:ascii="Times New Roman" w:hAnsi="Times New Roman" w:cs="Times New Roman" w:eastAsia="Times New Roman" w:hint="default"/>
        </w:rPr>
        <w:t>45</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收到的其他与经营活动有关的现金" w:id="296"/>
      <w:bookmarkEnd w:id="29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7,562,437.00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8,566,846.00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3,838,028.26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3,218,528.28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16,029,810.06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80,000.82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27,430,275.32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11,865,375.10</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支付的其他与经营活动有关的现金" w:id="297"/>
      <w:bookmarkEnd w:id="29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管理费用中的现金支出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19,749,653.02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15,020,862.66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销售费用中的现金支出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20,598,206.27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20,330,641.10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1,824,626.68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5,215,939.63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42,172,485.97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40,567,443.39</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3）收到的其他与投资活动有关的现金" w:id="298"/>
      <w:bookmarkEnd w:id="29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17,330,000.00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14,120,000.00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17,330,000.00</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4）支付的其他与投资活动有关的现金" w:id="299"/>
      <w:bookmarkEnd w:id="29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10,904,034.31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10,904,034.31</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46、现金流量表补充资料" w:id="300"/>
      <w:bookmarkEnd w:id="300"/>
      <w:r>
        <w:rPr>
          <w:b w:val="0"/>
          <w:bCs w:val="0"/>
        </w:rPr>
      </w:r>
      <w:r>
        <w:rPr>
          <w:rFonts w:ascii="Times New Roman" w:hAnsi="Times New Roman" w:cs="Times New Roman" w:eastAsia="Times New Roman" w:hint="default"/>
        </w:rPr>
        <w:t>46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现金流量表补充资料" w:id="301"/>
      <w:bookmarkEnd w:id="30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35,082,134.90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40,242,786.04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3,684,166.37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3,831,909.57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61,339,514.44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41,782,414.85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727,603.49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701,591.27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79,505.31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199,252.75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512,700.91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1,993,645.24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固定资产报废损失（收益以“－”号填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354,749.29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19,576,857.29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20,606,274.19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-127,053.44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-177,937.18</w:t>
            </w:r>
            <w:r>
              <w:rPr>
                <w:rFonts w:ascii="Times New Roman"/>
                <w:sz w:val="18"/>
              </w:rPr>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-3,151,111.31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128,279.53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-2,955,070.35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-22,974,421.93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878,713.65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-23,453,102.09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-17,656,049.37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24,430,669.92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97,991,911.89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87,666,111.45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145,865,705.05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170,773,624.74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170,773,624.74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313,221,508.67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-24,907,919.69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-142,447,883.93</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现金和现金等价物的构成" w:id="302"/>
      <w:bookmarkEnd w:id="302"/>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145,865,705.05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170,773,624.74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657,392.15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610,549.73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145,208,312.90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170,163,075.01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145,865,705.05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170,773,624.74</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47、所有权或使用权受到限制的资产" w:id="303"/>
      <w:bookmarkEnd w:id="303"/>
      <w:r>
        <w:rPr>
          <w:b w:val="0"/>
          <w:bCs w:val="0"/>
        </w:rPr>
      </w:r>
      <w:r>
        <w:rPr>
          <w:rFonts w:ascii="Times New Roman" w:hAnsi="Times New Roman" w:cs="Times New Roman" w:eastAsia="Times New Roman" w:hint="default"/>
        </w:rPr>
        <w:t>47</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09" w:right="0"/>
              <w:jc w:val="left"/>
              <w:rPr>
                <w:rFonts w:ascii="Times New Roman" w:hAnsi="Times New Roman" w:cs="Times New Roman" w:eastAsia="Times New Roman" w:hint="default"/>
                <w:sz w:val="18"/>
                <w:szCs w:val="18"/>
              </w:rPr>
            </w:pPr>
            <w:r>
              <w:rPr>
                <w:rFonts w:ascii="Times New Roman"/>
                <w:sz w:val="18"/>
              </w:rPr>
              <w:t>38,000,000.00</w:t>
            </w:r>
          </w:p>
        </w:tc>
        <w:tc>
          <w:tcPr>
            <w:tcW w:w="31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票据保证金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53,130,000.00</w:t>
            </w:r>
          </w:p>
        </w:tc>
        <w:tc>
          <w:tcPr>
            <w:tcW w:w="31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34,542,030.00</w:t>
            </w:r>
          </w:p>
        </w:tc>
        <w:tc>
          <w:tcPr>
            <w:tcW w:w="31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20,475,973.18</w:t>
            </w:r>
          </w:p>
        </w:tc>
        <w:tc>
          <w:tcPr>
            <w:tcW w:w="31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146,148,003.18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48、外币货币性项目" w:id="304"/>
      <w:bookmarkEnd w:id="304"/>
      <w:r>
        <w:rPr>
          <w:b w:val="0"/>
          <w:bCs w:val="0"/>
        </w:rPr>
      </w:r>
      <w:r>
        <w:rPr>
          <w:rFonts w:ascii="Times New Roman" w:hAnsi="Times New Roman" w:cs="Times New Roman" w:eastAsia="Times New Roman" w:hint="default"/>
        </w:rPr>
        <w:t>48</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外币货币性项目" w:id="305"/>
      <w:bookmarkEnd w:id="30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0"/>
        <w:gridCol w:w="2390"/>
      </w:tblGrid>
      <w:tr>
        <w:trPr>
          <w:trHeight w:val="397"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7"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8,926.62</w:t>
            </w: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54,621.99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8,090.00</w:t>
            </w: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7.4556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60,315.80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46.55</w:t>
            </w: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36.72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11,826,680.03</w:t>
            </w: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72,367,455.10</w:t>
            </w:r>
          </w:p>
        </w:tc>
      </w:tr>
    </w:tbl>
    <w:p>
      <w:pPr>
        <w:spacing w:line="240" w:lineRule="auto" w:before="2"/>
        <w:rPr>
          <w:rFonts w:ascii="宋体" w:hAnsi="宋体" w:cs="宋体" w:eastAsia="宋体" w:hint="default"/>
          <w:sz w:val="19"/>
          <w:szCs w:val="19"/>
        </w:rPr>
      </w:pPr>
    </w:p>
    <w:p>
      <w:pPr>
        <w:pStyle w:val="Heading4"/>
        <w:spacing w:line="259" w:lineRule="auto" w:before="35"/>
        <w:ind w:right="914"/>
        <w:jc w:val="left"/>
        <w:rPr>
          <w:b w:val="0"/>
          <w:bCs w:val="0"/>
        </w:rPr>
      </w:pPr>
      <w:bookmarkStart w:name="（2）境外经营实体说明，包括对于重要的境外经营实体，应披露其境外主要经营地、记账" w:id="306"/>
      <w:bookmarkEnd w:id="30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914"/>
        <w:jc w:val="left"/>
        <w:rPr>
          <w:b w:val="0"/>
          <w:bCs w:val="0"/>
        </w:rPr>
      </w:pPr>
      <w:bookmarkStart w:name="八、合并范围的变更" w:id="307"/>
      <w:bookmarkEnd w:id="307"/>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非同一控制下企业合并" w:id="308"/>
      <w:bookmarkEnd w:id="308"/>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本期发生的非同一控制下企业合并" w:id="309"/>
      <w:bookmarkEnd w:id="30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33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6"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买方的收 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买方的净 利润</w:t>
            </w:r>
          </w:p>
        </w:tc>
      </w:tr>
      <w:tr>
        <w:trPr>
          <w:trHeight w:val="103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103" w:right="228"/>
              <w:jc w:val="both"/>
              <w:rPr>
                <w:rFonts w:ascii="宋体" w:hAnsi="宋体" w:cs="宋体" w:eastAsia="宋体" w:hint="default"/>
                <w:sz w:val="18"/>
                <w:szCs w:val="18"/>
              </w:rPr>
            </w:pPr>
            <w:r>
              <w:rPr>
                <w:rFonts w:ascii="宋体" w:hAnsi="宋体" w:cs="宋体" w:eastAsia="宋体" w:hint="default"/>
                <w:sz w:val="18"/>
                <w:szCs w:val="18"/>
              </w:rPr>
              <w:t>重庆华宇 园林有限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998,600,00</w:t>
            </w:r>
          </w:p>
          <w:p>
            <w:pPr>
              <w:pStyle w:val="TableParagraph"/>
              <w:spacing w:line="240" w:lineRule="auto" w:before="106"/>
              <w:ind w:left="635" w:right="0"/>
              <w:jc w:val="left"/>
              <w:rPr>
                <w:rFonts w:ascii="Times New Roman" w:hAnsi="Times New Roman" w:cs="Times New Roman" w:eastAsia="Times New Roman" w:hint="default"/>
                <w:sz w:val="18"/>
                <w:szCs w:val="18"/>
              </w:rPr>
            </w:pPr>
            <w:r>
              <w:rPr>
                <w:rFonts w:ascii="Times New Roman"/>
                <w:sz w:val="18"/>
              </w:rPr>
              <w:t>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03"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03" w:right="0"/>
              <w:jc w:val="left"/>
              <w:rPr>
                <w:rFonts w:ascii="宋体" w:hAnsi="宋体" w:cs="宋体" w:eastAsia="宋体" w:hint="default"/>
                <w:sz w:val="18"/>
                <w:szCs w:val="18"/>
              </w:rPr>
            </w:pPr>
            <w:r>
              <w:rPr>
                <w:rFonts w:ascii="宋体" w:hAnsi="宋体" w:cs="宋体" w:eastAsia="宋体" w:hint="default"/>
                <w:sz w:val="18"/>
                <w:szCs w:val="18"/>
              </w:rPr>
              <w:t>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51,418,239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.54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12,902,076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914"/>
        <w:jc w:val="left"/>
        <w:rPr>
          <w:b w:val="0"/>
          <w:bCs w:val="0"/>
        </w:rPr>
      </w:pPr>
      <w:bookmarkStart w:name="（2）合并成本及商誉" w:id="310"/>
      <w:bookmarkEnd w:id="31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line="1590" w:lineRule="exact"/>
        <w:ind w:left="154" w:right="0" w:firstLine="0"/>
        <w:rPr>
          <w:rFonts w:ascii="宋体" w:hAnsi="宋体" w:cs="宋体" w:eastAsia="宋体" w:hint="default"/>
          <w:sz w:val="20"/>
          <w:szCs w:val="20"/>
        </w:rPr>
      </w:pPr>
      <w:r>
        <w:rPr>
          <w:rFonts w:ascii="宋体" w:hAnsi="宋体" w:cs="宋体" w:eastAsia="宋体" w:hint="default"/>
          <w:position w:val="-31"/>
          <w:sz w:val="20"/>
          <w:szCs w:val="20"/>
        </w:rPr>
        <w:drawing>
          <wp:inline distT="0" distB="0" distL="0" distR="0">
            <wp:extent cx="5810250" cy="1009650"/>
            <wp:effectExtent l="0" t="0" r="0" b="0"/>
            <wp:docPr id="29" name="image17.png" descr=""/>
            <wp:cNvGraphicFramePr>
              <a:graphicFrameLocks noChangeAspect="1"/>
            </wp:cNvGraphicFramePr>
            <a:graphic>
              <a:graphicData uri="http://schemas.openxmlformats.org/drawingml/2006/picture">
                <pic:pic>
                  <pic:nvPicPr>
                    <pic:cNvPr id="30" name="image17.png"/>
                    <pic:cNvPicPr/>
                  </pic:nvPicPr>
                  <pic:blipFill>
                    <a:blip r:embed="rId30" cstate="print"/>
                    <a:stretch>
                      <a:fillRect/>
                    </a:stretch>
                  </pic:blipFill>
                  <pic:spPr>
                    <a:xfrm>
                      <a:off x="0" y="0"/>
                      <a:ext cx="5810250" cy="1009650"/>
                    </a:xfrm>
                    <a:prstGeom prst="rect">
                      <a:avLst/>
                    </a:prstGeom>
                  </pic:spPr>
                </pic:pic>
              </a:graphicData>
            </a:graphic>
          </wp:inline>
        </w:drawing>
      </w:r>
      <w:r>
        <w:rPr>
          <w:rFonts w:ascii="宋体" w:hAnsi="宋体" w:cs="宋体" w:eastAsia="宋体" w:hint="default"/>
          <w:position w:val="-31"/>
          <w:sz w:val="20"/>
          <w:szCs w:val="20"/>
        </w:rPr>
      </w:r>
    </w:p>
    <w:p>
      <w:pPr>
        <w:spacing w:line="240" w:lineRule="auto" w:before="13"/>
        <w:rPr>
          <w:rFonts w:ascii="宋体" w:hAnsi="宋体" w:cs="宋体" w:eastAsia="宋体" w:hint="default"/>
          <w:b/>
          <w:bCs/>
          <w:sz w:val="28"/>
          <w:szCs w:val="28"/>
        </w:rPr>
      </w:pPr>
    </w:p>
    <w:p>
      <w:pPr>
        <w:pStyle w:val="Heading2"/>
        <w:spacing w:line="240" w:lineRule="auto" w:before="26"/>
        <w:ind w:left="153" w:right="914"/>
        <w:jc w:val="left"/>
        <w:rPr>
          <w:b w:val="0"/>
          <w:bCs w:val="0"/>
        </w:rPr>
      </w:pPr>
      <w:bookmarkStart w:name="九、在其他主体中的权益" w:id="311"/>
      <w:bookmarkEnd w:id="311"/>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在子公司中的权益" w:id="312"/>
      <w:bookmarkEnd w:id="31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企业集团的构成" w:id="313"/>
      <w:bookmarkEnd w:id="31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成都海川制盖 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蒲江县工业集 中发展区</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蒲江县工业集 中发展区</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烟台和俊制盖 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2"/>
              <w:ind w:left="101" w:right="173"/>
              <w:jc w:val="both"/>
              <w:rPr>
                <w:rFonts w:ascii="宋体" w:hAnsi="宋体" w:cs="宋体" w:eastAsia="宋体" w:hint="default"/>
                <w:sz w:val="18"/>
                <w:szCs w:val="18"/>
              </w:rPr>
            </w:pPr>
            <w:r>
              <w:rPr>
                <w:rFonts w:ascii="宋体" w:hAnsi="宋体" w:cs="宋体" w:eastAsia="宋体" w:hint="default"/>
                <w:sz w:val="18"/>
                <w:szCs w:val="18"/>
              </w:rPr>
              <w:t>烟台市牟平区 姜格庄镇邹格 庄村</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2"/>
              <w:ind w:left="103" w:right="172"/>
              <w:jc w:val="both"/>
              <w:rPr>
                <w:rFonts w:ascii="宋体" w:hAnsi="宋体" w:cs="宋体" w:eastAsia="宋体" w:hint="default"/>
                <w:sz w:val="18"/>
                <w:szCs w:val="18"/>
              </w:rPr>
            </w:pPr>
            <w:r>
              <w:rPr>
                <w:rFonts w:ascii="宋体" w:hAnsi="宋体" w:cs="宋体" w:eastAsia="宋体" w:hint="default"/>
                <w:sz w:val="18"/>
                <w:szCs w:val="18"/>
              </w:rPr>
              <w:t>烟台市牟平区 姜格庄镇邹格 庄村</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北京鹏和祥包 装制品有限公 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1" w:right="173"/>
              <w:jc w:val="both"/>
              <w:rPr>
                <w:rFonts w:ascii="宋体" w:hAnsi="宋体" w:cs="宋体" w:eastAsia="宋体" w:hint="default"/>
                <w:sz w:val="18"/>
                <w:szCs w:val="18"/>
              </w:rPr>
            </w:pPr>
            <w:r>
              <w:rPr>
                <w:rFonts w:ascii="宋体" w:hAnsi="宋体" w:cs="宋体" w:eastAsia="宋体" w:hint="default"/>
                <w:sz w:val="18"/>
                <w:szCs w:val="18"/>
              </w:rPr>
              <w:t>北京市怀柔区 桥梓镇金宇瑞 科技产业基地 西侧</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72"/>
              <w:jc w:val="both"/>
              <w:rPr>
                <w:rFonts w:ascii="宋体" w:hAnsi="宋体" w:cs="宋体" w:eastAsia="宋体" w:hint="default"/>
                <w:sz w:val="18"/>
                <w:szCs w:val="18"/>
              </w:rPr>
            </w:pPr>
            <w:r>
              <w:rPr>
                <w:rFonts w:ascii="宋体" w:hAnsi="宋体" w:cs="宋体" w:eastAsia="宋体" w:hint="default"/>
                <w:sz w:val="18"/>
                <w:szCs w:val="18"/>
              </w:rPr>
              <w:t>北京市怀柔区 桥梓镇金宇瑞 科技产业基地 西侧</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大冶市劲鹏制 盖有限公司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大冶市罗桥办 十里铺村</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大冶市罗桥办 十里铺村</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同一控制企业 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03" w:right="177"/>
              <w:jc w:val="left"/>
              <w:rPr>
                <w:rFonts w:ascii="宋体" w:hAnsi="宋体" w:cs="宋体" w:eastAsia="宋体" w:hint="default"/>
                <w:sz w:val="18"/>
                <w:szCs w:val="18"/>
              </w:rPr>
            </w:pPr>
            <w:r>
              <w:rPr>
                <w:rFonts w:ascii="宋体" w:hAnsi="宋体" w:cs="宋体" w:eastAsia="宋体" w:hint="default"/>
                <w:sz w:val="18"/>
                <w:szCs w:val="18"/>
              </w:rPr>
              <w:t>新疆军鹏制盖 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1" w:right="173"/>
              <w:jc w:val="both"/>
              <w:rPr>
                <w:rFonts w:ascii="宋体" w:hAnsi="宋体" w:cs="宋体" w:eastAsia="宋体" w:hint="default"/>
                <w:sz w:val="18"/>
                <w:szCs w:val="18"/>
              </w:rPr>
            </w:pPr>
            <w:r>
              <w:rPr>
                <w:rFonts w:ascii="宋体" w:hAnsi="宋体" w:cs="宋体" w:eastAsia="宋体" w:hint="default"/>
                <w:sz w:val="18"/>
                <w:szCs w:val="18"/>
              </w:rPr>
              <w:t>新疆维吾尔自 治区伊犁哈萨 克自治州新源 县肖尔布拉克</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72"/>
              <w:jc w:val="both"/>
              <w:rPr>
                <w:rFonts w:ascii="宋体" w:hAnsi="宋体" w:cs="宋体" w:eastAsia="宋体" w:hint="default"/>
                <w:sz w:val="18"/>
                <w:szCs w:val="18"/>
              </w:rPr>
            </w:pPr>
            <w:r>
              <w:rPr>
                <w:rFonts w:ascii="宋体" w:hAnsi="宋体" w:cs="宋体" w:eastAsia="宋体" w:hint="default"/>
                <w:sz w:val="18"/>
                <w:szCs w:val="18"/>
              </w:rPr>
              <w:t>新疆维吾尔自 治区伊犁哈萨 克自治州新源 县肖尔布拉克</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亳州丽鹏制盖 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亳州市古井镇</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亳州市古井镇</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四川泸州丽鹏 制盖有限公司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2"/>
              <w:ind w:left="101" w:right="118"/>
              <w:jc w:val="both"/>
              <w:rPr>
                <w:rFonts w:ascii="宋体" w:hAnsi="宋体" w:cs="宋体" w:eastAsia="宋体" w:hint="default"/>
                <w:sz w:val="18"/>
                <w:szCs w:val="18"/>
              </w:rPr>
            </w:pPr>
            <w:r>
              <w:rPr>
                <w:rFonts w:ascii="宋体" w:hAnsi="宋体" w:cs="宋体" w:eastAsia="宋体" w:hint="default"/>
                <w:sz w:val="18"/>
                <w:szCs w:val="18"/>
              </w:rPr>
              <w:t>泸州市江阳区 黄舣镇泸州酒 业集中发展区 聚源大道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F006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2"/>
              <w:ind w:left="103" w:right="117"/>
              <w:jc w:val="both"/>
              <w:rPr>
                <w:rFonts w:ascii="宋体" w:hAnsi="宋体" w:cs="宋体" w:eastAsia="宋体" w:hint="default"/>
                <w:sz w:val="18"/>
                <w:szCs w:val="18"/>
              </w:rPr>
            </w:pPr>
            <w:r>
              <w:rPr>
                <w:rFonts w:ascii="宋体" w:hAnsi="宋体" w:cs="宋体" w:eastAsia="宋体" w:hint="default"/>
                <w:sz w:val="18"/>
                <w:szCs w:val="18"/>
              </w:rPr>
              <w:t>泸州市江阳区 黄舣镇泸州酒 业集中发展区 聚源大道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F006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烟台丽鹏包装 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芝罘区环海路</w:t>
            </w:r>
          </w:p>
          <w:p>
            <w:pPr>
              <w:pStyle w:val="TableParagraph"/>
              <w:spacing w:line="240" w:lineRule="auto" w:before="7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芝罘区环海路</w:t>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03" w:right="177"/>
              <w:jc w:val="left"/>
              <w:rPr>
                <w:rFonts w:ascii="宋体" w:hAnsi="宋体" w:cs="宋体" w:eastAsia="宋体" w:hint="default"/>
                <w:sz w:val="18"/>
                <w:szCs w:val="18"/>
              </w:rPr>
            </w:pPr>
            <w:r>
              <w:rPr>
                <w:rFonts w:ascii="宋体" w:hAnsi="宋体" w:cs="宋体" w:eastAsia="宋体" w:hint="default"/>
                <w:sz w:val="18"/>
                <w:szCs w:val="18"/>
              </w:rPr>
              <w:t>山东丽鹏国际 贸易有限公司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烟台市牟平区 姜格庄街道办 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烟台市牟平区 姜格庄街道办 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重庆华宇园林 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1" w:right="173"/>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重庆市江北区 渝北四村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w:t>
            </w:r>
          </w:p>
          <w:p>
            <w:pPr>
              <w:pStyle w:val="TableParagraph"/>
              <w:spacing w:line="240" w:lineRule="auto"/>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72"/>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重庆市江北区 渝北四村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1"/>
              <w:jc w:val="left"/>
              <w:rPr>
                <w:rFonts w:ascii="宋体" w:hAnsi="宋体" w:cs="宋体" w:eastAsia="宋体" w:hint="default"/>
                <w:sz w:val="18"/>
                <w:szCs w:val="18"/>
              </w:rPr>
            </w:pPr>
            <w:r>
              <w:rPr>
                <w:rFonts w:ascii="宋体" w:hAnsi="宋体" w:cs="宋体" w:eastAsia="宋体" w:hint="default"/>
                <w:spacing w:val="-3"/>
                <w:sz w:val="18"/>
                <w:szCs w:val="18"/>
              </w:rPr>
              <w:t>园林设、施工、</w:t>
            </w:r>
            <w:r>
              <w:rPr>
                <w:rFonts w:ascii="宋体" w:hAnsi="宋体" w:cs="宋体" w:eastAsia="宋体" w:hint="default"/>
                <w:sz w:val="18"/>
                <w:szCs w:val="18"/>
              </w:rPr>
              <w:t> 苗木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76"/>
              <w:jc w:val="both"/>
              <w:rPr>
                <w:rFonts w:ascii="宋体" w:hAnsi="宋体" w:cs="宋体" w:eastAsia="宋体" w:hint="default"/>
                <w:sz w:val="18"/>
                <w:szCs w:val="18"/>
              </w:rPr>
            </w:pPr>
            <w:r>
              <w:rPr>
                <w:rFonts w:ascii="宋体" w:hAnsi="宋体" w:cs="宋体" w:eastAsia="宋体" w:hint="default"/>
                <w:sz w:val="18"/>
                <w:szCs w:val="18"/>
              </w:rPr>
              <w:t>湘乡渝华生态 农业发展有限 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湖南省湘乡市 月山镇胜利村 太平岭</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南省湘乡市月 山镇胜利村太 平岭</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苗木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为重庆华宇的 全资子公司</w:t>
            </w:r>
          </w:p>
        </w:tc>
      </w:tr>
    </w:tbl>
    <w:p>
      <w:pPr>
        <w:spacing w:line="240" w:lineRule="auto" w:before="2"/>
        <w:rPr>
          <w:rFonts w:ascii="宋体" w:hAnsi="宋体" w:cs="宋体" w:eastAsia="宋体" w:hint="default"/>
          <w:b/>
          <w:bCs/>
          <w:sz w:val="19"/>
          <w:szCs w:val="19"/>
        </w:rPr>
      </w:pPr>
    </w:p>
    <w:p>
      <w:pPr>
        <w:pStyle w:val="Heading4"/>
        <w:spacing w:line="240" w:lineRule="auto" w:before="35"/>
        <w:ind w:right="914"/>
        <w:jc w:val="left"/>
        <w:rPr>
          <w:b w:val="0"/>
          <w:bCs w:val="0"/>
        </w:rPr>
      </w:pPr>
      <w:bookmarkStart w:name="（2）重要的非全资子公司" w:id="314"/>
      <w:bookmarkEnd w:id="31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681" w:right="140"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01" w:right="141"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烟台和俊制盖有限公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1,691,255.46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2,137,660.45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7,242,577.44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北京鹏和祥包装制品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444,373.98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2,033,248.17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新疆军鹏制盖有限公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1,407,439.61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8,306,635.44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四川泸州丽鹏制盖有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188,533.88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9,478,403.19</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3）重要非全资子公司的主要财务信息" w:id="315"/>
      <w:bookmarkEnd w:id="31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3" w:right="18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烟台 和俊 制盖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37,907</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,200.1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37,907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,200.1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5,895,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886.01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5,895,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886.01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38,356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,490.5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9,091,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712.74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47,448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,203.2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17,543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,281.1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17,543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,281.1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71"/>
              <w:ind w:left="103" w:right="261"/>
              <w:jc w:val="left"/>
              <w:rPr>
                <w:rFonts w:ascii="宋体" w:hAnsi="宋体" w:cs="宋体" w:eastAsia="宋体" w:hint="default"/>
                <w:sz w:val="18"/>
                <w:szCs w:val="18"/>
              </w:rPr>
            </w:pPr>
            <w:r>
              <w:rPr>
                <w:rFonts w:ascii="宋体" w:hAnsi="宋体" w:cs="宋体" w:eastAsia="宋体" w:hint="default"/>
                <w:sz w:val="18"/>
                <w:szCs w:val="18"/>
              </w:rPr>
              <w:t>北京 鹏和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8,635,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617.19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4" w:right="0"/>
              <w:jc w:val="left"/>
              <w:rPr>
                <w:rFonts w:ascii="Times New Roman" w:hAnsi="Times New Roman" w:cs="Times New Roman" w:eastAsia="Times New Roman" w:hint="default"/>
                <w:sz w:val="18"/>
                <w:szCs w:val="18"/>
              </w:rPr>
            </w:pPr>
            <w:r>
              <w:rPr>
                <w:rFonts w:ascii="Times New Roman"/>
                <w:sz w:val="18"/>
              </w:rPr>
              <w:t>11,244</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,028.8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Times New Roman" w:hAnsi="Times New Roman" w:cs="Times New Roman" w:eastAsia="Times New Roman" w:hint="default"/>
                <w:sz w:val="18"/>
                <w:szCs w:val="18"/>
              </w:rPr>
            </w:pPr>
            <w:r>
              <w:rPr>
                <w:rFonts w:ascii="Times New Roman"/>
                <w:sz w:val="18"/>
              </w:rPr>
              <w:t>19,879</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,646.0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4" w:right="0"/>
              <w:jc w:val="left"/>
              <w:rPr>
                <w:rFonts w:ascii="Times New Roman" w:hAnsi="Times New Roman" w:cs="Times New Roman" w:eastAsia="Times New Roman" w:hint="default"/>
                <w:sz w:val="18"/>
                <w:szCs w:val="18"/>
              </w:rPr>
            </w:pPr>
            <w:r>
              <w:rPr>
                <w:rFonts w:ascii="Times New Roman"/>
                <w:sz w:val="18"/>
              </w:rPr>
              <w:t>11,962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,754.7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3" w:right="0"/>
              <w:jc w:val="left"/>
              <w:rPr>
                <w:rFonts w:ascii="Times New Roman" w:hAnsi="Times New Roman" w:cs="Times New Roman" w:eastAsia="Times New Roman" w:hint="default"/>
                <w:sz w:val="18"/>
                <w:szCs w:val="18"/>
              </w:rPr>
            </w:pPr>
            <w:r>
              <w:rPr>
                <w:rFonts w:ascii="Times New Roman"/>
                <w:sz w:val="18"/>
              </w:rPr>
              <w:t>11,962</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,754.7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6,729,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040.90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left"/>
              <w:rPr>
                <w:rFonts w:ascii="Times New Roman" w:hAnsi="Times New Roman" w:cs="Times New Roman" w:eastAsia="Times New Roman" w:hint="default"/>
                <w:sz w:val="18"/>
                <w:szCs w:val="18"/>
              </w:rPr>
            </w:pPr>
            <w:r>
              <w:rPr>
                <w:rFonts w:ascii="Times New Roman"/>
                <w:sz w:val="18"/>
              </w:rPr>
              <w:t>10,573</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,991.2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left"/>
              <w:rPr>
                <w:rFonts w:ascii="Times New Roman" w:hAnsi="Times New Roman" w:cs="Times New Roman" w:eastAsia="Times New Roman" w:hint="default"/>
                <w:sz w:val="18"/>
                <w:szCs w:val="18"/>
              </w:rPr>
            </w:pPr>
            <w:r>
              <w:rPr>
                <w:rFonts w:ascii="Times New Roman"/>
                <w:sz w:val="18"/>
              </w:rPr>
              <w:t>17,303</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,032.1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9" w:right="0"/>
              <w:jc w:val="left"/>
              <w:rPr>
                <w:rFonts w:ascii="Times New Roman" w:hAnsi="Times New Roman" w:cs="Times New Roman" w:eastAsia="Times New Roman" w:hint="default"/>
                <w:sz w:val="18"/>
                <w:szCs w:val="18"/>
              </w:rPr>
            </w:pPr>
            <w:r>
              <w:rPr>
                <w:rFonts w:ascii="Times New Roman"/>
                <w:sz w:val="18"/>
              </w:rPr>
              <w:t>10,950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,076.4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Times New Roman" w:hAnsi="Times New Roman" w:cs="Times New Roman" w:eastAsia="Times New Roman" w:hint="default"/>
                <w:sz w:val="18"/>
                <w:szCs w:val="18"/>
              </w:rPr>
            </w:pPr>
            <w:r>
              <w:rPr>
                <w:rFonts w:ascii="Times New Roman"/>
                <w:sz w:val="18"/>
              </w:rPr>
              <w:t>10,950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,076.4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1611"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103" w:right="261"/>
              <w:jc w:val="both"/>
              <w:rPr>
                <w:rFonts w:ascii="宋体" w:hAnsi="宋体" w:cs="宋体" w:eastAsia="宋体" w:hint="default"/>
                <w:sz w:val="18"/>
                <w:szCs w:val="18"/>
              </w:rPr>
            </w:pPr>
            <w:r>
              <w:rPr>
                <w:rFonts w:ascii="宋体" w:hAnsi="宋体" w:cs="宋体" w:eastAsia="宋体" w:hint="default"/>
                <w:sz w:val="18"/>
                <w:szCs w:val="18"/>
              </w:rPr>
              <w:t>祥包 装制 品有 限公 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7</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新疆 军鹏 制盖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19,699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,923.0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9,916,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268.86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29,616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,191.8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8,849,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603.26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8,849,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603.26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17,275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,788.9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10,461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,200.3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27,736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,989.2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10,488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,999.7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10,488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,999.7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四川 泸州 丽鹏 制盖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31,640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,032.5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50,436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,305.9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82,076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,338.5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14,890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,696.8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14,890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,696.8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27,966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,028.7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50,325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,649.2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78,291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,677.9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12,425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,377.6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12,425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,377.6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35" w:right="165"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7"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烟台和俊 制盖有限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27,975,656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9,854,345.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9,854,345.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-10,295,28</w:t>
            </w:r>
          </w:p>
          <w:p>
            <w:pPr>
              <w:pStyle w:val="TableParagraph"/>
              <w:spacing w:line="240" w:lineRule="auto" w:before="105"/>
              <w:ind w:left="637" w:right="0"/>
              <w:jc w:val="left"/>
              <w:rPr>
                <w:rFonts w:ascii="Times New Roman" w:hAnsi="Times New Roman" w:cs="Times New Roman" w:eastAsia="Times New Roman" w:hint="default"/>
                <w:sz w:val="18"/>
                <w:szCs w:val="18"/>
              </w:rPr>
            </w:pPr>
            <w:r>
              <w:rPr>
                <w:rFonts w:ascii="Times New Roman"/>
                <w:sz w:val="18"/>
              </w:rPr>
              <w:t>5.21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87,917,302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1,797,772.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1,797,772.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9,140,391.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71</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北京鹏和 祥包装制 品有限公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17,756,858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1,563,935.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1,563,935.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1,767,265.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21,641,653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2,470,858.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2,470,858.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9,219,996.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新疆军鹏 制盖有限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23,751,443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3,518,599.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3,518,599.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3,444,969.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21,054,174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2,773,615.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2,773,615.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2,234,265.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四川泸州 丽鹏制盖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38,417,038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1,319,341.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1,319,341.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4,763,935.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35,251,074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1,280,747.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1,280,747.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6,720,581.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17</w:t>
            </w:r>
          </w:p>
        </w:tc>
      </w:tr>
    </w:tbl>
    <w:p>
      <w:pPr>
        <w:spacing w:line="240" w:lineRule="auto" w:before="2"/>
        <w:rPr>
          <w:rFonts w:ascii="宋体" w:hAnsi="宋体" w:cs="宋体" w:eastAsia="宋体" w:hint="default"/>
          <w:sz w:val="18"/>
          <w:szCs w:val="18"/>
        </w:rPr>
      </w:pPr>
    </w:p>
    <w:p>
      <w:pPr>
        <w:pStyle w:val="Heading2"/>
        <w:spacing w:line="240" w:lineRule="auto" w:before="26"/>
        <w:ind w:right="914"/>
        <w:jc w:val="left"/>
        <w:rPr>
          <w:b w:val="0"/>
          <w:bCs w:val="0"/>
        </w:rPr>
      </w:pPr>
      <w:bookmarkStart w:name="十、与金融工具相关的风险" w:id="316"/>
      <w:bookmarkEnd w:id="316"/>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11"/>
        <w:jc w:val="both"/>
      </w:pPr>
      <w:r>
        <w:rPr>
          <w:spacing w:val="-1"/>
        </w:rPr>
        <w:t>公司在经营过程中面临各种金融风险：信用风险、市场风险和流动性风险。公司经营管理层全面负责</w:t>
      </w:r>
      <w:r>
        <w:rPr/>
        <w:t> </w:t>
      </w:r>
      <w:r>
        <w:rPr>
          <w:spacing w:val="-1"/>
        </w:rPr>
        <w:t>风险管理目标和政策的确定，并对风险管理目标和政策承担最终责任。风险管理的总体目标是在不过度影</w:t>
      </w:r>
      <w:r>
        <w:rPr>
          <w:spacing w:val="-81"/>
        </w:rPr>
        <w:t> </w:t>
      </w:r>
      <w:r>
        <w:rPr>
          <w:spacing w:val="-81"/>
        </w:rPr>
      </w:r>
      <w:r>
        <w:rPr/>
        <w:t>响公司竞争力和应变力的情况下，制定尽可能降低风险的风险管理政策。</w:t>
      </w:r>
    </w:p>
    <w:p>
      <w:pPr>
        <w:pStyle w:val="BodyText"/>
        <w:spacing w:line="273" w:lineRule="auto"/>
        <w:ind w:left="565" w:right="3201" w:firstLine="10"/>
        <w:jc w:val="left"/>
      </w:pPr>
      <w:r>
        <w:rPr>
          <w:rFonts w:ascii="宋体" w:hAnsi="宋体" w:cs="宋体" w:eastAsia="宋体" w:hint="default"/>
          <w:b/>
          <w:bCs/>
        </w:rPr>
        <w:t>1</w:t>
      </w:r>
      <w:r>
        <w:rPr>
          <w:rFonts w:ascii="宋体" w:hAnsi="宋体" w:cs="宋体" w:eastAsia="宋体" w:hint="default"/>
          <w:b/>
          <w:bCs/>
        </w:rPr>
        <w:t>、信用风险</w:t>
      </w:r>
      <w:r>
        <w:rPr>
          <w:rFonts w:ascii="宋体" w:hAnsi="宋体" w:cs="宋体" w:eastAsia="宋体" w:hint="default"/>
          <w:b/>
          <w:bCs/>
          <w:w w:val="99"/>
        </w:rPr>
        <w:t> </w:t>
      </w:r>
      <w:r>
        <w:rPr/>
        <w:t>信用风险是指金融工具的一方不履行义务，造成另一方发生财务损失的风险。</w:t>
      </w:r>
    </w:p>
    <w:p>
      <w:pPr>
        <w:pStyle w:val="BodyText"/>
        <w:spacing w:line="240" w:lineRule="auto"/>
        <w:ind w:left="565" w:right="914"/>
        <w:jc w:val="left"/>
      </w:pPr>
      <w:r>
        <w:rPr/>
        <w:t>为降低信用风险，本公司制定了相关的内部控制政策负责确定信用额度、进行信用审批，包括外部信</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9"/>
        <w:jc w:val="left"/>
      </w:pPr>
      <w:r>
        <w:rPr>
          <w:spacing w:val="-1"/>
        </w:rPr>
        <w:t>用评级和在某些情况下的银行资信证明（当此信息可获取时），并执行其他监控程序以确保采取必要的措</w:t>
      </w:r>
      <w:r>
        <w:rPr>
          <w:spacing w:val="-94"/>
        </w:rPr>
        <w:t> </w:t>
      </w:r>
      <w:r>
        <w:rPr>
          <w:spacing w:val="-94"/>
        </w:rPr>
      </w:r>
      <w:r>
        <w:rPr/>
        <w:t>施回收过期债权。因此，本公司管理层认为本公司所承担的信用风险已经大为降低。</w:t>
      </w:r>
    </w:p>
    <w:p>
      <w:pPr>
        <w:pStyle w:val="BodyText"/>
        <w:spacing w:line="273" w:lineRule="auto"/>
        <w:ind w:right="1133" w:firstLine="411"/>
        <w:jc w:val="both"/>
      </w:pPr>
      <w:r>
        <w:rPr>
          <w:spacing w:val="-1"/>
        </w:rPr>
        <w:t>本公司其他金融资产包括货币资金、应收账款等，这些金融资产的信用风险源自交易对手违约，最大</w:t>
      </w:r>
      <w:r>
        <w:rPr/>
        <w:t> 风险敞口等于这些工具的账面金额。</w:t>
      </w:r>
    </w:p>
    <w:p>
      <w:pPr>
        <w:pStyle w:val="BodyText"/>
        <w:spacing w:line="240" w:lineRule="auto" w:before="8"/>
        <w:ind w:left="573" w:right="914"/>
        <w:jc w:val="left"/>
      </w:pPr>
      <w:r>
        <w:rPr/>
        <w:t>（</w:t>
      </w:r>
      <w:r>
        <w:rPr>
          <w:rFonts w:ascii="宋体" w:hAnsi="宋体" w:cs="宋体" w:eastAsia="宋体" w:hint="default"/>
        </w:rPr>
        <w:t>1</w:t>
      </w:r>
      <w:r>
        <w:rPr/>
        <w:t>）本公司的流动资金存放在信用评级较高的银行，故流动资金的信用风险较低。</w:t>
      </w:r>
    </w:p>
    <w:p>
      <w:pPr>
        <w:pStyle w:val="BodyText"/>
        <w:spacing w:line="376" w:lineRule="auto" w:before="37"/>
        <w:ind w:left="576" w:right="5188" w:hanging="3"/>
        <w:jc w:val="left"/>
        <w:rPr>
          <w:rFonts w:ascii="宋体" w:hAnsi="宋体" w:cs="宋体" w:eastAsia="宋体" w:hint="default"/>
        </w:rPr>
      </w:pPr>
      <w:r>
        <w:rPr/>
        <w:t>（</w:t>
      </w:r>
      <w:r>
        <w:rPr>
          <w:rFonts w:ascii="宋体" w:hAnsi="宋体" w:cs="宋体" w:eastAsia="宋体" w:hint="default"/>
        </w:rPr>
        <w:t>2</w:t>
      </w:r>
      <w:r>
        <w:rPr/>
        <w:t>）资产负债表日，公司按会计政策计提了坏账准备。 </w:t>
      </w:r>
      <w:r>
        <w:rPr>
          <w:rFonts w:ascii="宋体" w:hAnsi="宋体" w:cs="宋体" w:eastAsia="宋体" w:hint="default"/>
          <w:b/>
          <w:bCs/>
        </w:rPr>
        <w:t>2</w:t>
      </w:r>
      <w:r>
        <w:rPr>
          <w:rFonts w:ascii="宋体" w:hAnsi="宋体" w:cs="宋体" w:eastAsia="宋体" w:hint="default"/>
          <w:b/>
          <w:bCs/>
        </w:rPr>
        <w:t>、市场风险</w:t>
      </w:r>
      <w:r>
        <w:rPr>
          <w:rFonts w:ascii="宋体" w:hAnsi="宋体" w:cs="宋体" w:eastAsia="宋体" w:hint="default"/>
        </w:rPr>
      </w:r>
    </w:p>
    <w:p>
      <w:pPr>
        <w:pStyle w:val="BodyText"/>
        <w:spacing w:line="273" w:lineRule="auto" w:before="37"/>
        <w:ind w:right="1118" w:firstLine="411"/>
        <w:jc w:val="both"/>
      </w:pPr>
      <w:r>
        <w:rPr/>
        <w:t>金融工具的市场风险，是指金融工具的公允价值或未来现金流量因市场价格变动而发生波动的风险， 包括外汇风险、利率风险和其他价格风险。</w:t>
      </w:r>
    </w:p>
    <w:p>
      <w:pPr>
        <w:pStyle w:val="BodyText"/>
        <w:spacing w:line="273" w:lineRule="auto"/>
        <w:ind w:left="537" w:right="1129" w:firstLine="36"/>
        <w:jc w:val="left"/>
      </w:pPr>
      <w:r>
        <w:rPr/>
        <w:t>（</w:t>
      </w:r>
      <w:r>
        <w:rPr>
          <w:rFonts w:ascii="宋体" w:hAnsi="宋体" w:cs="宋体" w:eastAsia="宋体" w:hint="default"/>
        </w:rPr>
        <w:t>1</w:t>
      </w:r>
      <w:r>
        <w:rPr/>
        <w:t>）外汇风险 外汇风险指因汇率变动产生损失的风险。本公司承受外汇风险主要与美元有关，本公司主要以美元进</w:t>
      </w:r>
    </w:p>
    <w:p>
      <w:pPr>
        <w:pStyle w:val="BodyText"/>
        <w:spacing w:line="273" w:lineRule="auto"/>
        <w:ind w:right="1119"/>
        <w:jc w:val="left"/>
      </w:pPr>
      <w:r>
        <w:rPr/>
        <w:t>行部分销售。于 </w:t>
      </w:r>
      <w:r>
        <w:rPr>
          <w:rFonts w:ascii="宋体" w:hAnsi="宋体" w:cs="宋体" w:eastAsia="宋体" w:hint="default"/>
        </w:rPr>
        <w:t>2014 </w:t>
      </w:r>
      <w:r>
        <w:rPr/>
        <w:t>年</w:t>
      </w:r>
      <w:r>
        <w:rPr>
          <w:rFonts w:ascii="宋体" w:hAnsi="宋体" w:cs="宋体" w:eastAsia="宋体" w:hint="default"/>
        </w:rPr>
        <w:t>12 </w:t>
      </w:r>
      <w:r>
        <w:rPr/>
        <w:t>月</w:t>
      </w:r>
      <w:r>
        <w:rPr>
          <w:rFonts w:ascii="宋体" w:hAnsi="宋体" w:cs="宋体" w:eastAsia="宋体" w:hint="default"/>
        </w:rPr>
        <w:t>31</w:t>
      </w:r>
      <w:r>
        <w:rPr>
          <w:rFonts w:ascii="宋体" w:hAnsi="宋体" w:cs="宋体" w:eastAsia="宋体" w:hint="default"/>
          <w:spacing w:val="-26"/>
        </w:rPr>
        <w:t> </w:t>
      </w:r>
      <w:r>
        <w:rPr/>
        <w:t>日，除下表所述资产或负债为外币余额外，本公司的资产及负债均为人 民币余额。该等外币余额的资产和负债产生的外汇风险可能对本公司的经营业绩产生影响。</w:t>
      </w:r>
    </w:p>
    <w:p>
      <w:pPr>
        <w:spacing w:line="240" w:lineRule="auto" w:before="12"/>
        <w:rPr>
          <w:rFonts w:ascii="宋体" w:hAnsi="宋体" w:cs="宋体" w:eastAsia="宋体" w:hint="default"/>
          <w:sz w:val="9"/>
          <w:szCs w:val="9"/>
        </w:rPr>
      </w:pPr>
    </w:p>
    <w:p>
      <w:pPr>
        <w:spacing w:line="2280" w:lineRule="exact"/>
        <w:ind w:left="585"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5572124" cy="1447800"/>
            <wp:effectExtent l="0" t="0" r="0" b="0"/>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31" cstate="print"/>
                    <a:stretch>
                      <a:fillRect/>
                    </a:stretch>
                  </pic:blipFill>
                  <pic:spPr>
                    <a:xfrm>
                      <a:off x="0" y="0"/>
                      <a:ext cx="5572124" cy="1447800"/>
                    </a:xfrm>
                    <a:prstGeom prst="rect">
                      <a:avLst/>
                    </a:prstGeom>
                  </pic:spPr>
                </pic:pic>
              </a:graphicData>
            </a:graphic>
          </wp:inline>
        </w:drawing>
      </w:r>
      <w:r>
        <w:rPr>
          <w:rFonts w:ascii="宋体" w:hAnsi="宋体" w:cs="宋体" w:eastAsia="宋体" w:hint="default"/>
          <w:position w:val="-45"/>
          <w:sz w:val="20"/>
          <w:szCs w:val="20"/>
        </w:rPr>
      </w:r>
    </w:p>
    <w:p>
      <w:pPr>
        <w:spacing w:line="240" w:lineRule="auto" w:before="5"/>
        <w:rPr>
          <w:rFonts w:ascii="宋体" w:hAnsi="宋体" w:cs="宋体" w:eastAsia="宋体" w:hint="default"/>
          <w:sz w:val="16"/>
          <w:szCs w:val="16"/>
        </w:rPr>
      </w:pPr>
    </w:p>
    <w:p>
      <w:pPr>
        <w:pStyle w:val="BodyText"/>
        <w:spacing w:line="273" w:lineRule="auto" w:before="0"/>
        <w:ind w:left="154" w:right="1133" w:firstLine="411"/>
        <w:jc w:val="both"/>
      </w:pPr>
      <w:r>
        <w:rPr>
          <w:spacing w:val="-1"/>
        </w:rPr>
        <w:t>为规避汇率风险，公司主要采取以下措施：通过积极调整生产结构和产品结构，提高劳动生产率和产</w:t>
      </w:r>
      <w:r>
        <w:rPr/>
        <w:t> </w:t>
      </w:r>
      <w:r>
        <w:rPr>
          <w:spacing w:val="-1"/>
        </w:rPr>
        <w:t>品附加值，争取更大的利润空间；加快资金回笼速度，及时结汇，加快资金的周转率；充分依靠公司的竞</w:t>
      </w:r>
      <w:r>
        <w:rPr>
          <w:spacing w:val="-83"/>
        </w:rPr>
        <w:t> </w:t>
      </w:r>
      <w:r>
        <w:rPr>
          <w:spacing w:val="-83"/>
        </w:rPr>
      </w:r>
      <w:r>
        <w:rPr>
          <w:spacing w:val="-1"/>
        </w:rPr>
        <w:t>争优势，发挥议价能力，接单过程中全面考虑人民币的升值预期，在出口合同中附加相关条款，减少和转</w:t>
      </w:r>
      <w:r>
        <w:rPr>
          <w:spacing w:val="-86"/>
        </w:rPr>
        <w:t> </w:t>
      </w:r>
      <w:r>
        <w:rPr>
          <w:spacing w:val="-86"/>
        </w:rPr>
      </w:r>
      <w:r>
        <w:rPr/>
        <w:t>嫁部分汇率波动风险。</w:t>
      </w:r>
    </w:p>
    <w:p>
      <w:pPr>
        <w:pStyle w:val="Heading3"/>
        <w:spacing w:line="249" w:lineRule="auto"/>
        <w:ind w:left="605" w:right="914" w:firstLine="8"/>
        <w:jc w:val="left"/>
      </w:pPr>
      <w:r>
        <w:rPr/>
        <w:t>外汇风险敏感性分析：</w:t>
      </w:r>
      <w:r>
        <w:rPr>
          <w:w w:val="100"/>
        </w:rPr>
        <w:t> </w:t>
      </w:r>
      <w:r>
        <w:rPr>
          <w:spacing w:val="-1"/>
        </w:rPr>
        <w:t>外汇风险敏感性分析假设：在其他变量不变的情况下，汇率可能发生的合理变动对当期损益</w:t>
      </w:r>
    </w:p>
    <w:p>
      <w:pPr>
        <w:pStyle w:val="Heading3"/>
        <w:spacing w:line="240" w:lineRule="auto" w:before="2"/>
        <w:ind w:right="0"/>
        <w:jc w:val="both"/>
      </w:pPr>
      <w:r>
        <w:rPr/>
        <w:t>和股东权益的影响如下：</w:t>
      </w:r>
    </w:p>
    <w:p>
      <w:pPr>
        <w:spacing w:line="240" w:lineRule="auto" w:before="9"/>
        <w:rPr>
          <w:rFonts w:ascii="宋体" w:hAnsi="宋体" w:cs="宋体" w:eastAsia="宋体" w:hint="default"/>
          <w:sz w:val="7"/>
          <w:szCs w:val="7"/>
        </w:rPr>
      </w:pPr>
    </w:p>
    <w:p>
      <w:pPr>
        <w:spacing w:line="1125" w:lineRule="exact"/>
        <w:ind w:left="154"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6299949" cy="714375"/>
            <wp:effectExtent l="0" t="0" r="0" b="0"/>
            <wp:docPr id="33" name="image19.jpeg" descr=""/>
            <wp:cNvGraphicFramePr>
              <a:graphicFrameLocks noChangeAspect="1"/>
            </wp:cNvGraphicFramePr>
            <a:graphic>
              <a:graphicData uri="http://schemas.openxmlformats.org/drawingml/2006/picture">
                <pic:pic>
                  <pic:nvPicPr>
                    <pic:cNvPr id="34" name="image19.jpeg"/>
                    <pic:cNvPicPr/>
                  </pic:nvPicPr>
                  <pic:blipFill>
                    <a:blip r:embed="rId32" cstate="print"/>
                    <a:stretch>
                      <a:fillRect/>
                    </a:stretch>
                  </pic:blipFill>
                  <pic:spPr>
                    <a:xfrm>
                      <a:off x="0" y="0"/>
                      <a:ext cx="6299949" cy="714375"/>
                    </a:xfrm>
                    <a:prstGeom prst="rect">
                      <a:avLst/>
                    </a:prstGeom>
                  </pic:spPr>
                </pic:pic>
              </a:graphicData>
            </a:graphic>
          </wp:inline>
        </w:drawing>
      </w:r>
      <w:r>
        <w:rPr>
          <w:rFonts w:ascii="宋体" w:hAnsi="宋体" w:cs="宋体" w:eastAsia="宋体" w:hint="default"/>
          <w:position w:val="-22"/>
          <w:sz w:val="20"/>
          <w:szCs w:val="20"/>
        </w:rPr>
      </w:r>
    </w:p>
    <w:p>
      <w:pPr>
        <w:pStyle w:val="BodyText"/>
        <w:spacing w:line="273" w:lineRule="auto" w:before="168"/>
        <w:ind w:left="573" w:right="1137"/>
        <w:jc w:val="left"/>
      </w:pPr>
      <w:r>
        <w:rPr/>
        <w:t>（</w:t>
      </w:r>
      <w:r>
        <w:rPr>
          <w:rFonts w:ascii="宋体" w:hAnsi="宋体" w:cs="宋体" w:eastAsia="宋体" w:hint="default"/>
        </w:rPr>
        <w:t>2</w:t>
      </w:r>
      <w:r>
        <w:rPr/>
        <w:t>）利率风险 利率风险，是指金融工具的公允价值或未来现金流量因市场利率变动而发生波动的风险。 </w:t>
      </w: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1"/>
        </w:rPr>
        <w:t>流动性风险，是指企业在履行以交付现金或其他金融资产的方式结算的义务时发生资金短缺的风险。</w:t>
      </w:r>
    </w:p>
    <w:p>
      <w:pPr>
        <w:pStyle w:val="BodyText"/>
        <w:spacing w:line="273" w:lineRule="auto"/>
        <w:ind w:right="1253"/>
        <w:jc w:val="both"/>
      </w:pPr>
      <w:r>
        <w:rPr/>
        <w:t>本公司的政策是确保拥有充足的现金以偿还到期债务。流动性风险由本公司的财务部门集中控制。财务</w:t>
      </w:r>
      <w:r>
        <w:rPr>
          <w:spacing w:val="-43"/>
        </w:rPr>
        <w:t> </w:t>
      </w:r>
      <w:r>
        <w:rPr>
          <w:spacing w:val="-43"/>
        </w:rPr>
      </w:r>
      <w:r>
        <w:rPr/>
        <w:t>部门通过监控现金余额、可随时变现的有价证券等以确保公司在所有合理预测的情况下拥有充足的资金</w:t>
      </w:r>
      <w:r>
        <w:rPr>
          <w:spacing w:val="-51"/>
        </w:rPr>
        <w:t> </w:t>
      </w:r>
      <w:r>
        <w:rPr>
          <w:spacing w:val="-51"/>
        </w:rPr>
      </w:r>
      <w:r>
        <w:rPr/>
        <w:t>偿还债务。</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spacing w:line="506" w:lineRule="auto" w:before="26"/>
        <w:ind w:left="153" w:right="7918" w:firstLine="0"/>
        <w:jc w:val="left"/>
        <w:rPr>
          <w:rFonts w:ascii="宋体" w:hAnsi="宋体" w:cs="宋体" w:eastAsia="宋体" w:hint="default"/>
          <w:sz w:val="18"/>
          <w:szCs w:val="18"/>
        </w:rPr>
      </w:pPr>
      <w:bookmarkStart w:name="十一、关联方及关联交易" w:id="317"/>
      <w:bookmarkEnd w:id="317"/>
      <w:r>
        <w:rPr/>
      </w:r>
      <w:r>
        <w:rPr>
          <w:rFonts w:ascii="宋体" w:hAnsi="宋体" w:cs="宋体" w:eastAsia="宋体" w:hint="default"/>
          <w:b/>
          <w:bCs/>
          <w:sz w:val="24"/>
          <w:szCs w:val="24"/>
        </w:rPr>
        <w:t>十一、关联方及关联交易</w:t>
      </w:r>
      <w:r>
        <w:rPr>
          <w:rFonts w:ascii="宋体" w:hAnsi="宋体" w:cs="宋体" w:eastAsia="宋体" w:hint="default"/>
          <w:b/>
          <w:bCs/>
          <w:w w:val="99"/>
          <w:sz w:val="24"/>
          <w:szCs w:val="24"/>
        </w:rPr>
        <w:t> </w:t>
      </w:r>
      <w:bookmarkStart w:name="1、本企业的子公司情况" w:id="318"/>
      <w:bookmarkEnd w:id="31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本企业子公司的情况详见附注七</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Heading4"/>
        <w:spacing w:line="240" w:lineRule="auto" w:before="115"/>
        <w:ind w:left="153" w:right="914"/>
        <w:jc w:val="left"/>
        <w:rPr>
          <w:b w:val="0"/>
          <w:bCs w:val="0"/>
        </w:rPr>
      </w:pPr>
      <w:bookmarkStart w:name="2、其他关联方情况" w:id="319"/>
      <w:bookmarkEnd w:id="319"/>
      <w:r>
        <w:rPr>
          <w:b w:val="0"/>
          <w:bCs w:val="0"/>
        </w:rPr>
      </w:r>
      <w:r>
        <w:rPr>
          <w:rFonts w:ascii="Times New Roman" w:hAnsi="Times New Roman" w:cs="Times New Roman" w:eastAsia="Times New Roman" w:hint="default"/>
        </w:rPr>
        <w:t>2</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于志芬</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bl>
    <w:p>
      <w:pPr>
        <w:spacing w:line="240" w:lineRule="auto" w:before="3"/>
        <w:rPr>
          <w:rFonts w:ascii="宋体" w:hAnsi="宋体" w:cs="宋体" w:eastAsia="宋体" w:hint="default"/>
          <w:b/>
          <w:bCs/>
          <w:sz w:val="19"/>
          <w:szCs w:val="19"/>
        </w:rPr>
      </w:pPr>
    </w:p>
    <w:p>
      <w:pPr>
        <w:pStyle w:val="Heading4"/>
        <w:spacing w:line="240" w:lineRule="auto" w:before="35"/>
        <w:ind w:right="914"/>
        <w:jc w:val="left"/>
        <w:rPr>
          <w:b w:val="0"/>
          <w:bCs w:val="0"/>
        </w:rPr>
      </w:pPr>
      <w:bookmarkStart w:name="3、关联交易情况" w:id="320"/>
      <w:bookmarkEnd w:id="320"/>
      <w:r>
        <w:rPr>
          <w:b w:val="0"/>
          <w:bCs w:val="0"/>
        </w:rPr>
      </w:r>
      <w:r>
        <w:rPr>
          <w:rFonts w:ascii="Times New Roman" w:hAnsi="Times New Roman" w:cs="Times New Roman" w:eastAsia="Times New Roman" w:hint="default"/>
        </w:rPr>
        <w:t>3</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关联担保情况" w:id="321"/>
      <w:bookmarkEnd w:id="321"/>
      <w:r>
        <w:rPr>
          <w:b w:val="0"/>
          <w:bCs w:val="0"/>
        </w:rPr>
      </w:r>
      <w:r>
        <w:rPr/>
        <w:t>（</w:t>
      </w:r>
      <w:r>
        <w:rPr>
          <w:rFonts w:ascii="Times New Roman" w:hAnsi="Times New Roman" w:cs="Times New Roman" w:eastAsia="Times New Roman" w:hint="default"/>
        </w:rPr>
        <w:t>1</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54" w:right="914"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大冶市劲鹏制盖有限 公司、孙世尧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大冶市劲鹏制盖有限 公司、孙世尧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烟台和俊制盖有限公 司、孙世尧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103" w:right="178"/>
              <w:jc w:val="left"/>
              <w:rPr>
                <w:rFonts w:ascii="宋体" w:hAnsi="宋体" w:cs="宋体" w:eastAsia="宋体" w:hint="default"/>
                <w:sz w:val="18"/>
                <w:szCs w:val="18"/>
              </w:rPr>
            </w:pPr>
            <w:r>
              <w:rPr>
                <w:rFonts w:ascii="宋体" w:hAnsi="宋体" w:cs="宋体" w:eastAsia="宋体" w:hint="default"/>
                <w:sz w:val="18"/>
                <w:szCs w:val="18"/>
              </w:rPr>
              <w:t>汤于、重庆边城旅游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汤于、重庆边城旅游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瀚华担保股份有限公 司、汤于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瀚华担保股份有限公 司、汤于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瀚华担保股份有限公 司、汤于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重庆市农业担保有限 公司、汤于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重庆市三峡担保集团 有限公司、汤于、汤 洪波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重庆两江新区融资担 保有限公司、汤于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重庆两江新区融资担 保有限公司、汤于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重庆两江新区融资担 保有限公司、汤于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2）关键管理人员报酬" w:id="322"/>
      <w:bookmarkEnd w:id="322"/>
      <w:r>
        <w:rPr>
          <w:b w:val="0"/>
          <w:bCs w:val="0"/>
        </w:rPr>
      </w:r>
      <w:r>
        <w:rPr/>
        <w:t>（</w:t>
      </w:r>
      <w:r>
        <w:rPr>
          <w:rFonts w:ascii="Times New Roman" w:hAnsi="Times New Roman" w:cs="Times New Roman" w:eastAsia="Times New Roman" w:hint="default"/>
        </w:rPr>
        <w:t>2</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2,839,732.00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2,569,800.00</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4、其他" w:id="323"/>
      <w:bookmarkEnd w:id="323"/>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5" w:right="914"/>
        <w:jc w:val="left"/>
      </w:pPr>
      <w:r>
        <w:rPr/>
        <w:t>经公司第三届董事会第五次会议和</w:t>
      </w:r>
      <w:r>
        <w:rPr>
          <w:rFonts w:ascii="宋体" w:hAnsi="宋体" w:cs="宋体" w:eastAsia="宋体" w:hint="default"/>
        </w:rPr>
        <w:t>2014</w:t>
      </w:r>
      <w:r>
        <w:rPr/>
        <w:t>年第一次临时股东大会决议，并经中国证券监督管理委员会</w:t>
      </w:r>
    </w:p>
    <w:p>
      <w:pPr>
        <w:pStyle w:val="BodyText"/>
        <w:spacing w:line="273" w:lineRule="auto" w:before="37"/>
        <w:ind w:right="1026"/>
        <w:jc w:val="left"/>
      </w:pPr>
      <w:r>
        <w:rPr>
          <w:spacing w:val="-3"/>
        </w:rPr>
        <w:t>《关于核准山东丽鹏股份有限公司向汤于等发行股份购买资产并募集配套资金的批复》（证监许可〔</w:t>
      </w:r>
      <w:r>
        <w:rPr>
          <w:rFonts w:ascii="宋体" w:hAnsi="宋体" w:cs="宋体" w:eastAsia="宋体" w:hint="default"/>
          <w:spacing w:val="-3"/>
        </w:rPr>
        <w:t>2014</w:t>
      </w:r>
      <w:r>
        <w:rPr>
          <w:spacing w:val="-3"/>
        </w:rPr>
        <w:t>〕</w:t>
      </w:r>
      <w:r>
        <w:rPr>
          <w:spacing w:val="-86"/>
        </w:rPr>
        <w:t> </w:t>
      </w:r>
      <w:r>
        <w:rPr>
          <w:rFonts w:ascii="宋体" w:hAnsi="宋体" w:cs="宋体" w:eastAsia="宋体" w:hint="default"/>
        </w:rPr>
        <w:t>1256</w:t>
      </w:r>
      <w:r>
        <w:rPr/>
        <w:t>号）核准，公司通过发行股份购买资产并募集配套资金定向增发人民币普通股</w:t>
      </w:r>
      <w:r>
        <w:rPr>
          <w:rFonts w:ascii="宋体" w:hAnsi="宋体" w:cs="宋体" w:eastAsia="宋体" w:hint="default"/>
        </w:rPr>
        <w:t>(A</w:t>
      </w:r>
      <w:r>
        <w:rPr/>
        <w:t>股</w:t>
      </w:r>
      <w:r>
        <w:rPr>
          <w:rFonts w:ascii="宋体" w:hAnsi="宋体" w:cs="宋体" w:eastAsia="宋体" w:hint="default"/>
        </w:rPr>
        <w:t>)</w:t>
      </w:r>
      <w:r>
        <w:rPr/>
        <w:t>增加注册资本人 民币</w:t>
      </w:r>
      <w:r>
        <w:rPr>
          <w:rFonts w:ascii="宋体" w:hAnsi="宋体" w:cs="宋体" w:eastAsia="宋体" w:hint="default"/>
        </w:rPr>
        <w:t>138,243,993.00</w:t>
      </w:r>
      <w:r>
        <w:rPr/>
        <w:t>元，其中向汤于发行</w:t>
      </w:r>
      <w:r>
        <w:rPr>
          <w:rFonts w:ascii="宋体" w:hAnsi="宋体" w:cs="宋体" w:eastAsia="宋体" w:hint="default"/>
        </w:rPr>
        <w:t>49,066,587</w:t>
      </w:r>
      <w:r>
        <w:rPr/>
        <w:t>股股份，向孙世尧发行股份</w:t>
      </w:r>
      <w:r>
        <w:rPr>
          <w:rFonts w:ascii="宋体" w:hAnsi="宋体" w:cs="宋体" w:eastAsia="宋体" w:hint="default"/>
        </w:rPr>
        <w:t>10,000,000</w:t>
      </w:r>
      <w:r>
        <w:rPr/>
        <w:t>股，向孙鲲鹏 发行股份</w:t>
      </w:r>
      <w:r>
        <w:rPr>
          <w:rFonts w:ascii="宋体" w:hAnsi="宋体" w:cs="宋体" w:eastAsia="宋体" w:hint="default"/>
        </w:rPr>
        <w:t>4,500,000</w:t>
      </w:r>
      <w:r>
        <w:rPr/>
        <w:t>股，向霍文菊发行股份</w:t>
      </w:r>
      <w:r>
        <w:rPr>
          <w:rFonts w:ascii="宋体" w:hAnsi="宋体" w:cs="宋体" w:eastAsia="宋体" w:hint="default"/>
        </w:rPr>
        <w:t>3,500,000</w:t>
      </w:r>
      <w:r>
        <w:rPr/>
        <w:t>股，向孙红丽发行股份</w:t>
      </w:r>
      <w:r>
        <w:rPr>
          <w:rFonts w:ascii="宋体" w:hAnsi="宋体" w:cs="宋体" w:eastAsia="宋体" w:hint="default"/>
        </w:rPr>
        <w:t>2,000,000</w:t>
      </w:r>
      <w:r>
        <w:rPr/>
        <w:t>股，向曲维强发行 股份</w:t>
      </w:r>
      <w:r>
        <w:rPr>
          <w:rFonts w:ascii="宋体" w:hAnsi="宋体" w:cs="宋体" w:eastAsia="宋体" w:hint="default"/>
        </w:rPr>
        <w:t>3,000,000</w:t>
      </w:r>
      <w:r>
        <w:rPr/>
        <w:t>股，向齐鲁证券有限公司</w:t>
      </w:r>
      <w:r>
        <w:rPr>
          <w:rFonts w:ascii="宋体" w:hAnsi="宋体" w:cs="宋体" w:eastAsia="宋体" w:hint="default"/>
        </w:rPr>
        <w:t>-</w:t>
      </w:r>
      <w:r>
        <w:rPr/>
        <w:t>齐鲁定增</w:t>
      </w:r>
      <w:r>
        <w:rPr>
          <w:rFonts w:ascii="宋体" w:hAnsi="宋体" w:cs="宋体" w:eastAsia="宋体" w:hint="default"/>
        </w:rPr>
        <w:t>1</w:t>
      </w:r>
      <w:r>
        <w:rPr/>
        <w:t>号集合资产管理计划发行股份</w:t>
      </w:r>
      <w:r>
        <w:rPr>
          <w:rFonts w:ascii="宋体" w:hAnsi="宋体" w:cs="宋体" w:eastAsia="宋体" w:hint="default"/>
        </w:rPr>
        <w:t>7,190,000</w:t>
      </w:r>
      <w:r>
        <w:rPr/>
        <w:t>股（齐鲁定增 </w:t>
      </w:r>
      <w:r>
        <w:rPr>
          <w:rFonts w:ascii="宋体" w:hAnsi="宋体" w:cs="宋体" w:eastAsia="宋体" w:hint="default"/>
        </w:rPr>
        <w:t>1</w:t>
      </w:r>
      <w:r>
        <w:rPr/>
        <w:t>号集合资产管理计划由丽鹏股份及华宇园林的部分董事、高级管理人员、业务骨干全额认购，交由齐鲁 </w:t>
      </w:r>
      <w:r>
        <w:rPr>
          <w:spacing w:val="-12"/>
        </w:rPr>
        <w:t>证券设立和管理）。</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left="153" w:right="914"/>
        <w:jc w:val="left"/>
        <w:rPr>
          <w:b w:val="0"/>
          <w:bCs w:val="0"/>
        </w:rPr>
      </w:pPr>
      <w:bookmarkStart w:name="十二、承诺及或有事项" w:id="324"/>
      <w:bookmarkEnd w:id="324"/>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重要承诺事项" w:id="325"/>
      <w:bookmarkEnd w:id="32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 无</w:t>
      </w:r>
    </w:p>
    <w:p>
      <w:pPr>
        <w:spacing w:line="240" w:lineRule="auto" w:before="2"/>
        <w:rPr>
          <w:rFonts w:ascii="宋体" w:hAnsi="宋体" w:cs="宋体" w:eastAsia="宋体" w:hint="default"/>
          <w:sz w:val="20"/>
          <w:szCs w:val="20"/>
        </w:rPr>
      </w:pPr>
    </w:p>
    <w:p>
      <w:pPr>
        <w:pStyle w:val="Heading4"/>
        <w:spacing w:line="240" w:lineRule="auto"/>
        <w:ind w:right="914"/>
        <w:jc w:val="left"/>
        <w:rPr>
          <w:b w:val="0"/>
          <w:bCs w:val="0"/>
        </w:rPr>
      </w:pPr>
      <w:bookmarkStart w:name="2、或有事项" w:id="326"/>
      <w:bookmarkEnd w:id="32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14"/>
        <w:jc w:val="left"/>
        <w:rPr>
          <w:b w:val="0"/>
          <w:bCs w:val="0"/>
        </w:rPr>
      </w:pPr>
      <w:bookmarkStart w:name="（1）资产负债表日存在的重要或有事项" w:id="327"/>
      <w:bookmarkEnd w:id="32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914"/>
        <w:jc w:val="left"/>
        <w:rPr>
          <w:b w:val="0"/>
          <w:bCs w:val="0"/>
        </w:rPr>
      </w:pPr>
      <w:bookmarkStart w:name="（2）公司没有需要披露的重要或有事项，也应予以说明" w:id="328"/>
      <w:bookmarkEnd w:id="32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3" w:right="914"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3"/>
        <w:rPr>
          <w:rFonts w:ascii="宋体" w:hAnsi="宋体" w:cs="宋体" w:eastAsia="宋体" w:hint="default"/>
          <w:sz w:val="24"/>
          <w:szCs w:val="24"/>
        </w:rPr>
      </w:pPr>
    </w:p>
    <w:p>
      <w:pPr>
        <w:spacing w:line="506" w:lineRule="auto" w:before="0"/>
        <w:ind w:left="153" w:right="7696" w:firstLine="0"/>
        <w:jc w:val="left"/>
        <w:rPr>
          <w:rFonts w:ascii="宋体" w:hAnsi="宋体" w:cs="宋体" w:eastAsia="宋体" w:hint="default"/>
          <w:sz w:val="18"/>
          <w:szCs w:val="18"/>
        </w:rPr>
      </w:pPr>
      <w:bookmarkStart w:name="十三、资产负债表日后事项" w:id="329"/>
      <w:bookmarkEnd w:id="329"/>
      <w:r>
        <w:rPr/>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bookmarkStart w:name="1、其他资产负债表日后事项说明" w:id="330"/>
      <w:bookmarkEnd w:id="33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2"/>
        <w:spacing w:line="240" w:lineRule="auto" w:before="129"/>
        <w:ind w:right="914"/>
        <w:jc w:val="left"/>
        <w:rPr>
          <w:b w:val="0"/>
          <w:bCs w:val="0"/>
        </w:rPr>
      </w:pPr>
      <w:bookmarkStart w:name="十四、其他重要事项" w:id="331"/>
      <w:bookmarkEnd w:id="331"/>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分部信息" w:id="332"/>
      <w:bookmarkEnd w:id="332"/>
      <w:r>
        <w:rPr>
          <w:b w:val="0"/>
          <w:bCs w:val="0"/>
        </w:rPr>
      </w:r>
      <w:r>
        <w:rPr>
          <w:rFonts w:ascii="Times New Roman" w:hAnsi="Times New Roman" w:cs="Times New Roman" w:eastAsia="Times New Roman" w:hint="default"/>
        </w:rPr>
        <w:t>1</w:t>
      </w:r>
      <w:r>
        <w:rPr/>
        <w:t>、分部信息</w:t>
      </w:r>
      <w:r>
        <w:rPr>
          <w:b w:val="0"/>
          <w:bCs w:val="0"/>
        </w:rPr>
      </w:r>
    </w:p>
    <w:p>
      <w:pPr>
        <w:spacing w:line="590" w:lineRule="atLeast" w:before="23"/>
        <w:ind w:left="573" w:right="914" w:hanging="420"/>
        <w:jc w:val="left"/>
        <w:rPr>
          <w:rFonts w:ascii="宋体" w:hAnsi="宋体" w:cs="宋体" w:eastAsia="宋体" w:hint="default"/>
          <w:sz w:val="21"/>
          <w:szCs w:val="21"/>
        </w:rPr>
      </w:pPr>
      <w:bookmarkStart w:name="（1）报告分部的确定依据与会计政策" w:id="333"/>
      <w:bookmarkEnd w:id="3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公司以内部组织结构、管理要求、内部报告制度等为依据确定经营分部。公司的经营分部是指同时满</w:t>
      </w:r>
    </w:p>
    <w:p>
      <w:pPr>
        <w:pStyle w:val="BodyText"/>
        <w:spacing w:line="240" w:lineRule="auto" w:before="37"/>
        <w:ind w:right="914"/>
        <w:jc w:val="left"/>
      </w:pPr>
      <w:r>
        <w:rPr/>
        <w:t>足下列条件的组成部分：</w:t>
      </w:r>
    </w:p>
    <w:p>
      <w:pPr>
        <w:pStyle w:val="BodyText"/>
        <w:spacing w:line="240" w:lineRule="auto" w:before="37"/>
        <w:ind w:left="573" w:right="914"/>
        <w:jc w:val="left"/>
      </w:pPr>
      <w:r>
        <w:rPr/>
        <w:t>①</w:t>
      </w:r>
      <w:r>
        <w:rPr>
          <w:spacing w:val="-1"/>
        </w:rPr>
        <w:t> </w:t>
      </w:r>
      <w:r>
        <w:rPr/>
        <w:t>该组成部分能够在日常活动中产生收入、发生费用；</w:t>
      </w:r>
    </w:p>
    <w:p>
      <w:pPr>
        <w:pStyle w:val="BodyText"/>
        <w:spacing w:line="240" w:lineRule="auto" w:before="37"/>
        <w:ind w:left="573" w:right="914"/>
        <w:jc w:val="left"/>
      </w:pPr>
      <w:r>
        <w:rPr/>
        <w:t>②</w:t>
      </w:r>
      <w:r>
        <w:rPr>
          <w:spacing w:val="-1"/>
        </w:rPr>
        <w:t> </w:t>
      </w:r>
      <w:r>
        <w:rPr/>
        <w:t>管理层能够定期评价该组成部分的经营成果，以决定向其配置资源、评价其业绩；</w:t>
      </w:r>
    </w:p>
    <w:p>
      <w:pPr>
        <w:pStyle w:val="BodyText"/>
        <w:spacing w:line="273" w:lineRule="auto" w:before="37"/>
        <w:ind w:left="574" w:right="914"/>
        <w:jc w:val="left"/>
      </w:pPr>
      <w:r>
        <w:rPr/>
        <w:t>③ 能够通过分析取得该组成部分的财务状况、经营成果和现金流量等有关会计信息。 </w:t>
      </w:r>
      <w:r>
        <w:rPr>
          <w:spacing w:val="-1"/>
        </w:rPr>
        <w:t>本公司以产品分部为基础确定报告分部，与各分部共同使用的资产、负债按照规模比例在不同的分部</w:t>
      </w:r>
    </w:p>
    <w:p>
      <w:pPr>
        <w:pStyle w:val="BodyText"/>
        <w:spacing w:line="240" w:lineRule="auto"/>
        <w:ind w:left="154" w:right="914"/>
        <w:jc w:val="left"/>
      </w:pPr>
      <w:r>
        <w:rPr/>
        <w:t>之间分配。</w:t>
      </w:r>
    </w:p>
    <w:p>
      <w:pPr>
        <w:pStyle w:val="BodyText"/>
        <w:spacing w:line="273" w:lineRule="auto" w:before="37"/>
        <w:ind w:left="154" w:right="1092" w:firstLine="420"/>
        <w:jc w:val="left"/>
      </w:pPr>
      <w:r>
        <w:rPr/>
        <w:t>本公司以地区分部为基础确定报告分部，主营业务收入、主营业务成本按最终实现销售地进行划分， 资产和负债按经营实体所在地进行划分。</w:t>
      </w:r>
    </w:p>
    <w:p>
      <w:pPr>
        <w:spacing w:line="240" w:lineRule="auto" w:before="8"/>
        <w:rPr>
          <w:rFonts w:ascii="宋体" w:hAnsi="宋体" w:cs="宋体" w:eastAsia="宋体" w:hint="default"/>
          <w:sz w:val="23"/>
          <w:szCs w:val="23"/>
        </w:rPr>
      </w:pPr>
    </w:p>
    <w:p>
      <w:pPr>
        <w:pStyle w:val="Heading4"/>
        <w:spacing w:line="240" w:lineRule="auto"/>
        <w:ind w:right="914"/>
        <w:jc w:val="left"/>
        <w:rPr>
          <w:b w:val="0"/>
          <w:bCs w:val="0"/>
        </w:rPr>
      </w:pPr>
      <w:bookmarkStart w:name="（2）报告分部的财务信息" w:id="334"/>
      <w:bookmarkEnd w:id="33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4" w:right="914"/>
        <w:jc w:val="left"/>
      </w:pPr>
      <w:r>
        <w:rPr/>
        <w:t>①产品分部的财务信息</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p>
      <w:pPr>
        <w:spacing w:line="3030" w:lineRule="exact"/>
        <w:ind w:left="154"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5905500" cy="1924050"/>
            <wp:effectExtent l="0" t="0" r="0" b="0"/>
            <wp:docPr id="35" name="image20.png" descr=""/>
            <wp:cNvGraphicFramePr>
              <a:graphicFrameLocks noChangeAspect="1"/>
            </wp:cNvGraphicFramePr>
            <a:graphic>
              <a:graphicData uri="http://schemas.openxmlformats.org/drawingml/2006/picture">
                <pic:pic>
                  <pic:nvPicPr>
                    <pic:cNvPr id="36" name="image20.png"/>
                    <pic:cNvPicPr/>
                  </pic:nvPicPr>
                  <pic:blipFill>
                    <a:blip r:embed="rId33" cstate="print"/>
                    <a:stretch>
                      <a:fillRect/>
                    </a:stretch>
                  </pic:blipFill>
                  <pic:spPr>
                    <a:xfrm>
                      <a:off x="0" y="0"/>
                      <a:ext cx="5905500" cy="1924050"/>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12"/>
        <w:rPr>
          <w:rFonts w:ascii="宋体" w:hAnsi="宋体" w:cs="宋体" w:eastAsia="宋体" w:hint="default"/>
          <w:sz w:val="8"/>
          <w:szCs w:val="8"/>
        </w:rPr>
      </w:pPr>
    </w:p>
    <w:p>
      <w:pPr>
        <w:pStyle w:val="BodyText"/>
        <w:spacing w:line="240" w:lineRule="auto" w:before="35"/>
        <w:ind w:left="573" w:right="914"/>
        <w:jc w:val="left"/>
      </w:pPr>
      <w:r>
        <w:rPr/>
        <w:t>②地区分部的财务信息</w:t>
      </w:r>
    </w:p>
    <w:p>
      <w:pPr>
        <w:spacing w:line="240" w:lineRule="auto" w:before="12"/>
        <w:rPr>
          <w:rFonts w:ascii="宋体" w:hAnsi="宋体" w:cs="宋体" w:eastAsia="宋体" w:hint="default"/>
          <w:sz w:val="14"/>
          <w:szCs w:val="14"/>
        </w:rPr>
      </w:pPr>
    </w:p>
    <w:p>
      <w:pPr>
        <w:spacing w:line="2520" w:lineRule="exact"/>
        <w:ind w:left="154"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5744210" cy="1600200"/>
            <wp:effectExtent l="0" t="0" r="0" b="0"/>
            <wp:docPr id="37" name="image21.png" descr=""/>
            <wp:cNvGraphicFramePr>
              <a:graphicFrameLocks noChangeAspect="1"/>
            </wp:cNvGraphicFramePr>
            <a:graphic>
              <a:graphicData uri="http://schemas.openxmlformats.org/drawingml/2006/picture">
                <pic:pic>
                  <pic:nvPicPr>
                    <pic:cNvPr id="38" name="image21.png"/>
                    <pic:cNvPicPr/>
                  </pic:nvPicPr>
                  <pic:blipFill>
                    <a:blip r:embed="rId34" cstate="print"/>
                    <a:stretch>
                      <a:fillRect/>
                    </a:stretch>
                  </pic:blipFill>
                  <pic:spPr>
                    <a:xfrm>
                      <a:off x="0" y="0"/>
                      <a:ext cx="5744210" cy="1600200"/>
                    </a:xfrm>
                    <a:prstGeom prst="rect">
                      <a:avLst/>
                    </a:prstGeom>
                  </pic:spPr>
                </pic:pic>
              </a:graphicData>
            </a:graphic>
          </wp:inline>
        </w:drawing>
      </w:r>
      <w:r>
        <w:rPr>
          <w:rFonts w:ascii="宋体" w:hAnsi="宋体" w:cs="宋体" w:eastAsia="宋体" w:hint="default"/>
          <w:position w:val="-49"/>
          <w:sz w:val="20"/>
          <w:szCs w:val="20"/>
        </w:rPr>
      </w:r>
    </w:p>
    <w:p>
      <w:pPr>
        <w:spacing w:line="240" w:lineRule="auto" w:before="0"/>
        <w:rPr>
          <w:rFonts w:ascii="宋体" w:hAnsi="宋体" w:cs="宋体" w:eastAsia="宋体" w:hint="default"/>
          <w:sz w:val="20"/>
          <w:szCs w:val="20"/>
        </w:rPr>
      </w:pPr>
    </w:p>
    <w:p>
      <w:pPr>
        <w:pStyle w:val="Heading2"/>
        <w:spacing w:line="240" w:lineRule="auto" w:before="146"/>
        <w:ind w:right="914"/>
        <w:jc w:val="left"/>
        <w:rPr>
          <w:b w:val="0"/>
          <w:bCs w:val="0"/>
        </w:rPr>
      </w:pPr>
      <w:bookmarkStart w:name="十五、母公司财务报表主要项目注释" w:id="335"/>
      <w:bookmarkEnd w:id="335"/>
      <w:r>
        <w:rPr>
          <w:b w:val="0"/>
          <w:bCs w:val="0"/>
        </w:rPr>
      </w: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14"/>
        <w:jc w:val="left"/>
        <w:rPr>
          <w:b w:val="0"/>
          <w:bCs w:val="0"/>
        </w:rPr>
      </w:pPr>
      <w:bookmarkStart w:name="1、应收账款" w:id="336"/>
      <w:bookmarkEnd w:id="33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4"/>
        <w:jc w:val="left"/>
        <w:rPr>
          <w:b w:val="0"/>
          <w:bCs w:val="0"/>
        </w:rPr>
      </w:pPr>
      <w:bookmarkStart w:name="（1）应收账款分类披露" w:id="337"/>
      <w:bookmarkEnd w:id="33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173,12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6,796.7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11,532,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283.28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161,59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4,513.4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39,50</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1.78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9,622,4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64.22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118,417,0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37.56</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173,12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6,796.7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11,532,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283.28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161,59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4,513.4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39,50</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1.78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9,622,4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64.22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118,417,0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37.56</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60" w:lineRule="auto" w:before="116"/>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6"/>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162,819,851.78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8,140,992.59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162,819,851.78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8,140,992.59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1,316,479.82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131,647.98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6,331,630.64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1,266,326.13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549,909.08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164,972.72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561,163.17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280,581.59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1,547,762.27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1,547,762.27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173,126,796.76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11,532,283.28</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60" w:lineRule="auto" w:before="116"/>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11"/>
        <w:rPr>
          <w:rFonts w:ascii="宋体" w:hAnsi="宋体" w:cs="宋体" w:eastAsia="宋体" w:hint="default"/>
          <w:sz w:val="19"/>
          <w:szCs w:val="19"/>
        </w:rPr>
      </w:pPr>
    </w:p>
    <w:p>
      <w:pPr>
        <w:pStyle w:val="Heading4"/>
        <w:spacing w:line="240" w:lineRule="auto"/>
        <w:ind w:right="914"/>
        <w:jc w:val="left"/>
        <w:rPr>
          <w:b w:val="0"/>
          <w:bCs w:val="0"/>
        </w:rPr>
      </w:pPr>
      <w:bookmarkStart w:name="（2）本期计提、收回或转回的坏账准备情况" w:id="338"/>
      <w:bookmarkEnd w:id="33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1,909,819.06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line="506" w:lineRule="auto" w:before="35"/>
        <w:ind w:left="574" w:right="5712" w:hanging="420"/>
        <w:jc w:val="left"/>
        <w:rPr>
          <w:rFonts w:ascii="宋体" w:hAnsi="宋体" w:cs="宋体" w:eastAsia="宋体" w:hint="default"/>
          <w:sz w:val="21"/>
          <w:szCs w:val="21"/>
        </w:rPr>
      </w:pPr>
      <w:r>
        <w:rPr/>
        <w:pict>
          <v:shape style="position:absolute;margin-left:56.699997pt;margin-top:52.233658pt;width:464.300003pt;height:102.0pt;mso-position-horizontal-relative:page;mso-position-vertical-relative:paragraph;z-index:-749752" type="#_x0000_t75" stroked="false">
            <v:imagedata r:id="rId35" o:title=""/>
          </v:shape>
        </w:pict>
      </w:r>
      <w:bookmarkStart w:name="（3）按欠款方归集的期末余额前五吊的应收账款情况" w:id="339"/>
      <w:bookmarkEnd w:id="3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t>期末应收账款中金额前五名的单位明细情况如下：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4"/>
        <w:spacing w:line="240" w:lineRule="auto"/>
        <w:ind w:left="153" w:right="914"/>
        <w:jc w:val="left"/>
        <w:rPr>
          <w:b w:val="0"/>
          <w:bCs w:val="0"/>
        </w:rPr>
      </w:pPr>
      <w:bookmarkStart w:name="2、其他应收款" w:id="340"/>
      <w:bookmarkEnd w:id="34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914"/>
        <w:jc w:val="left"/>
        <w:rPr>
          <w:b w:val="0"/>
          <w:bCs w:val="0"/>
        </w:rPr>
      </w:pPr>
      <w:bookmarkStart w:name="（1）其他应收款分类披露" w:id="341"/>
      <w:bookmarkEnd w:id="34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93"/>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2,146,5</w:t>
            </w:r>
          </w:p>
          <w:p>
            <w:pPr>
              <w:pStyle w:val="TableParagraph"/>
              <w:spacing w:line="240" w:lineRule="auto" w:before="106"/>
              <w:ind w:left="143" w:right="0"/>
              <w:jc w:val="center"/>
              <w:rPr>
                <w:rFonts w:ascii="Times New Roman" w:hAnsi="Times New Roman" w:cs="Times New Roman" w:eastAsia="Times New Roman" w:hint="default"/>
                <w:sz w:val="18"/>
                <w:szCs w:val="18"/>
              </w:rPr>
            </w:pPr>
            <w:r>
              <w:rPr>
                <w:rFonts w:ascii="Times New Roman"/>
                <w:sz w:val="18"/>
              </w:rPr>
              <w:t>09.45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213,17</w:t>
            </w:r>
          </w:p>
          <w:p>
            <w:pPr>
              <w:pStyle w:val="TableParagraph"/>
              <w:spacing w:line="240" w:lineRule="auto" w:before="106"/>
              <w:ind w:left="229" w:right="0"/>
              <w:jc w:val="center"/>
              <w:rPr>
                <w:rFonts w:ascii="Times New Roman" w:hAnsi="Times New Roman" w:cs="Times New Roman" w:eastAsia="Times New Roman" w:hint="default"/>
                <w:sz w:val="18"/>
                <w:szCs w:val="18"/>
              </w:rPr>
            </w:pPr>
            <w:r>
              <w:rPr>
                <w:rFonts w:ascii="Times New Roman"/>
                <w:sz w:val="18"/>
              </w:rPr>
              <w:t>6.92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1,933,3</w:t>
            </w:r>
          </w:p>
          <w:p>
            <w:pPr>
              <w:pStyle w:val="TableParagraph"/>
              <w:spacing w:line="240" w:lineRule="auto" w:before="106"/>
              <w:ind w:left="167" w:right="0"/>
              <w:jc w:val="center"/>
              <w:rPr>
                <w:rFonts w:ascii="Times New Roman" w:hAnsi="Times New Roman" w:cs="Times New Roman" w:eastAsia="Times New Roman" w:hint="default"/>
                <w:sz w:val="18"/>
                <w:szCs w:val="18"/>
              </w:rPr>
            </w:pPr>
            <w:r>
              <w:rPr>
                <w:rFonts w:ascii="Times New Roman"/>
                <w:sz w:val="18"/>
              </w:rPr>
              <w:t>32.53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3,244</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225,265</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sz w:val="18"/>
              </w:rPr>
              <w:t>.35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3,019,03</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2.13</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2,146,5</w:t>
            </w:r>
          </w:p>
          <w:p>
            <w:pPr>
              <w:pStyle w:val="TableParagraph"/>
              <w:spacing w:line="240" w:lineRule="auto" w:before="106"/>
              <w:ind w:left="143" w:right="0"/>
              <w:jc w:val="center"/>
              <w:rPr>
                <w:rFonts w:ascii="Times New Roman" w:hAnsi="Times New Roman" w:cs="Times New Roman" w:eastAsia="Times New Roman" w:hint="default"/>
                <w:sz w:val="18"/>
                <w:szCs w:val="18"/>
              </w:rPr>
            </w:pPr>
            <w:r>
              <w:rPr>
                <w:rFonts w:ascii="Times New Roman"/>
                <w:sz w:val="18"/>
              </w:rPr>
              <w:t>09.45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213,17</w:t>
            </w:r>
          </w:p>
          <w:p>
            <w:pPr>
              <w:pStyle w:val="TableParagraph"/>
              <w:spacing w:line="240" w:lineRule="auto" w:before="106"/>
              <w:ind w:left="229" w:right="0"/>
              <w:jc w:val="center"/>
              <w:rPr>
                <w:rFonts w:ascii="Times New Roman" w:hAnsi="Times New Roman" w:cs="Times New Roman" w:eastAsia="Times New Roman" w:hint="default"/>
                <w:sz w:val="18"/>
                <w:szCs w:val="18"/>
              </w:rPr>
            </w:pPr>
            <w:r>
              <w:rPr>
                <w:rFonts w:ascii="Times New Roman"/>
                <w:sz w:val="18"/>
              </w:rPr>
              <w:t>6.92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1,933,3</w:t>
            </w:r>
          </w:p>
          <w:p>
            <w:pPr>
              <w:pStyle w:val="TableParagraph"/>
              <w:spacing w:line="240" w:lineRule="auto" w:before="106"/>
              <w:ind w:left="167" w:right="0"/>
              <w:jc w:val="center"/>
              <w:rPr>
                <w:rFonts w:ascii="Times New Roman" w:hAnsi="Times New Roman" w:cs="Times New Roman" w:eastAsia="Times New Roman" w:hint="default"/>
                <w:sz w:val="18"/>
                <w:szCs w:val="18"/>
              </w:rPr>
            </w:pPr>
            <w:r>
              <w:rPr>
                <w:rFonts w:ascii="Times New Roman"/>
                <w:sz w:val="18"/>
              </w:rPr>
              <w:t>32.53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3,244</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225,265</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sz w:val="18"/>
              </w:rPr>
              <w:t>.35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3,019,03</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2.13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57" w:lineRule="auto" w:before="117"/>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9"/>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1,238,263.60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61,913.18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1,238,263.60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61,913.18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514,967.42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51,496.74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348,000.00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69,600.00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2,302.04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690.61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13,500.00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15,976.39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15,976.39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2,146,509.45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213,176.92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60" w:lineRule="auto" w:before="116"/>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6"/>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914"/>
        <w:jc w:val="left"/>
        <w:rPr>
          <w:b w:val="0"/>
          <w:bCs w:val="0"/>
        </w:rPr>
      </w:pPr>
      <w:bookmarkStart w:name="（2）本期计提、收回或转回的坏账准备情况" w:id="342"/>
      <w:bookmarkEnd w:id="34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-12,088.43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left="153" w:right="914"/>
        <w:jc w:val="left"/>
        <w:rPr>
          <w:b w:val="0"/>
          <w:bCs w:val="0"/>
        </w:rPr>
      </w:pPr>
      <w:bookmarkStart w:name="（3）其他应收款按款项性质分类情况" w:id="343"/>
      <w:bookmarkEnd w:id="343"/>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750,494.94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1,360,249.77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1,148,000.00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1,718,100.00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74,302.04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53,118.04</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173,712.47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112,829.67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2,146,509.45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3,244,297.48</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4）按欠款方归集的期末余额前五吊的其他应收款情况" w:id="344"/>
      <w:bookmarkEnd w:id="344"/>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2"/>
        <w:gridCol w:w="1615"/>
        <w:gridCol w:w="1615"/>
      </w:tblGrid>
      <w:tr>
        <w:trPr>
          <w:trHeight w:val="1021"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2" w:right="17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7"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750,494.94</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34.96%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37,524.75</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安徽双轮酒业有限 公司</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450,000.00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20.96%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北京红星股份有限 公司</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烟台市牟平区建设 局</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230,000.00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11,500.00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03" w:right="129"/>
              <w:jc w:val="both"/>
              <w:rPr>
                <w:rFonts w:ascii="宋体" w:hAnsi="宋体" w:cs="宋体" w:eastAsia="宋体" w:hint="default"/>
                <w:sz w:val="18"/>
                <w:szCs w:val="18"/>
              </w:rPr>
            </w:pPr>
            <w:r>
              <w:rPr>
                <w:rFonts w:ascii="宋体" w:hAnsi="宋体" w:cs="宋体" w:eastAsia="宋体" w:hint="default"/>
                <w:sz w:val="18"/>
                <w:szCs w:val="18"/>
              </w:rPr>
              <w:t>河北衡水老白干酒 业股份有限公司酿 酒分公司</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140,000.00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年以内及</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1,870,494.94</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95,524.75</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3、长期股权投资" w:id="345"/>
      <w:bookmarkEnd w:id="34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1,307,466,022.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1,307,466,022.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308,866,022.55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308,866,022.55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1,307,466,022.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1,307,466,022.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308,866,022.55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308,866,022.55</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1）对子公司投资" w:id="346"/>
      <w:bookmarkEnd w:id="34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成都海川制盖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29,886,223.64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29,886,223.64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烟台和俊制盖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15,332,945.99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15,332,945.99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北京鹏和祥包 装制品有限公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1,758,434.60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1,758,434.60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大冶劲鹏制盖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40,528,418.32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40,528,418.32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新疆军鹏制盖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亳州丽鹏制盖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136,560,000.0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136,560,000.0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四川泸州丽鹏 制盖有限公司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山东丽鹏国际 贸易有限公司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烟台丽鹏包装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重庆华宇园林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998,600,000.0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998,600,000.0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308,866,022.5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998,600,000.0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1,307,466,022.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520" w:lineRule="auto" w:before="35"/>
        <w:ind w:left="153" w:right="5293" w:firstLine="0"/>
        <w:jc w:val="left"/>
        <w:rPr>
          <w:rFonts w:ascii="宋体" w:hAnsi="宋体" w:cs="宋体" w:eastAsia="宋体" w:hint="default"/>
          <w:sz w:val="21"/>
          <w:szCs w:val="21"/>
        </w:rPr>
      </w:pPr>
      <w:bookmarkStart w:name="（2）其他说明" w:id="347"/>
      <w:bookmarkEnd w:id="3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t>报告期长期股权投资未发生减值情况，故未计提减值准备。 </w:t>
      </w:r>
      <w:bookmarkStart w:name="4、营业收入和营业成本" w:id="348"/>
      <w:bookmarkEnd w:id="348"/>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before="7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424,209,530.45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351,413,297.08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447,611,657.40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366,332,780.47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28,744,062.44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25,654,917.52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37,067,094.91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34,887,289.28</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452,953,592.89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377,068,214.60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484,678,752.31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401,220,069.75</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5、投资收益" w:id="349"/>
      <w:bookmarkEnd w:id="34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5,610,293.35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5,330,867.73</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 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177,937.18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127,053.44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5,737,346.79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5,508,804.91</w:t>
            </w:r>
          </w:p>
        </w:tc>
      </w:tr>
    </w:tbl>
    <w:p>
      <w:pPr>
        <w:spacing w:line="240" w:lineRule="auto" w:before="2"/>
        <w:rPr>
          <w:rFonts w:ascii="宋体" w:hAnsi="宋体" w:cs="宋体" w:eastAsia="宋体" w:hint="default"/>
          <w:sz w:val="18"/>
          <w:szCs w:val="18"/>
        </w:rPr>
      </w:pPr>
    </w:p>
    <w:p>
      <w:pPr>
        <w:pStyle w:val="Heading2"/>
        <w:spacing w:line="240" w:lineRule="auto" w:before="26"/>
        <w:ind w:right="914"/>
        <w:jc w:val="left"/>
        <w:rPr>
          <w:b w:val="0"/>
          <w:bCs w:val="0"/>
        </w:rPr>
      </w:pPr>
      <w:bookmarkStart w:name="十六、补充资料" w:id="350"/>
      <w:bookmarkEnd w:id="350"/>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4"/>
        <w:jc w:val="left"/>
        <w:rPr>
          <w:b w:val="0"/>
          <w:bCs w:val="0"/>
        </w:rPr>
      </w:pPr>
      <w:bookmarkStart w:name="1、当期非经常性损益明细表" w:id="351"/>
      <w:bookmarkEnd w:id="35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-512,700.91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9,349,936.97</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9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127,053.44</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-818,076.66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1,477,573.26</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49,878.86</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6,618,760.72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914"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69"/>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914"/>
        <w:jc w:val="left"/>
        <w:rPr>
          <w:b w:val="0"/>
          <w:bCs w:val="0"/>
        </w:rPr>
      </w:pPr>
      <w:bookmarkStart w:name="2、净资产收益率及每股收益" w:id="352"/>
      <w:bookmarkEnd w:id="35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403"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1"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36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润</w:t>
            </w:r>
          </w:p>
        </w:tc>
        <w:tc>
          <w:tcPr>
            <w:tcW w:w="308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0.13</w:t>
            </w:r>
          </w:p>
        </w:tc>
      </w:tr>
    </w:tbl>
    <w:p>
      <w:pPr>
        <w:spacing w:line="240" w:lineRule="auto" w:before="3"/>
        <w:rPr>
          <w:rFonts w:ascii="宋体" w:hAnsi="宋体" w:cs="宋体" w:eastAsia="宋体" w:hint="default"/>
          <w:b/>
          <w:bCs/>
          <w:sz w:val="19"/>
          <w:szCs w:val="19"/>
        </w:rPr>
      </w:pPr>
    </w:p>
    <w:p>
      <w:pPr>
        <w:pStyle w:val="Heading4"/>
        <w:spacing w:line="240" w:lineRule="auto" w:before="35"/>
        <w:ind w:right="914"/>
        <w:jc w:val="left"/>
        <w:rPr>
          <w:b w:val="0"/>
          <w:bCs w:val="0"/>
        </w:rPr>
      </w:pPr>
      <w:bookmarkStart w:name="3、会计政策变更相关补充资料" w:id="353"/>
      <w:bookmarkEnd w:id="353"/>
      <w:r>
        <w:rPr>
          <w:b w:val="0"/>
          <w:bCs w:val="0"/>
        </w:rPr>
      </w: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spacing w:before="0"/>
        <w:ind w:left="154" w:right="91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154" w:right="914"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号——长期股权投资》等八项会计准则变更了相关会计政策并对比较财</w:t>
      </w:r>
    </w:p>
    <w:p>
      <w:pPr>
        <w:spacing w:before="64"/>
        <w:ind w:left="153" w:right="914"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348,023,240.02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192,174,787.52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183,865,705.05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17,278,007.00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15,931,451.00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9,656,390.51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85,319,157.45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108,617,678.96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415,520,964.60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20,675,499.60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10,213,302.36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8,417,282.00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2,957,544.20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5,926,910.03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71,368,070.43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163,401,696.25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185,837,122.61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744,985,280.59</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199,252.75</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705,828.72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38,487,409.46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49,661,573.92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28,853,605.49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676,341,806.73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568,362,826.40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1,463,373,127.39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13,287,495.00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10,550,000.00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290,480,420.03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247,910.16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291,084.22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270,377.08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437,515,141.00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659,521,542.29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750,724,317.92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40,875,949.94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14,589,250.99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13,045,449.53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32,546,440.75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33,016,879.68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32,439,739.91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296,278,562.27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759,894.57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4,292,565.56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4,164,286.03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10,733,083.51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26,888,894.38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15,824,658.59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22,625,620.09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555,654,396.79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737,957,701.80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1,427,907,464.91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1,231,996,203.52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1,306,320,528.20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2,891,280,592.30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377,500,000.00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59,681,891.56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71,039,904.59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388,158,042.55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8,414,471.55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10,863,777.05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8,962,224.06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5,738,636.25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6,633,717.57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12,172,147.45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7,046,411.80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7,555,622.28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51,950,954.02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580,766.71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887,670.87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1,401,552.28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1,131,057.13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31,155,282.15</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1,444,166.67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1,787,500.00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404,282,963.44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456,249,012.00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946,073,821.10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33,580,000.00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15,885,833.33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17,875,000.03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15,885,833.33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51,455,000.03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404,282,963.44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472,134,845.33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997,528,821.13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106,338,461.00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191,409,229.00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329,653,221.00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546,418,892.48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461,348,124.48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1,359,296,207.78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10,954,200.39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13,222,677.81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14,655,398.57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139,072,391.51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142,738,729.82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163,086,079.58</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802,783,945.38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808,718,761.11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1,866,690,906.93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24,929,294.70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25,466,921.76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27,060,864.24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827,713,240.08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834,185,682.87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1,893,751,771.17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1,231,996,203.52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1,306,320,528.20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2,891,280,592.30</w:t>
            </w:r>
          </w:p>
        </w:tc>
      </w:tr>
    </w:tbl>
    <w:p>
      <w:pPr>
        <w:spacing w:line="240" w:lineRule="auto" w:before="2"/>
        <w:rPr>
          <w:rFonts w:ascii="宋体" w:hAnsi="宋体" w:cs="宋体" w:eastAsia="宋体" w:hint="default"/>
          <w:sz w:val="19"/>
          <w:szCs w:val="19"/>
        </w:rPr>
      </w:pPr>
    </w:p>
    <w:p>
      <w:pPr>
        <w:pStyle w:val="Heading4"/>
        <w:spacing w:line="240" w:lineRule="auto" w:before="35"/>
        <w:ind w:right="914"/>
        <w:jc w:val="left"/>
        <w:rPr>
          <w:b w:val="0"/>
          <w:bCs w:val="0"/>
        </w:rPr>
      </w:pPr>
      <w:bookmarkStart w:name="4、其他" w:id="354"/>
      <w:bookmarkEnd w:id="354"/>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693" w:right="914"/>
        <w:jc w:val="left"/>
        <w:rPr>
          <w:b w:val="0"/>
          <w:bCs w:val="0"/>
        </w:rPr>
      </w:pPr>
      <w:r>
        <w:rPr/>
        <w:t>公司主要会计报表项目的异常情况及原因的说明</w:t>
      </w:r>
      <w:r>
        <w:rPr>
          <w:b w:val="0"/>
          <w:bCs w:val="0"/>
        </w:rPr>
      </w:r>
    </w:p>
    <w:p>
      <w:pPr>
        <w:pStyle w:val="BodyText"/>
        <w:spacing w:line="273" w:lineRule="auto" w:before="157"/>
        <w:ind w:left="154" w:right="914" w:firstLine="420"/>
        <w:jc w:val="left"/>
      </w:pPr>
      <w:r>
        <w:rPr/>
        <w:t>（</w:t>
      </w:r>
      <w:r>
        <w:rPr>
          <w:rFonts w:ascii="宋体" w:hAnsi="宋体" w:cs="宋体" w:eastAsia="宋体" w:hint="default"/>
        </w:rPr>
        <w:t>1</w:t>
      </w:r>
      <w:r>
        <w:rPr/>
        <w:t>）应收票据：</w:t>
      </w:r>
      <w:r>
        <w:rPr>
          <w:rFonts w:ascii="宋体" w:hAnsi="宋体" w:cs="宋体" w:eastAsia="宋体" w:hint="default"/>
        </w:rPr>
        <w:t>2014</w:t>
      </w:r>
      <w:r>
        <w:rPr/>
        <w:t>年期末金额较</w:t>
      </w:r>
      <w:r>
        <w:rPr>
          <w:rFonts w:ascii="宋体" w:hAnsi="宋体" w:cs="宋体" w:eastAsia="宋体" w:hint="default"/>
        </w:rPr>
        <w:t>2013</w:t>
      </w:r>
      <w:r>
        <w:rPr/>
        <w:t>年期末金额减少</w:t>
      </w:r>
      <w:r>
        <w:rPr>
          <w:rFonts w:ascii="宋体" w:hAnsi="宋体" w:cs="宋体" w:eastAsia="宋体" w:hint="default"/>
        </w:rPr>
        <w:t>39.39%</w:t>
      </w:r>
      <w:r>
        <w:rPr/>
        <w:t>，主要原因是公司本期应收票据背书 使用较多所致。</w:t>
      </w:r>
    </w:p>
    <w:p>
      <w:pPr>
        <w:pStyle w:val="BodyText"/>
        <w:spacing w:line="273" w:lineRule="auto" w:before="8"/>
        <w:ind w:left="154" w:right="914" w:firstLine="420"/>
        <w:jc w:val="left"/>
      </w:pPr>
      <w:r>
        <w:rPr>
          <w:spacing w:val="-1"/>
        </w:rPr>
        <w:t>（</w:t>
      </w:r>
      <w:r>
        <w:rPr>
          <w:rFonts w:ascii="宋体" w:hAnsi="宋体" w:cs="宋体" w:eastAsia="宋体" w:hint="default"/>
          <w:spacing w:val="-1"/>
        </w:rPr>
        <w:t>2</w:t>
      </w:r>
      <w:r>
        <w:rPr>
          <w:spacing w:val="-1"/>
        </w:rPr>
        <w:t>）应收账款：</w:t>
      </w:r>
      <w:r>
        <w:rPr>
          <w:rFonts w:ascii="宋体" w:hAnsi="宋体" w:cs="宋体" w:eastAsia="宋体" w:hint="default"/>
          <w:spacing w:val="-1"/>
        </w:rPr>
        <w:t>2014</w:t>
      </w:r>
      <w:r>
        <w:rPr>
          <w:spacing w:val="-1"/>
        </w:rPr>
        <w:t>年期末金额较</w:t>
      </w:r>
      <w:r>
        <w:rPr>
          <w:rFonts w:ascii="宋体" w:hAnsi="宋体" w:cs="宋体" w:eastAsia="宋体" w:hint="default"/>
          <w:spacing w:val="-1"/>
        </w:rPr>
        <w:t>2013</w:t>
      </w:r>
      <w:r>
        <w:rPr>
          <w:spacing w:val="-1"/>
        </w:rPr>
        <w:t>年期末金额增加</w:t>
      </w:r>
      <w:r>
        <w:rPr>
          <w:rFonts w:ascii="宋体" w:hAnsi="宋体" w:cs="宋体" w:eastAsia="宋体" w:hint="default"/>
          <w:spacing w:val="-1"/>
        </w:rPr>
        <w:t>282.55%</w:t>
      </w:r>
      <w:r>
        <w:rPr>
          <w:spacing w:val="-1"/>
        </w:rPr>
        <w:t>，主要原因是公司进行企业合并，被</w:t>
      </w:r>
      <w:r>
        <w:rPr/>
        <w:t> 合并方结存应收账款较多所致。</w:t>
      </w:r>
    </w:p>
    <w:p>
      <w:pPr>
        <w:pStyle w:val="BodyText"/>
        <w:spacing w:line="273" w:lineRule="auto"/>
        <w:ind w:right="914" w:firstLine="420"/>
        <w:jc w:val="left"/>
      </w:pPr>
      <w:r>
        <w:rPr>
          <w:spacing w:val="-1"/>
        </w:rPr>
        <w:t>（</w:t>
      </w:r>
      <w:r>
        <w:rPr>
          <w:rFonts w:ascii="宋体" w:hAnsi="宋体" w:cs="宋体" w:eastAsia="宋体" w:hint="default"/>
          <w:spacing w:val="-1"/>
        </w:rPr>
        <w:t>3</w:t>
      </w:r>
      <w:r>
        <w:rPr>
          <w:spacing w:val="-1"/>
        </w:rPr>
        <w:t>）其他应收款：</w:t>
      </w:r>
      <w:r>
        <w:rPr>
          <w:rFonts w:ascii="宋体" w:hAnsi="宋体" w:cs="宋体" w:eastAsia="宋体" w:hint="default"/>
          <w:spacing w:val="-1"/>
        </w:rPr>
        <w:t>2014</w:t>
      </w:r>
      <w:r>
        <w:rPr>
          <w:spacing w:val="-1"/>
        </w:rPr>
        <w:t>年期末金额较</w:t>
      </w:r>
      <w:r>
        <w:rPr>
          <w:rFonts w:ascii="宋体" w:hAnsi="宋体" w:cs="宋体" w:eastAsia="宋体" w:hint="default"/>
          <w:spacing w:val="-1"/>
        </w:rPr>
        <w:t>2013</w:t>
      </w:r>
      <w:r>
        <w:rPr>
          <w:spacing w:val="-1"/>
        </w:rPr>
        <w:t>年期末金额增加</w:t>
      </w:r>
      <w:r>
        <w:rPr>
          <w:rFonts w:ascii="宋体" w:hAnsi="宋体" w:cs="宋体" w:eastAsia="宋体" w:hint="default"/>
          <w:spacing w:val="-1"/>
        </w:rPr>
        <w:t>1104.14%</w:t>
      </w:r>
      <w:r>
        <w:rPr>
          <w:spacing w:val="-1"/>
        </w:rPr>
        <w:t>，主要原因是公司进行企业合并，</w:t>
      </w:r>
      <w:r>
        <w:rPr/>
        <w:t> 被合并方结存其他应收款较多所致。</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914" w:firstLine="420"/>
        <w:jc w:val="left"/>
      </w:pPr>
      <w:r>
        <w:rPr>
          <w:spacing w:val="-1"/>
        </w:rPr>
        <w:t>（</w:t>
      </w:r>
      <w:r>
        <w:rPr>
          <w:rFonts w:ascii="宋体" w:hAnsi="宋体" w:cs="宋体" w:eastAsia="宋体" w:hint="default"/>
          <w:spacing w:val="-1"/>
        </w:rPr>
        <w:t>4</w:t>
      </w:r>
      <w:r>
        <w:rPr>
          <w:spacing w:val="-1"/>
        </w:rPr>
        <w:t>）存货：</w:t>
      </w:r>
      <w:r>
        <w:rPr>
          <w:rFonts w:ascii="宋体" w:hAnsi="宋体" w:cs="宋体" w:eastAsia="宋体" w:hint="default"/>
          <w:spacing w:val="-1"/>
        </w:rPr>
        <w:t>2014</w:t>
      </w:r>
      <w:r>
        <w:rPr>
          <w:spacing w:val="-1"/>
        </w:rPr>
        <w:t>年期末金额较</w:t>
      </w:r>
      <w:r>
        <w:rPr>
          <w:rFonts w:ascii="宋体" w:hAnsi="宋体" w:cs="宋体" w:eastAsia="宋体" w:hint="default"/>
          <w:spacing w:val="-1"/>
        </w:rPr>
        <w:t>2013</w:t>
      </w:r>
      <w:r>
        <w:rPr>
          <w:spacing w:val="-1"/>
        </w:rPr>
        <w:t>年期末金额增加</w:t>
      </w:r>
      <w:r>
        <w:rPr>
          <w:rFonts w:ascii="宋体" w:hAnsi="宋体" w:cs="宋体" w:eastAsia="宋体" w:hint="default"/>
          <w:spacing w:val="-1"/>
        </w:rPr>
        <w:t>300.88%</w:t>
      </w:r>
      <w:r>
        <w:rPr>
          <w:spacing w:val="-1"/>
        </w:rPr>
        <w:t>，主要原因是公司进行企业合并，被合并</w:t>
      </w:r>
      <w:r>
        <w:rPr/>
        <w:t> 方结存存货较多所致。</w:t>
      </w:r>
    </w:p>
    <w:p>
      <w:pPr>
        <w:pStyle w:val="BodyText"/>
        <w:spacing w:line="273" w:lineRule="auto"/>
        <w:ind w:left="154" w:right="914" w:firstLine="420"/>
        <w:jc w:val="left"/>
      </w:pPr>
      <w:r>
        <w:rPr>
          <w:spacing w:val="-1"/>
        </w:rPr>
        <w:t>（</w:t>
      </w:r>
      <w:r>
        <w:rPr>
          <w:rFonts w:ascii="宋体" w:hAnsi="宋体" w:cs="宋体" w:eastAsia="宋体" w:hint="default"/>
          <w:spacing w:val="-1"/>
        </w:rPr>
        <w:t>5</w:t>
      </w:r>
      <w:r>
        <w:rPr>
          <w:spacing w:val="-1"/>
        </w:rPr>
        <w:t>）一年内到期的非流动资产：</w:t>
      </w:r>
      <w:r>
        <w:rPr>
          <w:rFonts w:ascii="宋体" w:hAnsi="宋体" w:cs="宋体" w:eastAsia="宋体" w:hint="default"/>
          <w:spacing w:val="-1"/>
        </w:rPr>
        <w:t>2014</w:t>
      </w:r>
      <w:r>
        <w:rPr>
          <w:spacing w:val="-1"/>
        </w:rPr>
        <w:t>年期末金额较</w:t>
      </w:r>
      <w:r>
        <w:rPr>
          <w:rFonts w:ascii="宋体" w:hAnsi="宋体" w:cs="宋体" w:eastAsia="宋体" w:hint="default"/>
          <w:spacing w:val="-1"/>
        </w:rPr>
        <w:t>2013</w:t>
      </w:r>
      <w:r>
        <w:rPr>
          <w:spacing w:val="-1"/>
        </w:rPr>
        <w:t>年期末金额增加</w:t>
      </w:r>
      <w:r>
        <w:rPr>
          <w:rFonts w:ascii="宋体" w:hAnsi="宋体" w:cs="宋体" w:eastAsia="宋体" w:hint="default"/>
          <w:spacing w:val="-1"/>
        </w:rPr>
        <w:t>100.00%</w:t>
      </w:r>
      <w:r>
        <w:rPr>
          <w:spacing w:val="-1"/>
        </w:rPr>
        <w:t>，主要原因是本期存</w:t>
      </w:r>
      <w:r>
        <w:rPr/>
        <w:t> 在长期待摊费用，公司根据相关规定将下年度摊销的长期待摊费用调入一年内到期的非流动资产所致。</w:t>
      </w:r>
    </w:p>
    <w:p>
      <w:pPr>
        <w:pStyle w:val="BodyText"/>
        <w:spacing w:line="273" w:lineRule="auto" w:before="8"/>
        <w:ind w:right="914" w:firstLine="420"/>
        <w:jc w:val="left"/>
      </w:pPr>
      <w:r>
        <w:rPr/>
        <w:t>（</w:t>
      </w:r>
      <w:r>
        <w:rPr>
          <w:rFonts w:ascii="宋体" w:hAnsi="宋体" w:cs="宋体" w:eastAsia="宋体" w:hint="default"/>
        </w:rPr>
        <w:t>6</w:t>
      </w:r>
      <w:r>
        <w:rPr/>
        <w:t>）其他流动资产：</w:t>
      </w:r>
      <w:r>
        <w:rPr>
          <w:rFonts w:ascii="宋体" w:hAnsi="宋体" w:cs="宋体" w:eastAsia="宋体" w:hint="default"/>
        </w:rPr>
        <w:t>2014</w:t>
      </w:r>
      <w:r>
        <w:rPr/>
        <w:t>年期末金额较</w:t>
      </w:r>
      <w:r>
        <w:rPr>
          <w:rFonts w:ascii="宋体" w:hAnsi="宋体" w:cs="宋体" w:eastAsia="宋体" w:hint="default"/>
        </w:rPr>
        <w:t>2013</w:t>
      </w:r>
      <w:r>
        <w:rPr/>
        <w:t>年期末金额减少</w:t>
      </w:r>
      <w:r>
        <w:rPr>
          <w:rFonts w:ascii="宋体" w:hAnsi="宋体" w:cs="宋体" w:eastAsia="宋体" w:hint="default"/>
        </w:rPr>
        <w:t>41.90%</w:t>
      </w:r>
      <w:r>
        <w:rPr/>
        <w:t>，主要原因是期末待抵扣增值税 及银行理财产品投资减少所致。</w:t>
      </w:r>
    </w:p>
    <w:p>
      <w:pPr>
        <w:pStyle w:val="BodyText"/>
        <w:spacing w:line="273" w:lineRule="auto"/>
        <w:ind w:right="914" w:firstLine="420"/>
        <w:jc w:val="left"/>
      </w:pPr>
      <w:r>
        <w:rPr/>
        <w:t>（</w:t>
      </w:r>
      <w:r>
        <w:rPr>
          <w:rFonts w:ascii="宋体" w:hAnsi="宋体" w:cs="宋体" w:eastAsia="宋体" w:hint="default"/>
        </w:rPr>
        <w:t>7</w:t>
      </w:r>
      <w:r>
        <w:rPr/>
        <w:t>）长期应收款：</w:t>
      </w:r>
      <w:r>
        <w:rPr>
          <w:rFonts w:ascii="宋体" w:hAnsi="宋体" w:cs="宋体" w:eastAsia="宋体" w:hint="default"/>
        </w:rPr>
        <w:t>2014</w:t>
      </w:r>
      <w:r>
        <w:rPr/>
        <w:t>年期末金额较</w:t>
      </w:r>
      <w:r>
        <w:rPr>
          <w:rFonts w:ascii="宋体" w:hAnsi="宋体" w:cs="宋体" w:eastAsia="宋体" w:hint="default"/>
        </w:rPr>
        <w:t>2013</w:t>
      </w:r>
      <w:r>
        <w:rPr/>
        <w:t>年期末金额增加较多，主要原因是公司进行企业合并，被 合并方结存长期应收款较多所致。</w:t>
      </w:r>
    </w:p>
    <w:p>
      <w:pPr>
        <w:pStyle w:val="BodyText"/>
        <w:spacing w:line="273" w:lineRule="auto"/>
        <w:ind w:right="914" w:firstLine="420"/>
        <w:jc w:val="left"/>
      </w:pPr>
      <w:r>
        <w:rPr/>
        <w:t>（</w:t>
      </w:r>
      <w:r>
        <w:rPr>
          <w:rFonts w:ascii="宋体" w:hAnsi="宋体" w:cs="宋体" w:eastAsia="宋体" w:hint="default"/>
        </w:rPr>
        <w:t>8</w:t>
      </w:r>
      <w:r>
        <w:rPr/>
        <w:t>）商誉：</w:t>
      </w:r>
      <w:r>
        <w:rPr>
          <w:rFonts w:ascii="宋体" w:hAnsi="宋体" w:cs="宋体" w:eastAsia="宋体" w:hint="default"/>
        </w:rPr>
        <w:t>2014</w:t>
      </w:r>
      <w:r>
        <w:rPr/>
        <w:t>年期末金额较</w:t>
      </w:r>
      <w:r>
        <w:rPr>
          <w:rFonts w:ascii="宋体" w:hAnsi="宋体" w:cs="宋体" w:eastAsia="宋体" w:hint="default"/>
        </w:rPr>
        <w:t>2013</w:t>
      </w:r>
      <w:r>
        <w:rPr/>
        <w:t>年期末金额增加较多，主要原因是公司进行企业合并，形成合并 商誉所致。</w:t>
      </w:r>
    </w:p>
    <w:p>
      <w:pPr>
        <w:pStyle w:val="BodyText"/>
        <w:spacing w:line="273" w:lineRule="auto"/>
        <w:ind w:right="914" w:firstLine="420"/>
        <w:jc w:val="left"/>
      </w:pPr>
      <w:r>
        <w:rPr/>
        <w:t>（</w:t>
      </w:r>
      <w:r>
        <w:rPr>
          <w:rFonts w:ascii="宋体" w:hAnsi="宋体" w:cs="宋体" w:eastAsia="宋体" w:hint="default"/>
        </w:rPr>
        <w:t>9</w:t>
      </w:r>
      <w:r>
        <w:rPr/>
        <w:t>）长期待摊费用：</w:t>
      </w:r>
      <w:r>
        <w:rPr>
          <w:rFonts w:ascii="宋体" w:hAnsi="宋体" w:cs="宋体" w:eastAsia="宋体" w:hint="default"/>
        </w:rPr>
        <w:t>2014</w:t>
      </w:r>
      <w:r>
        <w:rPr/>
        <w:t>年期末金额较</w:t>
      </w:r>
      <w:r>
        <w:rPr>
          <w:rFonts w:ascii="宋体" w:hAnsi="宋体" w:cs="宋体" w:eastAsia="宋体" w:hint="default"/>
        </w:rPr>
        <w:t>2013</w:t>
      </w:r>
      <w:r>
        <w:rPr/>
        <w:t>年期末金额增加较多，主要原因是公司进行企业合并， 被合并方结存长期待摊费用所致。</w:t>
      </w:r>
    </w:p>
    <w:p>
      <w:pPr>
        <w:pStyle w:val="BodyText"/>
        <w:spacing w:line="273" w:lineRule="auto"/>
        <w:ind w:right="914" w:firstLine="420"/>
        <w:jc w:val="left"/>
      </w:pPr>
      <w:r>
        <w:rPr/>
        <w:t>（</w:t>
      </w:r>
      <w:r>
        <w:rPr>
          <w:rFonts w:ascii="宋体" w:hAnsi="宋体" w:cs="宋体" w:eastAsia="宋体" w:hint="default"/>
        </w:rPr>
        <w:t>10</w:t>
      </w:r>
      <w:r>
        <w:rPr/>
        <w:t>）递延所得税资产：</w:t>
      </w:r>
      <w:r>
        <w:rPr>
          <w:rFonts w:ascii="宋体" w:hAnsi="宋体" w:cs="宋体" w:eastAsia="宋体" w:hint="default"/>
        </w:rPr>
        <w:t>2014</w:t>
      </w:r>
      <w:r>
        <w:rPr/>
        <w:t>年期末金额较</w:t>
      </w:r>
      <w:r>
        <w:rPr>
          <w:rFonts w:ascii="宋体" w:hAnsi="宋体" w:cs="宋体" w:eastAsia="宋体" w:hint="default"/>
        </w:rPr>
        <w:t>2013</w:t>
      </w:r>
      <w:r>
        <w:rPr/>
        <w:t>年期末金额增加</w:t>
      </w:r>
      <w:r>
        <w:rPr>
          <w:rFonts w:ascii="宋体" w:hAnsi="宋体" w:cs="宋体" w:eastAsia="宋体" w:hint="default"/>
        </w:rPr>
        <w:t>157.74%</w:t>
      </w:r>
      <w:r>
        <w:rPr/>
        <w:t>，主要原因是公司进行企业 合并，被合并方结存递延所得税资产较多所致。</w:t>
      </w:r>
    </w:p>
    <w:p>
      <w:pPr>
        <w:pStyle w:val="BodyText"/>
        <w:spacing w:line="273" w:lineRule="auto"/>
        <w:ind w:right="914" w:firstLine="420"/>
        <w:jc w:val="left"/>
      </w:pPr>
      <w:r>
        <w:rPr>
          <w:spacing w:val="-1"/>
        </w:rPr>
        <w:t>（</w:t>
      </w:r>
      <w:r>
        <w:rPr>
          <w:rFonts w:ascii="宋体" w:hAnsi="宋体" w:cs="宋体" w:eastAsia="宋体" w:hint="default"/>
          <w:spacing w:val="-1"/>
        </w:rPr>
        <w:t>11</w:t>
      </w:r>
      <w:r>
        <w:rPr>
          <w:spacing w:val="-1"/>
        </w:rPr>
        <w:t>）其他非流动资产：</w:t>
      </w:r>
      <w:r>
        <w:rPr>
          <w:rFonts w:ascii="宋体" w:hAnsi="宋体" w:cs="宋体" w:eastAsia="宋体" w:hint="default"/>
          <w:spacing w:val="-1"/>
        </w:rPr>
        <w:t>2014</w:t>
      </w:r>
      <w:r>
        <w:rPr>
          <w:spacing w:val="-1"/>
        </w:rPr>
        <w:t>年期末金额较</w:t>
      </w:r>
      <w:r>
        <w:rPr>
          <w:rFonts w:ascii="宋体" w:hAnsi="宋体" w:cs="宋体" w:eastAsia="宋体" w:hint="default"/>
          <w:spacing w:val="-1"/>
        </w:rPr>
        <w:t>2013</w:t>
      </w:r>
      <w:r>
        <w:rPr>
          <w:spacing w:val="-1"/>
        </w:rPr>
        <w:t>年期末金额增加</w:t>
      </w:r>
      <w:r>
        <w:rPr>
          <w:rFonts w:ascii="宋体" w:hAnsi="宋体" w:cs="宋体" w:eastAsia="宋体" w:hint="default"/>
          <w:spacing w:val="-1"/>
        </w:rPr>
        <w:t>42.98%</w:t>
      </w:r>
      <w:r>
        <w:rPr>
          <w:spacing w:val="-1"/>
        </w:rPr>
        <w:t>，主要原因是公司预付土地款</w:t>
      </w:r>
      <w:r>
        <w:rPr/>
        <w:t> 增加所致。</w:t>
      </w:r>
    </w:p>
    <w:p>
      <w:pPr>
        <w:pStyle w:val="BodyText"/>
        <w:spacing w:line="273" w:lineRule="auto"/>
        <w:ind w:right="914" w:firstLine="420"/>
        <w:jc w:val="left"/>
      </w:pPr>
      <w:r>
        <w:rPr>
          <w:spacing w:val="-1"/>
        </w:rPr>
        <w:t>（</w:t>
      </w:r>
      <w:r>
        <w:rPr>
          <w:rFonts w:ascii="宋体" w:hAnsi="宋体" w:cs="宋体" w:eastAsia="宋体" w:hint="default"/>
          <w:spacing w:val="-1"/>
        </w:rPr>
        <w:t>12</w:t>
      </w:r>
      <w:r>
        <w:rPr>
          <w:spacing w:val="-1"/>
        </w:rPr>
        <w:t>）应付票据：</w:t>
      </w:r>
      <w:r>
        <w:rPr>
          <w:rFonts w:ascii="宋体" w:hAnsi="宋体" w:cs="宋体" w:eastAsia="宋体" w:hint="default"/>
          <w:spacing w:val="-1"/>
        </w:rPr>
        <w:t>2014</w:t>
      </w:r>
      <w:r>
        <w:rPr>
          <w:spacing w:val="-1"/>
        </w:rPr>
        <w:t>年期末金额较</w:t>
      </w:r>
      <w:r>
        <w:rPr>
          <w:rFonts w:ascii="宋体" w:hAnsi="宋体" w:cs="宋体" w:eastAsia="宋体" w:hint="default"/>
          <w:spacing w:val="-1"/>
        </w:rPr>
        <w:t>2013</w:t>
      </w:r>
      <w:r>
        <w:rPr>
          <w:spacing w:val="-1"/>
        </w:rPr>
        <w:t>年期末金额增加</w:t>
      </w:r>
      <w:r>
        <w:rPr>
          <w:rFonts w:ascii="宋体" w:hAnsi="宋体" w:cs="宋体" w:eastAsia="宋体" w:hint="default"/>
          <w:spacing w:val="-1"/>
        </w:rPr>
        <w:t>40.43%</w:t>
      </w:r>
      <w:r>
        <w:rPr>
          <w:spacing w:val="-1"/>
        </w:rPr>
        <w:t>，主要原因是公司进行企业合并，被</w:t>
      </w:r>
      <w:r>
        <w:rPr/>
        <w:t> 合并方结存应付票据较多所致。</w:t>
      </w:r>
    </w:p>
    <w:p>
      <w:pPr>
        <w:pStyle w:val="BodyText"/>
        <w:spacing w:line="273" w:lineRule="auto"/>
        <w:ind w:right="914" w:firstLine="420"/>
        <w:jc w:val="left"/>
      </w:pPr>
      <w:r>
        <w:rPr/>
        <w:t>（</w:t>
      </w:r>
      <w:r>
        <w:rPr>
          <w:rFonts w:ascii="宋体" w:hAnsi="宋体" w:cs="宋体" w:eastAsia="宋体" w:hint="default"/>
        </w:rPr>
        <w:t>13</w:t>
      </w:r>
      <w:r>
        <w:rPr/>
        <w:t>）应付账款：</w:t>
      </w:r>
      <w:r>
        <w:rPr>
          <w:rFonts w:ascii="宋体" w:hAnsi="宋体" w:cs="宋体" w:eastAsia="宋体" w:hint="default"/>
        </w:rPr>
        <w:t>2014</w:t>
      </w:r>
      <w:r>
        <w:rPr/>
        <w:t>年期末金额较</w:t>
      </w:r>
      <w:r>
        <w:rPr>
          <w:rFonts w:ascii="宋体" w:hAnsi="宋体" w:cs="宋体" w:eastAsia="宋体" w:hint="default"/>
        </w:rPr>
        <w:t>2013</w:t>
      </w:r>
      <w:r>
        <w:rPr/>
        <w:t>年期末金额增加</w:t>
      </w:r>
      <w:r>
        <w:rPr>
          <w:rFonts w:ascii="宋体" w:hAnsi="宋体" w:cs="宋体" w:eastAsia="宋体" w:hint="default"/>
        </w:rPr>
        <w:t>446.39%</w:t>
      </w:r>
      <w:r>
        <w:rPr/>
        <w:t>，主要原因是公司进行企业合并， 被合并方结存应付账款较多所致。</w:t>
      </w:r>
    </w:p>
    <w:p>
      <w:pPr>
        <w:pStyle w:val="BodyText"/>
        <w:spacing w:line="273" w:lineRule="auto"/>
        <w:ind w:left="154" w:right="914" w:firstLine="420"/>
        <w:jc w:val="left"/>
      </w:pPr>
      <w:r>
        <w:rPr>
          <w:spacing w:val="-3"/>
        </w:rPr>
        <w:t>（</w:t>
      </w:r>
      <w:r>
        <w:rPr>
          <w:rFonts w:ascii="宋体" w:hAnsi="宋体" w:cs="宋体" w:eastAsia="宋体" w:hint="default"/>
          <w:spacing w:val="-3"/>
        </w:rPr>
        <w:t>14</w:t>
      </w:r>
      <w:r>
        <w:rPr>
          <w:spacing w:val="-3"/>
        </w:rPr>
        <w:t>）应付职工薪酬：</w:t>
      </w:r>
      <w:r>
        <w:rPr>
          <w:rFonts w:ascii="宋体" w:hAnsi="宋体" w:cs="宋体" w:eastAsia="宋体" w:hint="default"/>
          <w:spacing w:val="-3"/>
        </w:rPr>
        <w:t>2014</w:t>
      </w:r>
      <w:r>
        <w:rPr>
          <w:spacing w:val="-3"/>
        </w:rPr>
        <w:t>年期末金额较</w:t>
      </w:r>
      <w:r>
        <w:rPr>
          <w:rFonts w:ascii="宋体" w:hAnsi="宋体" w:cs="宋体" w:eastAsia="宋体" w:hint="default"/>
          <w:spacing w:val="-3"/>
        </w:rPr>
        <w:t>2013</w:t>
      </w:r>
      <w:r>
        <w:rPr>
          <w:spacing w:val="-3"/>
        </w:rPr>
        <w:t>年期末金额增加</w:t>
      </w:r>
      <w:r>
        <w:rPr>
          <w:rFonts w:ascii="宋体" w:hAnsi="宋体" w:cs="宋体" w:eastAsia="宋体" w:hint="default"/>
          <w:spacing w:val="-3"/>
        </w:rPr>
        <w:t>83.49%</w:t>
      </w:r>
      <w:r>
        <w:rPr>
          <w:spacing w:val="-3"/>
        </w:rPr>
        <w:t>，主要原因是公司进行企业合并，</w:t>
      </w:r>
      <w:r>
        <w:rPr/>
        <w:t> 被合并方结存应付职工薪酬较多所致。</w:t>
      </w:r>
    </w:p>
    <w:p>
      <w:pPr>
        <w:pStyle w:val="BodyText"/>
        <w:spacing w:line="273" w:lineRule="auto" w:before="8"/>
        <w:ind w:left="154" w:right="914" w:firstLine="420"/>
        <w:jc w:val="left"/>
      </w:pPr>
      <w:r>
        <w:rPr/>
        <w:t>（</w:t>
      </w:r>
      <w:r>
        <w:rPr>
          <w:rFonts w:ascii="宋体" w:hAnsi="宋体" w:cs="宋体" w:eastAsia="宋体" w:hint="default"/>
        </w:rPr>
        <w:t>15</w:t>
      </w:r>
      <w:r>
        <w:rPr/>
        <w:t>）应交税费：</w:t>
      </w:r>
      <w:r>
        <w:rPr>
          <w:rFonts w:ascii="宋体" w:hAnsi="宋体" w:cs="宋体" w:eastAsia="宋体" w:hint="default"/>
        </w:rPr>
        <w:t>2014</w:t>
      </w:r>
      <w:r>
        <w:rPr/>
        <w:t>年期末金额较</w:t>
      </w:r>
      <w:r>
        <w:rPr>
          <w:rFonts w:ascii="宋体" w:hAnsi="宋体" w:cs="宋体" w:eastAsia="宋体" w:hint="default"/>
        </w:rPr>
        <w:t>2013</w:t>
      </w:r>
      <w:r>
        <w:rPr/>
        <w:t>年期末金额增加</w:t>
      </w:r>
      <w:r>
        <w:rPr>
          <w:rFonts w:ascii="宋体" w:hAnsi="宋体" w:cs="宋体" w:eastAsia="宋体" w:hint="default"/>
        </w:rPr>
        <w:t>587.58%</w:t>
      </w:r>
      <w:r>
        <w:rPr/>
        <w:t>，主要原因是公司进行企业合并， 被合并方结存应交税费较多所致。</w:t>
      </w:r>
    </w:p>
    <w:p>
      <w:pPr>
        <w:pStyle w:val="BodyText"/>
        <w:spacing w:line="273" w:lineRule="auto"/>
        <w:ind w:right="914" w:firstLine="420"/>
        <w:jc w:val="left"/>
      </w:pPr>
      <w:r>
        <w:rPr>
          <w:spacing w:val="-1"/>
        </w:rPr>
        <w:t>（</w:t>
      </w:r>
      <w:r>
        <w:rPr>
          <w:rFonts w:ascii="宋体" w:hAnsi="宋体" w:cs="宋体" w:eastAsia="宋体" w:hint="default"/>
          <w:spacing w:val="-1"/>
        </w:rPr>
        <w:t>16</w:t>
      </w:r>
      <w:r>
        <w:rPr>
          <w:spacing w:val="-1"/>
        </w:rPr>
        <w:t>）应付利息：</w:t>
      </w:r>
      <w:r>
        <w:rPr>
          <w:rFonts w:ascii="宋体" w:hAnsi="宋体" w:cs="宋体" w:eastAsia="宋体" w:hint="default"/>
          <w:spacing w:val="-1"/>
        </w:rPr>
        <w:t>2014</w:t>
      </w:r>
      <w:r>
        <w:rPr>
          <w:spacing w:val="-1"/>
        </w:rPr>
        <w:t>年期末金额较</w:t>
      </w:r>
      <w:r>
        <w:rPr>
          <w:rFonts w:ascii="宋体" w:hAnsi="宋体" w:cs="宋体" w:eastAsia="宋体" w:hint="default"/>
          <w:spacing w:val="-1"/>
        </w:rPr>
        <w:t>2013</w:t>
      </w:r>
      <w:r>
        <w:rPr>
          <w:spacing w:val="-1"/>
        </w:rPr>
        <w:t>年期末金额增加</w:t>
      </w:r>
      <w:r>
        <w:rPr>
          <w:rFonts w:ascii="宋体" w:hAnsi="宋体" w:cs="宋体" w:eastAsia="宋体" w:hint="default"/>
          <w:spacing w:val="-1"/>
        </w:rPr>
        <w:t>52.84%</w:t>
      </w:r>
      <w:r>
        <w:rPr>
          <w:spacing w:val="-1"/>
        </w:rPr>
        <w:t>，主要原因是公司进行企业合并，被</w:t>
      </w:r>
      <w:r>
        <w:rPr/>
        <w:t> 合并方结存应付利息所致。</w:t>
      </w:r>
    </w:p>
    <w:p>
      <w:pPr>
        <w:pStyle w:val="BodyText"/>
        <w:spacing w:line="273" w:lineRule="auto"/>
        <w:ind w:right="914" w:firstLine="420"/>
        <w:jc w:val="left"/>
      </w:pPr>
      <w:r>
        <w:rPr>
          <w:spacing w:val="-1"/>
        </w:rPr>
        <w:t>（</w:t>
      </w:r>
      <w:r>
        <w:rPr>
          <w:rFonts w:ascii="宋体" w:hAnsi="宋体" w:cs="宋体" w:eastAsia="宋体" w:hint="default"/>
          <w:spacing w:val="-1"/>
        </w:rPr>
        <w:t>17</w:t>
      </w:r>
      <w:r>
        <w:rPr>
          <w:spacing w:val="-1"/>
        </w:rPr>
        <w:t>）其他应付款：</w:t>
      </w:r>
      <w:r>
        <w:rPr>
          <w:rFonts w:ascii="宋体" w:hAnsi="宋体" w:cs="宋体" w:eastAsia="宋体" w:hint="default"/>
          <w:spacing w:val="-1"/>
        </w:rPr>
        <w:t>2014</w:t>
      </w:r>
      <w:r>
        <w:rPr>
          <w:spacing w:val="-1"/>
        </w:rPr>
        <w:t>年期末金额较</w:t>
      </w:r>
      <w:r>
        <w:rPr>
          <w:rFonts w:ascii="宋体" w:hAnsi="宋体" w:cs="宋体" w:eastAsia="宋体" w:hint="default"/>
          <w:spacing w:val="-1"/>
        </w:rPr>
        <w:t>2013</w:t>
      </w:r>
      <w:r>
        <w:rPr>
          <w:spacing w:val="-1"/>
        </w:rPr>
        <w:t>年期末金额增加</w:t>
      </w:r>
      <w:r>
        <w:rPr>
          <w:rFonts w:ascii="宋体" w:hAnsi="宋体" w:cs="宋体" w:eastAsia="宋体" w:hint="default"/>
          <w:spacing w:val="-1"/>
        </w:rPr>
        <w:t>2654.53%</w:t>
      </w:r>
      <w:r>
        <w:rPr>
          <w:spacing w:val="-1"/>
        </w:rPr>
        <w:t>，主要原因是收购重庆华宇园林</w:t>
      </w:r>
      <w:r>
        <w:rPr/>
        <w:t> 有限公司股权款项未完全支付所致。</w:t>
      </w:r>
    </w:p>
    <w:p>
      <w:pPr>
        <w:pStyle w:val="BodyText"/>
        <w:spacing w:line="273" w:lineRule="auto"/>
        <w:ind w:right="914" w:firstLine="420"/>
        <w:jc w:val="left"/>
      </w:pPr>
      <w:r>
        <w:rPr>
          <w:spacing w:val="-1"/>
        </w:rPr>
        <w:t>（</w:t>
      </w:r>
      <w:r>
        <w:rPr>
          <w:rFonts w:ascii="宋体" w:hAnsi="宋体" w:cs="宋体" w:eastAsia="宋体" w:hint="default"/>
          <w:spacing w:val="-1"/>
        </w:rPr>
        <w:t>18</w:t>
      </w:r>
      <w:r>
        <w:rPr>
          <w:spacing w:val="-1"/>
        </w:rPr>
        <w:t>）一年内到期的非流动负债：</w:t>
      </w:r>
      <w:r>
        <w:rPr>
          <w:rFonts w:ascii="宋体" w:hAnsi="宋体" w:cs="宋体" w:eastAsia="宋体" w:hint="default"/>
          <w:spacing w:val="-1"/>
        </w:rPr>
        <w:t>2014</w:t>
      </w:r>
      <w:r>
        <w:rPr>
          <w:spacing w:val="-1"/>
        </w:rPr>
        <w:t>年期末金额较</w:t>
      </w:r>
      <w:r>
        <w:rPr>
          <w:rFonts w:ascii="宋体" w:hAnsi="宋体" w:cs="宋体" w:eastAsia="宋体" w:hint="default"/>
          <w:spacing w:val="-1"/>
        </w:rPr>
        <w:t>2013</w:t>
      </w:r>
      <w:r>
        <w:rPr>
          <w:spacing w:val="-1"/>
        </w:rPr>
        <w:t>年期末金额增加较多，主要原因是将一年内</w:t>
      </w:r>
      <w:r>
        <w:rPr/>
        <w:t> 到期的长期借款调入一年内到期的长期借款所致。</w:t>
      </w:r>
    </w:p>
    <w:p>
      <w:pPr>
        <w:pStyle w:val="BodyText"/>
        <w:spacing w:line="273" w:lineRule="auto"/>
        <w:ind w:right="914" w:firstLine="420"/>
        <w:jc w:val="left"/>
      </w:pPr>
      <w:r>
        <w:rPr>
          <w:spacing w:val="-1"/>
        </w:rPr>
        <w:t>（</w:t>
      </w:r>
      <w:r>
        <w:rPr>
          <w:rFonts w:ascii="宋体" w:hAnsi="宋体" w:cs="宋体" w:eastAsia="宋体" w:hint="default"/>
          <w:spacing w:val="-1"/>
        </w:rPr>
        <w:t>19</w:t>
      </w:r>
      <w:r>
        <w:rPr>
          <w:spacing w:val="-1"/>
        </w:rPr>
        <w:t>）长期借款：</w:t>
      </w:r>
      <w:r>
        <w:rPr>
          <w:rFonts w:ascii="宋体" w:hAnsi="宋体" w:cs="宋体" w:eastAsia="宋体" w:hint="default"/>
          <w:spacing w:val="-1"/>
        </w:rPr>
        <w:t>2014</w:t>
      </w:r>
      <w:r>
        <w:rPr>
          <w:spacing w:val="-1"/>
        </w:rPr>
        <w:t>年期末金额较</w:t>
      </w:r>
      <w:r>
        <w:rPr>
          <w:rFonts w:ascii="宋体" w:hAnsi="宋体" w:cs="宋体" w:eastAsia="宋体" w:hint="default"/>
          <w:spacing w:val="-1"/>
        </w:rPr>
        <w:t>2013</w:t>
      </w:r>
      <w:r>
        <w:rPr>
          <w:spacing w:val="-1"/>
        </w:rPr>
        <w:t>年期末金额增加较多，主要原因是公司进行企业合并，被合</w:t>
      </w:r>
      <w:r>
        <w:rPr/>
        <w:t> 并方结存长期借款所致。</w:t>
      </w:r>
    </w:p>
    <w:p>
      <w:pPr>
        <w:pStyle w:val="BodyText"/>
        <w:spacing w:line="273" w:lineRule="auto"/>
        <w:ind w:right="914" w:firstLine="420"/>
        <w:jc w:val="left"/>
      </w:pPr>
      <w:r>
        <w:rPr>
          <w:spacing w:val="-1"/>
        </w:rPr>
        <w:t>（</w:t>
      </w:r>
      <w:r>
        <w:rPr>
          <w:rFonts w:ascii="宋体" w:hAnsi="宋体" w:cs="宋体" w:eastAsia="宋体" w:hint="default"/>
          <w:spacing w:val="-1"/>
        </w:rPr>
        <w:t>20</w:t>
      </w:r>
      <w:r>
        <w:rPr>
          <w:spacing w:val="-1"/>
        </w:rPr>
        <w:t>）股本：</w:t>
      </w:r>
      <w:r>
        <w:rPr>
          <w:rFonts w:ascii="宋体" w:hAnsi="宋体" w:cs="宋体" w:eastAsia="宋体" w:hint="default"/>
          <w:spacing w:val="-1"/>
        </w:rPr>
        <w:t>2014</w:t>
      </w:r>
      <w:r>
        <w:rPr>
          <w:spacing w:val="-1"/>
        </w:rPr>
        <w:t>年期末金额较</w:t>
      </w:r>
      <w:r>
        <w:rPr>
          <w:rFonts w:ascii="宋体" w:hAnsi="宋体" w:cs="宋体" w:eastAsia="宋体" w:hint="default"/>
          <w:spacing w:val="-1"/>
        </w:rPr>
        <w:t>2013</w:t>
      </w:r>
      <w:r>
        <w:rPr>
          <w:spacing w:val="-1"/>
        </w:rPr>
        <w:t>年期末金额增加</w:t>
      </w:r>
      <w:r>
        <w:rPr>
          <w:rFonts w:ascii="宋体" w:hAnsi="宋体" w:cs="宋体" w:eastAsia="宋体" w:hint="default"/>
          <w:spacing w:val="-1"/>
        </w:rPr>
        <w:t>72.22%</w:t>
      </w:r>
      <w:r>
        <w:rPr>
          <w:spacing w:val="-1"/>
        </w:rPr>
        <w:t>，主要原因是公司为收购重庆华宇园林有</w:t>
      </w:r>
      <w:r>
        <w:rPr/>
        <w:t> 限公司进行增发所致。</w:t>
      </w:r>
    </w:p>
    <w:p>
      <w:pPr>
        <w:pStyle w:val="BodyText"/>
        <w:spacing w:line="273" w:lineRule="auto"/>
        <w:ind w:right="914" w:firstLine="420"/>
        <w:jc w:val="left"/>
      </w:pPr>
      <w:r>
        <w:rPr/>
        <w:t>（</w:t>
      </w:r>
      <w:r>
        <w:rPr>
          <w:rFonts w:ascii="宋体" w:hAnsi="宋体" w:cs="宋体" w:eastAsia="宋体" w:hint="default"/>
        </w:rPr>
        <w:t>21</w:t>
      </w:r>
      <w:r>
        <w:rPr/>
        <w:t>）资本公积：</w:t>
      </w:r>
      <w:r>
        <w:rPr>
          <w:rFonts w:ascii="宋体" w:hAnsi="宋体" w:cs="宋体" w:eastAsia="宋体" w:hint="default"/>
        </w:rPr>
        <w:t>2014</w:t>
      </w:r>
      <w:r>
        <w:rPr/>
        <w:t>年期末金额较</w:t>
      </w:r>
      <w:r>
        <w:rPr>
          <w:rFonts w:ascii="宋体" w:hAnsi="宋体" w:cs="宋体" w:eastAsia="宋体" w:hint="default"/>
        </w:rPr>
        <w:t>2013</w:t>
      </w:r>
      <w:r>
        <w:rPr/>
        <w:t>年期末金额增加</w:t>
      </w:r>
      <w:r>
        <w:rPr>
          <w:rFonts w:ascii="宋体" w:hAnsi="宋体" w:cs="宋体" w:eastAsia="宋体" w:hint="default"/>
        </w:rPr>
        <w:t>194.64%</w:t>
      </w:r>
      <w:r>
        <w:rPr/>
        <w:t>，主要原因是公司为收购重庆华宇 园林有限公司进行增发形成股本溢价所致。</w:t>
      </w:r>
    </w:p>
    <w:p>
      <w:pPr>
        <w:pStyle w:val="BodyText"/>
        <w:spacing w:line="273" w:lineRule="auto"/>
        <w:ind w:right="914" w:firstLine="420"/>
        <w:jc w:val="left"/>
      </w:pPr>
      <w:r>
        <w:rPr>
          <w:spacing w:val="-1"/>
        </w:rPr>
        <w:t>（</w:t>
      </w:r>
      <w:r>
        <w:rPr>
          <w:rFonts w:ascii="宋体" w:hAnsi="宋体" w:cs="宋体" w:eastAsia="宋体" w:hint="default"/>
          <w:spacing w:val="-1"/>
        </w:rPr>
        <w:t>22</w:t>
      </w:r>
      <w:r>
        <w:rPr>
          <w:spacing w:val="-1"/>
        </w:rPr>
        <w:t>）管理费用：</w:t>
      </w:r>
      <w:r>
        <w:rPr>
          <w:rFonts w:ascii="宋体" w:hAnsi="宋体" w:cs="宋体" w:eastAsia="宋体" w:hint="default"/>
          <w:spacing w:val="-1"/>
        </w:rPr>
        <w:t>2014</w:t>
      </w:r>
      <w:r>
        <w:rPr>
          <w:spacing w:val="-1"/>
        </w:rPr>
        <w:t>年发生金额较</w:t>
      </w:r>
      <w:r>
        <w:rPr>
          <w:rFonts w:ascii="宋体" w:hAnsi="宋体" w:cs="宋体" w:eastAsia="宋体" w:hint="default"/>
          <w:spacing w:val="-1"/>
        </w:rPr>
        <w:t>2013</w:t>
      </w:r>
      <w:r>
        <w:rPr>
          <w:spacing w:val="-1"/>
        </w:rPr>
        <w:t>年发生金额增加</w:t>
      </w:r>
      <w:r>
        <w:rPr>
          <w:rFonts w:ascii="宋体" w:hAnsi="宋体" w:cs="宋体" w:eastAsia="宋体" w:hint="default"/>
          <w:spacing w:val="-1"/>
        </w:rPr>
        <w:t>20.86%</w:t>
      </w:r>
      <w:r>
        <w:rPr>
          <w:spacing w:val="-1"/>
        </w:rPr>
        <w:t>，主要原因是公司收购重庆华宇园林</w:t>
      </w:r>
      <w:r>
        <w:rPr/>
        <w:t> 有限公司，规模扩大管理费用增加所致。</w:t>
      </w:r>
    </w:p>
    <w:p>
      <w:pPr>
        <w:pStyle w:val="BodyText"/>
        <w:spacing w:line="273" w:lineRule="auto"/>
        <w:ind w:right="914" w:firstLine="420"/>
        <w:jc w:val="left"/>
      </w:pPr>
      <w:r>
        <w:rPr>
          <w:spacing w:val="-1"/>
        </w:rPr>
        <w:t>（</w:t>
      </w:r>
      <w:r>
        <w:rPr>
          <w:rFonts w:ascii="宋体" w:hAnsi="宋体" w:cs="宋体" w:eastAsia="宋体" w:hint="default"/>
          <w:spacing w:val="-1"/>
        </w:rPr>
        <w:t>23</w:t>
      </w:r>
      <w:r>
        <w:rPr>
          <w:spacing w:val="-1"/>
        </w:rPr>
        <w:t>）营业外支出：</w:t>
      </w:r>
      <w:r>
        <w:rPr>
          <w:rFonts w:ascii="宋体" w:hAnsi="宋体" w:cs="宋体" w:eastAsia="宋体" w:hint="default"/>
          <w:spacing w:val="-1"/>
        </w:rPr>
        <w:t>2014</w:t>
      </w:r>
      <w:r>
        <w:rPr>
          <w:spacing w:val="-1"/>
        </w:rPr>
        <w:t>年发生金额较</w:t>
      </w:r>
      <w:r>
        <w:rPr>
          <w:rFonts w:ascii="宋体" w:hAnsi="宋体" w:cs="宋体" w:eastAsia="宋体" w:hint="default"/>
          <w:spacing w:val="-1"/>
        </w:rPr>
        <w:t>2013</w:t>
      </w:r>
      <w:r>
        <w:rPr>
          <w:spacing w:val="-1"/>
        </w:rPr>
        <w:t>年发生金额减少</w:t>
      </w:r>
      <w:r>
        <w:rPr>
          <w:rFonts w:ascii="宋体" w:hAnsi="宋体" w:cs="宋体" w:eastAsia="宋体" w:hint="default"/>
          <w:spacing w:val="-1"/>
        </w:rPr>
        <w:t>36.20%</w:t>
      </w:r>
      <w:r>
        <w:rPr>
          <w:spacing w:val="-1"/>
        </w:rPr>
        <w:t>，主要原因是公司</w:t>
      </w:r>
      <w:r>
        <w:rPr>
          <w:rFonts w:ascii="宋体" w:hAnsi="宋体" w:cs="宋体" w:eastAsia="宋体" w:hint="default"/>
          <w:spacing w:val="-1"/>
        </w:rPr>
        <w:t>2014</w:t>
      </w:r>
      <w:r>
        <w:rPr>
          <w:spacing w:val="-1"/>
        </w:rPr>
        <w:t>年度处置非</w:t>
      </w:r>
      <w:r>
        <w:rPr/>
        <w:t> 流动资产损失较</w:t>
      </w:r>
      <w:r>
        <w:rPr>
          <w:rFonts w:ascii="宋体" w:hAnsi="宋体" w:cs="宋体" w:eastAsia="宋体" w:hint="default"/>
        </w:rPr>
        <w:t>2013</w:t>
      </w:r>
      <w:r>
        <w:rPr/>
        <w:t>年减少较多所致。</w:t>
      </w:r>
    </w:p>
    <w:p>
      <w:pPr>
        <w:spacing w:after="0" w:line="27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914"/>
        <w:jc w:val="left"/>
        <w:rPr>
          <w:b w:val="0"/>
          <w:bCs w:val="0"/>
        </w:rPr>
      </w:pPr>
      <w:bookmarkStart w:name="第十二节 备查文件目录" w:id="355"/>
      <w:bookmarkEnd w:id="355"/>
      <w:r>
        <w:rPr>
          <w:b w:val="0"/>
          <w:bCs w:val="0"/>
        </w:rPr>
      </w:r>
      <w:bookmarkStart w:name="_bookmark10" w:id="356"/>
      <w:bookmarkEnd w:id="356"/>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BodyText"/>
        <w:spacing w:line="273" w:lineRule="auto" w:before="0"/>
        <w:ind w:left="573" w:right="1513"/>
        <w:jc w:val="left"/>
      </w:pPr>
      <w:r>
        <w:rPr/>
        <w:t>一、载有公司负责人、主管会计工作负责人、会计机构负责人签名并盖章的财务报表 二、载有会计师事务所盖章、注册会计师签名并盖章的审计报告原件 三、报告期内在中国证监会指定信息披露媒体上公开披露过的所有公司文件的正本及公告的原稿 四、载有公司董事长孙鲲鹏先生签名的</w:t>
      </w:r>
      <w:r>
        <w:rPr>
          <w:rFonts w:ascii="Times New Roman" w:hAnsi="Times New Roman" w:cs="Times New Roman" w:eastAsia="Times New Roman" w:hint="default"/>
        </w:rPr>
        <w:t>2014</w:t>
      </w:r>
      <w:r>
        <w:rPr/>
        <w:t>年度报告原件</w:t>
      </w:r>
    </w:p>
    <w:p>
      <w:pPr>
        <w:pStyle w:val="BodyText"/>
        <w:spacing w:line="264" w:lineRule="exact" w:before="0"/>
        <w:ind w:left="574" w:right="914"/>
        <w:jc w:val="left"/>
      </w:pPr>
      <w:r>
        <w:rPr/>
        <w:t>以上文件置备地点：公司证券部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73" w:lineRule="auto" w:before="0"/>
        <w:ind w:left="5928" w:right="2897"/>
        <w:jc w:val="center"/>
      </w:pPr>
      <w:r>
        <w:rPr/>
        <w:t>山东丽鹏股份有限公司 董事长：孙鲲鹏 </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10</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49992" type="#_x0000_t75" stroked="false">
          <v:imagedata r:id="rId1" o:title=""/>
        </v:shape>
      </w:pict>
    </w:r>
    <w:r>
      <w:rPr/>
      <w:pict>
        <v:shape style="position:absolute;margin-left:533.179993pt;margin-top:795.517944pt;width:6.5pt;height:11pt;mso-position-horizontal-relative:page;mso-position-vertical-relative:page;z-index:-7499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49944" type="#_x0000_t75" stroked="false">
          <v:imagedata r:id="rId1" o:title=""/>
        </v:shape>
      </w:pict>
    </w:r>
    <w:r>
      <w:rPr/>
      <w:pict>
        <v:shape style="position:absolute;margin-left:527.679993pt;margin-top:781.957947pt;width:13pt;height:11pt;mso-position-horizontal-relative:page;mso-position-vertical-relative:page;z-index:-749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49896" type="#_x0000_t75" stroked="false">
          <v:imagedata r:id="rId1" o:title=""/>
        </v:shape>
      </w:pict>
    </w:r>
    <w:r>
      <w:rPr/>
      <w:pict>
        <v:shape style="position:absolute;margin-left:524.179993pt;margin-top:781.957947pt;width:15.5pt;height:11pt;mso-position-horizontal-relative:page;mso-position-vertical-relative:page;z-index:-7498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49848" type="#_x0000_t75" stroked="false">
          <v:imagedata r:id="rId1" o:title=""/>
        </v:shape>
      </w:pict>
    </w:r>
    <w:r>
      <w:rPr/>
      <w:pict>
        <v:shape style="position:absolute;margin-left:523.179993pt;margin-top:781.957947pt;width:17.5pt;height:11pt;mso-position-horizontal-relative:page;mso-position-vertical-relative:page;z-index:-749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71.160004pt;margin-top:36.325607pt;width:168.55pt;height:11.5pt;mso-position-horizontal-relative:page;mso-position-vertical-relative:page;z-index:-750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7"/>
      <w:ind w:left="153"/>
    </w:pPr>
    <w:rPr>
      <w:rFonts w:ascii="宋体" w:hAnsi="宋体" w:eastAsia="宋体"/>
      <w:sz w:val="21"/>
      <w:szCs w:val="21"/>
    </w:rPr>
  </w:style>
  <w:style w:styleId="Heading1" w:type="paragraph">
    <w:name w:val="Heading 1"/>
    <w:basedOn w:val="Normal"/>
    <w:uiPriority w:val="1"/>
    <w:qFormat/>
    <w:pPr>
      <w:spacing w:before="1"/>
      <w:ind w:left="13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3"/>
      <w:szCs w:val="23"/>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lp.com.cn/" TargetMode="External"/><Relationship Id="rId9" Type="http://schemas.openxmlformats.org/officeDocument/2006/relationships/hyperlink" Target="mailto:lp@lp.com.cn" TargetMode="External"/><Relationship Id="rId10" Type="http://schemas.openxmlformats.org/officeDocument/2006/relationships/hyperlink" Target="mailto:haixia5229@sina.com" TargetMode="External"/><Relationship Id="rId11" Type="http://schemas.openxmlformats.org/officeDocument/2006/relationships/hyperlink" Target="mailto:shiyu5490@sina.com" TargetMode="External"/><Relationship Id="rId12" Type="http://schemas.openxmlformats.org/officeDocument/2006/relationships/hyperlink" Target="http://www.cninfo.com.cn/"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footer" Target="footer3.xml"/><Relationship Id="rId25" Type="http://schemas.openxmlformats.org/officeDocument/2006/relationships/image" Target="media/image13.png"/><Relationship Id="rId26" Type="http://schemas.openxmlformats.org/officeDocument/2006/relationships/image" Target="media/image14.jpeg"/><Relationship Id="rId27" Type="http://schemas.openxmlformats.org/officeDocument/2006/relationships/footer" Target="footer4.xml"/><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jpe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2020-05-06T17:05:26Z</dcterms:created>
  <dcterms:modified xsi:type="dcterms:W3CDTF">2020-05-06T17:05:26Z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2015-04-10T00:00:00Z</vt:filetime>
  </property>
  <property fmtid="{D5CDD505-2E9C-101B-9397-08002B2CF9AE}" pid="3" name="Creator">
    <vt:lpwstr>Microsoft® Office Word 2007</vt:lpwstr>
  </property>
  <property fmtid="{D5CDD505-2E9C-101B-9397-08002B2CF9AE}" pid="4" name="LastSaved">
    <vt:filetime>2020-05-06T00:00:00Z</vt:filetime>
  </property>
</Properties>
</file>