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6"/>
        <w:rPr>
          <w:rFonts w:ascii="Times New Roman" w:hAnsi="Times New Roman" w:cs="Times New Roman" w:eastAsia="Times New Roman" w:hint="default"/>
          <w:sz w:val="27"/>
          <w:szCs w:val="27"/>
        </w:rPr>
      </w:pPr>
    </w:p>
    <w:p>
      <w:pPr>
        <w:tabs>
          <w:tab w:pos="6358" w:val="left" w:leader="none"/>
        </w:tabs>
        <w:spacing w:before="7"/>
        <w:ind w:left="808" w:right="0" w:firstLine="0"/>
        <w:jc w:val="left"/>
        <w:rPr>
          <w:rFonts w:ascii="宋体" w:hAnsi="宋体" w:cs="宋体" w:eastAsia="宋体" w:hint="default"/>
          <w:sz w:val="30"/>
          <w:szCs w:val="30"/>
        </w:rPr>
      </w:pPr>
      <w:r>
        <w:rPr>
          <w:rFonts w:ascii="宋体" w:hAnsi="宋体" w:cs="宋体" w:eastAsia="宋体" w:hint="default"/>
          <w:sz w:val="30"/>
          <w:szCs w:val="30"/>
        </w:rPr>
        <w:t>证券代码：</w:t>
      </w:r>
      <w:r>
        <w:rPr>
          <w:rFonts w:ascii="宋体" w:hAnsi="宋体" w:cs="宋体" w:eastAsia="宋体" w:hint="default"/>
          <w:sz w:val="30"/>
          <w:szCs w:val="30"/>
        </w:rPr>
        <w:t>002374</w:t>
        <w:tab/>
      </w:r>
      <w:r>
        <w:rPr>
          <w:rFonts w:ascii="宋体" w:hAnsi="宋体" w:cs="宋体" w:eastAsia="宋体" w:hint="default"/>
          <w:sz w:val="30"/>
          <w:szCs w:val="30"/>
        </w:rPr>
        <w:t>证券简称：丽鹏股份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1802" w:lineRule="exact"/>
        <w:ind w:left="3629"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130.75pt;height:90.15pt;mso-position-horizontal-relative:char;mso-position-vertical-relative:line" coordorigin="0,0" coordsize="2615,1803">
            <v:group style="position:absolute;left:0;top:0;width:2615;height:1803" coordorigin="0,0" coordsize="2615,1803">
              <v:shape style="position:absolute;left:0;top:0;width:2615;height:1803" coordorigin="0,0" coordsize="2615,1803" path="m2407,0l2366,14,2338,28,2297,42,2269,56,2255,84,2228,127,2228,155,2214,197,2228,240,2228,268,2255,310,2269,338,2297,352,2338,366,2366,380,2407,394,2449,380,2476,366,2407,366,2338,352,2283,310,2255,268,2242,197,2255,127,2283,84,2338,42,2407,28,2476,28,2449,14,2407,0xe" filled="true" fillcolor="#005ca1" stroked="false">
                <v:path arrowok="t"/>
                <v:fill type="solid"/>
              </v:shape>
              <v:shape style="position:absolute;left:0;top:0;width:2615;height:1803" coordorigin="0,0" coordsize="2615,1803" path="m2476,28l2407,28,2463,42,2518,84,2560,127,2573,197,2560,268,2518,310,2463,352,2407,366,2476,366,2532,338,2560,310,2573,268,2587,240,2587,155,2573,127,2560,84,2532,56,2476,28xe" filled="true" fillcolor="#005ca1" stroked="false">
                <v:path arrowok="t"/>
                <v:fill type="solid"/>
              </v:shape>
              <v:shape style="position:absolute;left:0;top:0;width:2615;height:1803" coordorigin="0,0" coordsize="2615,1803" path="m2449,84l2324,84,2324,310,2352,310,2352,211,2435,211,2463,197,2476,183,2352,183,2352,113,2490,113,2476,98,2463,98,2449,84xe" filled="true" fillcolor="#005ca1" stroked="false">
                <v:path arrowok="t"/>
                <v:fill type="solid"/>
              </v:shape>
              <v:shape style="position:absolute;left:0;top:0;width:2615;height:1803" coordorigin="0,0" coordsize="2615,1803" path="m2449,211l2407,211,2435,240,2449,254,2476,310,2518,310,2476,240,2449,211xe" filled="true" fillcolor="#005ca1" stroked="false">
                <v:path arrowok="t"/>
                <v:fill type="solid"/>
              </v:shape>
              <v:shape style="position:absolute;left:0;top:0;width:2615;height:1803" coordorigin="0,0" coordsize="2615,1803" path="m2490,113l2421,113,2449,127,2463,155,2449,169,2407,183,2476,183,2490,169,2490,113xe" filled="true" fillcolor="#005ca1" stroked="false">
                <v:path arrowok="t"/>
                <v:fill type="solid"/>
              </v:shape>
              <v:shape style="position:absolute;left:0;top:0;width:2615;height:1803" coordorigin="0,0" coordsize="2615,1803" path="m858,183l803,183,719,254,650,324,581,408,540,493,498,592,471,690,443,789,443,1014,471,1141,581,1098,664,1028,692,971,719,901,747,817,789,704,816,592,858,479,885,352,900,268,872,197,858,183xe" filled="true" fillcolor="#005ca1" stroked="false">
                <v:path arrowok="t"/>
                <v:fill type="solid"/>
              </v:shape>
              <v:shape style="position:absolute;left:0;top:0;width:2615;height:1803" coordorigin="0,0" coordsize="2615,1803" path="m1370,1028l1300,1028,1328,1098,1356,1141,1370,1127,1370,1028xe" filled="true" fillcolor="#005ca1" stroked="false">
                <v:path arrowok="t"/>
                <v:fill type="solid"/>
              </v:shape>
              <v:shape style="position:absolute;left:0;top:0;width:2615;height:1803" coordorigin="0,0" coordsize="2615,1803" path="m1328,0l1204,14,1079,42,969,84,872,141,885,141,955,155,1079,197,1107,211,1121,240,1135,254,1135,282,1148,338,1148,380,1093,578,1038,803,996,929,982,1000,982,1028,996,1056,1024,1084,1066,1098,1176,1098,1245,1084,1300,1028,1370,1028,1370,887,1384,803,1425,732,1481,634,1536,578,1563,549,1605,521,1674,493,1729,479,1771,465,2095,465,2062,408,1951,268,1813,155,1743,113,1660,70,1591,42,1494,28,1328,0xe" filled="true" fillcolor="#005ca1" stroked="false">
                <v:path arrowok="t"/>
                <v:fill type="solid"/>
              </v:shape>
              <v:shape style="position:absolute;left:0;top:0;width:2615;height:1803" coordorigin="0,0" coordsize="2615,1803" path="m1868,676l1729,676,1702,690,1688,704,1674,704,1674,718,1660,718,1633,746,1619,760,1577,845,1577,1098,2076,1098,2076,887,2062,859,2047,817,1965,704,1937,690,1909,690,1868,676xe" filled="true" fillcolor="#005ca1" stroked="false">
                <v:path arrowok="t"/>
                <v:fill type="solid"/>
              </v:shape>
              <v:shape style="position:absolute;left:0;top:0;width:2615;height:1803" coordorigin="0,0" coordsize="2615,1803" path="m2200,985l2186,1070,2200,1000,2200,985xe" filled="true" fillcolor="#005ca1" stroked="false">
                <v:path arrowok="t"/>
                <v:fill type="solid"/>
              </v:shape>
              <v:shape style="position:absolute;left:0;top:0;width:2615;height:1803" coordorigin="0,0" coordsize="2615,1803" path="m2095,465l1813,465,1979,493,2006,521,2047,549,2089,606,2144,676,2158,718,2186,789,2200,859,2200,817,2186,718,2172,634,2131,549,2103,479,2095,465xe" filled="true" fillcolor="#005ca1" stroked="false">
                <v:path arrowok="t"/>
                <v:fill type="solid"/>
              </v:shape>
              <v:shape style="position:absolute;left:0;top:0;width:2615;height:1803" coordorigin="0,0" coordsize="2615,1803" path="m2158,1169l1577,1169,1577,1760,1771,1676,1937,1535,2006,1465,2076,1366,2131,1281,2158,1169xe" filled="true" fillcolor="#005ca1" stroked="false">
                <v:path arrowok="t"/>
                <v:fill type="solid"/>
              </v:shape>
              <v:shape style="position:absolute;left:0;top:0;width:2615;height:1803" coordorigin="0,0" coordsize="2615,1803" path="m471,1155l526,1295,595,1408,692,1521,789,1619,913,1690,1038,1746,1176,1788,1328,1802,1342,1802,1356,1788,1370,1169,485,1169,471,1155xe" filled="true" fillcolor="#005ca1" stroked="false">
                <v:path arrowok="t"/>
                <v:fill type="solid"/>
              </v:shape>
              <v:shape style="position:absolute;left:0;top:0;width:2615;height:1803" coordorigin="0,0" coordsize="2615,1803" path="m415,1183l0,1183,0,1225,415,1225,415,1183xe" filled="true" fillcolor="#005ca1" stroked="false">
                <v:path arrowok="t"/>
                <v:fill type="solid"/>
              </v:shape>
              <v:shape style="position:absolute;left:0;top:0;width:2615;height:1803" coordorigin="0,0" coordsize="2615,1803" path="m194,1267l28,1267,28,1577,69,1577,69,1295,194,1295,194,1267xe" filled="true" fillcolor="#005ca1" stroked="false">
                <v:path arrowok="t"/>
                <v:fill type="solid"/>
              </v:shape>
              <v:shape style="position:absolute;left:0;top:0;width:2615;height:1803" coordorigin="0,0" coordsize="2615,1803" path="m180,1549l125,1549,125,1577,166,1577,180,1563,180,1549xe" filled="true" fillcolor="#005ca1" stroked="false">
                <v:path arrowok="t"/>
                <v:fill type="solid"/>
              </v:shape>
              <v:shape style="position:absolute;left:0;top:0;width:2615;height:1803" coordorigin="0,0" coordsize="2615,1803" path="m194,1295l152,1295,152,1535,111,1535,111,1549,194,1549,194,1295xe" filled="true" fillcolor="#005ca1" stroked="false">
                <v:path arrowok="t"/>
                <v:fill type="solid"/>
              </v:shape>
              <v:shape style="position:absolute;left:0;top:0;width:2615;height:1803" coordorigin="0,0" coordsize="2615,1803" path="m125,1338l83,1338,83,1394,97,1408,97,1465,125,1465,125,1451,138,1451,125,1422,125,1338xe" filled="true" fillcolor="#005ca1" stroked="false">
                <v:path arrowok="t"/>
                <v:fill type="solid"/>
              </v:shape>
              <v:shape style="position:absolute;left:0;top:0;width:2615;height:1803" coordorigin="0,0" coordsize="2615,1803" path="m388,1267l222,1267,222,1577,263,1577,263,1295,388,1295,388,1267xe" filled="true" fillcolor="#005ca1" stroked="false">
                <v:path arrowok="t"/>
                <v:fill type="solid"/>
              </v:shape>
              <v:shape style="position:absolute;left:0;top:0;width:2615;height:1803" coordorigin="0,0" coordsize="2615,1803" path="m388,1295l346,1295,346,1535,304,1535,304,1549,319,1563,319,1577,360,1577,360,1563,374,1563,374,1549,388,1549,388,1295xe" filled="true" fillcolor="#005ca1" stroked="false">
                <v:path arrowok="t"/>
                <v:fill type="solid"/>
              </v:shape>
              <v:shape style="position:absolute;left:0;top:0;width:2615;height:1803" coordorigin="0,0" coordsize="2615,1803" path="m319,1338l277,1338,291,1394,291,1465,304,1451,332,1451,332,1408,319,1380,319,1338xe" filled="true" fillcolor="#005ca1" stroked="false">
                <v:path arrowok="t"/>
                <v:fill type="solid"/>
              </v:shape>
              <v:shape style="position:absolute;left:0;top:0;width:2615;height:1803" coordorigin="0,0" coordsize="2615,1803" path="m2310,1183l2214,1183,2214,1422,2200,1422,2200,1521,2186,1521,2186,1549,2172,1563,2186,1563,2186,1577,2200,1577,2214,1591,2214,1563,2228,1549,2228,1507,2242,1507,2242,1436,2310,1436,2310,1394,2242,1394,2242,1323,2310,1323,2310,1295,2242,1295,2242,1211,2310,1211,2310,1183xe" filled="true" fillcolor="#005ca1" stroked="false">
                <v:path arrowok="t"/>
                <v:fill type="solid"/>
              </v:shape>
              <v:shape style="position:absolute;left:0;top:0;width:2615;height:1803" coordorigin="0,0" coordsize="2615,1803" path="m2338,1563l2297,1563,2310,1577,2324,1577,2338,1591,2338,1563xe" filled="true" fillcolor="#005ca1" stroked="false">
                <v:path arrowok="t"/>
                <v:fill type="solid"/>
              </v:shape>
              <v:shape style="position:absolute;left:0;top:0;width:2615;height:1803" coordorigin="0,0" coordsize="2615,1803" path="m2421,1436l2394,1436,2394,1549,2366,1549,2366,1563,2380,1577,2380,1591,2394,1577,2421,1577,2421,1436xe" filled="true" fillcolor="#005ca1" stroked="false">
                <v:path arrowok="t"/>
                <v:fill type="solid"/>
              </v:shape>
              <v:shape style="position:absolute;left:0;top:0;width:2615;height:1803" coordorigin="0,0" coordsize="2615,1803" path="m2587,1197l2435,1197,2435,1422,2560,1422,2560,1549,2490,1549,2505,1563,2505,1577,2518,1591,2560,1591,2560,1577,2587,1577,2587,1563,2601,1563,2601,1408,2615,1394,2463,1394,2463,1239,2587,1239,2587,1197xe" filled="true" fillcolor="#005ca1" stroked="false">
                <v:path arrowok="t"/>
                <v:fill type="solid"/>
              </v:shape>
              <v:shape style="position:absolute;left:0;top:0;width:2615;height:1803" coordorigin="0,0" coordsize="2615,1803" path="m2421,1183l2324,1183,2324,1521,2310,1521,2310,1535,2242,1535,2255,1549,2255,1577,2283,1577,2283,1563,2352,1563,2352,1493,2366,1493,2366,1436,2421,1436,2421,1394,2366,1394,2366,1323,2421,1323,2421,1295,2366,1295,2366,1211,2421,1211,2421,1183xe" filled="true" fillcolor="#005ca1" stroked="false">
                <v:path arrowok="t"/>
                <v:fill type="solid"/>
              </v:shape>
              <v:shape style="position:absolute;left:0;top:0;width:2615;height:1803" coordorigin="0,0" coordsize="2615,1803" path="m2310,1436l2283,1436,2283,1535,2310,1535,2310,1436xe" filled="true" fillcolor="#005ca1" stroked="false">
                <v:path arrowok="t"/>
                <v:fill type="solid"/>
              </v:shape>
              <v:shape style="position:absolute;left:0;top:0;width:2615;height:1803" coordorigin="0,0" coordsize="2615,1803" path="m2546,1465l2421,1465,2421,1507,2546,1507,2546,1465xe" filled="true" fillcolor="#005ca1" stroked="false">
                <v:path arrowok="t"/>
                <v:fill type="solid"/>
              </v:shape>
              <v:shape style="position:absolute;left:0;top:0;width:2615;height:1803" coordorigin="0,0" coordsize="2615,1803" path="m2310,1323l2283,1323,2283,1394,2310,1394,2310,1323xe" filled="true" fillcolor="#005ca1" stroked="false">
                <v:path arrowok="t"/>
                <v:fill type="solid"/>
              </v:shape>
              <v:shape style="position:absolute;left:0;top:0;width:2615;height:1803" coordorigin="0,0" coordsize="2615,1803" path="m2421,1323l2394,1323,2394,1394,2421,1394,2421,1323xe" filled="true" fillcolor="#005ca1" stroked="false">
                <v:path arrowok="t"/>
                <v:fill type="solid"/>
              </v:shape>
              <v:shape style="position:absolute;left:0;top:0;width:2615;height:1803" coordorigin="0,0" coordsize="2615,1803" path="m2587,1239l2546,1239,2546,1323,2505,1323,2518,1338,2518,1366,2573,1366,2573,1352,2587,1352,2587,1239xe" filled="true" fillcolor="#005ca1" stroked="false">
                <v:path arrowok="t"/>
                <v:fill type="solid"/>
              </v:shape>
              <v:shape style="position:absolute;left:0;top:0;width:2615;height:1803" coordorigin="0,0" coordsize="2615,1803" path="m2518,1253l2476,1253,2490,1281,2490,1309,2532,1309,2532,1295,2518,1281,2518,1253xe" filled="true" fillcolor="#005ca1" stroked="false">
                <v:path arrowok="t"/>
                <v:fill type="solid"/>
              </v:shape>
              <v:shape style="position:absolute;left:0;top:0;width:2615;height:1803" coordorigin="0,0" coordsize="2615,1803" path="m2310,1211l2283,1211,2283,1295,2310,1295,2310,1211xe" filled="true" fillcolor="#005ca1" stroked="false">
                <v:path arrowok="t"/>
                <v:fill type="solid"/>
              </v:shape>
              <v:shape style="position:absolute;left:0;top:0;width:2615;height:1803" coordorigin="0,0" coordsize="2615,1803" path="m2421,1211l2394,1211,2394,1295,2421,1295,2421,1211xe" filled="true" fillcolor="#005ca1" stroked="false">
                <v:path arrowok="t"/>
                <v:fill type="solid"/>
              </v:shape>
              <v:shape style="position:absolute;left:0;top:0;width:2615;height:1803" coordorigin="0,0" coordsize="2615,1803" path="m2532,1155l2476,1155,2476,1197,2505,1197,2518,1183,2518,1169,2532,1155xe" filled="true" fillcolor="#005ca1" stroked="false">
                <v:path arrowok="t"/>
                <v:fill type="solid"/>
              </v:shape>
            </v:group>
          </v:group>
        </w:pict>
      </w:r>
      <w:r>
        <w:rPr>
          <w:rFonts w:ascii="宋体" w:hAnsi="宋体" w:cs="宋体" w:eastAsia="宋体" w:hint="default"/>
          <w:position w:val="-35"/>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620" w:lineRule="exact" w:before="0"/>
        <w:ind w:left="2304" w:right="3321" w:firstLine="0"/>
        <w:jc w:val="center"/>
        <w:rPr>
          <w:rFonts w:ascii="宋体" w:hAnsi="宋体" w:cs="宋体" w:eastAsia="宋体" w:hint="default"/>
          <w:sz w:val="52"/>
          <w:szCs w:val="52"/>
        </w:rPr>
      </w:pPr>
      <w:r>
        <w:rPr>
          <w:rFonts w:ascii="宋体" w:hAnsi="宋体" w:cs="宋体" w:eastAsia="宋体" w:hint="default"/>
          <w:b/>
          <w:bCs/>
          <w:sz w:val="52"/>
          <w:szCs w:val="52"/>
        </w:rPr>
        <w:t>山东丽鹏股份有限公司</w:t>
      </w:r>
      <w:r>
        <w:rPr>
          <w:rFonts w:ascii="宋体" w:hAnsi="宋体" w:cs="宋体" w:eastAsia="宋体" w:hint="default"/>
          <w:sz w:val="52"/>
          <w:szCs w:val="52"/>
        </w:rPr>
      </w:r>
    </w:p>
    <w:p>
      <w:pPr>
        <w:spacing w:before="117"/>
        <w:ind w:left="2304" w:right="3320" w:firstLine="0"/>
        <w:jc w:val="center"/>
        <w:rPr>
          <w:rFonts w:ascii="Times New Roman" w:hAnsi="Times New Roman" w:cs="Times New Roman" w:eastAsia="Times New Roman" w:hint="default"/>
          <w:sz w:val="32"/>
          <w:szCs w:val="32"/>
        </w:rPr>
      </w:pPr>
      <w:r>
        <w:rPr>
          <w:rFonts w:ascii="Times New Roman"/>
          <w:b/>
          <w:sz w:val="32"/>
        </w:rPr>
        <w:t>SHANDONG LIPENG CO.,</w:t>
      </w:r>
      <w:r>
        <w:rPr>
          <w:rFonts w:ascii="Times New Roman"/>
          <w:b/>
          <w:spacing w:val="-23"/>
          <w:sz w:val="32"/>
        </w:rPr>
        <w:t> </w:t>
      </w:r>
      <w:r>
        <w:rPr>
          <w:rFonts w:ascii="Times New Roman"/>
          <w:b/>
          <w:spacing w:val="-11"/>
          <w:sz w:val="32"/>
        </w:rPr>
        <w:t>LTD</w:t>
      </w:r>
      <w:r>
        <w:rPr>
          <w:rFonts w:ascii="Times New Roman"/>
          <w:spacing w:val="-11"/>
          <w:sz w:val="32"/>
        </w:rPr>
      </w:r>
    </w:p>
    <w:p>
      <w:pPr>
        <w:spacing w:line="240" w:lineRule="auto" w:before="0"/>
        <w:rPr>
          <w:rFonts w:ascii="Times New Roman" w:hAnsi="Times New Roman" w:cs="Times New Roman" w:eastAsia="Times New Roman" w:hint="default"/>
          <w:b/>
          <w:bCs/>
          <w:sz w:val="32"/>
          <w:szCs w:val="32"/>
        </w:rPr>
      </w:pPr>
    </w:p>
    <w:p>
      <w:pPr>
        <w:spacing w:line="240" w:lineRule="auto" w:before="2"/>
        <w:rPr>
          <w:rFonts w:ascii="Times New Roman" w:hAnsi="Times New Roman" w:cs="Times New Roman" w:eastAsia="Times New Roman" w:hint="default"/>
          <w:b/>
          <w:bCs/>
          <w:sz w:val="35"/>
          <w:szCs w:val="35"/>
        </w:rPr>
      </w:pPr>
    </w:p>
    <w:p>
      <w:pPr>
        <w:spacing w:before="0"/>
        <w:ind w:left="2303" w:right="3321" w:firstLine="0"/>
        <w:jc w:val="center"/>
        <w:rPr>
          <w:rFonts w:ascii="黑体" w:hAnsi="黑体" w:cs="黑体" w:eastAsia="黑体" w:hint="default"/>
          <w:sz w:val="52"/>
          <w:szCs w:val="52"/>
        </w:rPr>
      </w:pPr>
      <w:r>
        <w:rPr>
          <w:rFonts w:ascii="黑体" w:hAnsi="黑体" w:cs="黑体" w:eastAsia="黑体" w:hint="default"/>
          <w:b/>
          <w:bCs/>
          <w:sz w:val="52"/>
          <w:szCs w:val="52"/>
        </w:rPr>
        <w:t>2015</w:t>
      </w:r>
      <w:r>
        <w:rPr>
          <w:rFonts w:ascii="黑体" w:hAnsi="黑体" w:cs="黑体" w:eastAsia="黑体" w:hint="default"/>
          <w:b/>
          <w:bCs/>
          <w:sz w:val="52"/>
          <w:szCs w:val="52"/>
        </w:rPr>
        <w:t>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before="380"/>
        <w:ind w:left="2304" w:right="3141" w:firstLine="0"/>
        <w:jc w:val="center"/>
        <w:rPr>
          <w:rFonts w:ascii="黑体" w:hAnsi="黑体" w:cs="黑体" w:eastAsia="黑体" w:hint="default"/>
          <w:sz w:val="32"/>
          <w:szCs w:val="32"/>
        </w:rPr>
      </w:pPr>
      <w:r>
        <w:rPr>
          <w:rFonts w:ascii="黑体" w:hAnsi="黑体" w:cs="黑体" w:eastAsia="黑体" w:hint="default"/>
          <w:sz w:val="32"/>
          <w:szCs w:val="32"/>
        </w:rPr>
        <w:t>二零一六年三月</w:t>
      </w:r>
    </w:p>
    <w:p>
      <w:pPr>
        <w:spacing w:after="0"/>
        <w:jc w:val="center"/>
        <w:rPr>
          <w:rFonts w:ascii="黑体" w:hAnsi="黑体" w:cs="黑体" w:eastAsia="黑体" w:hint="default"/>
          <w:sz w:val="32"/>
          <w:szCs w:val="32"/>
        </w:rPr>
        <w:sectPr>
          <w:headerReference w:type="default" r:id="rId5"/>
          <w:footerReference w:type="default" r:id="rId6"/>
          <w:type w:val="continuous"/>
          <w:pgSz w:w="11910" w:h="16840"/>
          <w:pgMar w:header="786" w:footer="1019" w:top="1100" w:bottom="1200" w:left="1020" w:right="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0"/>
          <w:szCs w:val="20"/>
        </w:rPr>
      </w:pPr>
    </w:p>
    <w:p>
      <w:pPr>
        <w:pStyle w:val="Heading1"/>
        <w:spacing w:line="240" w:lineRule="auto"/>
        <w:ind w:left="276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公司负责人孙鲲鹏、主管会计工作负责人张国平及会计机构负责人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张国平声明：保证年度报告中财务报告的真实、准确、完整。</w:t>
      </w:r>
      <w:r>
        <w:rPr>
          <w:rFonts w:ascii="宋体" w:hAnsi="宋体" w:cs="宋体" w:eastAsia="宋体" w:hint="default"/>
          <w:sz w:val="28"/>
          <w:szCs w:val="28"/>
        </w:rPr>
      </w:r>
    </w:p>
    <w:p>
      <w:pPr>
        <w:spacing w:line="472" w:lineRule="auto" w:before="147"/>
        <w:ind w:left="67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本年度报告中涉及的未来发展陈述，属于计划性事项，并不代表公司对未</w:t>
      </w:r>
      <w:r>
        <w:rPr>
          <w:rFonts w:ascii="宋体" w:hAnsi="宋体" w:cs="宋体" w:eastAsia="宋体" w:hint="default"/>
          <w:spacing w:val="3"/>
          <w:sz w:val="28"/>
          <w:szCs w:val="28"/>
        </w:rPr>
      </w:r>
    </w:p>
    <w:p>
      <w:pPr>
        <w:spacing w:line="410" w:lineRule="auto" w:before="0"/>
        <w:ind w:left="11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来年度的盈利预测，不构成公司对投资者的实质性承诺。公司已在本报告中详</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细描述存在的技术风险、市场风险、管理风险，敬请查阅第四节“管理层讨论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与分析”。敬请广大投资者注意投资风险。</w:t>
      </w:r>
      <w:r>
        <w:rPr>
          <w:rFonts w:ascii="宋体" w:hAnsi="宋体" w:cs="宋体" w:eastAsia="宋体" w:hint="default"/>
          <w:sz w:val="28"/>
          <w:szCs w:val="28"/>
        </w:rPr>
      </w:r>
    </w:p>
    <w:p>
      <w:pPr>
        <w:spacing w:before="158"/>
        <w:ind w:left="67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351,623,221</w:t>
      </w:r>
      <w:r>
        <w:rPr>
          <w:rFonts w:ascii="Times New Roman" w:hAnsi="Times New Roman" w:cs="Times New Roman" w:eastAsia="Times New Roman" w:hint="default"/>
          <w:b/>
          <w:bCs/>
          <w:spacing w:val="-15"/>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14" w:right="0" w:firstLine="0"/>
        <w:jc w:val="both"/>
        <w:rPr>
          <w:rFonts w:ascii="宋体" w:hAnsi="宋体" w:cs="宋体" w:eastAsia="宋体" w:hint="default"/>
          <w:sz w:val="28"/>
          <w:szCs w:val="28"/>
        </w:rPr>
      </w:pPr>
      <w:r>
        <w:rPr>
          <w:rFonts w:ascii="宋体" w:hAnsi="宋体" w:cs="宋体" w:eastAsia="宋体" w:hint="default"/>
          <w:b/>
          <w:bCs/>
          <w:sz w:val="28"/>
          <w:szCs w:val="28"/>
        </w:rPr>
        <w:t>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0.5</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元（含税），送红股</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股（含税），以资</w:t>
      </w:r>
      <w:r>
        <w:rPr>
          <w:rFonts w:ascii="宋体" w:hAnsi="宋体" w:cs="宋体" w:eastAsia="宋体" w:hint="default"/>
          <w:sz w:val="28"/>
          <w:szCs w:val="28"/>
        </w:rPr>
      </w:r>
    </w:p>
    <w:p>
      <w:pPr>
        <w:spacing w:before="237"/>
        <w:ind w:left="114" w:right="0" w:firstLine="0"/>
        <w:jc w:val="both"/>
        <w:rPr>
          <w:rFonts w:ascii="宋体" w:hAnsi="宋体" w:cs="宋体" w:eastAsia="宋体" w:hint="default"/>
          <w:sz w:val="28"/>
          <w:szCs w:val="28"/>
        </w:rPr>
      </w:pPr>
      <w:r>
        <w:rPr>
          <w:rFonts w:ascii="宋体" w:hAnsi="宋体" w:cs="宋体" w:eastAsia="宋体" w:hint="default"/>
          <w:b/>
          <w:bCs/>
          <w:sz w:val="28"/>
          <w:szCs w:val="28"/>
        </w:rPr>
        <w:t>本公积金向全体股东每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7"/>
          <w:pgSz w:w="11910" w:h="16840"/>
          <w:pgMar w:footer="1019" w:header="786" w:top="1100" w:bottom="120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460" w:lineRule="exact" w:before="0"/>
        <w:ind w:left="2304" w:right="332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w:t>
            </w:r>
          </w:hyperlink>
          <w:r>
            <w:rPr>
              <w:rFonts w:ascii="Times New Roman" w:hAnsi="Times New Roman" w:cs="Times New Roman" w:eastAsia="Times New Roman" w:hint="default"/>
            </w:rPr>
            <w:t>0</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t>1</w:t>
            </w:r>
          </w:hyperlink>
          <w:r>
            <w:rPr>
              <w:rFonts w:ascii="Times New Roman" w:hAnsi="Times New Roman" w:cs="Times New Roman" w:eastAsia="Times New Roman" w:hint="default"/>
            </w:rPr>
            <w:t>5</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w:t>
            </w:r>
          </w:hyperlink>
          <w:r>
            <w:rPr>
              <w:rFonts w:ascii="Times New Roman" w:hAnsi="Times New Roman" w:cs="Times New Roman" w:eastAsia="Times New Roman" w:hint="default"/>
            </w:rPr>
            <w:t>1</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w:t>
            </w:r>
          </w:hyperlink>
          <w:r>
            <w:rPr>
              <w:rFonts w:ascii="Times New Roman" w:hAnsi="Times New Roman" w:cs="Times New Roman" w:eastAsia="Times New Roman" w:hint="default"/>
            </w:rPr>
            <w:t>0</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
              </w:rPr>
              <w:t> </w:t>
            </w:r>
            <w:r>
              <w:rPr/>
              <w:t>优先股相关情况</w:t>
            </w:r>
            <w:r>
              <w:rPr>
                <w:rFonts w:ascii="Times New Roman" w:hAnsi="Times New Roman" w:cs="Times New Roman" w:eastAsia="Times New Roman" w:hint="default"/>
              </w:rPr>
              <w:tab/>
              <w:t>4</w:t>
            </w:r>
          </w:hyperlink>
          <w:r>
            <w:rPr>
              <w:rFonts w:ascii="Times New Roman" w:hAnsi="Times New Roman" w:cs="Times New Roman" w:eastAsia="Times New Roman" w:hint="default"/>
            </w:rPr>
            <w:t>9</w:t>
          </w:r>
          <w:r>
            <w:rPr>
              <w:rFonts w:ascii="Times New Roman" w:hAnsi="Times New Roman" w:cs="Times New Roman" w:eastAsia="Times New Roman" w:hint="default"/>
              <w:b w:val="0"/>
              <w:bCs w:val="0"/>
            </w:rPr>
          </w:r>
        </w:p>
        <w:p>
          <w:pPr>
            <w:pStyle w:val="TOC1"/>
            <w:tabs>
              <w:tab w:pos="974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
              </w:rPr>
              <w:t> </w:t>
            </w:r>
            <w:r>
              <w:rPr/>
              <w:t>董事、监事、高级管理人员和员工情况</w:t>
            </w:r>
            <w:r>
              <w:rPr>
                <w:rFonts w:ascii="Times New Roman" w:hAnsi="Times New Roman" w:cs="Times New Roman" w:eastAsia="Times New Roman" w:hint="default"/>
              </w:rPr>
              <w:tab/>
              <w:t>5</w:t>
            </w:r>
          </w:hyperlink>
          <w:r>
            <w:rPr>
              <w:rFonts w:ascii="Times New Roman" w:hAnsi="Times New Roman" w:cs="Times New Roman" w:eastAsia="Times New Roman" w:hint="default"/>
            </w:rPr>
            <w:t>0</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
              </w:rPr>
              <w:t> </w:t>
            </w:r>
            <w:r>
              <w:rPr/>
              <w:t>公司治理</w:t>
            </w:r>
            <w:r>
              <w:rPr>
                <w:rFonts w:ascii="Times New Roman" w:hAnsi="Times New Roman" w:cs="Times New Roman" w:eastAsia="Times New Roman" w:hint="default"/>
              </w:rPr>
              <w:tab/>
              <w:t>5</w:t>
            </w:r>
          </w:hyperlink>
          <w:r>
            <w:rPr>
              <w:rFonts w:ascii="Times New Roman" w:hAnsi="Times New Roman" w:cs="Times New Roman" w:eastAsia="Times New Roman" w:hint="default"/>
            </w:rPr>
            <w:t>9</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
              </w:rPr>
              <w:t> </w:t>
            </w:r>
            <w:r>
              <w:rPr/>
              <w:t>财务报告</w:t>
            </w:r>
            <w:r>
              <w:rPr>
                <w:rFonts w:ascii="Times New Roman" w:hAnsi="Times New Roman" w:cs="Times New Roman" w:eastAsia="Times New Roman" w:hint="default"/>
              </w:rPr>
              <w:tab/>
              <w:t>6</w:t>
            </w:r>
          </w:hyperlink>
          <w:r>
            <w:rPr>
              <w:rFonts w:ascii="Times New Roman" w:hAnsi="Times New Roman" w:cs="Times New Roman" w:eastAsia="Times New Roman" w:hint="default"/>
            </w:rPr>
            <w:t>5</w:t>
          </w:r>
          <w:r>
            <w:rPr>
              <w:rFonts w:ascii="Times New Roman" w:hAnsi="Times New Roman" w:cs="Times New Roman" w:eastAsia="Times New Roman" w:hint="default"/>
              <w:b w:val="0"/>
              <w:bCs w:val="0"/>
            </w:rPr>
          </w:r>
        </w:p>
        <w:p>
          <w:pPr>
            <w:pStyle w:val="TOC1"/>
            <w:tabs>
              <w:tab w:pos="974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
              </w:rPr>
              <w:t> </w:t>
            </w:r>
            <w:r>
              <w:rPr/>
              <w:t>备查文件目录</w:t>
            </w:r>
            <w:r>
              <w:rPr>
                <w:rFonts w:ascii="Times New Roman" w:hAnsi="Times New Roman" w:cs="Times New Roman" w:eastAsia="Times New Roman" w:hint="default"/>
              </w:rPr>
              <w:tab/>
              <w:t>1</w:t>
            </w:r>
          </w:hyperlink>
          <w:r>
            <w:rPr>
              <w:rFonts w:ascii="Times New Roman" w:hAnsi="Times New Roman" w:cs="Times New Roman" w:eastAsia="Times New Roman" w:hint="default"/>
            </w:rPr>
            <w:t>75</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786" w:footer="1019" w:top="1100" w:bottom="1200" w:left="1020" w:right="0"/>
        </w:sectPr>
      </w:pPr>
    </w:p>
    <w:p>
      <w:pPr>
        <w:spacing w:before="906"/>
        <w:ind w:left="2304" w:right="332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公司、股份公司、丽鹏股份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烟台丽鹏投资有限公司，公司的直接控股子公司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华宇园林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烟台和俊</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烟台和俊制盖有限公司，公司的直接控股子公司，已注销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烟台丽鹏包装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烟台丽鹏包装有限公司，公司的直接全资子公司，已注销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北京鹏和祥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北京鹏和祥包装制品有限公司，公司的直接控股子公司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大冶劲鹏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大冶市劲鹏制盖有限公司，公司的直接全资子公司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成都海川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成都海川制盖有限公司，公司的直接全资子公司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新疆军鹏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新疆军鹏制盖有限公司，公司的直接控股子公司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亳州丽鹏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亳州丽鹏制盖有限公司，公司的直接全资子公司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丽鹏国际贸易公司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山东丽鹏国际贸易有限公司，公司的直接全资子公司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泸州丽鹏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四川泸州丽鹏制盖有限公司，公司的直接控股子公司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东飞凯格</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重庆东飞凯格建筑景观设计咨询有限公司，公司的间接控股子公司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烟台聚融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烟台聚融投资有限公司，公司的间接全资子公司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鹏科能源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烟台市鹏科能源有限公司，公司的间接全资子公司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在乎传媒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深圳在乎传媒科技有限公司，公司的直接控股子公司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安顺华宇</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安顺华宇生态建设有限公司，公司的间接控股子公司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巴中华丰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巴中华丰建设发展有限公司，公司的间接控股子公司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重庆秉创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重庆秉创新材料科技有限公司，公司的间接全资子公司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湘乡渝华</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湘乡渝华生态农业发展有限公司，公司的间接全资子公司，已转让</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实际控制人、孙世尧家族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孙世尧及其家族成员于志芬、孙鲲鹏、孙红丽和霍文菊</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headerReference w:type="default" r:id="rId8"/>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山东丽鹏股份有限公司监事会</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复合型防伪印刷</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both"/>
              <w:rPr>
                <w:rFonts w:ascii="宋体" w:hAnsi="宋体" w:cs="宋体" w:eastAsia="宋体" w:hint="default"/>
                <w:sz w:val="18"/>
                <w:szCs w:val="18"/>
              </w:rPr>
            </w:pPr>
            <w:r>
              <w:rPr>
                <w:rFonts w:ascii="宋体" w:hAnsi="宋体" w:cs="宋体" w:eastAsia="宋体" w:hint="default"/>
                <w:spacing w:val="-1"/>
                <w:sz w:val="18"/>
                <w:szCs w:val="18"/>
              </w:rPr>
              <w:t>使用普通印刷油墨和专色墨、荧光油墨、温变油墨等材料，采用平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版胶印、侧面滚印、丝网印刷等进行多工艺印刷，使产品达到两种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或多种防伪效果的印刷技术。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采用物理或化学技术，在一定范围内能够被准确辨别真伪并不易被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仿制和复制的瓶盖。</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组合式防伪瓶盖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由铝板涂覆品与塑料件组合或各种塑料件组合，经开启使用后，不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能再复原的瓶盖。分为铝塑组合式防伪瓶盖和塑料组合式防伪瓶 盖。</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234"/>
              <w:jc w:val="left"/>
              <w:rPr>
                <w:rFonts w:ascii="宋体" w:hAnsi="宋体" w:cs="宋体" w:eastAsia="宋体" w:hint="default"/>
                <w:sz w:val="18"/>
                <w:szCs w:val="18"/>
              </w:rPr>
            </w:pPr>
            <w:r>
              <w:rPr>
                <w:rFonts w:ascii="Times New Roman" w:hAnsi="Times New Roman" w:cs="Times New Roman" w:eastAsia="Times New Roman" w:hint="default"/>
                <w:sz w:val="18"/>
                <w:szCs w:val="18"/>
              </w:rPr>
              <w:t>Public</w:t>
            </w:r>
            <w:r>
              <w:rPr>
                <w:rFonts w:ascii="宋体" w:hAnsi="宋体" w:cs="宋体" w:eastAsia="宋体" w:hint="default"/>
                <w:sz w:val="18"/>
                <w:szCs w:val="18"/>
              </w:rPr>
              <w:t>—</w:t>
            </w:r>
            <w:r>
              <w:rPr>
                <w:rFonts w:ascii="Times New Roman" w:hAnsi="Times New Roman" w:cs="Times New Roman" w:eastAsia="Times New Roman" w:hint="default"/>
                <w:sz w:val="18"/>
                <w:szCs w:val="18"/>
              </w:rPr>
              <w:t>Private</w:t>
            </w:r>
            <w:r>
              <w:rPr>
                <w:rFonts w:ascii="宋体" w:hAnsi="宋体" w:cs="宋体" w:eastAsia="宋体" w:hint="default"/>
                <w:sz w:val="18"/>
                <w:szCs w:val="18"/>
              </w:rPr>
              <w:t>—</w:t>
            </w:r>
            <w:r>
              <w:rPr>
                <w:rFonts w:ascii="Times New Roman" w:hAnsi="Times New Roman" w:cs="Times New Roman" w:eastAsia="Times New Roman" w:hint="default"/>
                <w:sz w:val="18"/>
                <w:szCs w:val="18"/>
              </w:rPr>
              <w:t>Partnership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的字母缩写，是指政府与私人组织之</w:t>
            </w:r>
            <w:r>
              <w:rPr>
                <w:rFonts w:ascii="宋体" w:hAnsi="宋体" w:cs="宋体" w:eastAsia="宋体" w:hint="default"/>
                <w:w w:val="99"/>
                <w:sz w:val="18"/>
                <w:szCs w:val="18"/>
              </w:rPr>
              <w:t> </w:t>
            </w:r>
            <w:r>
              <w:rPr>
                <w:rFonts w:ascii="宋体" w:hAnsi="宋体" w:cs="宋体" w:eastAsia="宋体" w:hint="default"/>
                <w:sz w:val="18"/>
                <w:szCs w:val="18"/>
              </w:rPr>
              <w:t>间，为了合作建设城市基础设施项目。</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二维码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QR</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4"/>
                <w:sz w:val="18"/>
                <w:szCs w:val="18"/>
              </w:rPr>
              <w:t>Code</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QR</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全称</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Quick</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Response</w:t>
            </w:r>
            <w:r>
              <w:rPr>
                <w:rFonts w:ascii="宋体" w:hAnsi="宋体" w:cs="宋体" w:eastAsia="宋体" w:hint="default"/>
                <w:sz w:val="18"/>
                <w:szCs w:val="18"/>
              </w:rPr>
              <w:t>，是一个近几年来移动设备上超 流行的一种编码方式，它比传统的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Bar Code </w:t>
            </w:r>
            <w:r>
              <w:rPr>
                <w:rFonts w:ascii="宋体" w:hAnsi="宋体" w:cs="宋体" w:eastAsia="宋体" w:hint="default"/>
                <w:sz w:val="18"/>
                <w:szCs w:val="18"/>
              </w:rPr>
              <w:t>条形码能存更多的信 息，也能表示更多的数据类型。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山东和信会计师事务所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上海市锦天城律师事务所</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pStyle w:val="Heading1"/>
        <w:spacing w:line="240" w:lineRule="auto"/>
        <w:ind w:left="260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4"/>
        <w:gridCol w:w="2157"/>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002374</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SHANDONG LIPENG</w:t>
            </w:r>
            <w:r>
              <w:rPr>
                <w:rFonts w:ascii="Times New Roman"/>
                <w:spacing w:val="1"/>
                <w:sz w:val="18"/>
              </w:rPr>
              <w:t> </w:t>
            </w:r>
            <w:r>
              <w:rPr>
                <w:rFonts w:ascii="Times New Roman"/>
                <w:spacing w:val="-3"/>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Lipeng</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264114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264114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9">
              <w:r>
                <w:rPr>
                  <w:rFonts w:ascii="Times New Roman"/>
                  <w:sz w:val="18"/>
                </w:rPr>
                <w:t>www.lp.com.cn</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lp@lp.com.cn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赵艺徽</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96"/>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 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山东省烟台市牟平区姜格庄街道办事 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0535-4660587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0535-4660587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0535-4660587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0535-4660587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1">
              <w:r>
                <w:rPr>
                  <w:rFonts w:ascii="Times New Roman"/>
                  <w:sz w:val="18"/>
                </w:rPr>
                <w:t>haixia5229@sina.com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zyh8769@126.com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《中国证券报》、《上海证券报》、《证券日报》、《证券时报》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91370600265526403D</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公司上市以来主营业务的变化情况（如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年公司发行股份购买资产，收购重庆华宇园林有限公司，华宇园林成为公 司的全资子公司，公司开启了包装业务和园林业务的双主业发展新模式。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济南市历下区经十路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13777 </w:t>
            </w:r>
            <w:r>
              <w:rPr>
                <w:rFonts w:ascii="宋体" w:hAnsi="宋体" w:cs="宋体" w:eastAsia="宋体" w:hint="default"/>
                <w:sz w:val="18"/>
                <w:szCs w:val="18"/>
              </w:rPr>
              <w:t>号中润世纪广场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迟慰、王丽敏</w:t>
            </w:r>
          </w:p>
        </w:tc>
      </w:tr>
    </w:tbl>
    <w:p>
      <w:pPr>
        <w:pStyle w:val="BodyText"/>
        <w:spacing w:line="240" w:lineRule="auto" w:before="51"/>
        <w:ind w:right="0"/>
        <w:jc w:val="left"/>
      </w:pPr>
      <w:r>
        <w:rPr/>
        <w:t>公司聘请的报告期内履行持续督导职责的保荐机构</w:t>
      </w:r>
    </w:p>
    <w:p>
      <w:pPr>
        <w:pStyle w:val="BodyText"/>
        <w:spacing w:line="357" w:lineRule="auto" w:before="117"/>
        <w:ind w:right="6792" w:firstLine="90"/>
        <w:jc w:val="left"/>
      </w:pPr>
      <w:r>
        <w:rPr/>
        <w:t>□适用 √ 不适用 公司聘请的报告期内履行持续督导职责的财务顾问</w:t>
      </w:r>
    </w:p>
    <w:p>
      <w:pPr>
        <w:pStyle w:val="BodyText"/>
        <w:spacing w:line="240" w:lineRule="auto" w:before="28"/>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金元证券股份有限公司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深圳市深南大道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号时</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代金融中心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崔建民、丁雪亮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0"/>
        <w:jc w:val="left"/>
      </w:pPr>
      <w:r>
        <w:rPr/>
        <w:t>公司是否因会计政策变更及会计差错更正等追溯调整或重述以前年度会计数据</w:t>
      </w:r>
    </w:p>
    <w:p>
      <w:pPr>
        <w:pStyle w:val="BodyText"/>
        <w:spacing w:line="240" w:lineRule="auto" w:before="117"/>
        <w:ind w:left="113" w:right="0"/>
        <w:jc w:val="left"/>
      </w:pPr>
      <w:r>
        <w:rPr/>
        <w:t>√ 是 □ 否</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61"/>
        <w:gridCol w:w="1200"/>
        <w:gridCol w:w="1202"/>
        <w:gridCol w:w="1200"/>
        <w:gridCol w:w="1202"/>
        <w:gridCol w:w="1202"/>
        <w:gridCol w:w="1202"/>
      </w:tblGrid>
      <w:tr>
        <w:trPr>
          <w:trHeight w:val="714"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5" w:right="144"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1"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1,357,490,73</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9.39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701,923,114.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701,923,114.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660,601,761.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660,601,761.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08</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归属于上市公司股东的净 利润（元）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121,304,672.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31,350,531.9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31,350,531.9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286.93%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37,836,354.0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37,836,354.0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111,819,367.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24,731,771.2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24,731,771.2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352.13%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33,104,869.5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33,104,869.5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-284,865,934</w:t>
            </w:r>
            <w:r>
              <w:rPr>
                <w:rFonts w:ascii="Times New Roman"/>
                <w:sz w:val="18"/>
              </w:rPr>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97,991,911.8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97,991,911.8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-390.70%</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87,666,111.4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87,666,111.4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61"/>
        <w:gridCol w:w="1200"/>
        <w:gridCol w:w="1202"/>
        <w:gridCol w:w="1200"/>
        <w:gridCol w:w="1202"/>
        <w:gridCol w:w="1202"/>
        <w:gridCol w:w="1202"/>
      </w:tblGrid>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6.29%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3.83%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3.83%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4.71%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4.71%</w:t>
            </w:r>
          </w:p>
        </w:tc>
      </w:tr>
      <w:tr>
        <w:trPr>
          <w:trHeight w:val="714"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5" w:right="144"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361"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3,797,287,76</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4.74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2,891,280,59</w:t>
            </w:r>
          </w:p>
          <w:p>
            <w:pPr>
              <w:pStyle w:val="TableParagraph"/>
              <w:spacing w:line="240" w:lineRule="auto" w:before="106"/>
              <w:ind w:left="774" w:right="0"/>
              <w:jc w:val="left"/>
              <w:rPr>
                <w:rFonts w:ascii="Times New Roman" w:hAnsi="Times New Roman" w:cs="Times New Roman" w:eastAsia="Times New Roman" w:hint="default"/>
                <w:sz w:val="18"/>
                <w:szCs w:val="18"/>
              </w:rPr>
            </w:pPr>
            <w:r>
              <w:rPr>
                <w:rFonts w:ascii="Times New Roman"/>
                <w:sz w:val="18"/>
              </w:rPr>
              <w:t>2.30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2,891,280,59</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2.30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1,267,562,98</w:t>
            </w:r>
          </w:p>
          <w:p>
            <w:pPr>
              <w:pStyle w:val="TableParagraph"/>
              <w:spacing w:line="240" w:lineRule="auto" w:before="106"/>
              <w:ind w:left="775" w:right="0"/>
              <w:jc w:val="left"/>
              <w:rPr>
                <w:rFonts w:ascii="Times New Roman" w:hAnsi="Times New Roman" w:cs="Times New Roman" w:eastAsia="Times New Roman" w:hint="default"/>
                <w:sz w:val="18"/>
                <w:szCs w:val="18"/>
              </w:rPr>
            </w:pPr>
            <w:r>
              <w:rPr>
                <w:rFonts w:ascii="Times New Roman"/>
                <w:sz w:val="18"/>
              </w:rPr>
              <w:t>8.59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1,306,320,52</w:t>
            </w:r>
          </w:p>
          <w:p>
            <w:pPr>
              <w:pStyle w:val="TableParagraph"/>
              <w:spacing w:line="240" w:lineRule="auto" w:before="106"/>
              <w:ind w:left="775" w:right="0"/>
              <w:jc w:val="left"/>
              <w:rPr>
                <w:rFonts w:ascii="Times New Roman" w:hAnsi="Times New Roman" w:cs="Times New Roman" w:eastAsia="Times New Roman" w:hint="default"/>
                <w:sz w:val="18"/>
                <w:szCs w:val="18"/>
              </w:rPr>
            </w:pPr>
            <w:r>
              <w:rPr>
                <w:rFonts w:ascii="Times New Roman"/>
                <w:sz w:val="18"/>
              </w:rPr>
              <w:t>8.20</w:t>
            </w: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jc w:val="left"/>
              <w:rPr>
                <w:rFonts w:ascii="宋体" w:hAnsi="宋体" w:cs="宋体" w:eastAsia="宋体" w:hint="default"/>
                <w:sz w:val="18"/>
                <w:szCs w:val="18"/>
              </w:rPr>
            </w:pPr>
            <w:r>
              <w:rPr>
                <w:rFonts w:ascii="宋体" w:hAnsi="宋体" w:cs="宋体" w:eastAsia="宋体" w:hint="default"/>
                <w:sz w:val="18"/>
                <w:szCs w:val="18"/>
              </w:rPr>
              <w:t>归属于上市公司股东的净 资产（元）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1,987,995,57</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9.33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1,866,690,90</w:t>
            </w:r>
          </w:p>
          <w:p>
            <w:pPr>
              <w:pStyle w:val="TableParagraph"/>
              <w:spacing w:line="240" w:lineRule="auto" w:before="106"/>
              <w:ind w:left="774" w:right="0"/>
              <w:jc w:val="left"/>
              <w:rPr>
                <w:rFonts w:ascii="Times New Roman" w:hAnsi="Times New Roman" w:cs="Times New Roman" w:eastAsia="Times New Roman" w:hint="default"/>
                <w:sz w:val="18"/>
                <w:szCs w:val="18"/>
              </w:rPr>
            </w:pPr>
            <w:r>
              <w:rPr>
                <w:rFonts w:ascii="Times New Roman"/>
                <w:sz w:val="18"/>
              </w:rPr>
              <w:t>6.93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1,866,690,90</w:t>
            </w:r>
          </w:p>
          <w:p>
            <w:pPr>
              <w:pStyle w:val="TableParagraph"/>
              <w:spacing w:line="240" w:lineRule="auto" w:before="106"/>
              <w:ind w:left="772" w:right="0"/>
              <w:jc w:val="left"/>
              <w:rPr>
                <w:rFonts w:ascii="Times New Roman" w:hAnsi="Times New Roman" w:cs="Times New Roman" w:eastAsia="Times New Roman" w:hint="default"/>
                <w:sz w:val="18"/>
                <w:szCs w:val="18"/>
              </w:rPr>
            </w:pPr>
            <w:r>
              <w:rPr>
                <w:rFonts w:ascii="Times New Roman"/>
                <w:sz w:val="18"/>
              </w:rPr>
              <w:t>6.93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808,718,761.</w:t>
            </w:r>
          </w:p>
          <w:p>
            <w:pPr>
              <w:pStyle w:val="TableParagraph"/>
              <w:spacing w:line="240" w:lineRule="auto" w:before="106"/>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808,718,761.</w:t>
            </w:r>
          </w:p>
          <w:p>
            <w:pPr>
              <w:pStyle w:val="TableParagraph"/>
              <w:spacing w:line="240" w:lineRule="auto" w:before="106"/>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bl>
    <w:p>
      <w:pPr>
        <w:pStyle w:val="BodyText"/>
        <w:spacing w:line="240" w:lineRule="auto" w:before="51"/>
        <w:ind w:right="0"/>
        <w:jc w:val="left"/>
      </w:pPr>
      <w:r>
        <w:rPr/>
        <w:t>会计政策变更的原因及会计差错更正的情况</w:t>
      </w:r>
    </w:p>
    <w:p>
      <w:pPr>
        <w:pStyle w:val="BodyText"/>
        <w:spacing w:line="240" w:lineRule="auto" w:before="116"/>
        <w:ind w:left="0" w:right="1131"/>
        <w:jc w:val="right"/>
      </w:pPr>
      <w:r>
        <w:rPr/>
        <w:t>公司</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年度根据财政部</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spacing w:val="-4"/>
        </w:rPr>
        <w:t>年发布的《企业会计准则第</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号——长期股权投资》等八项会计准则变更了相关会计政</w:t>
      </w:r>
    </w:p>
    <w:p>
      <w:pPr>
        <w:pStyle w:val="BodyText"/>
        <w:spacing w:line="240" w:lineRule="auto" w:before="64"/>
        <w:ind w:left="113" w:right="0"/>
        <w:jc w:val="left"/>
      </w:pPr>
      <w:r>
        <w:rPr/>
        <w:t>策并对</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年度财务报表进行了追溯重述。</w:t>
      </w:r>
    </w:p>
    <w:p>
      <w:pPr>
        <w:spacing w:line="240" w:lineRule="auto" w:before="12"/>
        <w:rPr>
          <w:rFonts w:ascii="宋体" w:hAnsi="宋体" w:cs="宋体" w:eastAsia="宋体" w:hint="default"/>
          <w:sz w:val="23"/>
          <w:szCs w:val="23"/>
        </w:rPr>
      </w:pPr>
    </w:p>
    <w:p>
      <w:pPr>
        <w:pStyle w:val="Heading2"/>
        <w:spacing w:line="240" w:lineRule="auto"/>
        <w:ind w:left="113"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 w:right="1177"/>
        <w:jc w:val="left"/>
      </w:pPr>
      <w:r>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3"/>
        <w:spacing w:line="240" w:lineRule="auto"/>
        <w:ind w:left="113"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2"/>
        <w:spacing w:line="240" w:lineRule="auto"/>
        <w:ind w:left="113"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252,488,512.39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366,711,234.64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268,265,636.80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470,025,355.56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14,583,000.67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36,096,732.98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18,692,718.16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51,932,220.59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14,152,107.79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34,391,841.21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17,862,750.54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45,412,667.47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-1,282,285.43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-64,589,635.50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-165,452,348.08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-53,541,665.22</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left="113" w:right="0"/>
        <w:jc w:val="left"/>
      </w:pPr>
      <w:r>
        <w:rPr/>
        <w:t>□ 是 √ 否</w:t>
      </w:r>
    </w:p>
    <w:p>
      <w:pPr>
        <w:spacing w:line="240" w:lineRule="auto" w:before="1"/>
        <w:rPr>
          <w:rFonts w:ascii="宋体" w:hAnsi="宋体" w:cs="宋体" w:eastAsia="宋体" w:hint="default"/>
          <w:sz w:val="25"/>
          <w:szCs w:val="25"/>
        </w:rPr>
      </w:pPr>
    </w:p>
    <w:p>
      <w:pPr>
        <w:pStyle w:val="Heading2"/>
        <w:spacing w:line="240" w:lineRule="auto"/>
        <w:ind w:left="113"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13" w:right="0"/>
        <w:jc w:val="left"/>
      </w:pPr>
      <w:r>
        <w:rPr/>
        <w:t>√ 适用 □ 不适用</w:t>
      </w:r>
    </w:p>
    <w:p>
      <w:pPr>
        <w:pStyle w:val="BodyText"/>
        <w:spacing w:line="240" w:lineRule="auto" w:before="117"/>
        <w:ind w:left="0" w:right="1130"/>
        <w:jc w:val="right"/>
      </w:pPr>
      <w:r>
        <w:rPr/>
        <w:t>单位：元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-204,803.75</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-512,700.91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-1,973,909.81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4,504,976.85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9,349,936.97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8,566,846.00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7,197,951.53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127,053.44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320,792.29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-818,076.66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-536,077.17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1,853,491.46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1,477,573.26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1,227,976.71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480,120.07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49,878.86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97,397.83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9,485,305.39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6,618,760.72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4,731,484.48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号——非经常性损益》中列举的非经常性损益项目界定为经常性损益的项目，应</w:t>
      </w:r>
      <w:r>
        <w:rPr/>
        <w:t> 说明原因</w:t>
      </w:r>
    </w:p>
    <w:p>
      <w:pPr>
        <w:pStyle w:val="BodyText"/>
        <w:spacing w:line="240" w:lineRule="auto" w:before="69"/>
        <w:ind w:right="0"/>
        <w:jc w:val="left"/>
      </w:pPr>
      <w:r>
        <w:rPr/>
        <w:t>□ 适用 √ 不适用</w:t>
      </w:r>
    </w:p>
    <w:p>
      <w:pPr>
        <w:pStyle w:val="BodyText"/>
        <w:spacing w:line="302" w:lineRule="auto" w:before="115"/>
        <w:ind w:left="11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2"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40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34" w:firstLine="360"/>
        <w:jc w:val="left"/>
      </w:pPr>
      <w:r>
        <w:rPr>
          <w:spacing w:val="-4"/>
        </w:rPr>
        <w:t>公司的主营业务为铝板复合型防伪印刷和防伪瓶盖的生产、销售及相关业务。公司的主要产品包括复合型防伪印刷铝板、</w:t>
      </w:r>
      <w:r>
        <w:rPr/>
        <w:t> </w:t>
      </w:r>
      <w:r>
        <w:rPr>
          <w:spacing w:val="-2"/>
        </w:rPr>
        <w:t>铝防伪瓶盖和组合式防伪瓶盖。复合型防伪印刷铝板的用途是进一步加工生产防伪瓶盖，其销售对象是同行业制盖企业；防</w:t>
      </w:r>
      <w:r>
        <w:rPr>
          <w:spacing w:val="-66"/>
        </w:rPr>
        <w:t> </w:t>
      </w:r>
      <w:r>
        <w:rPr>
          <w:spacing w:val="-66"/>
        </w:rPr>
      </w:r>
      <w:r>
        <w:rPr>
          <w:spacing w:val="-2"/>
        </w:rPr>
        <w:t>伪瓶盖产品包括铝防伪瓶盖和组合式防伪瓶盖，主要用于白酒、保健酒、啤酒、葡萄酒、医药、橄榄油、高档饮用水等行业</w:t>
      </w:r>
      <w:r>
        <w:rPr>
          <w:spacing w:val="-72"/>
        </w:rPr>
        <w:t> </w:t>
      </w:r>
      <w:r>
        <w:rPr>
          <w:spacing w:val="-72"/>
        </w:rPr>
      </w:r>
      <w:r>
        <w:rPr/>
        <w:t>产品的包装。</w:t>
      </w:r>
    </w:p>
    <w:p>
      <w:pPr>
        <w:pStyle w:val="BodyText"/>
        <w:spacing w:line="304" w:lineRule="auto" w:before="56"/>
        <w:ind w:left="113" w:right="1034" w:firstLine="360"/>
        <w:jc w:val="left"/>
      </w:pPr>
      <w:r>
        <w:rPr>
          <w:spacing w:val="-2"/>
        </w:rPr>
        <w:t>经中国包装联合会及所属金属容器委员会认定，公司是国内最大的铝板复合型防伪印刷和防伪瓶盖生产企业，公司先后</w:t>
      </w:r>
      <w:r>
        <w:rPr/>
        <w:t> 被中国包装联合会、中国包装企业家联合会评为</w:t>
      </w:r>
      <w:r>
        <w:rPr>
          <w:rFonts w:ascii="Times New Roman" w:hAnsi="Times New Roman" w:cs="Times New Roman" w:eastAsia="Times New Roman" w:hint="default"/>
        </w:rPr>
        <w:t>“</w:t>
      </w:r>
      <w:r>
        <w:rPr/>
        <w:t>中国包装龙头企业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w:t>
      </w:r>
      <w:r>
        <w:rPr>
          <w:spacing w:val="-46"/>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t>强先进包装企业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中国包装优秀企业</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中国包装联合会防伪瓶盖研发中心</w:t>
      </w:r>
      <w:r>
        <w:rPr>
          <w:rFonts w:ascii="Times New Roman" w:hAnsi="Times New Roman" w:cs="Times New Roman" w:eastAsia="Times New Roman" w:hint="default"/>
        </w:rPr>
        <w:t>”</w:t>
      </w:r>
      <w:r>
        <w:rPr/>
        <w:t>、“中国包装百强企业”。公司自设立以来，产销规模已连续十余年占据同行业第一的 </w:t>
      </w:r>
      <w:r>
        <w:rPr>
          <w:spacing w:val="-2"/>
        </w:rPr>
        <w:t>位置。截至目前，公司各类产品已销往全国二十八个省、自治区和直辖市，下游酿酒行业客户达</w:t>
      </w:r>
      <w:r>
        <w:rPr>
          <w:spacing w:val="-32"/>
        </w:rPr>
        <w:t> </w:t>
      </w:r>
      <w:r>
        <w:rPr>
          <w:rFonts w:ascii="Times New Roman" w:hAnsi="Times New Roman" w:cs="Times New Roman" w:eastAsia="Times New Roman" w:hint="default"/>
        </w:rPr>
        <w:t>700</w:t>
      </w:r>
      <w:r>
        <w:rPr>
          <w:rFonts w:ascii="Times New Roman" w:hAnsi="Times New Roman" w:cs="Times New Roman" w:eastAsia="Times New Roman" w:hint="default"/>
          <w:spacing w:val="12"/>
        </w:rPr>
        <w:t> </w:t>
      </w:r>
      <w:r>
        <w:rPr>
          <w:spacing w:val="-2"/>
        </w:rPr>
        <w:t>余家，包括</w:t>
      </w:r>
      <w:r>
        <w:rPr>
          <w:rFonts w:ascii="Times New Roman" w:hAnsi="Times New Roman" w:cs="Times New Roman" w:eastAsia="Times New Roman" w:hint="default"/>
          <w:spacing w:val="-2"/>
        </w:rPr>
        <w:t>“</w:t>
      </w:r>
      <w:r>
        <w:rPr>
          <w:spacing w:val="-2"/>
        </w:rPr>
        <w:t>北京红星、</w:t>
      </w:r>
      <w:r>
        <w:rPr>
          <w:spacing w:val="-87"/>
        </w:rPr>
        <w:t> </w:t>
      </w:r>
      <w:r>
        <w:rPr/>
        <w:t>牛栏山</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新疆伊力特</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四川剑南春、泸州老窖、沱牌、全兴、丰谷</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山西杏花村、汾阳王</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湖北劲酒、枝江大曲</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2"/>
        </w:rPr>
        <w:t>“</w:t>
      </w:r>
      <w:r>
        <w:rPr>
          <w:spacing w:val="-2"/>
        </w:rPr>
        <w:t>江苏洋河、双沟</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江西四特</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海南椰风</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湖南金六福</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山东兰陵</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河北衡水老白干、三井小刀、刘伶醉、板城烧</w:t>
      </w:r>
      <w:r>
        <w:rPr>
          <w:spacing w:val="-43"/>
        </w:rPr>
        <w:t> </w:t>
      </w:r>
      <w:r>
        <w:rPr>
          <w:spacing w:val="-43"/>
        </w:rPr>
      </w:r>
      <w:r>
        <w:rPr/>
        <w:t>锅</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黑龙江三得利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辽宁三沟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内蒙河套</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安徽古井贡、种子</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河南宋河</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烟台张裕</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广东蓝带啤酒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青 岛啤酒</w:t>
      </w:r>
      <w:r>
        <w:rPr>
          <w:rFonts w:ascii="Times New Roman" w:hAnsi="Times New Roman" w:cs="Times New Roman" w:eastAsia="Times New Roman" w:hint="default"/>
        </w:rPr>
        <w:t>”</w:t>
      </w:r>
      <w:r>
        <w:rPr/>
        <w:t>等几十家品牌酒和</w:t>
      </w:r>
      <w:r>
        <w:rPr>
          <w:rFonts w:ascii="Times New Roman" w:hAnsi="Times New Roman" w:cs="Times New Roman" w:eastAsia="Times New Roman" w:hint="default"/>
        </w:rPr>
        <w:t>“</w:t>
      </w:r>
      <w:r>
        <w:rPr/>
        <w:t>广州太阳神</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安德利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吉斯</w:t>
      </w:r>
      <w:r>
        <w:rPr>
          <w:rFonts w:ascii="Times New Roman" w:hAnsi="Times New Roman" w:cs="Times New Roman" w:eastAsia="Times New Roman" w:hint="default"/>
        </w:rPr>
        <w:t>”</w:t>
      </w:r>
      <w:r>
        <w:rPr/>
        <w:t>等功能饮料。目前，公司铝防伪瓶盖已在国内同类产品市场中 </w:t>
      </w:r>
      <w:r>
        <w:rPr>
          <w:spacing w:val="-2"/>
        </w:rPr>
        <w:t>占据第一，并远销俄罗斯、菲律宾、泰国、越南、缅甸、澳大利亚以及非洲、南北美洲等海外市场，广泛应用于白兰地、威</w:t>
      </w:r>
      <w:r>
        <w:rPr>
          <w:spacing w:val="-69"/>
        </w:rPr>
        <w:t> </w:t>
      </w:r>
      <w:r>
        <w:rPr>
          <w:spacing w:val="-69"/>
        </w:rPr>
      </w:r>
      <w:r>
        <w:rPr/>
        <w:t>士忌、葡萄酒、橄榄油、饮料等行业。</w:t>
      </w:r>
    </w:p>
    <w:p>
      <w:pPr>
        <w:pStyle w:val="BodyText"/>
        <w:spacing w:line="309" w:lineRule="auto" w:before="66"/>
        <w:ind w:left="113" w:right="1131" w:firstLine="360"/>
        <w:jc w:val="both"/>
      </w:pPr>
      <w:r>
        <w:rPr/>
        <w:t>公司于</w:t>
      </w:r>
      <w:r>
        <w:rPr>
          <w:spacing w:val="-6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月完成了对华宇园林的收购，在收购华宇园林之前，主营业务未发生变化；收购华宇园林之后，公司 </w:t>
      </w:r>
      <w:r>
        <w:rPr>
          <w:spacing w:val="-2"/>
        </w:rPr>
        <w:t>主营业务在铝板复合型防伪印刷和防伪瓶盖制造行业之外，新增生态修复、园林工程施工、园林景观规划设计、绿化养护和</w:t>
      </w:r>
      <w:r>
        <w:rPr>
          <w:spacing w:val="-66"/>
        </w:rPr>
        <w:t> </w:t>
      </w:r>
      <w:r>
        <w:rPr>
          <w:spacing w:val="-66"/>
        </w:rPr>
      </w:r>
      <w:r>
        <w:rPr/>
        <w:t>苗木产销等园林绿化、环境治理业务。</w:t>
      </w:r>
    </w:p>
    <w:p>
      <w:pPr>
        <w:pStyle w:val="BodyText"/>
        <w:spacing w:line="319" w:lineRule="auto" w:before="62"/>
        <w:ind w:right="0" w:firstLine="360"/>
        <w:jc w:val="left"/>
      </w:pPr>
      <w:r>
        <w:rPr>
          <w:spacing w:val="-2"/>
        </w:rPr>
        <w:t>华宇园林从园林工程施工逐步发展为涵盖园林工程施工、园林景观规划设计、苗木种植销售、园林养护为一体的全产业</w:t>
      </w:r>
      <w:r>
        <w:rPr/>
        <w:t> 链综合性园林绿化企业。</w:t>
      </w:r>
    </w:p>
    <w:p>
      <w:pPr>
        <w:pStyle w:val="BodyText"/>
        <w:spacing w:line="240" w:lineRule="auto" w:before="58"/>
        <w:ind w:left="474" w:right="0"/>
        <w:jc w:val="left"/>
      </w:pPr>
      <w:r>
        <w:rPr/>
        <w:t>华宇园林主营业务以市政工程、生态绿化工程施工为主，积累了丰富的项目施工经验。</w:t>
      </w:r>
    </w:p>
    <w:p>
      <w:pPr>
        <w:spacing w:line="240" w:lineRule="auto" w:before="13"/>
        <w:rPr>
          <w:rFonts w:ascii="宋体" w:hAnsi="宋体" w:cs="宋体" w:eastAsia="宋体" w:hint="default"/>
          <w:sz w:val="24"/>
          <w:szCs w:val="24"/>
        </w:rPr>
      </w:pPr>
    </w:p>
    <w:p>
      <w:pPr>
        <w:pStyle w:val="Heading2"/>
        <w:spacing w:line="240" w:lineRule="auto"/>
        <w:ind w:left="113"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shd w:val="clear" w:color="auto" w:fill="CDE7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shd w:val="clear" w:color="auto" w:fill="CDE7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shd w:val="clear" w:color="auto" w:fill="CDE7D2"/>
          </w:tcPr>
          <w:p>
            <w:pPr>
              <w:pStyle w:val="TableParagraph"/>
              <w:spacing w:line="300" w:lineRule="auto" w:before="52"/>
              <w:ind w:left="101" w:right="134"/>
              <w:jc w:val="left"/>
              <w:rPr>
                <w:rFonts w:ascii="宋体" w:hAnsi="宋体" w:cs="宋体" w:eastAsia="宋体" w:hint="default"/>
                <w:sz w:val="18"/>
                <w:szCs w:val="18"/>
              </w:rPr>
            </w:pPr>
            <w:r>
              <w:rPr>
                <w:rFonts w:ascii="宋体" w:hAnsi="宋体" w:cs="宋体" w:eastAsia="宋体" w:hint="default"/>
                <w:sz w:val="18"/>
                <w:szCs w:val="18"/>
              </w:rPr>
              <w:t>报告期末金额较期初增加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209.09%</w:t>
            </w:r>
            <w:r>
              <w:rPr>
                <w:rFonts w:ascii="宋体" w:hAnsi="宋体" w:cs="宋体" w:eastAsia="宋体" w:hint="default"/>
                <w:sz w:val="18"/>
                <w:szCs w:val="18"/>
              </w:rPr>
              <w:t>，主要原因是子公司重庆苗木产业科技园项目 建成进入运营期</w:t>
            </w:r>
            <w:r>
              <w:rPr>
                <w:rFonts w:ascii="Times New Roman" w:hAnsi="Times New Roman" w:cs="Times New Roman" w:eastAsia="Times New Roman" w:hint="default"/>
                <w:sz w:val="18"/>
                <w:szCs w:val="18"/>
              </w:rPr>
              <w:t>,</w:t>
            </w:r>
            <w:r>
              <w:rPr>
                <w:rFonts w:ascii="宋体" w:hAnsi="宋体" w:cs="宋体" w:eastAsia="宋体" w:hint="default"/>
                <w:sz w:val="18"/>
                <w:szCs w:val="18"/>
              </w:rPr>
              <w:t>转入无形资产所致。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shd w:val="clear" w:color="auto" w:fill="CDE7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报告期末金额较期初减少</w:t>
            </w:r>
            <w:r>
              <w:rPr>
                <w:rFonts w:ascii="宋体" w:hAnsi="宋体" w:cs="宋体" w:eastAsia="宋体" w:hint="default"/>
                <w:spacing w:val="-46"/>
                <w:sz w:val="18"/>
                <w:szCs w:val="18"/>
              </w:rPr>
              <w:t> </w:t>
            </w:r>
            <w:r>
              <w:rPr>
                <w:rFonts w:ascii="宋体" w:hAnsi="宋体" w:cs="宋体" w:eastAsia="宋体" w:hint="default"/>
                <w:sz w:val="18"/>
                <w:szCs w:val="18"/>
              </w:rPr>
              <w:t>58.52%</w:t>
            </w:r>
            <w:r>
              <w:rPr>
                <w:rFonts w:ascii="宋体" w:hAnsi="宋体" w:cs="宋体" w:eastAsia="宋体" w:hint="default"/>
                <w:sz w:val="18"/>
                <w:szCs w:val="18"/>
              </w:rPr>
              <w:t>，主要原因是在建工程完工转固定资产所致。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CDE7D2"/>
          </w:tcPr>
          <w:p>
            <w:pPr/>
          </w:p>
        </w:tc>
        <w:tc>
          <w:tcPr>
            <w:tcW w:w="6517" w:type="dxa"/>
            <w:tcBorders>
              <w:top w:val="single" w:sz="4" w:space="0" w:color="000000"/>
              <w:left w:val="single" w:sz="4" w:space="0" w:color="000000"/>
              <w:bottom w:val="single" w:sz="4" w:space="0" w:color="000000"/>
              <w:right w:val="single" w:sz="4" w:space="0" w:color="000000"/>
            </w:tcBorders>
            <w:shd w:val="clear" w:color="auto" w:fill="CDE7D2"/>
          </w:tcPr>
          <w:p>
            <w:pPr/>
          </w:p>
        </w:tc>
      </w:tr>
    </w:tbl>
    <w:p>
      <w:pPr>
        <w:spacing w:after="0"/>
        <w:sectPr>
          <w:pgSz w:w="11910" w:h="16840"/>
          <w:pgMar w:header="907" w:footer="1019" w:top="1100" w:bottom="1200" w:left="1020" w:right="0"/>
        </w:sectPr>
      </w:pPr>
    </w:p>
    <w:p>
      <w:pPr>
        <w:spacing w:line="240" w:lineRule="auto" w:before="10"/>
        <w:rPr>
          <w:rFonts w:ascii="宋体" w:hAnsi="宋体" w:cs="宋体" w:eastAsia="宋体" w:hint="default"/>
          <w:b/>
          <w:bCs/>
          <w:sz w:val="21"/>
          <w:szCs w:val="21"/>
        </w:rPr>
      </w:pPr>
    </w:p>
    <w:p>
      <w:pPr>
        <w:pStyle w:val="Heading3"/>
        <w:spacing w:line="240" w:lineRule="auto" w:before="35"/>
        <w:ind w:left="113"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Heading5"/>
        <w:spacing w:line="240" w:lineRule="auto" w:before="0"/>
        <w:ind w:left="385" w:right="0"/>
        <w:jc w:val="left"/>
        <w:rPr>
          <w:b w:val="0"/>
          <w:bCs w:val="0"/>
        </w:rPr>
      </w:pPr>
      <w:r>
        <w:rPr/>
        <w:t>（一）铝板复合型防伪印刷和防伪瓶盖业务主要竞争情况</w:t>
      </w:r>
      <w:r>
        <w:rPr>
          <w:b w:val="0"/>
          <w:bCs w:val="0"/>
        </w:rPr>
      </w:r>
    </w:p>
    <w:p>
      <w:pPr>
        <w:spacing w:line="338" w:lineRule="auto" w:before="116"/>
        <w:ind w:left="474" w:right="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、公司在铝板复合型防伪印刷和防伪瓶盖行业的竞争地位</w:t>
      </w:r>
      <w:r>
        <w:rPr>
          <w:rFonts w:ascii="宋体" w:hAnsi="宋体" w:cs="宋体" w:eastAsia="宋体" w:hint="default"/>
          <w:b/>
          <w:bCs/>
          <w:w w:val="99"/>
          <w:sz w:val="18"/>
          <w:szCs w:val="18"/>
        </w:rPr>
        <w:t> </w:t>
      </w:r>
      <w:r>
        <w:rPr>
          <w:rFonts w:ascii="宋体" w:hAnsi="宋体" w:cs="宋体" w:eastAsia="宋体" w:hint="default"/>
          <w:spacing w:val="-2"/>
          <w:sz w:val="18"/>
          <w:szCs w:val="18"/>
        </w:rPr>
        <w:t>经中国包装联合会及所属金属容器委员会认定，公司是国内最大的铝板复合型防伪印刷和防伪瓶盖生产企业，公司先后</w:t>
      </w:r>
    </w:p>
    <w:p>
      <w:pPr>
        <w:pStyle w:val="BodyText"/>
        <w:spacing w:line="240" w:lineRule="auto" w:before="2"/>
        <w:ind w:right="0"/>
        <w:jc w:val="left"/>
      </w:pPr>
      <w:r>
        <w:rPr/>
        <w:t>被中国包装联合会、中国包装企业家联合会评为</w:t>
      </w:r>
      <w:r>
        <w:rPr>
          <w:rFonts w:ascii="Times New Roman" w:hAnsi="Times New Roman" w:cs="Times New Roman" w:eastAsia="Times New Roman" w:hint="default"/>
        </w:rPr>
        <w:t>“</w:t>
      </w:r>
      <w:r>
        <w:rPr/>
        <w:t>中国包装龙头企业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w:t>
      </w:r>
      <w:r>
        <w:rPr>
          <w:spacing w:val="-46"/>
        </w:rPr>
        <w:t> </w:t>
      </w:r>
      <w:r>
        <w:rPr>
          <w:rFonts w:ascii="宋体" w:hAnsi="宋体" w:cs="宋体" w:eastAsia="宋体" w:hint="default"/>
        </w:rPr>
        <w:t>200</w:t>
      </w:r>
      <w:r>
        <w:rPr>
          <w:rFonts w:ascii="宋体" w:hAnsi="宋体" w:cs="宋体" w:eastAsia="宋体" w:hint="default"/>
          <w:spacing w:val="-46"/>
        </w:rPr>
        <w:t> </w:t>
      </w:r>
      <w:r>
        <w:rPr/>
        <w:t>强先进包装企业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中国包装优秀企业</w:t>
      </w:r>
      <w:r>
        <w:rPr>
          <w:rFonts w:ascii="Times New Roman" w:hAnsi="Times New Roman" w:cs="Times New Roman" w:eastAsia="Times New Roman" w:hint="default"/>
        </w:rPr>
        <w:t>”</w:t>
      </w:r>
      <w:r>
        <w:rPr/>
        <w:t>、</w:t>
      </w:r>
    </w:p>
    <w:p>
      <w:pPr>
        <w:pStyle w:val="BodyText"/>
        <w:spacing w:line="338" w:lineRule="auto" w:before="64"/>
        <w:ind w:left="474" w:right="0" w:hanging="360"/>
        <w:jc w:val="left"/>
      </w:pPr>
      <w:r>
        <w:rPr>
          <w:rFonts w:ascii="Times New Roman" w:hAnsi="Times New Roman" w:cs="Times New Roman" w:eastAsia="Times New Roman" w:hint="default"/>
        </w:rPr>
        <w:t>“</w:t>
      </w:r>
      <w:r>
        <w:rPr/>
        <w:t>中国包装联合会防伪瓶盖研发中心</w:t>
      </w:r>
      <w:r>
        <w:rPr>
          <w:rFonts w:ascii="Times New Roman" w:hAnsi="Times New Roman" w:cs="Times New Roman" w:eastAsia="Times New Roman" w:hint="default"/>
        </w:rPr>
        <w:t>”</w:t>
      </w:r>
      <w:r>
        <w:rPr/>
        <w:t>。 </w:t>
      </w:r>
      <w:r>
        <w:rPr>
          <w:spacing w:val="-2"/>
        </w:rPr>
        <w:t>公司自设立以来，产销规模已连续十余年占据同行业第一的位置。截至目前，公司各类产品已销往全国二十八个省、自</w:t>
      </w:r>
    </w:p>
    <w:p>
      <w:pPr>
        <w:pStyle w:val="BodyText"/>
        <w:spacing w:line="300" w:lineRule="auto" w:before="2"/>
        <w:ind w:left="113" w:right="1026"/>
        <w:jc w:val="left"/>
      </w:pPr>
      <w:r>
        <w:rPr/>
        <w:t>治区和直辖市，下游酿酒行业客户达</w:t>
      </w:r>
      <w:r>
        <w:rPr>
          <w:spacing w:val="-62"/>
        </w:rPr>
        <w:t> </w:t>
      </w:r>
      <w:r>
        <w:rPr>
          <w:rFonts w:ascii="宋体" w:hAnsi="宋体" w:cs="宋体" w:eastAsia="宋体" w:hint="default"/>
        </w:rPr>
        <w:t>700</w:t>
      </w:r>
      <w:r>
        <w:rPr>
          <w:rFonts w:ascii="宋体" w:hAnsi="宋体" w:cs="宋体" w:eastAsia="宋体" w:hint="default"/>
          <w:spacing w:val="-61"/>
        </w:rPr>
        <w:t> </w:t>
      </w:r>
      <w:r>
        <w:rPr/>
        <w:t>余家，包括</w:t>
      </w:r>
      <w:r>
        <w:rPr>
          <w:rFonts w:ascii="Times New Roman" w:hAnsi="Times New Roman" w:cs="Times New Roman" w:eastAsia="Times New Roman" w:hint="default"/>
        </w:rPr>
        <w:t>“</w:t>
      </w:r>
      <w:r>
        <w:rPr/>
        <w:t>北京红星、牛栏山</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新疆伊力特</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四川剑南春、泸州老窖、沱牌、 全兴、丰谷</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山西杏花村、汾阳王</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湖北劲酒、枝江大曲</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江苏洋河、双沟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江西四特</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海南椰风</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湖南金六 福</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山东兰陵</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河北衡水老白干、三井小刀、刘伶醉、板城烧锅</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黑龙江三得利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辽宁三沟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内蒙河套</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安徽 古井贡、种子</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河南宋河</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烟台张裕</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广东蓝带啤酒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青岛啤酒</w:t>
      </w:r>
      <w:r>
        <w:rPr>
          <w:rFonts w:ascii="Times New Roman" w:hAnsi="Times New Roman" w:cs="Times New Roman" w:eastAsia="Times New Roman" w:hint="default"/>
        </w:rPr>
        <w:t>”</w:t>
      </w:r>
      <w:r>
        <w:rPr/>
        <w:t>等几十家品牌酒和</w:t>
      </w:r>
      <w:r>
        <w:rPr>
          <w:rFonts w:ascii="Times New Roman" w:hAnsi="Times New Roman" w:cs="Times New Roman" w:eastAsia="Times New Roman" w:hint="default"/>
        </w:rPr>
        <w:t>“</w:t>
      </w:r>
      <w:r>
        <w:rPr/>
        <w:t>广州太阳神</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安德利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吉 斯</w:t>
      </w:r>
      <w:r>
        <w:rPr>
          <w:rFonts w:ascii="Times New Roman" w:hAnsi="Times New Roman" w:cs="Times New Roman" w:eastAsia="Times New Roman" w:hint="default"/>
        </w:rPr>
        <w:t>”</w:t>
      </w:r>
      <w:r>
        <w:rPr/>
        <w:t>等功能饮料。目前，公司铝防伪瓶盖已在国内同类产品市场中占据第一，并远销俄罗斯、菲律宾、泰国、越南、缅甸、 澳大利亚以及非洲、南北美洲等海外市场，广泛应用于白兰地、威士忌、葡萄酒、橄榄油、饮料等行业。</w:t>
      </w:r>
    </w:p>
    <w:p>
      <w:pPr>
        <w:pStyle w:val="Heading5"/>
        <w:spacing w:line="240" w:lineRule="auto" w:before="71"/>
        <w:ind w:right="0"/>
        <w:jc w:val="left"/>
        <w:rPr>
          <w:b w:val="0"/>
          <w:bCs w:val="0"/>
        </w:rPr>
      </w:pPr>
      <w:r>
        <w:rPr>
          <w:rFonts w:ascii="Times New Roman" w:hAnsi="Times New Roman" w:cs="Times New Roman" w:eastAsia="Times New Roman" w:hint="default"/>
        </w:rPr>
        <w:t>2</w:t>
      </w:r>
      <w:r>
        <w:rPr/>
        <w:t>、公司在铝板复合型防伪印刷和防伪瓶盖行业的竞争优势</w:t>
      </w:r>
      <w:r>
        <w:rPr>
          <w:b w:val="0"/>
          <w:bCs w:val="0"/>
        </w:rPr>
      </w:r>
    </w:p>
    <w:p>
      <w:pPr>
        <w:pStyle w:val="BodyText"/>
        <w:spacing w:line="357" w:lineRule="auto" w:before="103"/>
        <w:ind w:left="474" w:right="0"/>
        <w:jc w:val="left"/>
      </w:pPr>
      <w:r>
        <w:rPr/>
        <w:t>（</w:t>
      </w:r>
      <w:r>
        <w:rPr>
          <w:rFonts w:ascii="宋体" w:hAnsi="宋体" w:cs="宋体" w:eastAsia="宋体" w:hint="default"/>
        </w:rPr>
        <w:t>1</w:t>
      </w:r>
      <w:r>
        <w:rPr/>
        <w:t>）一条龙服务优势 </w:t>
      </w:r>
      <w:r>
        <w:rPr>
          <w:spacing w:val="-2"/>
        </w:rPr>
        <w:t>公司业务涵盖了防伪瓶盖制造领域的各个业务环节，包括铝板复合型防伪印刷、瓶盖制造、制盖机械及模具制造、产品</w:t>
      </w:r>
    </w:p>
    <w:p>
      <w:pPr>
        <w:pStyle w:val="BodyText"/>
        <w:spacing w:line="224" w:lineRule="exact"/>
        <w:ind w:right="0"/>
        <w:jc w:val="left"/>
      </w:pPr>
      <w:r>
        <w:rPr/>
        <w:t>技术研发和售后技术服务为一体的一条龙服务，已形成制盖行业中完整的业务体系。近年来，下游客户对供应商的要求不断</w:t>
      </w:r>
    </w:p>
    <w:p>
      <w:pPr>
        <w:pStyle w:val="BodyText"/>
        <w:spacing w:line="300" w:lineRule="auto" w:before="76"/>
        <w:ind w:right="1040"/>
        <w:jc w:val="left"/>
      </w:pPr>
      <w:r>
        <w:rPr>
          <w:spacing w:val="-3"/>
        </w:rPr>
        <w:t>向</w:t>
      </w:r>
      <w:r>
        <w:rPr>
          <w:rFonts w:ascii="Times New Roman" w:hAnsi="Times New Roman" w:cs="Times New Roman" w:eastAsia="Times New Roman" w:hint="default"/>
          <w:spacing w:val="-3"/>
        </w:rPr>
        <w:t>“</w:t>
      </w:r>
      <w:r>
        <w:rPr>
          <w:spacing w:val="-3"/>
        </w:rPr>
        <w:t>高质量、低成本、短交货期</w:t>
      </w:r>
      <w:r>
        <w:rPr>
          <w:rFonts w:ascii="Times New Roman" w:hAnsi="Times New Roman" w:cs="Times New Roman" w:eastAsia="Times New Roman" w:hint="default"/>
          <w:spacing w:val="-3"/>
        </w:rPr>
        <w:t>”</w:t>
      </w:r>
      <w:r>
        <w:rPr>
          <w:spacing w:val="-3"/>
        </w:rPr>
        <w:t>发展。公司充分发挥从设计制版、复合型防伪印刷、模具制造、瓶盖加工一条龙服务的优势，</w:t>
      </w:r>
      <w:r>
        <w:rPr>
          <w:spacing w:val="-81"/>
        </w:rPr>
        <w:t> </w:t>
      </w:r>
      <w:r>
        <w:rPr>
          <w:spacing w:val="-81"/>
        </w:rPr>
      </w:r>
      <w:r>
        <w:rPr/>
        <w:t>快速、高效地为下游客户提供</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服务，特别是在新产品设计制作、突发订单生产等方面发挥了其他企业无法比拟的优 势，切实解决了客户技术难题和燃眉之急。同时公司防伪瓶盖品种齐全，能满足客户对不同防伪瓶盖的需求。</w:t>
      </w:r>
    </w:p>
    <w:p>
      <w:pPr>
        <w:pStyle w:val="BodyText"/>
        <w:spacing w:line="319" w:lineRule="auto" w:before="70"/>
        <w:ind w:left="113" w:right="1132" w:firstLine="360"/>
        <w:jc w:val="both"/>
      </w:pPr>
      <w:r>
        <w:rPr>
          <w:spacing w:val="-2"/>
        </w:rPr>
        <w:t>公司完整的产业链不但为下游客户提供了优质、快速的服务，而且还为同行业其他厂家提供从铝板复合型防伪印刷、机</w:t>
      </w:r>
      <w:r>
        <w:rPr/>
        <w:t> </w:t>
      </w:r>
      <w:r>
        <w:rPr>
          <w:spacing w:val="-2"/>
        </w:rPr>
        <w:t>械模具等产品到技术服务等全方位服务，拓宽了公司的业务发展空间，有利于形成新的业绩增长点，进一步巩固公司在同行</w:t>
      </w:r>
      <w:r>
        <w:rPr>
          <w:spacing w:val="-66"/>
        </w:rPr>
        <w:t> </w:t>
      </w:r>
      <w:r>
        <w:rPr>
          <w:spacing w:val="-66"/>
        </w:rPr>
      </w:r>
      <w:r>
        <w:rPr/>
        <w:t>业的领先地位。</w:t>
      </w:r>
    </w:p>
    <w:p>
      <w:pPr>
        <w:pStyle w:val="BodyText"/>
        <w:spacing w:line="240" w:lineRule="auto" w:before="58"/>
        <w:ind w:left="474" w:right="0"/>
        <w:jc w:val="left"/>
      </w:pPr>
      <w:r>
        <w:rPr/>
        <w:t>（</w:t>
      </w:r>
      <w:r>
        <w:rPr>
          <w:rFonts w:ascii="宋体" w:hAnsi="宋体" w:cs="宋体" w:eastAsia="宋体" w:hint="default"/>
        </w:rPr>
        <w:t>2</w:t>
      </w:r>
      <w:r>
        <w:rPr/>
        <w:t>）装备优势</w:t>
      </w:r>
    </w:p>
    <w:p>
      <w:pPr>
        <w:pStyle w:val="BodyText"/>
        <w:spacing w:line="316" w:lineRule="auto" w:before="115"/>
        <w:ind w:left="113" w:right="1028" w:firstLine="360"/>
        <w:jc w:val="left"/>
      </w:pPr>
      <w:r>
        <w:rPr>
          <w:spacing w:val="-2"/>
        </w:rPr>
        <w:t>公司拥有国际、国内同行业最先进的生产设备。在铝板复合型防伪印刷环节，公司从国外先后引进了</w:t>
      </w:r>
      <w:r>
        <w:rPr>
          <w:spacing w:val="-43"/>
        </w:rPr>
        <w:t> </w:t>
      </w:r>
      <w:r>
        <w:rPr>
          <w:rFonts w:ascii="宋体" w:hAnsi="宋体" w:cs="宋体" w:eastAsia="宋体" w:hint="default"/>
        </w:rPr>
        <w:t>16</w:t>
      </w:r>
      <w:r>
        <w:rPr>
          <w:rFonts w:ascii="宋体" w:hAnsi="宋体" w:cs="宋体" w:eastAsia="宋体" w:hint="default"/>
          <w:spacing w:val="-44"/>
        </w:rPr>
        <w:t> </w:t>
      </w:r>
      <w:r>
        <w:rPr/>
        <w:t>条先进生产线， 如意大利</w:t>
      </w:r>
      <w:r>
        <w:rPr>
          <w:spacing w:val="-60"/>
        </w:rPr>
        <w:t> </w:t>
      </w:r>
      <w:r>
        <w:rPr>
          <w:rFonts w:ascii="宋体" w:hAnsi="宋体" w:cs="宋体" w:eastAsia="宋体" w:hint="default"/>
        </w:rPr>
        <w:t>OMSO</w:t>
      </w:r>
      <w:r>
        <w:rPr>
          <w:rFonts w:ascii="宋体" w:hAnsi="宋体" w:cs="宋体" w:eastAsia="宋体" w:hint="default"/>
          <w:spacing w:val="-59"/>
        </w:rPr>
        <w:t> </w:t>
      </w:r>
      <w:r>
        <w:rPr/>
        <w:t>公司和</w:t>
      </w:r>
      <w:r>
        <w:rPr>
          <w:spacing w:val="-60"/>
        </w:rPr>
        <w:t> </w:t>
      </w:r>
      <w:r>
        <w:rPr>
          <w:rFonts w:ascii="宋体" w:hAnsi="宋体" w:cs="宋体" w:eastAsia="宋体" w:hint="default"/>
        </w:rPr>
        <w:t>CALF</w:t>
      </w:r>
      <w:r>
        <w:rPr>
          <w:rFonts w:ascii="宋体" w:hAnsi="宋体" w:cs="宋体" w:eastAsia="宋体" w:hint="default"/>
          <w:spacing w:val="-60"/>
        </w:rPr>
        <w:t> </w:t>
      </w:r>
      <w:r>
        <w:rPr/>
        <w:t>公司的滚涂滚印机，与国外制盖同行装备实力相当；实现了大面积精印，印刷水平与国外同行基 </w:t>
      </w:r>
      <w:r>
        <w:rPr>
          <w:spacing w:val="-2"/>
        </w:rPr>
        <w:t>本相当，部分高端产品的印刷质量甚至优于国外产品。在瓶盖冲制环节，公司拥有国内外同行业中自动化程度最高的铝防伪</w:t>
      </w:r>
      <w:r>
        <w:rPr>
          <w:spacing w:val="-66"/>
        </w:rPr>
        <w:t> </w:t>
      </w:r>
      <w:r>
        <w:rPr>
          <w:spacing w:val="-66"/>
        </w:rPr>
      </w:r>
      <w:r>
        <w:rPr/>
        <w:t>瓶盖生产线；其中意大利</w:t>
      </w:r>
      <w:r>
        <w:rPr>
          <w:spacing w:val="-48"/>
        </w:rPr>
        <w:t> </w:t>
      </w:r>
      <w:r>
        <w:rPr>
          <w:rFonts w:ascii="宋体" w:hAnsi="宋体" w:cs="宋体" w:eastAsia="宋体" w:hint="default"/>
        </w:rPr>
        <w:t>SACMI</w:t>
      </w:r>
      <w:r>
        <w:rPr>
          <w:rFonts w:ascii="宋体" w:hAnsi="宋体" w:cs="宋体" w:eastAsia="宋体" w:hint="default"/>
          <w:spacing w:val="-48"/>
        </w:rPr>
        <w:t> </w:t>
      </w:r>
      <w:r>
        <w:rPr/>
        <w:t>线</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条、马卡生产线</w:t>
      </w:r>
      <w:r>
        <w:rPr>
          <w:spacing w:val="-48"/>
        </w:rPr>
        <w:t> </w:t>
      </w:r>
      <w:r>
        <w:rPr>
          <w:rFonts w:ascii="宋体" w:hAnsi="宋体" w:cs="宋体" w:eastAsia="宋体" w:hint="default"/>
        </w:rPr>
        <w:t>1</w:t>
      </w:r>
      <w:r>
        <w:rPr>
          <w:rFonts w:ascii="宋体" w:hAnsi="宋体" w:cs="宋体" w:eastAsia="宋体" w:hint="default"/>
          <w:spacing w:val="-48"/>
        </w:rPr>
        <w:t> </w:t>
      </w:r>
      <w:r>
        <w:rPr/>
        <w:t>条、</w:t>
      </w:r>
      <w:r>
        <w:rPr>
          <w:rFonts w:ascii="宋体" w:hAnsi="宋体" w:cs="宋体" w:eastAsia="宋体" w:hint="default"/>
        </w:rPr>
        <w:t>BK</w:t>
      </w:r>
      <w:r>
        <w:rPr>
          <w:rFonts w:ascii="宋体" w:hAnsi="宋体" w:cs="宋体" w:eastAsia="宋体" w:hint="default"/>
          <w:spacing w:val="-48"/>
        </w:rPr>
        <w:t> </w:t>
      </w:r>
      <w:r>
        <w:rPr/>
        <w:t>生产线</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条，同时还拥有具有独立知识产权的</w:t>
      </w:r>
      <w:r>
        <w:rPr>
          <w:spacing w:val="-48"/>
        </w:rPr>
        <w:t> </w:t>
      </w:r>
      <w:r>
        <w:rPr>
          <w:rFonts w:ascii="宋体" w:hAnsi="宋体" w:cs="宋体" w:eastAsia="宋体" w:hint="default"/>
        </w:rPr>
        <w:t>10</w:t>
      </w:r>
      <w:r>
        <w:rPr>
          <w:rFonts w:ascii="宋体" w:hAnsi="宋体" w:cs="宋体" w:eastAsia="宋体" w:hint="default"/>
          <w:spacing w:val="-48"/>
        </w:rPr>
        <w:t> </w:t>
      </w:r>
      <w:r>
        <w:rPr/>
        <w:t>头全自动高</w:t>
      </w:r>
    </w:p>
    <w:p>
      <w:pPr>
        <w:pStyle w:val="BodyText"/>
        <w:spacing w:line="309" w:lineRule="auto"/>
        <w:ind w:right="1131"/>
        <w:jc w:val="both"/>
      </w:pPr>
      <w:r>
        <w:rPr/>
        <w:t>速瓶盖生产线</w:t>
      </w:r>
      <w:r>
        <w:rPr>
          <w:spacing w:val="-35"/>
        </w:rPr>
        <w:t> </w:t>
      </w:r>
      <w:r>
        <w:rPr>
          <w:rFonts w:ascii="Times New Roman" w:hAnsi="Times New Roman" w:cs="Times New Roman" w:eastAsia="Times New Roman" w:hint="default"/>
        </w:rPr>
        <w:t>7 </w:t>
      </w:r>
      <w:r>
        <w:rPr>
          <w:spacing w:val="-2"/>
        </w:rPr>
        <w:t>条，拥有与山东大学共同开发研制的铝质瓶盖自动检测线，及适应各种规格瓶盖的数控冲床、多头全自动滚</w:t>
      </w:r>
      <w:r>
        <w:rPr/>
        <w:t> </w:t>
      </w:r>
      <w:r>
        <w:rPr>
          <w:spacing w:val="-2"/>
        </w:rPr>
        <w:t>轧机和多头全自动加垫机等先进设备。公司是国内同行业中首家引进、采用物理发泡生产线生产垫片、全球唯一一家引进柔</w:t>
      </w:r>
      <w:r>
        <w:rPr>
          <w:spacing w:val="-66"/>
        </w:rPr>
        <w:t> </w:t>
      </w:r>
      <w:r>
        <w:rPr>
          <w:spacing w:val="-66"/>
        </w:rPr>
      </w:r>
      <w:r>
        <w:rPr/>
        <w:t>印机进行印刷的企业。随着公司首次公开发行募集资金投资项目的实施，公司在实施规模化生产的优势更加明显。</w:t>
      </w:r>
    </w:p>
    <w:p>
      <w:pPr>
        <w:pStyle w:val="BodyText"/>
        <w:spacing w:line="357" w:lineRule="auto" w:before="64"/>
        <w:ind w:left="474" w:right="1126"/>
        <w:jc w:val="left"/>
      </w:pPr>
      <w:r>
        <w:rPr/>
        <w:t>（</w:t>
      </w:r>
      <w:r>
        <w:rPr>
          <w:rFonts w:ascii="宋体" w:hAnsi="宋体" w:cs="宋体" w:eastAsia="宋体" w:hint="default"/>
        </w:rPr>
        <w:t>3</w:t>
      </w:r>
      <w:r>
        <w:rPr/>
        <w:t>）技术创新优势 </w:t>
      </w:r>
      <w:r>
        <w:rPr>
          <w:spacing w:val="-1"/>
        </w:rPr>
        <w:t>创新是公司取得不断发展的巨大推动力。公司提倡</w:t>
      </w:r>
      <w:r>
        <w:rPr>
          <w:rFonts w:ascii="Times New Roman" w:hAnsi="Times New Roman" w:cs="Times New Roman" w:eastAsia="Times New Roman" w:hint="default"/>
          <w:spacing w:val="-1"/>
        </w:rPr>
        <w:t>“</w:t>
      </w:r>
      <w:r>
        <w:rPr>
          <w:spacing w:val="-1"/>
        </w:rPr>
        <w:t>奉献·创新</w:t>
      </w:r>
      <w:r>
        <w:rPr>
          <w:rFonts w:ascii="Times New Roman" w:hAnsi="Times New Roman" w:cs="Times New Roman" w:eastAsia="Times New Roman" w:hint="default"/>
          <w:spacing w:val="-1"/>
        </w:rPr>
        <w:t>”</w:t>
      </w:r>
      <w:r>
        <w:rPr>
          <w:spacing w:val="-1"/>
        </w:rPr>
        <w:t>精神，</w:t>
      </w:r>
      <w:r>
        <w:rPr>
          <w:rFonts w:ascii="Times New Roman" w:hAnsi="Times New Roman" w:cs="Times New Roman" w:eastAsia="Times New Roman" w:hint="default"/>
          <w:spacing w:val="-1"/>
        </w:rPr>
        <w:t>“</w:t>
      </w:r>
      <w:r>
        <w:rPr>
          <w:spacing w:val="-1"/>
        </w:rPr>
        <w:t>敬佩成功、鼓励冒险、宽容失败</w:t>
      </w:r>
      <w:r>
        <w:rPr>
          <w:rFonts w:ascii="Times New Roman" w:hAnsi="Times New Roman" w:cs="Times New Roman" w:eastAsia="Times New Roman" w:hint="default"/>
          <w:spacing w:val="-1"/>
        </w:rPr>
        <w:t>”</w:t>
      </w:r>
      <w:r>
        <w:rPr>
          <w:spacing w:val="-1"/>
        </w:rPr>
        <w:t>，做到用人所</w:t>
      </w:r>
    </w:p>
    <w:p>
      <w:pPr>
        <w:pStyle w:val="BodyText"/>
        <w:spacing w:line="201" w:lineRule="exact"/>
        <w:ind w:left="113" w:right="0"/>
        <w:jc w:val="left"/>
      </w:pPr>
      <w:r>
        <w:rPr/>
        <w:t>长、用人所愿、人尽其才。公司从经营理念、管理制度和激励机制等方面营造了鼓励全员创新的氛围，建立了基层一线技术</w:t>
      </w:r>
    </w:p>
    <w:p>
      <w:pPr>
        <w:pStyle w:val="BodyText"/>
        <w:spacing w:line="307" w:lineRule="auto" w:before="77"/>
        <w:ind w:left="113" w:right="1131"/>
        <w:jc w:val="both"/>
      </w:pPr>
      <w:r>
        <w:rPr>
          <w:spacing w:val="-2"/>
        </w:rPr>
        <w:t>人员、研发中心与科研院所、高等院校开展合作的多层次的研发体系。在多年的生产实践中，公司围绕着瓶盖生产过程所涉</w:t>
      </w:r>
      <w:r>
        <w:rPr>
          <w:spacing w:val="-66"/>
        </w:rPr>
        <w:t> </w:t>
      </w:r>
      <w:r>
        <w:rPr>
          <w:spacing w:val="-66"/>
        </w:rPr>
      </w:r>
      <w:r>
        <w:rPr/>
        <w:t>及的各个技术环节，进行了不断的改进与革新。引领同行业先进水平和技术潮流。</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24</w:t>
      </w:r>
      <w:r>
        <w:rPr>
          <w:rFonts w:ascii="宋体" w:hAnsi="宋体" w:cs="宋体" w:eastAsia="宋体" w:hint="default"/>
          <w:spacing w:val="-45"/>
        </w:rPr>
        <w:t> </w:t>
      </w:r>
      <w:r>
        <w:rPr/>
        <w:t>日，公司被山东省科技 厅认定为</w:t>
      </w:r>
      <w:r>
        <w:rPr>
          <w:rFonts w:ascii="Times New Roman" w:hAnsi="Times New Roman" w:cs="Times New Roman" w:eastAsia="Times New Roman" w:hint="default"/>
        </w:rPr>
        <w:t>“</w:t>
      </w:r>
      <w:r>
        <w:rPr/>
        <w:t>山东省防伪包装生产装备工程技术研究中心</w:t>
      </w:r>
      <w:r>
        <w:rPr>
          <w:rFonts w:ascii="Times New Roman" w:hAnsi="Times New Roman" w:cs="Times New Roman" w:eastAsia="Times New Roman" w:hint="default"/>
        </w:rPr>
        <w:t>”</w:t>
      </w:r>
      <w:r>
        <w:rPr/>
        <w:t>。公司还被山东省科技厅、山东省知识产权局评为</w:t>
      </w:r>
      <w:r>
        <w:rPr>
          <w:rFonts w:ascii="Times New Roman" w:hAnsi="Times New Roman" w:cs="Times New Roman" w:eastAsia="Times New Roman" w:hint="default"/>
        </w:rPr>
        <w:t>“</w:t>
      </w:r>
      <w:r>
        <w:rPr/>
        <w:t>中国专利山东明 星企业</w:t>
      </w:r>
      <w:r>
        <w:rPr>
          <w:rFonts w:ascii="Times New Roman" w:hAnsi="Times New Roman" w:cs="Times New Roman" w:eastAsia="Times New Roman" w:hint="default"/>
        </w:rPr>
        <w:t>”</w:t>
      </w:r>
      <w:r>
        <w:rPr/>
        <w:t>。</w:t>
      </w:r>
      <w:r>
        <w:rPr>
          <w:rFonts w:ascii="宋体" w:hAnsi="宋体" w:cs="宋体" w:eastAsia="宋体" w:hint="default"/>
        </w:rPr>
        <w:t>2011</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6"/>
        </w:rPr>
        <w:t> </w:t>
      </w:r>
      <w:r>
        <w:rPr/>
        <w:t>月</w:t>
      </w:r>
      <w:r>
        <w:rPr>
          <w:spacing w:val="-45"/>
        </w:rPr>
        <w:t> </w:t>
      </w:r>
      <w:r>
        <w:rPr>
          <w:rFonts w:ascii="宋体" w:hAnsi="宋体" w:cs="宋体" w:eastAsia="宋体" w:hint="default"/>
        </w:rPr>
        <w:t>9</w:t>
      </w:r>
      <w:r>
        <w:rPr>
          <w:rFonts w:ascii="宋体" w:hAnsi="宋体" w:cs="宋体" w:eastAsia="宋体" w:hint="default"/>
          <w:spacing w:val="-46"/>
        </w:rPr>
        <w:t> </w:t>
      </w:r>
      <w:r>
        <w:rPr/>
        <w:t>日，公司被山东省经济和信息化委员会认定为山东省第十八批企业技术中心。多年来的持续创新</w:t>
      </w:r>
    </w:p>
    <w:p>
      <w:pPr>
        <w:spacing w:after="0" w:line="307"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0" w:lineRule="auto" w:before="44"/>
        <w:ind w:left="113" w:right="1117"/>
        <w:jc w:val="left"/>
        <w:rPr>
          <w:rFonts w:ascii="Times New Roman" w:hAnsi="Times New Roman" w:cs="Times New Roman" w:eastAsia="Times New Roman" w:hint="default"/>
        </w:rPr>
      </w:pPr>
      <w:r>
        <w:rPr>
          <w:spacing w:val="-3"/>
        </w:rPr>
        <w:t>使公司在同行业始终处于领先地位。</w:t>
      </w:r>
      <w:r>
        <w:rPr>
          <w:rFonts w:ascii="Times New Roman" w:hAnsi="Times New Roman" w:cs="Times New Roman" w:eastAsia="Times New Roman" w:hint="default"/>
          <w:spacing w:val="-3"/>
        </w:rPr>
        <w:t>2010</w:t>
      </w:r>
      <w:r>
        <w:rPr>
          <w:rFonts w:ascii="Times New Roman" w:hAnsi="Times New Roman" w:cs="Times New Roman" w:eastAsia="Times New Roman" w:hint="default"/>
        </w:rPr>
        <w:t> </w:t>
      </w:r>
      <w:r>
        <w:rPr/>
        <w:t>年</w:t>
      </w:r>
      <w:r>
        <w:rPr>
          <w:spacing w:val="-35"/>
        </w:rPr>
        <w:t> </w:t>
      </w:r>
      <w:r>
        <w:rPr>
          <w:rFonts w:ascii="宋体" w:hAnsi="宋体" w:cs="宋体" w:eastAsia="宋体" w:hint="default"/>
        </w:rPr>
        <w:t>11</w:t>
      </w:r>
      <w:r>
        <w:rPr>
          <w:rFonts w:ascii="宋体" w:hAnsi="宋体" w:cs="宋体" w:eastAsia="宋体" w:hint="default"/>
          <w:spacing w:val="-35"/>
        </w:rPr>
        <w:t> </w:t>
      </w:r>
      <w:r>
        <w:rPr>
          <w:spacing w:val="-5"/>
        </w:rPr>
        <w:t>月，公司被山东省科学技术厅、山东省知识产权局认定为山东明星企业。</w:t>
      </w:r>
      <w:r>
        <w:rPr>
          <w:rFonts w:ascii="宋体" w:hAnsi="宋体" w:cs="宋体" w:eastAsia="宋体" w:hint="default"/>
          <w:spacing w:val="-5"/>
        </w:rPr>
        <w:t>2014</w:t>
      </w:r>
      <w:r>
        <w:rPr>
          <w:rFonts w:ascii="宋体" w:hAnsi="宋体" w:cs="宋体" w:eastAsia="宋体" w:hint="default"/>
          <w:spacing w:val="-88"/>
        </w:rPr>
        <w:t> </w:t>
      </w:r>
      <w:r>
        <w:rPr/>
        <w:t>年</w:t>
      </w:r>
      <w:r>
        <w:rPr>
          <w:spacing w:val="-49"/>
        </w:rPr>
        <w:t> </w:t>
      </w:r>
      <w:r>
        <w:rPr>
          <w:rFonts w:ascii="宋体" w:hAnsi="宋体" w:cs="宋体" w:eastAsia="宋体" w:hint="default"/>
        </w:rPr>
        <w:t>9</w:t>
      </w:r>
      <w:r>
        <w:rPr>
          <w:rFonts w:ascii="宋体" w:hAnsi="宋体" w:cs="宋体" w:eastAsia="宋体" w:hint="default"/>
          <w:spacing w:val="-49"/>
        </w:rPr>
        <w:t> </w:t>
      </w:r>
      <w:r>
        <w:rPr>
          <w:spacing w:val="-6"/>
        </w:rPr>
        <w:t>月，公司使用在商品包装上注册证号为</w:t>
      </w:r>
      <w:r>
        <w:rPr>
          <w:spacing w:val="-48"/>
        </w:rPr>
        <w:t> </w:t>
      </w:r>
      <w:r>
        <w:rPr>
          <w:rFonts w:ascii="宋体" w:hAnsi="宋体" w:cs="宋体" w:eastAsia="宋体" w:hint="default"/>
        </w:rPr>
        <w:t>1221990</w:t>
      </w:r>
      <w:r>
        <w:rPr>
          <w:rFonts w:ascii="宋体" w:hAnsi="宋体" w:cs="宋体" w:eastAsia="宋体" w:hint="default"/>
          <w:spacing w:val="-48"/>
        </w:rPr>
        <w:t> </w:t>
      </w:r>
      <w:r>
        <w:rPr>
          <w:spacing w:val="-3"/>
          <w:w w:val="100"/>
        </w:rPr>
        <w:t>的</w:t>
      </w:r>
      <w:r>
        <w:rPr>
          <w:rFonts w:ascii="Times New Roman" w:hAnsi="Times New Roman" w:cs="Times New Roman" w:eastAsia="Times New Roman" w:hint="default"/>
          <w:spacing w:val="-3"/>
          <w:w w:val="100"/>
        </w:rPr>
        <w:t>“</w:t>
      </w:r>
      <w:r>
        <w:rPr>
          <w:spacing w:val="-3"/>
          <w:w w:val="100"/>
        </w:rPr>
        <w:t>丽鹏及图</w:t>
      </w:r>
      <w:r>
        <w:rPr>
          <w:rFonts w:ascii="Times New Roman" w:hAnsi="Times New Roman" w:cs="Times New Roman" w:eastAsia="Times New Roman" w:hint="default"/>
          <w:spacing w:val="-3"/>
          <w:w w:val="100"/>
        </w:rPr>
        <w:t>”</w:t>
      </w:r>
      <w:r>
        <w:rPr>
          <w:spacing w:val="-3"/>
          <w:w w:val="100"/>
        </w:rPr>
        <w:t>商标被国家工商行政管理总局认定为</w:t>
      </w:r>
      <w:r>
        <w:rPr>
          <w:rFonts w:ascii="Times New Roman" w:hAnsi="Times New Roman" w:cs="Times New Roman" w:eastAsia="Times New Roman" w:hint="default"/>
          <w:spacing w:val="-3"/>
          <w:w w:val="100"/>
        </w:rPr>
        <w:t>“</w:t>
      </w:r>
      <w:r>
        <w:rPr>
          <w:spacing w:val="-3"/>
          <w:w w:val="100"/>
        </w:rPr>
        <w:t>中国驰名商标</w:t>
      </w:r>
      <w:r>
        <w:rPr>
          <w:rFonts w:ascii="Times New Roman" w:hAnsi="Times New Roman" w:cs="Times New Roman" w:eastAsia="Times New Roman" w:hint="default"/>
          <w:spacing w:val="-3"/>
          <w:w w:val="100"/>
        </w:rPr>
        <w:t>”</w:t>
      </w:r>
      <w:r>
        <w:rPr>
          <w:spacing w:val="-3"/>
          <w:w w:val="100"/>
        </w:rPr>
        <w:t>。</w:t>
      </w:r>
      <w:r>
        <w:rPr>
          <w:rFonts w:ascii="Times New Roman" w:hAnsi="Times New Roman" w:cs="Times New Roman" w:eastAsia="Times New Roman" w:hint="default"/>
          <w:spacing w:val="-3"/>
          <w:w w:val="100"/>
        </w:rPr>
        <w:t>2010</w:t>
      </w:r>
    </w:p>
    <w:p>
      <w:pPr>
        <w:pStyle w:val="BodyText"/>
        <w:spacing w:line="302" w:lineRule="auto" w:before="13"/>
        <w:ind w:right="1177"/>
        <w:jc w:val="left"/>
      </w:pPr>
      <w:r>
        <w:rPr/>
        <w:t>年</w:t>
      </w:r>
      <w:r>
        <w:rPr>
          <w:spacing w:val="-46"/>
        </w:rPr>
        <w:t> </w:t>
      </w:r>
      <w:r>
        <w:rPr>
          <w:rFonts w:ascii="宋体" w:hAnsi="宋体" w:cs="宋体" w:eastAsia="宋体" w:hint="default"/>
        </w:rPr>
        <w:t>12</w:t>
      </w:r>
      <w:r>
        <w:rPr>
          <w:rFonts w:ascii="宋体" w:hAnsi="宋体" w:cs="宋体" w:eastAsia="宋体" w:hint="default"/>
          <w:spacing w:val="-46"/>
        </w:rPr>
        <w:t> </w:t>
      </w:r>
      <w:r>
        <w:rPr/>
        <w:t>月，公司</w:t>
      </w:r>
      <w:r>
        <w:rPr>
          <w:rFonts w:ascii="Times New Roman" w:hAnsi="Times New Roman" w:cs="Times New Roman" w:eastAsia="Times New Roman" w:hint="default"/>
        </w:rPr>
        <w:t>“</w:t>
      </w:r>
      <w:r>
        <w:rPr/>
        <w:t>全自动瓶盖装箱机</w:t>
      </w:r>
      <w:r>
        <w:rPr>
          <w:rFonts w:ascii="Times New Roman" w:hAnsi="Times New Roman" w:cs="Times New Roman" w:eastAsia="Times New Roman" w:hint="default"/>
        </w:rPr>
        <w:t>”</w:t>
      </w:r>
      <w:r>
        <w:rPr/>
        <w:t>被中国包装联合会评为</w:t>
      </w:r>
      <w:r>
        <w:rPr>
          <w:rFonts w:ascii="Times New Roman" w:hAnsi="Times New Roman" w:cs="Times New Roman" w:eastAsia="Times New Roman" w:hint="default"/>
        </w:rPr>
        <w:t>“</w:t>
      </w:r>
      <w:r>
        <w:rPr>
          <w:rFonts w:ascii="宋体" w:hAnsi="宋体" w:cs="宋体" w:eastAsia="宋体" w:hint="default"/>
        </w:rPr>
        <w:t>2010</w:t>
      </w:r>
      <w:r>
        <w:rPr>
          <w:rFonts w:ascii="宋体" w:hAnsi="宋体" w:cs="宋体" w:eastAsia="宋体" w:hint="default"/>
          <w:spacing w:val="-46"/>
        </w:rPr>
        <w:t> </w:t>
      </w:r>
      <w:r>
        <w:rPr/>
        <w:t>中国包装科技创新优秀奖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6"/>
        </w:rPr>
        <w:t> </w:t>
      </w:r>
      <w:r>
        <w:rPr>
          <w:rFonts w:ascii="宋体" w:hAnsi="宋体" w:cs="宋体" w:eastAsia="宋体" w:hint="default"/>
        </w:rPr>
        <w:t>28</w:t>
      </w:r>
      <w:r>
        <w:rPr>
          <w:rFonts w:ascii="宋体" w:hAnsi="宋体" w:cs="宋体" w:eastAsia="宋体" w:hint="default"/>
          <w:spacing w:val="-46"/>
        </w:rPr>
        <w:t> </w:t>
      </w:r>
      <w:r>
        <w:rPr/>
        <w:t>日，公司通过 了知识产权管理体系认证。</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月被中国包装联合会授予</w:t>
      </w:r>
      <w:r>
        <w:rPr>
          <w:rFonts w:ascii="Times New Roman" w:hAnsi="Times New Roman" w:cs="Times New Roman" w:eastAsia="Times New Roman" w:hint="default"/>
        </w:rPr>
        <w:t>“</w:t>
      </w:r>
      <w:r>
        <w:rPr/>
        <w:t>中国包装优秀研发中心</w:t>
      </w:r>
      <w:r>
        <w:rPr>
          <w:rFonts w:ascii="Times New Roman" w:hAnsi="Times New Roman" w:cs="Times New Roman" w:eastAsia="Times New Roman" w:hint="default"/>
        </w:rPr>
        <w:t>”</w:t>
      </w:r>
      <w:r>
        <w:rPr/>
        <w:t>荣誉称号。</w:t>
      </w:r>
    </w:p>
    <w:p>
      <w:pPr>
        <w:pStyle w:val="BodyText"/>
        <w:spacing w:line="357" w:lineRule="auto" w:before="51"/>
        <w:ind w:left="473" w:right="1118"/>
        <w:jc w:val="left"/>
      </w:pPr>
      <w:r>
        <w:rPr/>
        <w:t>（</w:t>
      </w:r>
      <w:r>
        <w:rPr>
          <w:rFonts w:ascii="宋体" w:hAnsi="宋体" w:cs="宋体" w:eastAsia="宋体" w:hint="default"/>
        </w:rPr>
        <w:t>4</w:t>
      </w:r>
      <w:r>
        <w:rPr/>
        <w:t>）“互联网</w:t>
      </w:r>
      <w:r>
        <w:rPr>
          <w:rFonts w:ascii="宋体" w:hAnsi="宋体" w:cs="宋体" w:eastAsia="宋体" w:hint="default"/>
        </w:rPr>
        <w:t>+</w:t>
      </w:r>
      <w:r>
        <w:rPr/>
        <w:t>”制造业的优势： 科技时代，二维码广泛应用在各个领域。二维码具有存储信息量大、容错能力强、译码可靠程度高等特点。 </w:t>
      </w:r>
      <w:r>
        <w:rPr>
          <w:spacing w:val="-2"/>
        </w:rPr>
        <w:t>在国内，假酒横行一直是困扰着酒企，影响着消费者的食品安全和生命健康。丽鹏股份现有客户</w:t>
      </w:r>
      <w:r>
        <w:rPr/>
        <w:t> </w:t>
      </w:r>
      <w:r>
        <w:rPr>
          <w:rFonts w:ascii="宋体" w:hAnsi="宋体" w:cs="宋体" w:eastAsia="宋体" w:hint="default"/>
        </w:rPr>
        <w:t>700</w:t>
      </w:r>
      <w:r>
        <w:rPr>
          <w:rFonts w:ascii="宋体" w:hAnsi="宋体" w:cs="宋体" w:eastAsia="宋体" w:hint="default"/>
          <w:spacing w:val="-67"/>
        </w:rPr>
        <w:t> </w:t>
      </w:r>
      <w:r>
        <w:rPr>
          <w:spacing w:val="-3"/>
        </w:rPr>
        <w:t>余家，年瓶盖产量</w:t>
      </w:r>
    </w:p>
    <w:p>
      <w:pPr>
        <w:pStyle w:val="BodyText"/>
        <w:spacing w:line="224" w:lineRule="exact"/>
        <w:ind w:right="0"/>
        <w:jc w:val="left"/>
      </w:pPr>
      <w:r>
        <w:rPr/>
        <w:t>高达</w:t>
      </w:r>
      <w:r>
        <w:rPr>
          <w:spacing w:val="-46"/>
        </w:rPr>
        <w:t> </w:t>
      </w:r>
      <w:r>
        <w:rPr>
          <w:rFonts w:ascii="宋体" w:hAnsi="宋体" w:cs="宋体" w:eastAsia="宋体" w:hint="default"/>
        </w:rPr>
        <w:t>20</w:t>
      </w:r>
      <w:r>
        <w:rPr>
          <w:rFonts w:ascii="宋体" w:hAnsi="宋体" w:cs="宋体" w:eastAsia="宋体" w:hint="default"/>
          <w:spacing w:val="-46"/>
        </w:rPr>
        <w:t> </w:t>
      </w:r>
      <w:r>
        <w:rPr/>
        <w:t>亿余只，通过在防伪瓶盖内外印刷二维码，为客户提供防伪打假、产品追溯、防窜货等增值服务，同时利用互联网</w:t>
      </w:r>
    </w:p>
    <w:p>
      <w:pPr>
        <w:pStyle w:val="BodyText"/>
        <w:spacing w:line="319" w:lineRule="auto" w:before="76"/>
        <w:ind w:right="0"/>
        <w:jc w:val="left"/>
      </w:pPr>
      <w:r>
        <w:rPr>
          <w:spacing w:val="-2"/>
        </w:rPr>
        <w:t>平台，发挥现有的客户渠道资源优势，向客户提供整合营销和数据分析处理等商品流、数据流和信息流等方向转化，实现由</w:t>
      </w:r>
      <w:r>
        <w:rPr>
          <w:spacing w:val="-66"/>
        </w:rPr>
        <w:t> </w:t>
      </w:r>
      <w:r>
        <w:rPr>
          <w:spacing w:val="-66"/>
        </w:rPr>
      </w:r>
      <w:r>
        <w:rPr/>
        <w:t>传统制造业向“互联网</w:t>
      </w:r>
      <w:r>
        <w:rPr>
          <w:rFonts w:ascii="宋体" w:hAnsi="宋体" w:cs="宋体" w:eastAsia="宋体" w:hint="default"/>
        </w:rPr>
        <w:t>+</w:t>
      </w:r>
      <w:r>
        <w:rPr/>
        <w:t>制造业”的转型，实现相应的经济效益和社会效益。</w:t>
      </w:r>
    </w:p>
    <w:p>
      <w:pPr>
        <w:pStyle w:val="BodyText"/>
        <w:spacing w:line="357" w:lineRule="auto" w:before="56"/>
        <w:ind w:left="474" w:right="0"/>
        <w:jc w:val="left"/>
      </w:pPr>
      <w:r>
        <w:rPr/>
        <w:t>（</w:t>
      </w:r>
      <w:r>
        <w:rPr>
          <w:rFonts w:ascii="宋体" w:hAnsi="宋体" w:cs="宋体" w:eastAsia="宋体" w:hint="default"/>
        </w:rPr>
        <w:t>5</w:t>
      </w:r>
      <w:r>
        <w:rPr/>
        <w:t>）占据国内铝板复合型防伪印刷制高点的战略优势 公司是国内同行业中规模最大的铝板复合型防伪印刷企业，其生产规模占据同行业</w:t>
      </w:r>
      <w:r>
        <w:rPr>
          <w:spacing w:val="-45"/>
        </w:rPr>
        <w:t> </w:t>
      </w:r>
      <w:r>
        <w:rPr>
          <w:rFonts w:ascii="宋体" w:hAnsi="宋体" w:cs="宋体" w:eastAsia="宋体" w:hint="default"/>
        </w:rPr>
        <w:t>30%</w:t>
      </w:r>
      <w:r>
        <w:rPr/>
        <w:t>左右的市场份额。 </w:t>
      </w:r>
      <w:r>
        <w:rPr>
          <w:spacing w:val="-2"/>
        </w:rPr>
        <w:t>铝板复合型防伪印刷是生产铝防伪瓶盖的中间环节，由于我国铝板防伪印刷设备尚依赖于从国外进口以及所存在的资金</w:t>
      </w:r>
    </w:p>
    <w:p>
      <w:pPr>
        <w:pStyle w:val="BodyText"/>
        <w:spacing w:line="224" w:lineRule="exact"/>
        <w:ind w:right="0"/>
        <w:jc w:val="left"/>
      </w:pPr>
      <w:r>
        <w:rPr/>
        <w:t>与技术壁垒等因素，我国仅有少数制盖企业拥有铝板防伪印刷装备。公司在为下游行业提供瓶盖产品的同时，为同行业其他</w:t>
      </w:r>
    </w:p>
    <w:p>
      <w:pPr>
        <w:pStyle w:val="BodyText"/>
        <w:spacing w:line="319" w:lineRule="auto" w:before="76"/>
        <w:ind w:right="1118"/>
        <w:jc w:val="left"/>
      </w:pPr>
      <w:r>
        <w:rPr>
          <w:spacing w:val="-2"/>
        </w:rPr>
        <w:t>制盖企业提供防伪印刷铝板，有利于调节和稳定防伪印刷铝板的市场供应，进一步增强公司在同行业中的影响力，战略优势</w:t>
      </w:r>
      <w:r>
        <w:rPr>
          <w:spacing w:val="-66"/>
        </w:rPr>
        <w:t> </w:t>
      </w:r>
      <w:r>
        <w:rPr>
          <w:spacing w:val="-66"/>
        </w:rPr>
      </w:r>
      <w:r>
        <w:rPr/>
        <w:t>明显。</w:t>
      </w:r>
    </w:p>
    <w:p>
      <w:pPr>
        <w:pStyle w:val="BodyText"/>
        <w:spacing w:line="357" w:lineRule="auto" w:before="56"/>
        <w:ind w:left="474" w:right="0"/>
        <w:jc w:val="left"/>
      </w:pPr>
      <w:r>
        <w:rPr/>
        <w:t>（</w:t>
      </w:r>
      <w:r>
        <w:rPr>
          <w:rFonts w:ascii="宋体" w:hAnsi="宋体" w:cs="宋体" w:eastAsia="宋体" w:hint="default"/>
        </w:rPr>
        <w:t>6</w:t>
      </w:r>
      <w:r>
        <w:rPr/>
        <w:t>）品牌及客户资源优势 </w:t>
      </w:r>
      <w:r>
        <w:rPr>
          <w:spacing w:val="-2"/>
        </w:rPr>
        <w:t>多年来，公司致力于为国内大型酿酒企业提供封装用防伪瓶盖。截至目前，公司各类产品已销往全国二十八个省、自治</w:t>
      </w:r>
    </w:p>
    <w:p>
      <w:pPr>
        <w:pStyle w:val="BodyText"/>
        <w:spacing w:line="237" w:lineRule="exact"/>
        <w:ind w:right="0"/>
        <w:jc w:val="left"/>
      </w:pPr>
      <w:r>
        <w:rPr/>
        <w:t>区和直辖市，下游酿酒行业客户</w:t>
      </w:r>
      <w:r>
        <w:rPr>
          <w:spacing w:val="-46"/>
        </w:rPr>
        <w:t> </w:t>
      </w:r>
      <w:r>
        <w:rPr>
          <w:rFonts w:ascii="宋体" w:hAnsi="宋体" w:cs="宋体" w:eastAsia="宋体" w:hint="default"/>
        </w:rPr>
        <w:t>700</w:t>
      </w:r>
      <w:r>
        <w:rPr>
          <w:rFonts w:ascii="宋体" w:hAnsi="宋体" w:cs="宋体" w:eastAsia="宋体" w:hint="default"/>
          <w:spacing w:val="-46"/>
        </w:rPr>
        <w:t> </w:t>
      </w:r>
      <w:r>
        <w:rPr/>
        <w:t>余家，包括</w:t>
      </w:r>
      <w:r>
        <w:rPr>
          <w:rFonts w:ascii="Times New Roman" w:hAnsi="Times New Roman" w:cs="Times New Roman" w:eastAsia="Times New Roman" w:hint="default"/>
        </w:rPr>
        <w:t>“</w:t>
      </w:r>
      <w:r>
        <w:rPr/>
        <w:t>北京红星、牛栏山</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新疆伊力特</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四川剑南春、泸州老窖、沱牌、全</w:t>
      </w:r>
    </w:p>
    <w:p>
      <w:pPr>
        <w:pStyle w:val="BodyText"/>
        <w:spacing w:line="300" w:lineRule="auto" w:before="63"/>
        <w:ind w:left="113" w:right="0"/>
        <w:jc w:val="left"/>
      </w:pPr>
      <w:r>
        <w:rPr>
          <w:spacing w:val="-3"/>
        </w:rPr>
        <w:t>兴、丰谷</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山西杏花村、汾阳王</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湖北劲酒、枝江大曲</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江苏洋河、双沟</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江西四特</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海南椰风</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湖南金六福</w:t>
      </w:r>
      <w:r>
        <w:rPr>
          <w:rFonts w:ascii="Times New Roman" w:hAnsi="Times New Roman" w:cs="Times New Roman" w:eastAsia="Times New Roman" w:hint="default"/>
          <w:spacing w:val="-3"/>
        </w:rPr>
        <w:t>”</w:t>
      </w:r>
      <w:r>
        <w:rPr>
          <w:spacing w:val="-3"/>
        </w:rPr>
        <w:t>、</w:t>
      </w:r>
      <w:r>
        <w:rPr>
          <w:spacing w:val="-49"/>
        </w:rPr>
        <w:t> </w:t>
      </w:r>
      <w:r>
        <w:rPr>
          <w:rFonts w:ascii="Times New Roman" w:hAnsi="Times New Roman" w:cs="Times New Roman" w:eastAsia="Times New Roman" w:hint="default"/>
          <w:spacing w:val="-3"/>
        </w:rPr>
        <w:t>“</w:t>
      </w:r>
      <w:r>
        <w:rPr>
          <w:spacing w:val="-3"/>
        </w:rPr>
        <w:t>山东兰陵</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河北衡水老白干、三井小刀、刘伶醉、板城烧锅</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黑龙江三得利</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辽宁三沟</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内蒙河套</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安徽古井贡、</w:t>
      </w:r>
      <w:r>
        <w:rPr>
          <w:spacing w:val="-69"/>
        </w:rPr>
        <w:t> </w:t>
      </w:r>
      <w:r>
        <w:rPr>
          <w:spacing w:val="-69"/>
        </w:rPr>
      </w:r>
      <w:r>
        <w:rPr/>
        <w:t>种子</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河南宋河</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烟台张裕</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广东蓝带啤酒</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青岛啤酒</w:t>
      </w:r>
      <w:r>
        <w:rPr>
          <w:rFonts w:ascii="Times New Roman" w:hAnsi="Times New Roman" w:cs="Times New Roman" w:eastAsia="Times New Roman" w:hint="default"/>
        </w:rPr>
        <w:t>”</w:t>
      </w:r>
      <w:r>
        <w:rPr/>
        <w:t>等知名品牌，并成为</w:t>
      </w:r>
      <w:r>
        <w:rPr>
          <w:rFonts w:ascii="Times New Roman" w:hAnsi="Times New Roman" w:cs="Times New Roman" w:eastAsia="Times New Roman" w:hint="default"/>
        </w:rPr>
        <w:t>“</w:t>
      </w:r>
      <w:r>
        <w:rPr/>
        <w:t>四川剑南春</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北京红星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北京牛 栏山</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新疆伊力特</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湖北劲酒</w:t>
      </w:r>
      <w:r>
        <w:rPr>
          <w:rFonts w:ascii="Times New Roman" w:hAnsi="Times New Roman" w:cs="Times New Roman" w:eastAsia="Times New Roman" w:hint="default"/>
        </w:rPr>
        <w:t>”</w:t>
      </w:r>
      <w:r>
        <w:rPr/>
        <w:t>等大型酿酒企业的定点供应商。公司被中国包装联合会认定为</w:t>
      </w:r>
      <w:r>
        <w:rPr>
          <w:rFonts w:ascii="Times New Roman" w:hAnsi="Times New Roman" w:cs="Times New Roman" w:eastAsia="Times New Roman" w:hint="default"/>
        </w:rPr>
        <w:t>“</w:t>
      </w:r>
      <w:r>
        <w:rPr/>
        <w:t>中国包装产品定点生产企 业</w:t>
      </w:r>
      <w:r>
        <w:rPr>
          <w:rFonts w:ascii="Times New Roman" w:hAnsi="Times New Roman" w:cs="Times New Roman" w:eastAsia="Times New Roman" w:hint="default"/>
        </w:rPr>
        <w:t>”</w:t>
      </w:r>
      <w:r>
        <w:rPr/>
        <w:t>，公司铝防伪瓶盖被中国包装联合会认定为</w:t>
      </w:r>
      <w:r>
        <w:rPr>
          <w:rFonts w:ascii="Times New Roman" w:hAnsi="Times New Roman" w:cs="Times New Roman" w:eastAsia="Times New Roman" w:hint="default"/>
        </w:rPr>
        <w:t>“</w:t>
      </w:r>
      <w:r>
        <w:rPr/>
        <w:t>中国包装名牌产品</w:t>
      </w:r>
      <w:r>
        <w:rPr>
          <w:rFonts w:ascii="Times New Roman" w:hAnsi="Times New Roman" w:cs="Times New Roman" w:eastAsia="Times New Roman" w:hint="default"/>
        </w:rPr>
        <w:t>”</w:t>
      </w:r>
      <w:r>
        <w:rPr/>
        <w:t>。</w:t>
      </w:r>
    </w:p>
    <w:p>
      <w:pPr>
        <w:pStyle w:val="BodyText"/>
        <w:spacing w:line="357" w:lineRule="auto" w:before="52"/>
        <w:ind w:left="474" w:right="0"/>
        <w:jc w:val="left"/>
      </w:pPr>
      <w:r>
        <w:rPr/>
        <w:t>（</w:t>
      </w:r>
      <w:r>
        <w:rPr>
          <w:rFonts w:ascii="宋体" w:hAnsi="宋体" w:cs="宋体" w:eastAsia="宋体" w:hint="default"/>
        </w:rPr>
        <w:t>6</w:t>
      </w:r>
      <w:r>
        <w:rPr/>
        <w:t>）市场开拓优势 </w:t>
      </w:r>
      <w:r>
        <w:rPr>
          <w:spacing w:val="-2"/>
        </w:rPr>
        <w:t>公司依托强大的业务体系后盾，在传统直销的基础上，以</w:t>
      </w:r>
      <w:r>
        <w:rPr>
          <w:rFonts w:ascii="Times New Roman" w:hAnsi="Times New Roman" w:cs="Times New Roman" w:eastAsia="Times New Roman" w:hint="default"/>
          <w:spacing w:val="-2"/>
        </w:rPr>
        <w:t>“</w:t>
      </w:r>
      <w:r>
        <w:rPr>
          <w:spacing w:val="-2"/>
        </w:rPr>
        <w:t>零距离服务、就近服务</w:t>
      </w:r>
      <w:r>
        <w:rPr>
          <w:rFonts w:ascii="Times New Roman" w:hAnsi="Times New Roman" w:cs="Times New Roman" w:eastAsia="Times New Roman" w:hint="default"/>
          <w:spacing w:val="-2"/>
        </w:rPr>
        <w:t>”</w:t>
      </w:r>
      <w:r>
        <w:rPr>
          <w:spacing w:val="-2"/>
        </w:rPr>
        <w:t>的理念，进一步发展了在</w:t>
      </w:r>
      <w:r>
        <w:rPr>
          <w:rFonts w:ascii="Times New Roman" w:hAnsi="Times New Roman" w:cs="Times New Roman" w:eastAsia="Times New Roman" w:hint="default"/>
          <w:spacing w:val="-2"/>
        </w:rPr>
        <w:t>“</w:t>
      </w:r>
      <w:r>
        <w:rPr>
          <w:spacing w:val="-2"/>
        </w:rPr>
        <w:t>北京红星、</w:t>
      </w:r>
    </w:p>
    <w:p>
      <w:pPr>
        <w:pStyle w:val="BodyText"/>
        <w:spacing w:line="214" w:lineRule="exact"/>
        <w:ind w:left="113" w:right="0"/>
        <w:jc w:val="left"/>
        <w:rPr>
          <w:rFonts w:ascii="Times New Roman" w:hAnsi="Times New Roman" w:cs="Times New Roman" w:eastAsia="Times New Roman" w:hint="default"/>
        </w:rPr>
      </w:pPr>
      <w:r>
        <w:rPr/>
        <w:t>牛栏山</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四川剑南春、全兴、泸州老窖、沱牌、丰谷</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湖北劲酒、枝江大曲</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新疆伊力特</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安徽古井贡、金种子</w:t>
      </w:r>
      <w:r>
        <w:rPr>
          <w:rFonts w:ascii="Times New Roman" w:hAnsi="Times New Roman" w:cs="Times New Roman" w:eastAsia="Times New Roman" w:hint="default"/>
        </w:rPr>
        <w:t>”</w:t>
      </w:r>
    </w:p>
    <w:p>
      <w:pPr>
        <w:pStyle w:val="BodyText"/>
        <w:spacing w:line="357" w:lineRule="auto" w:before="64"/>
        <w:ind w:left="474" w:right="0" w:hanging="360"/>
        <w:jc w:val="left"/>
      </w:pPr>
      <w:r>
        <w:rPr/>
        <w:t>等大客户所在地设厂的经营模式，形成了以点带面的区域市场开拓体系。 </w:t>
      </w:r>
      <w:r>
        <w:rPr>
          <w:spacing w:val="-2"/>
        </w:rPr>
        <w:t>同时，公司充分发挥所形成的技术优势积极开发国际市场，公司出口业务逐年上升，公司的复合型防伪印刷铝板和防伪</w:t>
      </w:r>
    </w:p>
    <w:p>
      <w:pPr>
        <w:pStyle w:val="BodyText"/>
        <w:spacing w:line="357" w:lineRule="auto"/>
        <w:ind w:left="474" w:right="0" w:hanging="360"/>
        <w:jc w:val="left"/>
      </w:pPr>
      <w:r>
        <w:rPr/>
        <w:t>瓶盖已进入俄罗斯、东南亚、中亚、澳大利亚、非洲、南北美洲等海外市场。 </w:t>
      </w:r>
      <w:r>
        <w:rPr>
          <w:spacing w:val="-2"/>
        </w:rPr>
        <w:t>另外，公司密切关注铝防伪瓶盖在国外发达国家啤酒、葡萄酒等传统包装领域的应用与发展趋势，积极推动铝防伪瓶盖</w:t>
      </w:r>
    </w:p>
    <w:p>
      <w:pPr>
        <w:pStyle w:val="BodyText"/>
        <w:spacing w:line="224" w:lineRule="exact"/>
        <w:ind w:right="0"/>
        <w:jc w:val="left"/>
      </w:pPr>
      <w:r>
        <w:rPr/>
        <w:t>在我国相关领域的市场开拓。公司已成功为蓝带啤酒配套了铝防伪瓶盖包装，还新增了保健饮料瓶盖、食用油盖、高档饮用</w:t>
      </w:r>
    </w:p>
    <w:p>
      <w:pPr>
        <w:pStyle w:val="BodyText"/>
        <w:spacing w:line="240" w:lineRule="auto" w:before="77"/>
        <w:ind w:right="0"/>
        <w:jc w:val="left"/>
      </w:pPr>
      <w:r>
        <w:rPr/>
        <w:t>水盖等产品。</w:t>
      </w:r>
    </w:p>
    <w:p>
      <w:pPr>
        <w:pStyle w:val="BodyText"/>
        <w:spacing w:line="357" w:lineRule="auto" w:before="116"/>
        <w:ind w:left="474" w:right="0"/>
        <w:jc w:val="left"/>
      </w:pPr>
      <w:r>
        <w:rPr/>
        <w:t>（</w:t>
      </w:r>
      <w:r>
        <w:rPr>
          <w:rFonts w:ascii="宋体" w:hAnsi="宋体" w:cs="宋体" w:eastAsia="宋体" w:hint="default"/>
        </w:rPr>
        <w:t>7</w:t>
      </w:r>
      <w:r>
        <w:rPr/>
        <w:t>）管理团队优势 </w:t>
      </w:r>
      <w:r>
        <w:rPr>
          <w:spacing w:val="-2"/>
        </w:rPr>
        <w:t>公司拥有高素质的管理团队，管理层的经营理念、专业经验、协作精神对公司的发展起到了决定性作用。管理团队成员</w:t>
      </w:r>
    </w:p>
    <w:p>
      <w:pPr>
        <w:pStyle w:val="BodyText"/>
        <w:spacing w:line="224" w:lineRule="exact"/>
        <w:ind w:right="0"/>
        <w:jc w:val="left"/>
      </w:pPr>
      <w:r>
        <w:rPr/>
        <w:t>主要由两部分人员组成，一是具有近二十年年行业经营经验的专家，他们对行业发展趋势的把握及企业经营理念的贯彻在一</w:t>
      </w:r>
    </w:p>
    <w:p>
      <w:pPr>
        <w:pStyle w:val="BodyText"/>
        <w:spacing w:line="319" w:lineRule="auto" w:before="76"/>
        <w:ind w:right="1032"/>
        <w:jc w:val="left"/>
      </w:pPr>
      <w:r>
        <w:rPr/>
        <w:t>定程度上影响着国内同行业的发展；二是公司</w:t>
      </w:r>
      <w:r>
        <w:rPr>
          <w:spacing w:val="-46"/>
        </w:rPr>
        <w:t> </w:t>
      </w:r>
      <w:r>
        <w:rPr>
          <w:rFonts w:ascii="宋体" w:hAnsi="宋体" w:cs="宋体" w:eastAsia="宋体" w:hint="default"/>
        </w:rPr>
        <w:t>1998</w:t>
      </w:r>
      <w:r>
        <w:rPr>
          <w:rFonts w:ascii="宋体" w:hAnsi="宋体" w:cs="宋体" w:eastAsia="宋体" w:hint="default"/>
          <w:spacing w:val="-46"/>
        </w:rPr>
        <w:t> </w:t>
      </w:r>
      <w:r>
        <w:rPr/>
        <w:t>年以来储备了一大批年轻化、专业化、知识化的大中专毕业生，已在公 司管理团队中发挥着举足轻重的作用，为公司的可持续发展奠定了良好的人才基础。正是基于这样一支强有力的新老结合、 </w:t>
      </w:r>
      <w:r>
        <w:rPr>
          <w:spacing w:val="-2"/>
        </w:rPr>
        <w:t>同心同德的管理团队，促进了公司业绩快速增长，同时公司管理团队的长期稳定、有效的内部协作与分工，充分保证了公司</w:t>
      </w:r>
      <w:r>
        <w:rPr>
          <w:spacing w:val="-65"/>
        </w:rPr>
        <w:t> </w:t>
      </w:r>
      <w:r>
        <w:rPr>
          <w:spacing w:val="-65"/>
        </w:rPr>
      </w:r>
      <w:r>
        <w:rPr/>
        <w:t>的运营、决策效率。</w:t>
      </w:r>
    </w:p>
    <w:p>
      <w:pPr>
        <w:pStyle w:val="BodyText"/>
        <w:spacing w:line="357" w:lineRule="auto" w:before="56"/>
        <w:ind w:left="474" w:right="1152"/>
        <w:jc w:val="left"/>
      </w:pPr>
      <w:r>
        <w:rPr/>
        <w:t>（</w:t>
      </w:r>
      <w:r>
        <w:rPr>
          <w:rFonts w:ascii="宋体" w:hAnsi="宋体" w:cs="宋体" w:eastAsia="宋体" w:hint="default"/>
        </w:rPr>
        <w:t>8</w:t>
      </w:r>
      <w:r>
        <w:rPr/>
        <w:t>）企业文化优势 以</w:t>
      </w:r>
      <w:r>
        <w:rPr>
          <w:rFonts w:ascii="Times New Roman" w:hAnsi="Times New Roman" w:cs="Times New Roman" w:eastAsia="Times New Roman" w:hint="default"/>
        </w:rPr>
        <w:t>“</w:t>
      </w:r>
      <w:r>
        <w:rPr/>
        <w:t>尊重知识、重视人才、同心同德、诚信做事</w:t>
      </w:r>
      <w:r>
        <w:rPr>
          <w:rFonts w:ascii="Times New Roman" w:hAnsi="Times New Roman" w:cs="Times New Roman" w:eastAsia="Times New Roman" w:hint="default"/>
        </w:rPr>
        <w:t>”</w:t>
      </w:r>
      <w:r>
        <w:rPr/>
        <w:t>为核心内涵的企业文化是公司长期稳步发展的根本所在。公司以</w:t>
      </w:r>
      <w:r>
        <w:rPr>
          <w:rFonts w:ascii="Times New Roman" w:hAnsi="Times New Roman" w:cs="Times New Roman" w:eastAsia="Times New Roman" w:hint="default"/>
        </w:rPr>
        <w:t>“</w:t>
      </w:r>
      <w:r>
        <w:rPr/>
        <w:t>立足</w:t>
      </w:r>
    </w:p>
    <w:p>
      <w:pPr>
        <w:spacing w:after="0" w:line="357"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2" w:lineRule="auto" w:before="44"/>
        <w:ind w:right="1152"/>
        <w:jc w:val="left"/>
      </w:pPr>
      <w:r>
        <w:rPr/>
        <w:t>报国、服务社会、回报股东、造福职工</w:t>
      </w:r>
      <w:r>
        <w:rPr>
          <w:rFonts w:ascii="Times New Roman" w:hAnsi="Times New Roman" w:cs="Times New Roman" w:eastAsia="Times New Roman" w:hint="default"/>
        </w:rPr>
        <w:t>”</w:t>
      </w:r>
      <w:r>
        <w:rPr/>
        <w:t>为宗旨，努力把公司打造成</w:t>
      </w:r>
      <w:r>
        <w:rPr>
          <w:rFonts w:ascii="Times New Roman" w:hAnsi="Times New Roman" w:cs="Times New Roman" w:eastAsia="Times New Roman" w:hint="default"/>
        </w:rPr>
        <w:t>“</w:t>
      </w:r>
      <w:r>
        <w:rPr/>
        <w:t>一处工厂、一所学校、一座军营、一个家庭</w:t>
      </w:r>
      <w:r>
        <w:rPr>
          <w:rFonts w:ascii="Times New Roman" w:hAnsi="Times New Roman" w:cs="Times New Roman" w:eastAsia="Times New Roman" w:hint="default"/>
        </w:rPr>
        <w:t>”</w:t>
      </w:r>
      <w:r>
        <w:rPr/>
        <w:t>。藉此， 公司赢得了客户、供应商、债权人、公司员工、同行业、行业协会和社区的信赖与认同。</w:t>
      </w:r>
    </w:p>
    <w:p>
      <w:pPr>
        <w:pStyle w:val="BodyText"/>
        <w:spacing w:line="357" w:lineRule="auto" w:before="69"/>
        <w:ind w:left="474" w:right="1028"/>
        <w:jc w:val="left"/>
      </w:pPr>
      <w:r>
        <w:rPr/>
        <w:t>（</w:t>
      </w:r>
      <w:r>
        <w:rPr>
          <w:rFonts w:ascii="宋体" w:hAnsi="宋体" w:cs="宋体" w:eastAsia="宋体" w:hint="default"/>
        </w:rPr>
        <w:t>9</w:t>
      </w:r>
      <w:r>
        <w:rPr/>
        <w:t>）信息化管理优势 </w:t>
      </w:r>
      <w:r>
        <w:rPr>
          <w:spacing w:val="-1"/>
        </w:rPr>
        <w:t>公司多年从事铝防伪瓶盖生产和铝板复合型防伪印刷业务，建立了一系列相应的采购、生产、销售信息系统。</w:t>
      </w:r>
      <w:r>
        <w:rPr>
          <w:rFonts w:ascii="宋体" w:hAnsi="宋体" w:cs="宋体" w:eastAsia="宋体" w:hint="default"/>
          <w:spacing w:val="-1"/>
        </w:rPr>
        <w:t>2000</w:t>
      </w:r>
      <w:r>
        <w:rPr>
          <w:rFonts w:ascii="宋体" w:hAnsi="宋体" w:cs="宋体" w:eastAsia="宋体" w:hint="default"/>
          <w:spacing w:val="-34"/>
        </w:rPr>
        <w:t> </w:t>
      </w:r>
      <w:r>
        <w:rPr/>
        <w:t>年，</w:t>
      </w:r>
    </w:p>
    <w:p>
      <w:pPr>
        <w:pStyle w:val="BodyText"/>
        <w:spacing w:line="224" w:lineRule="exact"/>
        <w:ind w:right="0"/>
        <w:jc w:val="left"/>
      </w:pPr>
      <w:r>
        <w:rPr/>
        <w:t>公司开始应用自行开发的信息化数据库系统，公司的各项内部、外部信息都可以快速的进行收集与反馈，方便公司内部管理</w:t>
      </w:r>
    </w:p>
    <w:p>
      <w:pPr>
        <w:pStyle w:val="BodyText"/>
        <w:spacing w:line="319" w:lineRule="auto" w:before="76"/>
        <w:ind w:right="1184"/>
        <w:jc w:val="both"/>
      </w:pPr>
      <w:r>
        <w:rPr/>
        <w:t>的沟通和信息资源的共享，从而提高了公司的管理效率。</w:t>
      </w:r>
      <w:r>
        <w:rPr>
          <w:rFonts w:ascii="宋体" w:hAnsi="宋体" w:cs="宋体" w:eastAsia="宋体" w:hint="default"/>
        </w:rPr>
        <w:t>2003</w:t>
      </w:r>
      <w:r>
        <w:rPr>
          <w:rFonts w:ascii="宋体" w:hAnsi="宋体" w:cs="宋体" w:eastAsia="宋体" w:hint="default"/>
          <w:spacing w:val="-46"/>
        </w:rPr>
        <w:t> </w:t>
      </w:r>
      <w:r>
        <w:rPr/>
        <w:t>年，公司建设了财务网络平台，在公司本部及其各子公司应 用了用友财务系统，主要进行财务和库存管理，使公司的财务数据快速形成，库存管理方面更加完善。</w:t>
      </w:r>
      <w:r>
        <w:rPr>
          <w:rFonts w:ascii="宋体" w:hAnsi="宋体" w:cs="宋体" w:eastAsia="宋体" w:hint="default"/>
        </w:rPr>
        <w:t>2007</w:t>
      </w:r>
      <w:r>
        <w:rPr>
          <w:rFonts w:ascii="宋体" w:hAnsi="宋体" w:cs="宋体" w:eastAsia="宋体" w:hint="default"/>
          <w:spacing w:val="-46"/>
        </w:rPr>
        <w:t> </w:t>
      </w:r>
      <w:r>
        <w:rPr/>
        <w:t>年，公司全面 应用用友</w:t>
      </w:r>
      <w:r>
        <w:rPr>
          <w:spacing w:val="-46"/>
        </w:rPr>
        <w:t> </w:t>
      </w:r>
      <w:r>
        <w:rPr>
          <w:rFonts w:ascii="宋体" w:hAnsi="宋体" w:cs="宋体" w:eastAsia="宋体" w:hint="default"/>
        </w:rPr>
        <w:t>ERP</w:t>
      </w:r>
      <w:r>
        <w:rPr>
          <w:rFonts w:ascii="宋体" w:hAnsi="宋体" w:cs="宋体" w:eastAsia="宋体" w:hint="default"/>
          <w:spacing w:val="-45"/>
        </w:rPr>
        <w:t> </w:t>
      </w:r>
      <w:r>
        <w:rPr/>
        <w:t>系统，开始对公司内、外部资源进行有效整合与管理，使公司经营管理迈上新的台阶。</w:t>
      </w:r>
    </w:p>
    <w:p>
      <w:pPr>
        <w:pStyle w:val="BodyText"/>
        <w:spacing w:line="240" w:lineRule="auto" w:before="56"/>
        <w:ind w:left="474" w:right="0"/>
        <w:jc w:val="left"/>
      </w:pPr>
      <w:r>
        <w:rPr/>
        <w:t>（</w:t>
      </w:r>
      <w:r>
        <w:rPr>
          <w:rFonts w:ascii="宋体" w:hAnsi="宋体" w:cs="宋体" w:eastAsia="宋体" w:hint="default"/>
        </w:rPr>
        <w:t>10</w:t>
      </w:r>
      <w:r>
        <w:rPr/>
        <w:t>）认证优势</w:t>
      </w:r>
    </w:p>
    <w:p>
      <w:pPr>
        <w:pStyle w:val="BodyText"/>
        <w:spacing w:line="319" w:lineRule="auto" w:before="115"/>
        <w:ind w:left="113" w:right="1133" w:firstLine="360"/>
        <w:jc w:val="both"/>
      </w:pPr>
      <w:r>
        <w:rPr/>
        <w:t>公司先后通过了</w:t>
      </w:r>
      <w:r>
        <w:rPr>
          <w:spacing w:val="-46"/>
        </w:rPr>
        <w:t> </w:t>
      </w:r>
      <w:r>
        <w:rPr>
          <w:rFonts w:ascii="宋体" w:hAnsi="宋体" w:cs="宋体" w:eastAsia="宋体" w:hint="default"/>
        </w:rPr>
        <w:t>ISO9001:2000</w:t>
      </w:r>
      <w:r>
        <w:rPr>
          <w:rFonts w:ascii="宋体" w:hAnsi="宋体" w:cs="宋体" w:eastAsia="宋体" w:hint="default"/>
          <w:spacing w:val="-46"/>
        </w:rPr>
        <w:t> </w:t>
      </w:r>
      <w:r>
        <w:rPr/>
        <w:t>质量管理体系认证、</w:t>
      </w:r>
      <w:r>
        <w:rPr>
          <w:rFonts w:ascii="宋体" w:hAnsi="宋体" w:cs="宋体" w:eastAsia="宋体" w:hint="default"/>
        </w:rPr>
        <w:t>OHSAS18001:1999</w:t>
      </w:r>
      <w:r>
        <w:rPr>
          <w:rFonts w:ascii="宋体" w:hAnsi="宋体" w:cs="宋体" w:eastAsia="宋体" w:hint="default"/>
          <w:spacing w:val="-46"/>
        </w:rPr>
        <w:t> </w:t>
      </w:r>
      <w:r>
        <w:rPr/>
        <w:t>职业健康安全认证和</w:t>
      </w:r>
      <w:r>
        <w:rPr>
          <w:spacing w:val="-46"/>
        </w:rPr>
        <w:t> </w:t>
      </w:r>
      <w:r>
        <w:rPr>
          <w:rFonts w:ascii="宋体" w:hAnsi="宋体" w:cs="宋体" w:eastAsia="宋体" w:hint="default"/>
        </w:rPr>
        <w:t>ISO14001:2004</w:t>
      </w:r>
      <w:r>
        <w:rPr>
          <w:rFonts w:ascii="宋体" w:hAnsi="宋体" w:cs="宋体" w:eastAsia="宋体" w:hint="default"/>
          <w:spacing w:val="-46"/>
        </w:rPr>
        <w:t> </w:t>
      </w:r>
      <w:r>
        <w:rPr/>
        <w:t>环境管理体 </w:t>
      </w:r>
      <w:r>
        <w:rPr>
          <w:spacing w:val="-2"/>
        </w:rPr>
        <w:t>系认证、全国工业产品生产许可证、知识产权管理体系认证，使公司的管理水平、产品与技术服务水平逐步与国际接轨，有</w:t>
      </w:r>
      <w:r>
        <w:rPr>
          <w:spacing w:val="-66"/>
        </w:rPr>
        <w:t> </w:t>
      </w:r>
      <w:r>
        <w:rPr>
          <w:spacing w:val="-66"/>
        </w:rPr>
      </w:r>
      <w:r>
        <w:rPr/>
        <w:t>利于增强公司在国际市场中的整体竞争力。</w:t>
      </w:r>
    </w:p>
    <w:p>
      <w:pPr>
        <w:pStyle w:val="Heading5"/>
        <w:spacing w:line="240" w:lineRule="auto"/>
        <w:ind w:left="475" w:right="0"/>
        <w:jc w:val="left"/>
        <w:rPr>
          <w:b w:val="0"/>
          <w:bCs w:val="0"/>
        </w:rPr>
      </w:pPr>
      <w:r>
        <w:rPr/>
        <w:t>（二）园林绿化业务主要竞争情况</w:t>
      </w:r>
      <w:r>
        <w:rPr>
          <w:b w:val="0"/>
          <w:bCs w:val="0"/>
        </w:rPr>
      </w:r>
    </w:p>
    <w:p>
      <w:pPr>
        <w:spacing w:line="338" w:lineRule="auto" w:before="116"/>
        <w:ind w:left="474" w:right="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、公司在园林绿化行业的竞争地位</w:t>
      </w:r>
      <w:r>
        <w:rPr>
          <w:rFonts w:ascii="宋体" w:hAnsi="宋体" w:cs="宋体" w:eastAsia="宋体" w:hint="default"/>
          <w:b/>
          <w:bCs/>
          <w:w w:val="99"/>
          <w:sz w:val="18"/>
          <w:szCs w:val="18"/>
        </w:rPr>
        <w:t> </w:t>
      </w:r>
      <w:r>
        <w:rPr>
          <w:rFonts w:ascii="宋体" w:hAnsi="宋体" w:cs="宋体" w:eastAsia="宋体" w:hint="default"/>
          <w:spacing w:val="-2"/>
          <w:sz w:val="18"/>
          <w:szCs w:val="18"/>
        </w:rPr>
        <w:t>华宇园林作为一家成立早、资质高、业务体系成熟、管理优秀的全产业链综合性园林绿化企业，在重庆园林市场具有广</w:t>
      </w:r>
    </w:p>
    <w:p>
      <w:pPr>
        <w:pStyle w:val="BodyText"/>
        <w:spacing w:line="319" w:lineRule="auto" w:before="2"/>
        <w:ind w:left="113" w:right="0"/>
        <w:jc w:val="left"/>
      </w:pPr>
      <w:r>
        <w:rPr>
          <w:spacing w:val="-2"/>
        </w:rPr>
        <w:t>泛的市场知名度。公司业务发展十分迅速，凭借自身优势在激烈的市场竞争中占据了一定的市场份额，在重庆园林行业中具</w:t>
      </w:r>
      <w:r>
        <w:rPr>
          <w:spacing w:val="-66"/>
        </w:rPr>
        <w:t> </w:t>
      </w:r>
      <w:r>
        <w:rPr>
          <w:spacing w:val="-66"/>
        </w:rPr>
      </w:r>
      <w:r>
        <w:rPr>
          <w:spacing w:val="-4"/>
        </w:rPr>
        <w:t>有较强竞争力，并逐步扩展到全国区域。公司目前正处于快速发展阶段，随着公司综合实力的不断增强，业务规模不断扩张，</w:t>
      </w:r>
      <w:r>
        <w:rPr>
          <w:spacing w:val="-46"/>
        </w:rPr>
        <w:t> </w:t>
      </w:r>
      <w:r>
        <w:rPr>
          <w:spacing w:val="-46"/>
        </w:rPr>
      </w:r>
      <w:r>
        <w:rPr/>
        <w:t>行业地位也随之逐步提升。</w:t>
      </w:r>
    </w:p>
    <w:p>
      <w:pPr>
        <w:pStyle w:val="Heading5"/>
        <w:spacing w:line="240" w:lineRule="auto"/>
        <w:ind w:left="475" w:right="0"/>
        <w:jc w:val="left"/>
        <w:rPr>
          <w:b w:val="0"/>
          <w:bCs w:val="0"/>
        </w:rPr>
      </w:pPr>
      <w:r>
        <w:rPr>
          <w:rFonts w:ascii="Times New Roman" w:hAnsi="Times New Roman" w:cs="Times New Roman" w:eastAsia="Times New Roman" w:hint="default"/>
        </w:rPr>
        <w:t>2</w:t>
      </w:r>
      <w:r>
        <w:rPr/>
        <w:t>、公司在园林绿化行业的竞争优势</w:t>
      </w:r>
      <w:r>
        <w:rPr>
          <w:b w:val="0"/>
          <w:bCs w:val="0"/>
        </w:rPr>
      </w:r>
    </w:p>
    <w:p>
      <w:pPr>
        <w:pStyle w:val="BodyText"/>
        <w:spacing w:line="357" w:lineRule="auto" w:before="102"/>
        <w:ind w:left="474" w:right="0"/>
        <w:jc w:val="left"/>
      </w:pPr>
      <w:r>
        <w:rPr/>
        <w:t>（</w:t>
      </w:r>
      <w:r>
        <w:rPr>
          <w:rFonts w:ascii="宋体" w:hAnsi="宋体" w:cs="宋体" w:eastAsia="宋体" w:hint="default"/>
        </w:rPr>
        <w:t>1</w:t>
      </w:r>
      <w:r>
        <w:rPr/>
        <w:t>）资质和品牌优势 </w:t>
      </w:r>
      <w:r>
        <w:rPr>
          <w:spacing w:val="-2"/>
        </w:rPr>
        <w:t>华宇园林是城市园林绿化工程施工壹级企业，并拥有造林绿化施工甲级资质、园林景观规划设计甲级资质和环境污染治</w:t>
      </w:r>
    </w:p>
    <w:p>
      <w:pPr>
        <w:pStyle w:val="BodyText"/>
        <w:spacing w:line="224" w:lineRule="exact"/>
        <w:ind w:right="0"/>
        <w:jc w:val="left"/>
      </w:pPr>
      <w:r>
        <w:rPr/>
        <w:t>理甲级资质、市政公用工程施工总承包贰级资质、风景园林工程设计专项乙级资质、城市园林绿化管护贰级资质、园林古建</w:t>
      </w:r>
    </w:p>
    <w:p>
      <w:pPr>
        <w:pStyle w:val="BodyText"/>
        <w:spacing w:line="319" w:lineRule="auto" w:before="76"/>
        <w:ind w:left="113" w:right="0"/>
        <w:jc w:val="left"/>
      </w:pPr>
      <w:r>
        <w:rPr>
          <w:spacing w:val="-2"/>
        </w:rPr>
        <w:t>筑工程专业承包叁级资质，是国内为数不多的同时拥有园林施工、规划设计、环境污染治理（生态修复类别）、园林绿化管</w:t>
      </w:r>
      <w:r>
        <w:rPr>
          <w:spacing w:val="-68"/>
        </w:rPr>
        <w:t> </w:t>
      </w:r>
      <w:r>
        <w:rPr>
          <w:spacing w:val="-68"/>
        </w:rPr>
      </w:r>
      <w:r>
        <w:rPr/>
        <w:t>护业务资质的园林景观企业。</w:t>
      </w:r>
    </w:p>
    <w:p>
      <w:pPr>
        <w:pStyle w:val="BodyText"/>
        <w:spacing w:line="319" w:lineRule="auto" w:before="56"/>
        <w:ind w:left="113" w:right="1033" w:firstLine="360"/>
        <w:jc w:val="left"/>
      </w:pPr>
      <w:r>
        <w:rPr>
          <w:spacing w:val="-2"/>
        </w:rPr>
        <w:t>华宇园林经过多年的积累，已经在园林绿化行业内形成了一定的品牌优势，具备了大型高端项目的承揽和施工能力。近</w:t>
      </w:r>
      <w:r>
        <w:rPr/>
        <w:t> 年来，公司参与建设了一系列大型园林项目，如重庆市江北区鸿恩寺森林公园绿化景观工程、重庆市南山植物园改造工程、 </w:t>
      </w:r>
      <w:r>
        <w:rPr>
          <w:spacing w:val="-2"/>
        </w:rPr>
        <w:t>万州心连心艺术广场、江北区观音桥步行街景观工程、山东省莱芜市雪野湖旅游区环湖公园（湿地生态修复）工程、山东肥</w:t>
      </w:r>
      <w:r>
        <w:rPr>
          <w:spacing w:val="-66"/>
        </w:rPr>
        <w:t> </w:t>
      </w:r>
      <w:r>
        <w:rPr>
          <w:spacing w:val="-66"/>
        </w:rPr>
      </w:r>
      <w:r>
        <w:rPr>
          <w:spacing w:val="-2"/>
        </w:rPr>
        <w:t>城市龙山河带状公园生态修复及景观改造工程等。上述项目知名度较高、合同金额较大，证明了该公司在园林绿化施工领域</w:t>
      </w:r>
      <w:r>
        <w:rPr>
          <w:spacing w:val="-66"/>
        </w:rPr>
        <w:t> </w:t>
      </w:r>
      <w:r>
        <w:rPr>
          <w:spacing w:val="-66"/>
        </w:rPr>
      </w:r>
      <w:r>
        <w:rPr/>
        <w:t>的实力。</w:t>
      </w:r>
    </w:p>
    <w:p>
      <w:pPr>
        <w:pStyle w:val="BodyText"/>
        <w:spacing w:line="357" w:lineRule="auto" w:before="56"/>
        <w:ind w:left="474" w:right="0"/>
        <w:jc w:val="left"/>
      </w:pPr>
      <w:r>
        <w:rPr/>
        <w:t>（</w:t>
      </w:r>
      <w:r>
        <w:rPr>
          <w:rFonts w:ascii="宋体" w:hAnsi="宋体" w:cs="宋体" w:eastAsia="宋体" w:hint="default"/>
        </w:rPr>
        <w:t>2</w:t>
      </w:r>
      <w:r>
        <w:rPr/>
        <w:t>）全产业链优势 </w:t>
      </w:r>
      <w:r>
        <w:rPr>
          <w:spacing w:val="-2"/>
        </w:rPr>
        <w:t>华宇园林从园林工程施工逐步发展为涵盖园林工程施工、园林景观规划设计、苗木种植销售、园林养护为一体的全产业</w:t>
      </w:r>
    </w:p>
    <w:p>
      <w:pPr>
        <w:pStyle w:val="BodyText"/>
        <w:spacing w:line="357" w:lineRule="auto"/>
        <w:ind w:left="474" w:right="0" w:hanging="360"/>
        <w:jc w:val="left"/>
      </w:pPr>
      <w:r>
        <w:rPr/>
        <w:t>链综合性园林绿化企业。 </w:t>
      </w:r>
      <w:r>
        <w:rPr>
          <w:spacing w:val="-2"/>
        </w:rPr>
        <w:t>华宇园林主营业务以市政工程、生态绿化工程施工为主，积累了丰富的项目施工经验。近年来，公司工程设计能力不断</w:t>
      </w:r>
    </w:p>
    <w:p>
      <w:pPr>
        <w:pStyle w:val="BodyText"/>
        <w:spacing w:line="224" w:lineRule="exact"/>
        <w:ind w:right="0"/>
        <w:jc w:val="left"/>
      </w:pPr>
      <w:r>
        <w:rPr/>
        <w:t>提高，设计人员大多具有本科以上学历，专业内容涵盖了园林、环艺、植物学研究和建筑学等，其中教授级高工有五人。通</w:t>
      </w:r>
    </w:p>
    <w:p>
      <w:pPr>
        <w:pStyle w:val="BodyText"/>
        <w:spacing w:line="319" w:lineRule="auto" w:before="76"/>
        <w:ind w:left="113" w:right="0"/>
        <w:jc w:val="left"/>
      </w:pPr>
      <w:r>
        <w:rPr>
          <w:spacing w:val="-4"/>
        </w:rPr>
        <w:t>过苗木科技产业园的建设，公司完善了苗木种植销售业务；通过养护分公司对外承接养护业务及对公司承建的项目进行养护。</w:t>
      </w:r>
      <w:r>
        <w:rPr>
          <w:spacing w:val="-44"/>
        </w:rPr>
        <w:t> </w:t>
      </w:r>
      <w:r>
        <w:rPr>
          <w:spacing w:val="-44"/>
        </w:rPr>
      </w:r>
      <w:r>
        <w:rPr/>
        <w:t>另外，公司业务范围涵盖生态修复及市政景观绿化工程，具备相应的综合服务优势。</w:t>
      </w:r>
    </w:p>
    <w:p>
      <w:pPr>
        <w:pStyle w:val="BodyText"/>
        <w:spacing w:line="357" w:lineRule="auto" w:before="56"/>
        <w:ind w:left="474" w:right="1118"/>
        <w:jc w:val="left"/>
      </w:pPr>
      <w:r>
        <w:rPr/>
        <w:t>（</w:t>
      </w:r>
      <w:r>
        <w:rPr>
          <w:rFonts w:ascii="宋体" w:hAnsi="宋体" w:cs="宋体" w:eastAsia="宋体" w:hint="default"/>
        </w:rPr>
        <w:t>3</w:t>
      </w:r>
      <w:r>
        <w:rPr/>
        <w:t>）技术优势 </w:t>
      </w:r>
      <w:r>
        <w:rPr>
          <w:spacing w:val="-2"/>
        </w:rPr>
        <w:t>华宇园林为高新技术企业，近几年来专注于园林行业的技术研究开发并在公司所承接的项目中推广应用，在生态修复方</w:t>
      </w:r>
    </w:p>
    <w:p>
      <w:pPr>
        <w:pStyle w:val="BodyText"/>
        <w:spacing w:line="224" w:lineRule="exact"/>
        <w:ind w:right="0"/>
        <w:jc w:val="left"/>
      </w:pPr>
      <w:r>
        <w:rPr/>
        <w:t>面有自己的核心技术，并和国内多所高校、园林科研单位开展技术合作，与西南大学园艺园林学院合作成立了研发中心，拥</w:t>
      </w:r>
    </w:p>
    <w:p>
      <w:pPr>
        <w:pStyle w:val="BodyText"/>
        <w:spacing w:line="240" w:lineRule="auto" w:before="77"/>
        <w:ind w:right="0"/>
        <w:jc w:val="left"/>
      </w:pPr>
      <w:r>
        <w:rPr/>
        <w:t>有多项科技成果和专利。</w:t>
      </w:r>
    </w:p>
    <w:p>
      <w:pPr>
        <w:pStyle w:val="BodyText"/>
        <w:spacing w:line="240" w:lineRule="auto" w:before="117"/>
        <w:ind w:left="474" w:right="0"/>
        <w:jc w:val="left"/>
      </w:pPr>
      <w:r>
        <w:rPr/>
        <w:t>（</w:t>
      </w:r>
      <w:r>
        <w:rPr>
          <w:rFonts w:ascii="宋体" w:hAnsi="宋体" w:cs="宋体" w:eastAsia="宋体" w:hint="default"/>
        </w:rPr>
        <w:t>4</w:t>
      </w:r>
      <w:r>
        <w:rPr/>
        <w:t>）跨区域经营优势</w:t>
      </w:r>
    </w:p>
    <w:p>
      <w:pPr>
        <w:pStyle w:val="BodyText"/>
        <w:spacing w:line="240" w:lineRule="auto" w:before="115"/>
        <w:ind w:left="474" w:right="0"/>
        <w:jc w:val="left"/>
      </w:pPr>
      <w:r>
        <w:rPr/>
        <w:t>华宇园林是少数已经开始在全国范围内开拓业务的公司之一，目前在全国范围内共设立了</w:t>
      </w:r>
      <w:r>
        <w:rPr>
          <w:spacing w:val="-45"/>
        </w:rPr>
        <w:t> </w:t>
      </w:r>
      <w:r>
        <w:rPr>
          <w:rFonts w:ascii="宋体" w:hAnsi="宋体" w:cs="宋体" w:eastAsia="宋体" w:hint="default"/>
        </w:rPr>
        <w:t>11</w:t>
      </w:r>
      <w:r>
        <w:rPr>
          <w:rFonts w:ascii="宋体" w:hAnsi="宋体" w:cs="宋体" w:eastAsia="宋体" w:hint="default"/>
          <w:spacing w:val="-45"/>
        </w:rPr>
        <w:t> </w:t>
      </w:r>
      <w:r>
        <w:rPr/>
        <w:t>家分公司，</w:t>
      </w:r>
      <w:r>
        <w:rPr>
          <w:rFonts w:ascii="宋体" w:hAnsi="宋体" w:cs="宋体" w:eastAsia="宋体" w:hint="default"/>
        </w:rPr>
        <w:t>5</w:t>
      </w:r>
      <w:r>
        <w:rPr>
          <w:rFonts w:ascii="宋体" w:hAnsi="宋体" w:cs="宋体" w:eastAsia="宋体" w:hint="default"/>
          <w:spacing w:val="-46"/>
        </w:rPr>
        <w:t> </w:t>
      </w:r>
      <w:r>
        <w:rPr/>
        <w:t>家子公司。</w:t>
      </w:r>
    </w:p>
    <w:p>
      <w:pPr>
        <w:spacing w:after="0" w:line="24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9" w:lineRule="auto" w:before="44"/>
        <w:ind w:left="113" w:right="1213"/>
        <w:jc w:val="left"/>
      </w:pPr>
      <w:r>
        <w:rPr/>
        <w:t>华宇园林业务范围以重庆为基础，逐步扩展到全国区域，重庆市内的项目占比例从</w:t>
      </w:r>
      <w:r>
        <w:rPr>
          <w:spacing w:val="-45"/>
        </w:rPr>
        <w:t> </w:t>
      </w:r>
      <w:r>
        <w:rPr>
          <w:rFonts w:ascii="宋体" w:hAnsi="宋体" w:cs="宋体" w:eastAsia="宋体" w:hint="default"/>
        </w:rPr>
        <w:t>2010</w:t>
      </w:r>
      <w:r>
        <w:rPr>
          <w:rFonts w:ascii="宋体" w:hAnsi="宋体" w:cs="宋体" w:eastAsia="宋体" w:hint="default"/>
          <w:spacing w:val="-46"/>
        </w:rPr>
        <w:t> </w:t>
      </w:r>
      <w:r>
        <w:rPr/>
        <w:t>年以来逐年降低，</w:t>
      </w:r>
      <w:r>
        <w:rPr>
          <w:rFonts w:ascii="宋体" w:hAnsi="宋体" w:cs="宋体" w:eastAsia="宋体" w:hint="default"/>
        </w:rPr>
        <w:t>2013</w:t>
      </w:r>
      <w:r>
        <w:rPr>
          <w:rFonts w:ascii="宋体" w:hAnsi="宋体" w:cs="宋体" w:eastAsia="宋体" w:hint="default"/>
          <w:spacing w:val="-46"/>
        </w:rPr>
        <w:t> </w:t>
      </w:r>
      <w:r>
        <w:rPr/>
        <w:t>年、</w:t>
      </w:r>
      <w:r>
        <w:rPr>
          <w:rFonts w:ascii="宋体" w:hAnsi="宋体" w:cs="宋体" w:eastAsia="宋体" w:hint="default"/>
        </w:rPr>
        <w:t>2014 </w:t>
      </w:r>
      <w:r>
        <w:rPr/>
        <w:t>年均实现了外省地区的销售额超过公司所在地重庆地区的销售额，并呈逐年上升的趋势，公司跨区域经营优势逐步显现。</w:t>
      </w:r>
    </w:p>
    <w:p>
      <w:pPr>
        <w:pStyle w:val="BodyText"/>
        <w:spacing w:line="357" w:lineRule="auto" w:before="56"/>
        <w:ind w:left="474" w:right="0"/>
        <w:jc w:val="left"/>
      </w:pPr>
      <w:r>
        <w:rPr/>
        <w:t>（</w:t>
      </w:r>
      <w:r>
        <w:rPr>
          <w:rFonts w:ascii="宋体" w:hAnsi="宋体" w:cs="宋体" w:eastAsia="宋体" w:hint="default"/>
        </w:rPr>
        <w:t>5</w:t>
      </w:r>
      <w:r>
        <w:rPr/>
        <w:t>）大中型项目施工能力优势 </w:t>
      </w:r>
      <w:r>
        <w:rPr>
          <w:spacing w:val="-2"/>
        </w:rPr>
        <w:t>大中型项目施工能力是园林绿化企业综合实力的体现。园林施工的技术水平、设计力量、艺术效果体现、人员配备、项</w:t>
      </w:r>
    </w:p>
    <w:p>
      <w:pPr>
        <w:pStyle w:val="BodyText"/>
        <w:spacing w:line="224" w:lineRule="exact"/>
        <w:ind w:right="0"/>
        <w:jc w:val="left"/>
      </w:pPr>
      <w:r>
        <w:rPr/>
        <w:t>目协调、资金实力是决定大中型项目施工能力的重要因素。华宇园林近年来施工的项目大多数为大中型项目，在国内园林绿</w:t>
      </w:r>
    </w:p>
    <w:p>
      <w:pPr>
        <w:pStyle w:val="BodyText"/>
        <w:spacing w:line="357" w:lineRule="auto" w:before="77"/>
        <w:ind w:left="474" w:right="0" w:hanging="360"/>
        <w:jc w:val="left"/>
      </w:pPr>
      <w:r>
        <w:rPr/>
        <w:t>化市场大中型项目的市场竞争中占据了一定的优势。 </w:t>
      </w:r>
      <w:r>
        <w:rPr>
          <w:spacing w:val="-2"/>
        </w:rPr>
        <w:t>另外，华宇园林积极顺应园林绿化生态化发展的趋势，在生态修复及园林绿化两个领域都可以施工，凭借生态修复领域</w:t>
      </w:r>
    </w:p>
    <w:p>
      <w:pPr>
        <w:pStyle w:val="BodyText"/>
        <w:spacing w:line="224" w:lineRule="exact"/>
        <w:ind w:right="0"/>
        <w:jc w:val="left"/>
      </w:pPr>
      <w:r>
        <w:rPr/>
        <w:t>的综合优势积极拓展园林绿化领域业务，是少数有能力同时涉足生态修复及园林绿化领域的公司之一，并且在两个领域都有</w:t>
      </w:r>
    </w:p>
    <w:p>
      <w:pPr>
        <w:pStyle w:val="BodyText"/>
        <w:spacing w:line="240" w:lineRule="auto" w:before="77"/>
        <w:ind w:right="0"/>
        <w:jc w:val="left"/>
      </w:pPr>
      <w:r>
        <w:rPr/>
        <w:t>较强的竞争优势，为公司未来快速发展提供可靠保障。</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86" w:right="0"/>
        <w:jc w:val="left"/>
        <w:rPr>
          <w:b w:val="0"/>
          <w:bCs w:val="0"/>
        </w:rPr>
      </w:pPr>
      <w:bookmarkStart w:name="第四节 管理层讨论与分析" w:id="22"/>
      <w:bookmarkEnd w:id="22"/>
      <w:r>
        <w:rPr>
          <w:b w:val="0"/>
          <w:bCs w:val="0"/>
        </w:rPr>
      </w:r>
      <w:bookmarkStart w:name="_bookmark2"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0"/>
        <w:jc w:val="left"/>
        <w:rPr>
          <w:b w:val="0"/>
          <w:bCs w:val="0"/>
        </w:rPr>
      </w:pPr>
      <w:bookmarkStart w:name="一、概述" w:id="24"/>
      <w:bookmarkEnd w:id="24"/>
      <w:r>
        <w:rPr>
          <w:b w:val="0"/>
          <w:bCs w:val="0"/>
        </w:rPr>
      </w:r>
      <w:r>
        <w:rPr/>
        <w:t>一、概述</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74" w:right="0" w:firstLine="90"/>
        <w:jc w:val="left"/>
      </w:pPr>
      <w:r>
        <w:rPr/>
        <w:t>一、包装业——“互联网</w:t>
      </w:r>
      <w:r>
        <w:rPr>
          <w:rFonts w:ascii="宋体" w:hAnsi="宋体" w:cs="宋体" w:eastAsia="宋体" w:hint="default"/>
        </w:rPr>
        <w:t>+</w:t>
      </w:r>
      <w:r>
        <w:rPr/>
        <w:t>”传统制造业 </w:t>
      </w:r>
      <w:r>
        <w:rPr>
          <w:spacing w:val="-4"/>
        </w:rPr>
        <w:t>公司的主营业务为铝板复合型防伪印刷和防伪瓶盖的生产、销售及相关业务。公司的主要产品包括复合型防伪印刷铝板、</w:t>
      </w:r>
    </w:p>
    <w:p>
      <w:pPr>
        <w:pStyle w:val="BodyText"/>
        <w:spacing w:line="224" w:lineRule="exact"/>
        <w:ind w:right="0"/>
        <w:jc w:val="left"/>
      </w:pPr>
      <w:r>
        <w:rPr/>
        <w:t>铝防伪瓶盖和组合式防伪瓶盖。复合型防伪印刷铝板的用途是进一步加工生产防伪瓶盖，其销售对象是同行业制盖企业；防</w:t>
      </w:r>
    </w:p>
    <w:p>
      <w:pPr>
        <w:pStyle w:val="BodyText"/>
        <w:spacing w:line="319" w:lineRule="auto" w:before="76"/>
        <w:ind w:right="1032"/>
        <w:jc w:val="left"/>
      </w:pPr>
      <w:r>
        <w:rPr>
          <w:spacing w:val="-2"/>
        </w:rPr>
        <w:t>伪瓶盖产品包括铝防伪瓶盖和组合式防伪瓶盖，主要用于白酒、保健酒、啤酒、葡萄酒、医药、橄榄油、高档饮用水等行业</w:t>
      </w:r>
      <w:r>
        <w:rPr>
          <w:spacing w:val="-72"/>
        </w:rPr>
        <w:t> </w:t>
      </w:r>
      <w:r>
        <w:rPr>
          <w:spacing w:val="-72"/>
        </w:rPr>
      </w:r>
      <w:r>
        <w:rPr/>
        <w:t>产品的包装。经中国包装联合会及所属金属容器委员会认定，公司是国内最大的铝板复合型防伪印刷和防伪瓶盖生产企业。</w:t>
      </w:r>
    </w:p>
    <w:p>
      <w:pPr>
        <w:pStyle w:val="BodyText"/>
        <w:spacing w:line="309" w:lineRule="auto" w:before="55"/>
        <w:ind w:left="113" w:right="1033" w:firstLine="360"/>
        <w:jc w:val="left"/>
      </w:pPr>
      <w:r>
        <w:rPr>
          <w:rFonts w:ascii="Times New Roman" w:hAnsi="Times New Roman" w:cs="Times New Roman" w:eastAsia="Times New Roman" w:hint="default"/>
          <w:spacing w:val="-4"/>
        </w:rPr>
        <w:t>2015</w:t>
      </w:r>
      <w:r>
        <w:rPr>
          <w:spacing w:val="-4"/>
        </w:rPr>
        <w:t>年是中国传统机加工企业最艰难最严峻的一年，也是国内外经济大环境最为低落的一年。全球经济形势严峻且复杂，</w:t>
      </w:r>
      <w:r>
        <w:rPr/>
        <w:t> </w:t>
      </w:r>
      <w:r>
        <w:rPr>
          <w:spacing w:val="-2"/>
        </w:rPr>
        <w:t>经济持续低迷，地缘政治危机对国际贸易和全球经济产生严重影响。中国经济经历了三十年的高速发展也到了调速换挡的结</w:t>
      </w:r>
      <w:r>
        <w:rPr>
          <w:spacing w:val="-63"/>
        </w:rPr>
        <w:t> </w:t>
      </w:r>
      <w:r>
        <w:rPr>
          <w:spacing w:val="-63"/>
        </w:rPr>
      </w:r>
      <w:r>
        <w:rPr/>
        <w:t>构调整期、正式步入了经济新常态的发展道路。正是在这样的经济转型的大环境下，互联网、物联网迅猛发展的大趋势下， </w:t>
      </w:r>
      <w:r>
        <w:rPr>
          <w:spacing w:val="-2"/>
        </w:rPr>
        <w:t>在公司管理层及全体员工的共同努力下，坚持以创新为发展基点，克服诸多对传统制造业不利因素的影响，使得公司双主业</w:t>
      </w:r>
      <w:r>
        <w:rPr>
          <w:spacing w:val="-66"/>
        </w:rPr>
        <w:t> </w:t>
      </w:r>
      <w:r>
        <w:rPr>
          <w:spacing w:val="-66"/>
        </w:rPr>
      </w:r>
      <w:r>
        <w:rPr>
          <w:spacing w:val="-2"/>
        </w:rPr>
        <w:t>之一——瓶盖业务基本稳定。公司防伪瓶盖在报告期内产量</w:t>
      </w:r>
      <w:r>
        <w:rPr>
          <w:rFonts w:ascii="宋体" w:hAnsi="宋体" w:cs="宋体" w:eastAsia="宋体" w:hint="default"/>
          <w:spacing w:val="-2"/>
        </w:rPr>
        <w:t>19.97</w:t>
      </w:r>
      <w:r>
        <w:rPr>
          <w:spacing w:val="-2"/>
        </w:rPr>
        <w:t>亿只，销售量</w:t>
      </w:r>
      <w:r>
        <w:rPr>
          <w:rFonts w:ascii="宋体" w:hAnsi="宋体" w:cs="宋体" w:eastAsia="宋体" w:hint="default"/>
          <w:spacing w:val="-2"/>
        </w:rPr>
        <w:t>18.83</w:t>
      </w:r>
      <w:r>
        <w:rPr>
          <w:spacing w:val="-2"/>
        </w:rPr>
        <w:t>亿只，在同行业产销规模仍占据同行业</w:t>
      </w:r>
      <w:r>
        <w:rPr>
          <w:spacing w:val="-57"/>
        </w:rPr>
        <w:t> </w:t>
      </w:r>
      <w:r>
        <w:rPr>
          <w:spacing w:val="-57"/>
        </w:rPr>
      </w:r>
      <w:r>
        <w:rPr>
          <w:spacing w:val="-2"/>
        </w:rPr>
        <w:t>第一的位置。截至目前，公司各类产品已销往全国二十八个省、自治区和直辖市，下游酿酒行业客户达</w:t>
      </w:r>
      <w:r>
        <w:rPr>
          <w:rFonts w:ascii="宋体" w:hAnsi="宋体" w:cs="宋体" w:eastAsia="宋体" w:hint="default"/>
          <w:spacing w:val="-2"/>
        </w:rPr>
        <w:t>700</w:t>
      </w:r>
      <w:r>
        <w:rPr>
          <w:spacing w:val="-2"/>
        </w:rPr>
        <w:t>余家，包括</w:t>
      </w:r>
      <w:r>
        <w:rPr>
          <w:rFonts w:ascii="Times New Roman" w:hAnsi="Times New Roman" w:cs="Times New Roman" w:eastAsia="Times New Roman" w:hint="default"/>
          <w:spacing w:val="-2"/>
        </w:rPr>
        <w:t>“</w:t>
      </w:r>
      <w:r>
        <w:rPr>
          <w:spacing w:val="-2"/>
        </w:rPr>
        <w:t>北京</w:t>
      </w:r>
      <w:r>
        <w:rPr>
          <w:spacing w:val="-53"/>
        </w:rPr>
        <w:t> </w:t>
      </w:r>
      <w:r>
        <w:rPr/>
        <w:t>红星、牛栏山</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新疆伊力特</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四川剑南春、泸州老窖、沱牌、全兴、丰谷</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山西杏花村、汾阳王</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湖北劲酒、枝江 </w:t>
      </w:r>
      <w:r>
        <w:rPr>
          <w:spacing w:val="-1"/>
        </w:rPr>
        <w:t>大曲</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江苏洋河、双沟</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江西四特</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海南椰风</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湖南金六福</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山东兰陵</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河北衡水老白干、三井小刀、刘伶醉、</w:t>
      </w:r>
      <w:r>
        <w:rPr>
          <w:spacing w:val="-86"/>
        </w:rPr>
        <w:t> </w:t>
      </w:r>
      <w:r>
        <w:rPr>
          <w:spacing w:val="-86"/>
        </w:rPr>
      </w:r>
      <w:r>
        <w:rPr>
          <w:spacing w:val="-2"/>
        </w:rPr>
        <w:t>板城烧锅</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黑龙江三得利</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辽宁三沟</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内蒙河套</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安徽古井贡、种子</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河南宋河</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烟台张裕</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广东蓝带啤酒</w:t>
      </w:r>
      <w:r>
        <w:rPr>
          <w:rFonts w:ascii="Times New Roman" w:hAnsi="Times New Roman" w:cs="Times New Roman" w:eastAsia="Times New Roman" w:hint="default"/>
          <w:spacing w:val="-2"/>
        </w:rPr>
        <w:t>”</w:t>
      </w:r>
      <w:r>
        <w:rPr>
          <w:spacing w:val="-2"/>
        </w:rPr>
        <w:t>、</w:t>
      </w:r>
      <w:r>
        <w:rPr>
          <w:spacing w:val="-85"/>
        </w:rPr>
        <w:t> </w:t>
      </w:r>
      <w:r>
        <w:rPr>
          <w:rFonts w:ascii="Times New Roman" w:hAnsi="Times New Roman" w:cs="Times New Roman" w:eastAsia="Times New Roman" w:hint="default"/>
        </w:rPr>
        <w:t>“</w:t>
      </w:r>
      <w:r>
        <w:rPr/>
        <w:t>青岛啤酒</w:t>
      </w:r>
      <w:r>
        <w:rPr>
          <w:rFonts w:ascii="Times New Roman" w:hAnsi="Times New Roman" w:cs="Times New Roman" w:eastAsia="Times New Roman" w:hint="default"/>
        </w:rPr>
        <w:t>”</w:t>
      </w:r>
      <w:r>
        <w:rPr/>
        <w:t>等几十家品牌酒和</w:t>
      </w:r>
      <w:r>
        <w:rPr>
          <w:rFonts w:ascii="Times New Roman" w:hAnsi="Times New Roman" w:cs="Times New Roman" w:eastAsia="Times New Roman" w:hint="default"/>
        </w:rPr>
        <w:t>“</w:t>
      </w:r>
      <w:r>
        <w:rPr/>
        <w:t>广州太阳神</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安德利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吉斯</w:t>
      </w:r>
      <w:r>
        <w:rPr>
          <w:rFonts w:ascii="Times New Roman" w:hAnsi="Times New Roman" w:cs="Times New Roman" w:eastAsia="Times New Roman" w:hint="default"/>
        </w:rPr>
        <w:t>”</w:t>
      </w:r>
      <w:r>
        <w:rPr/>
        <w:t>等功能饮料。目前，公司铝防伪瓶盖已在国内同类产品市场 中占据第一，并远销俄罗斯、菲律宾、泰国、越南、缅甸、澳大利亚以及非洲、南北美洲等海外市场，广泛应用于白兰地、 威士忌、葡萄酒、橄榄油、饮料等行业。</w:t>
      </w:r>
    </w:p>
    <w:p>
      <w:pPr>
        <w:pStyle w:val="BodyText"/>
        <w:spacing w:line="319" w:lineRule="auto" w:before="64"/>
        <w:ind w:left="113" w:right="1033" w:firstLine="360"/>
        <w:jc w:val="left"/>
      </w:pPr>
      <w:r>
        <w:rPr>
          <w:rFonts w:ascii="宋体" w:hAnsi="宋体" w:cs="宋体" w:eastAsia="宋体" w:hint="default"/>
          <w:spacing w:val="-2"/>
        </w:rPr>
        <w:t>2015</w:t>
      </w:r>
      <w:r>
        <w:rPr>
          <w:spacing w:val="-2"/>
        </w:rPr>
        <w:t>年的两会上，李克强总理在政府工作报告中第一次提出“互联网</w:t>
      </w:r>
      <w:r>
        <w:rPr>
          <w:rFonts w:ascii="宋体" w:hAnsi="宋体" w:cs="宋体" w:eastAsia="宋体" w:hint="default"/>
          <w:spacing w:val="-2"/>
        </w:rPr>
        <w:t>+</w:t>
      </w:r>
      <w:r>
        <w:rPr>
          <w:spacing w:val="-2"/>
        </w:rPr>
        <w:t>”的概念，公司把握时机，于</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31</w:t>
      </w:r>
      <w:r>
        <w:rPr>
          <w:spacing w:val="-2"/>
        </w:rPr>
        <w:t>日成立</w:t>
      </w:r>
      <w:r>
        <w:rPr/>
        <w:t> 深圳在乎传媒科技有限公司，以年产</w:t>
      </w:r>
      <w:r>
        <w:rPr>
          <w:rFonts w:ascii="宋体" w:hAnsi="宋体" w:cs="宋体" w:eastAsia="宋体" w:hint="default"/>
        </w:rPr>
        <w:t>20</w:t>
      </w:r>
      <w:r>
        <w:rPr/>
        <w:t>亿只防伪瓶盖为载体，进军移动互联时代。一盖一码为酒企提供防伪打假、防窜货、 广告营销、积分兑奖、大数据分析等增值服务。</w:t>
      </w:r>
    </w:p>
    <w:p>
      <w:pPr>
        <w:pStyle w:val="BodyText"/>
        <w:spacing w:line="240" w:lineRule="auto" w:before="56"/>
        <w:ind w:left="564" w:right="0"/>
        <w:jc w:val="left"/>
      </w:pPr>
      <w:r>
        <w:rPr/>
        <w:t>二、园林业——致力于“美丽中国”建设</w:t>
      </w:r>
    </w:p>
    <w:p>
      <w:pPr>
        <w:pStyle w:val="BodyText"/>
        <w:spacing w:line="312" w:lineRule="auto" w:before="115"/>
        <w:ind w:left="113" w:right="1131" w:firstLine="450"/>
        <w:jc w:val="both"/>
      </w:pPr>
      <w:r>
        <w:rPr/>
        <w:t>公司于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月完成了对华宇园林的收购，公司主营业务在铝板复合型防伪印刷和防伪瓶盖制造行业之外，新增 </w:t>
      </w:r>
      <w:r>
        <w:rPr>
          <w:spacing w:val="-2"/>
        </w:rPr>
        <w:t>生态修复、园林工程施工、园林景观规划设计、绿化养护和苗木产销等园林绿化、环境治理业务。华宇园林从园林工程施工</w:t>
      </w:r>
      <w:r>
        <w:rPr>
          <w:spacing w:val="-66"/>
        </w:rPr>
        <w:t> </w:t>
      </w:r>
      <w:r>
        <w:rPr>
          <w:spacing w:val="-66"/>
        </w:rPr>
      </w:r>
      <w:r>
        <w:rPr>
          <w:spacing w:val="-2"/>
        </w:rPr>
        <w:t>逐步发展为涵盖园林工程施工、园林景观规划设计、苗木种植销售、园林养护为一体的全产业链综合性园林绿化企业。其主</w:t>
      </w:r>
      <w:r>
        <w:rPr>
          <w:spacing w:val="-66"/>
        </w:rPr>
        <w:t> </w:t>
      </w:r>
      <w:r>
        <w:rPr>
          <w:spacing w:val="-66"/>
        </w:rPr>
      </w:r>
      <w:r>
        <w:rPr>
          <w:spacing w:val="-2"/>
        </w:rPr>
        <w:t>营业务以市政工程、生态绿化工程施工为主，积累了丰富的项目施工经验。市政园林业务，在地方政府债务整治、流动性进</w:t>
      </w:r>
      <w:r>
        <w:rPr>
          <w:spacing w:val="-66"/>
        </w:rPr>
        <w:t> </w:t>
      </w:r>
      <w:r>
        <w:rPr>
          <w:spacing w:val="-66"/>
        </w:rPr>
      </w:r>
      <w:r>
        <w:rPr/>
        <w:t>一步收紧的背景下，积极面对压力，调整工作重点，为契合国家的</w:t>
      </w:r>
      <w:r>
        <w:rPr>
          <w:rFonts w:ascii="Times New Roman" w:hAnsi="Times New Roman" w:cs="Times New Roman" w:eastAsia="Times New Roman" w:hint="default"/>
        </w:rPr>
        <w:t>“</w:t>
      </w:r>
      <w:r>
        <w:rPr/>
        <w:t>生态文明</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美丽中国</w:t>
      </w:r>
      <w:r>
        <w:rPr>
          <w:rFonts w:ascii="Times New Roman" w:hAnsi="Times New Roman" w:cs="Times New Roman" w:eastAsia="Times New Roman" w:hint="default"/>
        </w:rPr>
        <w:t>”</w:t>
      </w:r>
      <w:r>
        <w:rPr/>
        <w:t>主题，根据行业现状，加大</w:t>
      </w:r>
      <w:r>
        <w:rPr>
          <w:spacing w:val="-47"/>
        </w:rPr>
        <w:t> </w:t>
      </w:r>
      <w:r>
        <w:rPr>
          <w:rFonts w:ascii="宋体" w:hAnsi="宋体" w:cs="宋体" w:eastAsia="宋体" w:hint="default"/>
        </w:rPr>
        <w:t>PPP </w:t>
      </w:r>
      <w:r>
        <w:rPr/>
        <w:t>模式的创新应用，紧跟新城镇化发展的步伐，实现了双主业之二</w:t>
      </w:r>
      <w:r>
        <w:rPr>
          <w:rFonts w:ascii="Times New Roman" w:hAnsi="Times New Roman" w:cs="Times New Roman" w:eastAsia="Times New Roman" w:hint="default"/>
        </w:rPr>
        <w:t>——</w:t>
      </w:r>
      <w:r>
        <w:rPr/>
        <w:t>园林业务业绩的稳定增长。</w:t>
      </w:r>
    </w:p>
    <w:p>
      <w:pPr>
        <w:pStyle w:val="BodyText"/>
        <w:spacing w:line="319" w:lineRule="auto" w:before="42"/>
        <w:ind w:left="113" w:right="1172" w:firstLine="360"/>
        <w:jc w:val="left"/>
      </w:pPr>
      <w:r>
        <w:rPr/>
        <w:t>报告期内，公司实现营业收入</w:t>
      </w:r>
      <w:r>
        <w:rPr>
          <w:spacing w:val="-46"/>
        </w:rPr>
        <w:t> </w:t>
      </w:r>
      <w:r>
        <w:rPr>
          <w:rFonts w:ascii="宋体" w:hAnsi="宋体" w:cs="宋体" w:eastAsia="宋体" w:hint="default"/>
        </w:rPr>
        <w:t>135,749.07</w:t>
      </w:r>
      <w:r>
        <w:rPr>
          <w:rFonts w:ascii="宋体" w:hAnsi="宋体" w:cs="宋体" w:eastAsia="宋体" w:hint="default"/>
          <w:spacing w:val="-46"/>
        </w:rPr>
        <w:t> </w:t>
      </w:r>
      <w:r>
        <w:rPr/>
        <w:t>万元，比上一年度增长</w:t>
      </w:r>
      <w:r>
        <w:rPr>
          <w:spacing w:val="-46"/>
        </w:rPr>
        <w:t> </w:t>
      </w:r>
      <w:r>
        <w:rPr>
          <w:rFonts w:ascii="宋体" w:hAnsi="宋体" w:cs="宋体" w:eastAsia="宋体" w:hint="default"/>
        </w:rPr>
        <w:t>93.4%</w:t>
      </w:r>
      <w:r>
        <w:rPr/>
        <w:t>；归属上市公司股东净利润</w:t>
      </w:r>
      <w:r>
        <w:rPr>
          <w:spacing w:val="-46"/>
        </w:rPr>
        <w:t> </w:t>
      </w:r>
      <w:r>
        <w:rPr>
          <w:rFonts w:ascii="宋体" w:hAnsi="宋体" w:cs="宋体" w:eastAsia="宋体" w:hint="default"/>
        </w:rPr>
        <w:t>12,130.47</w:t>
      </w:r>
      <w:r>
        <w:rPr>
          <w:rFonts w:ascii="宋体" w:hAnsi="宋体" w:cs="宋体" w:eastAsia="宋体" w:hint="default"/>
          <w:spacing w:val="-45"/>
        </w:rPr>
        <w:t> </w:t>
      </w:r>
      <w:r>
        <w:rPr/>
        <w:t>万元， 比上一年度增长</w:t>
      </w:r>
      <w:r>
        <w:rPr>
          <w:spacing w:val="-46"/>
        </w:rPr>
        <w:t> </w:t>
      </w:r>
      <w:r>
        <w:rPr>
          <w:rFonts w:ascii="宋体" w:hAnsi="宋体" w:cs="宋体" w:eastAsia="宋体" w:hint="default"/>
        </w:rPr>
        <w:t>286.93%</w:t>
      </w:r>
      <w:r>
        <w:rPr/>
        <w:t>；实现每股收益</w:t>
      </w:r>
      <w:r>
        <w:rPr>
          <w:spacing w:val="-46"/>
        </w:rPr>
        <w:t> </w:t>
      </w:r>
      <w:r>
        <w:rPr>
          <w:rFonts w:ascii="宋体" w:hAnsi="宋体" w:cs="宋体" w:eastAsia="宋体" w:hint="default"/>
        </w:rPr>
        <w:t>0.37 </w:t>
      </w:r>
      <w:r>
        <w:rPr/>
        <w:t>元，比上一年增长</w:t>
      </w:r>
      <w:r>
        <w:rPr>
          <w:spacing w:val="-46"/>
        </w:rPr>
        <w:t> </w:t>
      </w:r>
      <w:r>
        <w:rPr>
          <w:rFonts w:ascii="宋体" w:hAnsi="宋体" w:cs="宋体" w:eastAsia="宋体" w:hint="default"/>
        </w:rPr>
        <w:t>131.25%</w:t>
      </w:r>
      <w:r>
        <w:rPr/>
        <w:t>。</w:t>
      </w:r>
    </w:p>
    <w:p>
      <w:pPr>
        <w:spacing w:line="240" w:lineRule="auto" w:before="6"/>
        <w:rPr>
          <w:rFonts w:ascii="宋体" w:hAnsi="宋体" w:cs="宋体" w:eastAsia="宋体" w:hint="default"/>
          <w:sz w:val="20"/>
          <w:szCs w:val="20"/>
        </w:rPr>
      </w:pPr>
    </w:p>
    <w:p>
      <w:pPr>
        <w:pStyle w:val="Heading2"/>
        <w:spacing w:line="240" w:lineRule="auto"/>
        <w:ind w:left="113"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参见“管理层讨论与分析”中的“一、概述”相关内容。</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1,357,490,739.39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701,923,114.59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93.40%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457,434,900.39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534,766,687.59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-14.46%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1"/>
              <w:jc w:val="left"/>
              <w:rPr>
                <w:rFonts w:ascii="宋体" w:hAnsi="宋体" w:cs="宋体" w:eastAsia="宋体" w:hint="default"/>
                <w:sz w:val="18"/>
                <w:szCs w:val="18"/>
              </w:rPr>
            </w:pPr>
            <w:r>
              <w:rPr>
                <w:rFonts w:ascii="宋体" w:hAnsi="宋体" w:cs="宋体" w:eastAsia="宋体" w:hint="default"/>
                <w:sz w:val="18"/>
                <w:szCs w:val="18"/>
              </w:rPr>
              <w:t>复合型防伪印刷 铝板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79,628,802.13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81,504,760.82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770,345,232.94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51,418,239.54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1,398.19%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50,081,803.93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34,233,426.64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铝防伪盖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146,143,801.51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163,454,011.39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组合式防伪盖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311,291,098.88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371,312,676.20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-16.16%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21"/>
              <w:jc w:val="left"/>
              <w:rPr>
                <w:rFonts w:ascii="宋体" w:hAnsi="宋体" w:cs="宋体" w:eastAsia="宋体" w:hint="default"/>
                <w:sz w:val="18"/>
                <w:szCs w:val="18"/>
              </w:rPr>
            </w:pPr>
            <w:r>
              <w:rPr>
                <w:rFonts w:ascii="宋体" w:hAnsi="宋体" w:cs="宋体" w:eastAsia="宋体" w:hint="default"/>
                <w:sz w:val="18"/>
                <w:szCs w:val="18"/>
              </w:rPr>
              <w:t>复合型防伪印刷 铝板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79,628,802.13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81,504,760.82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770,345,232.94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56.75%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51,418,239.54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1,398.19%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50,081,803.93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34,233,426.64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46.30%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出口收入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124,133,501.69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188,055,020.30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-33.99%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1,233,357,237.70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513,868,094.29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73.21%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140.01%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457,434,900.39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390,295,878.51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复合型防伪印 刷铝板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79,628,802.13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75,520,016.33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770,345,232.94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567,957,441.24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1,398.19%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1,817.44%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50,081,803.93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32,059,741.30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铝防伪盖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146,143,801.51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104,621,618.34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组合式防伪盖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311,291,098.88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285,674,260.17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复合型防伪印 刷铝板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79,628,802.13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75,520,016.33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770,345,232.94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567,957,441.24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1,398.19%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1,817.44%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50,081,803.93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32,059,741.30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124,133,501.69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115,374,395.07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1,233,357,237.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950,458,682.31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0.36%</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1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188,260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228,765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-17.71%</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199,658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236,946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-15.74%</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59,998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23.45%</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left="11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13" w:right="0"/>
        <w:jc w:val="left"/>
      </w:pPr>
      <w:r>
        <w:rPr/>
        <w:t>√ 适用 □ 不适用 </w:t>
      </w:r>
      <w:r>
        <w:rPr>
          <w:spacing w:val="-2"/>
        </w:rPr>
        <w:t>华宇园林与长城证券有限责任公司共同发起设立生态产业基金项目，截至年度报告披露日该项目无实质性进展。安徽省宿州</w:t>
      </w:r>
      <w:r>
        <w:rPr>
          <w:spacing w:val="-64"/>
        </w:rPr>
        <w:t> </w:t>
      </w:r>
      <w:r>
        <w:rPr>
          <w:spacing w:val="-64"/>
        </w:rPr>
      </w:r>
      <w:r>
        <w:rPr/>
        <w:t>市萧县岱湖新城湿地公园项目因多方原因，截至目前该项目处于终止状态。</w:t>
      </w:r>
    </w:p>
    <w:p>
      <w:pPr>
        <w:pStyle w:val="BodyText"/>
        <w:spacing w:line="316" w:lineRule="auto" w:before="2"/>
        <w:ind w:left="113" w:right="1133"/>
        <w:jc w:val="both"/>
      </w:pPr>
      <w:r>
        <w:rPr>
          <w:spacing w:val="-2"/>
        </w:rPr>
        <w:t>重庆北碚静观山水项目市政管网、市政道路、土石方、平场、小区景观及公共绿化工程项目、遵义市红花岗区深溪河湿地公</w:t>
      </w:r>
      <w:r>
        <w:rPr>
          <w:spacing w:val="-66"/>
        </w:rPr>
        <w:t> </w:t>
      </w:r>
      <w:r>
        <w:rPr>
          <w:spacing w:val="-66"/>
        </w:rPr>
      </w:r>
      <w:r>
        <w:rPr/>
        <w:t>园工程设计施工一体化建设项目、贵州省安顺市西秀区政府与社会资本合作</w:t>
      </w:r>
      <w:r>
        <w:rPr>
          <w:rFonts w:ascii="宋体" w:hAnsi="宋体" w:cs="宋体" w:eastAsia="宋体" w:hint="default"/>
        </w:rPr>
        <w:t>(PPP)</w:t>
      </w:r>
      <w:r>
        <w:rPr/>
        <w:t>生态修复综合治理项目、四川省巴中市巴 州区津桥湖城市基础设施和生态恢复建设（</w:t>
      </w:r>
      <w:r>
        <w:rPr>
          <w:rFonts w:ascii="宋体" w:hAnsi="宋体" w:cs="宋体" w:eastAsia="宋体" w:hint="default"/>
        </w:rPr>
        <w:t>PPP</w:t>
      </w:r>
      <w:r>
        <w:rPr/>
        <w:t>）项目，截至年度报告披露日处于正常施工过程中。</w:t>
      </w:r>
    </w:p>
    <w:p>
      <w:pPr>
        <w:spacing w:line="240" w:lineRule="auto" w:before="7"/>
        <w:rPr>
          <w:rFonts w:ascii="宋体" w:hAnsi="宋体" w:cs="宋体" w:eastAsia="宋体" w:hint="default"/>
          <w:sz w:val="22"/>
          <w:szCs w:val="22"/>
        </w:rPr>
      </w:pPr>
    </w:p>
    <w:p>
      <w:pPr>
        <w:pStyle w:val="Heading3"/>
        <w:spacing w:line="240" w:lineRule="auto"/>
        <w:ind w:left="113"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37" w:right="0"/>
              <w:jc w:val="left"/>
              <w:rPr>
                <w:rFonts w:ascii="宋体" w:hAnsi="宋体" w:cs="宋体" w:eastAsia="宋体" w:hint="default"/>
                <w:sz w:val="18"/>
                <w:szCs w:val="18"/>
              </w:rPr>
            </w:pPr>
            <w:r>
              <w:rPr>
                <w:rFonts w:ascii="宋体" w:hAnsi="宋体" w:cs="宋体" w:eastAsia="宋体" w:hint="default"/>
                <w:sz w:val="18"/>
                <w:szCs w:val="18"/>
              </w:rPr>
              <w:t>占营业成本比</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36" w:right="0"/>
              <w:jc w:val="left"/>
              <w:rPr>
                <w:rFonts w:ascii="宋体" w:hAnsi="宋体" w:cs="宋体" w:eastAsia="宋体" w:hint="default"/>
                <w:sz w:val="18"/>
                <w:szCs w:val="18"/>
              </w:rPr>
            </w:pPr>
            <w:r>
              <w:rPr>
                <w:rFonts w:ascii="宋体" w:hAnsi="宋体" w:cs="宋体" w:eastAsia="宋体" w:hint="default"/>
                <w:sz w:val="18"/>
                <w:szCs w:val="18"/>
              </w:rPr>
              <w:t>占营业成本比</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278,632,227.67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325,508,966.24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42,230,014.05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31,188,774.63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69,433,636.79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67,639,328.93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绿化苗木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167,320,262.19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3,537,175.00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17.52%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劳务及其它分 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148,577,666.63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9,007,187.60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硬质材料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208,610,768.00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8,862,930.06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机械租赁及耗 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40,722,548.54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2,258,588.11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2,726,195.71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5,954,671.64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-19.62%</w:t>
            </w:r>
          </w:p>
        </w:tc>
      </w:tr>
    </w:tbl>
    <w:p>
      <w:pPr>
        <w:pStyle w:val="BodyText"/>
        <w:spacing w:line="357" w:lineRule="auto" w:before="51"/>
        <w:ind w:right="3552"/>
        <w:jc w:val="left"/>
      </w:pPr>
      <w:r>
        <w:rPr/>
        <w:t>说明 公司园林绿化业务</w:t>
      </w:r>
      <w:r>
        <w:rPr>
          <w:rFonts w:ascii="宋体" w:hAnsi="宋体" w:cs="宋体" w:eastAsia="宋体" w:hint="default"/>
        </w:rPr>
        <w:t>2014</w:t>
      </w:r>
      <w:r>
        <w:rPr/>
        <w:t>年度仅并入计算了</w:t>
      </w:r>
      <w:r>
        <w:rPr>
          <w:rFonts w:ascii="宋体" w:hAnsi="宋体" w:cs="宋体" w:eastAsia="宋体" w:hint="default"/>
        </w:rPr>
        <w:t>12</w:t>
      </w:r>
      <w:r>
        <w:rPr/>
        <w:t>月当月份的数据，而</w:t>
      </w:r>
      <w:r>
        <w:rPr>
          <w:rFonts w:ascii="宋体" w:hAnsi="宋体" w:cs="宋体" w:eastAsia="宋体" w:hint="default"/>
        </w:rPr>
        <w:t>2015</w:t>
      </w:r>
      <w:r>
        <w:rPr/>
        <w:t>年为全年度数据计算。</w:t>
      </w:r>
    </w:p>
    <w:p>
      <w:pPr>
        <w:spacing w:line="240" w:lineRule="auto" w:before="2"/>
        <w:rPr>
          <w:rFonts w:ascii="宋体" w:hAnsi="宋体" w:cs="宋体" w:eastAsia="宋体" w:hint="default"/>
          <w:sz w:val="20"/>
          <w:szCs w:val="20"/>
        </w:rPr>
      </w:pPr>
    </w:p>
    <w:p>
      <w:pPr>
        <w:pStyle w:val="Heading3"/>
        <w:spacing w:line="240" w:lineRule="auto"/>
        <w:ind w:left="113"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 是 □ 否</w:t>
      </w:r>
    </w:p>
    <w:p>
      <w:pPr>
        <w:pStyle w:val="Heading3"/>
        <w:spacing w:line="240" w:lineRule="auto" w:before="89"/>
        <w:ind w:left="113" w:right="0"/>
        <w:jc w:val="left"/>
        <w:rPr>
          <w:b w:val="0"/>
          <w:bCs w:val="0"/>
        </w:rPr>
      </w:pPr>
      <w:r>
        <w:rPr>
          <w:rFonts w:ascii="宋体" w:hAnsi="宋体" w:cs="宋体" w:eastAsia="宋体" w:hint="default"/>
        </w:rPr>
        <w:t>1</w:t>
      </w:r>
      <w:r>
        <w:rPr/>
        <w:t>）处置子公司</w:t>
      </w:r>
      <w:r>
        <w:rPr>
          <w:b w:val="0"/>
          <w:bCs w:val="0"/>
        </w:rPr>
      </w:r>
    </w:p>
    <w:p>
      <w:pPr>
        <w:spacing w:line="240" w:lineRule="auto" w:before="11"/>
        <w:rPr>
          <w:rFonts w:ascii="宋体" w:hAnsi="宋体" w:cs="宋体" w:eastAsia="宋体" w:hint="default"/>
          <w:b/>
          <w:bCs/>
          <w:sz w:val="15"/>
          <w:szCs w:val="15"/>
        </w:rPr>
      </w:pPr>
    </w:p>
    <w:p>
      <w:pPr>
        <w:spacing w:line="1560" w:lineRule="exact"/>
        <w:ind w:left="114" w:right="0" w:firstLine="0"/>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6010910" cy="9906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4" cstate="print"/>
                    <a:stretch>
                      <a:fillRect/>
                    </a:stretch>
                  </pic:blipFill>
                  <pic:spPr>
                    <a:xfrm>
                      <a:off x="0" y="0"/>
                      <a:ext cx="6010910" cy="990600"/>
                    </a:xfrm>
                    <a:prstGeom prst="rect">
                      <a:avLst/>
                    </a:prstGeom>
                  </pic:spPr>
                </pic:pic>
              </a:graphicData>
            </a:graphic>
          </wp:inline>
        </w:drawing>
      </w:r>
      <w:r>
        <w:rPr>
          <w:rFonts w:ascii="宋体" w:hAnsi="宋体" w:cs="宋体" w:eastAsia="宋体" w:hint="default"/>
          <w:position w:val="-30"/>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BodyText"/>
        <w:spacing w:line="316" w:lineRule="auto"/>
        <w:ind w:left="113" w:right="1129" w:firstLine="360"/>
        <w:jc w:val="both"/>
      </w:pP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19</w:t>
      </w:r>
      <w:r>
        <w:rPr/>
        <w:t>日子公司重庆华宇园林有限公司与湘乡市农之源农业科技有限公司签订股权转让协议，将子公司湘乡渝华 生态农业发展有限公司</w:t>
      </w:r>
      <w:r>
        <w:rPr>
          <w:rFonts w:ascii="宋体" w:hAnsi="宋体" w:cs="宋体" w:eastAsia="宋体" w:hint="default"/>
        </w:rPr>
        <w:t>100%</w:t>
      </w:r>
      <w:r>
        <w:rPr/>
        <w:t>股权以</w:t>
      </w:r>
      <w:r>
        <w:rPr>
          <w:rFonts w:ascii="宋体" w:hAnsi="宋体" w:cs="宋体" w:eastAsia="宋体" w:hint="default"/>
        </w:rPr>
        <w:t>1000</w:t>
      </w:r>
      <w:r>
        <w:rPr/>
        <w:t>万人民币的价格转让给湘乡市农之源农业科技有限公司，</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29</w:t>
      </w:r>
      <w:r>
        <w:rPr/>
        <w:t>日完成工商变</w:t>
      </w:r>
      <w:r>
        <w:rPr>
          <w:spacing w:val="-82"/>
        </w:rPr>
        <w:t> </w:t>
      </w:r>
      <w:r>
        <w:rPr>
          <w:spacing w:val="-82"/>
        </w:rPr>
      </w:r>
      <w:r>
        <w:rPr/>
        <w:t>更。</w:t>
      </w:r>
    </w:p>
    <w:p>
      <w:pPr>
        <w:pStyle w:val="Heading3"/>
        <w:spacing w:line="268" w:lineRule="exact"/>
        <w:ind w:left="430" w:right="0"/>
        <w:jc w:val="left"/>
        <w:rPr>
          <w:b w:val="0"/>
          <w:bCs w:val="0"/>
        </w:rPr>
      </w:pPr>
      <w:r>
        <w:rPr>
          <w:rFonts w:ascii="宋体" w:hAnsi="宋体" w:cs="宋体" w:eastAsia="宋体" w:hint="default"/>
        </w:rPr>
        <w:t>2</w:t>
      </w:r>
      <w:r>
        <w:rPr/>
        <w:t>）新设子公司</w:t>
      </w:r>
      <w:r>
        <w:rPr>
          <w:b w:val="0"/>
          <w:bCs w:val="0"/>
        </w:rPr>
      </w:r>
    </w:p>
    <w:p>
      <w:pPr>
        <w:pStyle w:val="BodyText"/>
        <w:spacing w:line="316" w:lineRule="auto" w:before="62"/>
        <w:ind w:left="113" w:right="1049" w:firstLine="360"/>
        <w:jc w:val="both"/>
      </w:pP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27</w:t>
      </w:r>
      <w:r>
        <w:rPr/>
        <w:t>日公司与自然人贺传虎共同设立烟台丽鹏投资有限公司，注册资本</w:t>
      </w:r>
      <w:r>
        <w:rPr>
          <w:rFonts w:ascii="宋体" w:hAnsi="宋体" w:cs="宋体" w:eastAsia="宋体" w:hint="default"/>
        </w:rPr>
        <w:t>2000</w:t>
      </w:r>
      <w:r>
        <w:rPr/>
        <w:t>万元人民币，公司占</w:t>
      </w:r>
      <w:r>
        <w:rPr>
          <w:rFonts w:ascii="宋体" w:hAnsi="宋体" w:cs="宋体" w:eastAsia="宋体" w:hint="default"/>
        </w:rPr>
        <w:t>51%</w:t>
      </w:r>
      <w:r>
        <w:rPr/>
        <w:t>股权比例， 自设立日起将其纳入合并报表范围。</w:t>
      </w:r>
    </w:p>
    <w:p>
      <w:pPr>
        <w:pStyle w:val="BodyText"/>
        <w:spacing w:line="316" w:lineRule="auto" w:before="59"/>
        <w:ind w:left="113" w:right="1139" w:firstLine="360"/>
        <w:jc w:val="both"/>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7</w:t>
      </w:r>
      <w:r>
        <w:rPr/>
        <w:t>日子公司重庆华宇园林有限公司设立重庆东飞凯格建筑景观设计咨询有限公司，注册资本</w:t>
      </w:r>
      <w:r>
        <w:rPr>
          <w:rFonts w:ascii="宋体" w:hAnsi="宋体" w:cs="宋体" w:eastAsia="宋体" w:hint="default"/>
        </w:rPr>
        <w:t>500</w:t>
      </w:r>
      <w:r>
        <w:rPr/>
        <w:t>万人民币，公 司占</w:t>
      </w:r>
      <w:r>
        <w:rPr>
          <w:rFonts w:ascii="宋体" w:hAnsi="宋体" w:cs="宋体" w:eastAsia="宋体" w:hint="default"/>
        </w:rPr>
        <w:t>65%</w:t>
      </w:r>
      <w:r>
        <w:rPr/>
        <w:t>股权比例，自设立日起将其纳入合并报表范围。</w:t>
      </w:r>
    </w:p>
    <w:p>
      <w:pPr>
        <w:pStyle w:val="BodyText"/>
        <w:spacing w:line="319" w:lineRule="auto" w:before="58"/>
        <w:ind w:left="113" w:right="1139" w:firstLine="360"/>
        <w:jc w:val="both"/>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14</w:t>
      </w:r>
      <w:r>
        <w:rPr/>
        <w:t>日子公司重庆华宇园林有限公司出资设立烟台聚融投资有限公司，注册资本</w:t>
      </w:r>
      <w:r>
        <w:rPr>
          <w:rFonts w:ascii="宋体" w:hAnsi="宋体" w:cs="宋体" w:eastAsia="宋体" w:hint="default"/>
        </w:rPr>
        <w:t>5000</w:t>
      </w:r>
      <w:r>
        <w:rPr/>
        <w:t>万元人民币，公司占</w:t>
      </w:r>
      <w:r>
        <w:rPr>
          <w:rFonts w:ascii="宋体" w:hAnsi="宋体" w:cs="宋体" w:eastAsia="宋体" w:hint="default"/>
        </w:rPr>
        <w:t>100% </w:t>
      </w:r>
      <w:r>
        <w:rPr/>
        <w:t>股权比例，自设立日起将其纳入合并报表范围。</w:t>
      </w:r>
    </w:p>
    <w:p>
      <w:pPr>
        <w:pStyle w:val="BodyText"/>
        <w:spacing w:line="240" w:lineRule="auto" w:before="55"/>
        <w:ind w:left="474" w:right="0"/>
        <w:jc w:val="left"/>
      </w:pP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15</w:t>
      </w:r>
      <w:r>
        <w:rPr/>
        <w:t>日公司子公司烟台丽鹏国际贸易有限公司设立烟台市鹏科能源有限公司，注册资本</w:t>
      </w:r>
      <w:r>
        <w:rPr>
          <w:rFonts w:ascii="宋体" w:hAnsi="宋体" w:cs="宋体" w:eastAsia="宋体" w:hint="default"/>
        </w:rPr>
        <w:t>50</w:t>
      </w:r>
      <w:r>
        <w:rPr/>
        <w:t>万元人民币，公司占</w:t>
      </w:r>
    </w:p>
    <w:p>
      <w:pPr>
        <w:pStyle w:val="BodyText"/>
        <w:spacing w:line="240" w:lineRule="auto" w:before="77"/>
        <w:ind w:left="113" w:right="0"/>
        <w:jc w:val="left"/>
      </w:pPr>
      <w:r>
        <w:rPr>
          <w:rFonts w:ascii="宋体" w:hAnsi="宋体" w:cs="宋体" w:eastAsia="宋体" w:hint="default"/>
        </w:rPr>
        <w:t>100%</w:t>
      </w:r>
      <w:r>
        <w:rPr/>
        <w:t>股权比例，自设立日起将其纳入合并报表范围。</w:t>
      </w:r>
    </w:p>
    <w:p>
      <w:pPr>
        <w:pStyle w:val="BodyText"/>
        <w:spacing w:line="319" w:lineRule="auto" w:before="115"/>
        <w:ind w:left="113" w:right="1139" w:firstLine="360"/>
        <w:jc w:val="both"/>
      </w:pP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31</w:t>
      </w:r>
      <w:r>
        <w:rPr/>
        <w:t>日公司与自然人兰坤共同出资设立深圳在乎传媒科技有限公司，注册资本</w:t>
      </w:r>
      <w:r>
        <w:rPr>
          <w:rFonts w:ascii="宋体" w:hAnsi="宋体" w:cs="宋体" w:eastAsia="宋体" w:hint="default"/>
        </w:rPr>
        <w:t>20000</w:t>
      </w:r>
      <w:r>
        <w:rPr/>
        <w:t>万元人民币，公司占</w:t>
      </w:r>
      <w:r>
        <w:rPr>
          <w:rFonts w:ascii="宋体" w:hAnsi="宋体" w:cs="宋体" w:eastAsia="宋体" w:hint="default"/>
        </w:rPr>
        <w:t>60%</w:t>
      </w:r>
      <w:r>
        <w:rPr/>
        <w:t>股 权比例，自设立日起将其纳入合并报表范围。</w:t>
      </w:r>
    </w:p>
    <w:p>
      <w:pPr>
        <w:pStyle w:val="BodyText"/>
        <w:spacing w:line="319" w:lineRule="auto" w:before="56"/>
        <w:ind w:right="1130" w:firstLine="360"/>
        <w:jc w:val="both"/>
      </w:pP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w:t>
      </w:r>
      <w:r>
        <w:rPr>
          <w:spacing w:val="-2"/>
        </w:rPr>
        <w:t>日子公司重庆华宇园林有限公司出资设立巴中华丰建设发展有限公司，注册资本</w:t>
      </w:r>
      <w:r>
        <w:rPr>
          <w:rFonts w:ascii="宋体" w:hAnsi="宋体" w:cs="宋体" w:eastAsia="宋体" w:hint="default"/>
          <w:spacing w:val="-2"/>
        </w:rPr>
        <w:t>1000</w:t>
      </w:r>
      <w:r>
        <w:rPr>
          <w:spacing w:val="-2"/>
        </w:rPr>
        <w:t>万人民币，公司占</w:t>
      </w:r>
      <w:r>
        <w:rPr>
          <w:rFonts w:ascii="宋体" w:hAnsi="宋体" w:cs="宋体" w:eastAsia="宋体" w:hint="default"/>
          <w:spacing w:val="-2"/>
        </w:rPr>
        <w:t>80%</w:t>
      </w:r>
      <w:r>
        <w:rPr>
          <w:rFonts w:ascii="宋体" w:hAnsi="宋体" w:cs="宋体" w:eastAsia="宋体" w:hint="default"/>
        </w:rPr>
        <w:t> </w:t>
      </w:r>
      <w:r>
        <w:rPr/>
        <w:t>股权比例，自设立日起将其纳入合并报表范围。</w:t>
      </w:r>
    </w:p>
    <w:p>
      <w:pPr>
        <w:spacing w:after="0" w:line="319"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240" w:lineRule="auto" w:before="44"/>
        <w:ind w:left="474" w:right="0"/>
        <w:jc w:val="left"/>
      </w:pP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17</w:t>
      </w:r>
      <w:r>
        <w:rPr/>
        <w:t>日子公司重庆华宇园林有限公司出资设立安顺华宇生态建设有限公司，注册资本</w:t>
      </w:r>
      <w:r>
        <w:rPr>
          <w:rFonts w:ascii="宋体" w:hAnsi="宋体" w:cs="宋体" w:eastAsia="宋体" w:hint="default"/>
        </w:rPr>
        <w:t>1000</w:t>
      </w:r>
      <w:r>
        <w:rPr/>
        <w:t>万人民币，公司占</w:t>
      </w:r>
    </w:p>
    <w:p>
      <w:pPr>
        <w:pStyle w:val="BodyText"/>
        <w:spacing w:line="240" w:lineRule="auto" w:before="77"/>
        <w:ind w:left="113" w:right="0"/>
        <w:jc w:val="left"/>
      </w:pPr>
      <w:r>
        <w:rPr>
          <w:rFonts w:ascii="宋体" w:hAnsi="宋体" w:cs="宋体" w:eastAsia="宋体" w:hint="default"/>
        </w:rPr>
        <w:t>100%</w:t>
      </w:r>
      <w:r>
        <w:rPr/>
        <w:t>股权比例，自设立日起将其纳入合并报表范围。</w:t>
      </w:r>
    </w:p>
    <w:p>
      <w:pPr>
        <w:pStyle w:val="BodyText"/>
        <w:spacing w:line="319" w:lineRule="auto" w:before="115"/>
        <w:ind w:right="0" w:firstLine="360"/>
        <w:jc w:val="left"/>
      </w:pP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日子公司重庆华宇园林有限公司的子公司烟台聚融投资有限公司设立重庆秉创新材料科技有限公司，注册</w:t>
      </w:r>
      <w:r>
        <w:rPr/>
        <w:t> 资本</w:t>
      </w:r>
      <w:r>
        <w:rPr>
          <w:rFonts w:ascii="宋体" w:hAnsi="宋体" w:cs="宋体" w:eastAsia="宋体" w:hint="default"/>
        </w:rPr>
        <w:t>100</w:t>
      </w:r>
      <w:r>
        <w:rPr/>
        <w:t>万人民币，公司占</w:t>
      </w:r>
      <w:r>
        <w:rPr>
          <w:rFonts w:ascii="宋体" w:hAnsi="宋体" w:cs="宋体" w:eastAsia="宋体" w:hint="default"/>
        </w:rPr>
        <w:t>100%</w:t>
      </w:r>
      <w:r>
        <w:rPr/>
        <w:t>股权比例，自设立日起将其纳入合并报表范围。</w:t>
      </w:r>
    </w:p>
    <w:p>
      <w:pPr>
        <w:spacing w:line="240" w:lineRule="auto" w:before="4"/>
        <w:rPr>
          <w:rFonts w:ascii="宋体" w:hAnsi="宋体" w:cs="宋体" w:eastAsia="宋体" w:hint="default"/>
          <w:sz w:val="22"/>
          <w:szCs w:val="22"/>
        </w:rPr>
      </w:pPr>
    </w:p>
    <w:p>
      <w:pPr>
        <w:pStyle w:val="Heading3"/>
        <w:spacing w:line="240" w:lineRule="auto"/>
        <w:ind w:left="113"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488,353,336.17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35.97%</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166,588,043.20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12.27%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125,429,253.27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79,644,136.11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62,228,078.95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54,463,824.64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488,353,336.17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35.97%</w:t>
            </w:r>
          </w:p>
        </w:tc>
      </w:tr>
    </w:tbl>
    <w:p>
      <w:pPr>
        <w:pStyle w:val="BodyText"/>
        <w:spacing w:line="240" w:lineRule="auto" w:before="51"/>
        <w:ind w:right="0"/>
        <w:jc w:val="left"/>
      </w:pPr>
      <w:r>
        <w:rPr/>
        <w:t>主要客户其他情况说明</w:t>
      </w:r>
    </w:p>
    <w:p>
      <w:pPr>
        <w:pStyle w:val="BodyText"/>
        <w:spacing w:line="357" w:lineRule="auto" w:before="117"/>
        <w:ind w:right="9132"/>
        <w:jc w:val="left"/>
      </w:pPr>
      <w:r>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192,551,468.84</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25.46%</w:t>
            </w:r>
          </w:p>
        </w:tc>
      </w:tr>
    </w:tbl>
    <w:p>
      <w:pPr>
        <w:pStyle w:val="BodyText"/>
        <w:spacing w:line="240" w:lineRule="auto" w:before="67"/>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65,389,988.67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8.65%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43,060,294.00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37,367,223.17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27,286,763.00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19,447,200.00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2.57%</w:t>
            </w:r>
          </w:p>
        </w:tc>
      </w:tr>
      <w:tr>
        <w:trPr>
          <w:trHeight w:val="40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192,551,468.84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25.46%</w:t>
            </w:r>
          </w:p>
        </w:tc>
      </w:tr>
    </w:tbl>
    <w:p>
      <w:pPr>
        <w:pStyle w:val="BodyText"/>
        <w:spacing w:line="240" w:lineRule="auto" w:before="51"/>
        <w:ind w:right="0"/>
        <w:jc w:val="left"/>
      </w:pPr>
      <w:r>
        <w:rPr/>
        <w:t>主要供应商其他情况说明</w:t>
      </w:r>
    </w:p>
    <w:p>
      <w:pPr>
        <w:pStyle w:val="BodyText"/>
        <w:spacing w:line="240" w:lineRule="auto" w:before="116"/>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9" w:right="0"/>
              <w:jc w:val="left"/>
              <w:rPr>
                <w:rFonts w:ascii="Times New Roman" w:hAnsi="Times New Roman" w:cs="Times New Roman" w:eastAsia="Times New Roman" w:hint="default"/>
                <w:sz w:val="18"/>
                <w:szCs w:val="18"/>
              </w:rPr>
            </w:pPr>
            <w:r>
              <w:rPr>
                <w:rFonts w:ascii="Times New Roman"/>
                <w:sz w:val="18"/>
              </w:rPr>
              <w:t>26,564,459.70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0" w:right="0"/>
              <w:jc w:val="left"/>
              <w:rPr>
                <w:rFonts w:ascii="Times New Roman" w:hAnsi="Times New Roman" w:cs="Times New Roman" w:eastAsia="Times New Roman" w:hint="default"/>
                <w:sz w:val="18"/>
                <w:szCs w:val="18"/>
              </w:rPr>
            </w:pPr>
            <w:r>
              <w:rPr>
                <w:rFonts w:ascii="Times New Roman"/>
                <w:sz w:val="18"/>
              </w:rPr>
              <w:t>25,751,167.52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93,140,662.92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57,025,411.01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年发生金额较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年发生金 额增加</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63.33%</w:t>
            </w:r>
            <w:r>
              <w:rPr>
                <w:rFonts w:ascii="宋体" w:hAnsi="宋体" w:cs="宋体" w:eastAsia="宋体" w:hint="default"/>
                <w:spacing w:val="-4"/>
                <w:sz w:val="18"/>
                <w:szCs w:val="18"/>
              </w:rPr>
              <w:t>，主要原因是重庆华</w:t>
            </w:r>
            <w:r>
              <w:rPr>
                <w:rFonts w:ascii="宋体" w:hAnsi="宋体" w:cs="宋体" w:eastAsia="宋体" w:hint="default"/>
                <w:sz w:val="18"/>
                <w:szCs w:val="18"/>
              </w:rPr>
              <w:t> 宇园林上期仅合并一个月，本期合 并整个会计年度所致。</w:t>
            </w:r>
          </w:p>
        </w:tc>
      </w:tr>
      <w:tr>
        <w:trPr>
          <w:trHeight w:val="133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-5,577,932.53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15,935,423.96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-135.00%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103"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年发生金额较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年发生金 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135.00%</w:t>
            </w:r>
            <w:r>
              <w:rPr>
                <w:rFonts w:ascii="宋体" w:hAnsi="宋体" w:cs="宋体" w:eastAsia="宋体" w:hint="default"/>
                <w:sz w:val="18"/>
                <w:szCs w:val="18"/>
              </w:rPr>
              <w:t>，主要原因是重庆 华宇园林长期应收款利息收入增加 较多所致。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338" w:lineRule="auto" w:before="116"/>
        <w:ind w:right="1084"/>
        <w:jc w:val="left"/>
      </w:pPr>
      <w:r>
        <w:rPr/>
        <w:t>丽鹏股份历来注重研发创新，</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年度，公司（包含子公司）共获得发明专利</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项，实用新型专利</w:t>
      </w:r>
      <w:r>
        <w:rPr>
          <w:spacing w:val="-46"/>
        </w:rPr>
        <w:t> </w:t>
      </w:r>
      <w:r>
        <w:rPr>
          <w:rFonts w:ascii="Times New Roman" w:hAnsi="Times New Roman" w:cs="Times New Roman" w:eastAsia="Times New Roman" w:hint="default"/>
        </w:rPr>
        <w:t>39</w:t>
      </w:r>
      <w:r>
        <w:rPr>
          <w:rFonts w:ascii="Times New Roman" w:hAnsi="Times New Roman" w:cs="Times New Roman" w:eastAsia="Times New Roman" w:hint="default"/>
          <w:spacing w:val="-1"/>
        </w:rPr>
        <w:t> </w:t>
      </w:r>
      <w:r>
        <w:rPr/>
        <w:t>项，外观专利</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项。 公司研发投入情况</w:t>
      </w: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119.05%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38,967,375.23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14,483,323.71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169.05%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57" w:lineRule="auto" w:before="117"/>
        <w:ind w:right="6792"/>
        <w:jc w:val="left"/>
      </w:pPr>
      <w:r>
        <w:rPr/>
        <w:t>□ 适用 √ 不适用 研发投入资本化率大幅变动的原因及其合理性说明</w:t>
      </w:r>
    </w:p>
    <w:p>
      <w:pPr>
        <w:pStyle w:val="BodyText"/>
        <w:spacing w:line="360" w:lineRule="auto" w:before="28"/>
        <w:ind w:right="9222"/>
        <w:jc w:val="left"/>
      </w:pPr>
      <w:r>
        <w:rPr/>
        <w:t>□ 适用 √ 不适用 近两年专利数情况</w:t>
      </w:r>
    </w:p>
    <w:p>
      <w:pPr>
        <w:pStyle w:val="BodyText"/>
        <w:spacing w:line="240" w:lineRule="auto" w:before="26"/>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20"/>
        <w:gridCol w:w="2102"/>
        <w:gridCol w:w="2225"/>
        <w:gridCol w:w="2023"/>
      </w:tblGrid>
      <w:tr>
        <w:trPr>
          <w:trHeight w:val="401"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4"/>
              <w:jc w:val="righ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2"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21</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39</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w:t>
            </w:r>
          </w:p>
        </w:tc>
        <w:tc>
          <w:tcPr>
            <w:tcW w:w="6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footerReference w:type="default" r:id="rId15"/>
          <w:pgSz w:w="11910" w:h="16840"/>
          <w:pgMar w:footer="1019" w:header="907" w:top="1100" w:bottom="1200" w:left="1020" w:right="0"/>
          <w:pgNumType w:start="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219"/>
        <w:gridCol w:w="6351"/>
      </w:tblGrid>
      <w:tr>
        <w:trPr>
          <w:trHeight w:val="362"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变动情况</w:t>
            </w:r>
          </w:p>
        </w:tc>
        <w:tc>
          <w:tcPr>
            <w:tcW w:w="63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852,260,183.93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836,896,817.33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1,137,126,118.16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738,904,905.44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53.89%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-284,865,934.23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97,991,911.89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-390.70%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34,606,997.48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14,529,573.57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138.18%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114,737,628.50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337,767,103.23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-66.03%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-80,130,631.02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-323,237,529.66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75.21%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999,100,000.00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573,810,651.42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74.12%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645,160,706.05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373,994,536.48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72.51%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353,939,293.95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199,816,114.94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77.13%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-7,593,844.58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-24,907,919.69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69.51%</w:t>
            </w:r>
          </w:p>
        </w:tc>
      </w:tr>
    </w:tbl>
    <w:p>
      <w:pPr>
        <w:pStyle w:val="BodyText"/>
        <w:spacing w:line="240" w:lineRule="auto" w:before="51"/>
        <w:ind w:right="0"/>
        <w:jc w:val="left"/>
      </w:pPr>
      <w:r>
        <w:rPr/>
        <w:t>相关数据同比发生重大变动的主要影响因素说明</w:t>
      </w:r>
    </w:p>
    <w:p>
      <w:pPr>
        <w:pStyle w:val="BodyText"/>
        <w:spacing w:line="240" w:lineRule="auto" w:before="116"/>
        <w:ind w:right="0"/>
        <w:jc w:val="left"/>
      </w:pPr>
      <w:r>
        <w:rPr/>
        <w:t>√ 适用 □ 不适用</w:t>
      </w:r>
    </w:p>
    <w:p>
      <w:pPr>
        <w:pStyle w:val="BodyText"/>
        <w:spacing w:line="240" w:lineRule="auto" w:before="116"/>
        <w:ind w:right="0"/>
        <w:jc w:val="left"/>
      </w:pPr>
      <w:r>
        <w:rPr/>
        <w:t>（</w:t>
      </w:r>
      <w:r>
        <w:rPr>
          <w:rFonts w:ascii="宋体" w:hAnsi="宋体" w:cs="宋体" w:eastAsia="宋体" w:hint="default"/>
        </w:rPr>
        <w:t>1</w:t>
      </w:r>
      <w:r>
        <w:rPr/>
        <w:t>）经营活动产生的现金流量净额较去年减少</w:t>
      </w:r>
      <w:r>
        <w:rPr>
          <w:rFonts w:ascii="宋体" w:hAnsi="宋体" w:cs="宋体" w:eastAsia="宋体" w:hint="default"/>
        </w:rPr>
        <w:t>390.7%</w:t>
      </w:r>
      <w:r>
        <w:rPr/>
        <w:t>，主要原因是公司园林业务支付的进度款和保证金较多所致。</w:t>
      </w:r>
    </w:p>
    <w:p>
      <w:pPr>
        <w:pStyle w:val="BodyText"/>
        <w:spacing w:line="240" w:lineRule="auto" w:before="76"/>
        <w:ind w:left="113" w:right="0"/>
        <w:jc w:val="left"/>
      </w:pPr>
      <w:r>
        <w:rPr/>
        <w:t>（</w:t>
      </w:r>
      <w:r>
        <w:rPr>
          <w:rFonts w:ascii="宋体" w:hAnsi="宋体" w:cs="宋体" w:eastAsia="宋体" w:hint="default"/>
        </w:rPr>
        <w:t>2</w:t>
      </w:r>
      <w:r>
        <w:rPr/>
        <w:t>）投资活动产生的现金流量净额与比去年增加</w:t>
      </w:r>
      <w:r>
        <w:rPr>
          <w:rFonts w:ascii="宋体" w:hAnsi="宋体" w:cs="宋体" w:eastAsia="宋体" w:hint="default"/>
        </w:rPr>
        <w:t>75.21%</w:t>
      </w:r>
      <w:r>
        <w:rPr/>
        <w:t>，主要原因是去年公司收购重庆华宇园林支付股权转让款较多所致。</w:t>
      </w:r>
    </w:p>
    <w:p>
      <w:pPr>
        <w:pStyle w:val="BodyText"/>
        <w:spacing w:line="240" w:lineRule="auto" w:before="76"/>
        <w:ind w:right="0"/>
        <w:jc w:val="left"/>
      </w:pPr>
      <w:r>
        <w:rPr/>
        <w:t>（</w:t>
      </w:r>
      <w:r>
        <w:rPr>
          <w:rFonts w:ascii="宋体" w:hAnsi="宋体" w:cs="宋体" w:eastAsia="宋体" w:hint="default"/>
        </w:rPr>
        <w:t>3</w:t>
      </w:r>
      <w:r>
        <w:rPr/>
        <w:t>）筹资活动产生的现金流量净额较去年增加</w:t>
      </w:r>
      <w:r>
        <w:rPr>
          <w:rFonts w:ascii="宋体" w:hAnsi="宋体" w:cs="宋体" w:eastAsia="宋体" w:hint="default"/>
        </w:rPr>
        <w:t>77.13%</w:t>
      </w:r>
      <w:r>
        <w:rPr/>
        <w:t>，主要原因是公司为生产经营需要短期银行借款增加较多所致。</w:t>
      </w:r>
    </w:p>
    <w:p>
      <w:pPr>
        <w:pStyle w:val="BodyText"/>
        <w:spacing w:line="240" w:lineRule="auto" w:before="76"/>
        <w:ind w:left="113" w:right="0"/>
        <w:jc w:val="left"/>
      </w:pPr>
      <w:r>
        <w:rPr/>
        <w:t>（</w:t>
      </w:r>
      <w:r>
        <w:rPr>
          <w:rFonts w:ascii="宋体" w:hAnsi="宋体" w:cs="宋体" w:eastAsia="宋体" w:hint="default"/>
        </w:rPr>
        <w:t>4</w:t>
      </w:r>
      <w:r>
        <w:rPr/>
        <w:t>）现金及现金等价物净增加额较去年增加</w:t>
      </w:r>
      <w:r>
        <w:rPr>
          <w:rFonts w:ascii="宋体" w:hAnsi="宋体" w:cs="宋体" w:eastAsia="宋体" w:hint="default"/>
        </w:rPr>
        <w:t>69.51%</w:t>
      </w:r>
      <w:r>
        <w:rPr/>
        <w:t>，主要原因是公司银行借款增加较多所致。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left="113" w:right="0"/>
        <w:jc w:val="left"/>
      </w:pPr>
      <w:r>
        <w:rPr/>
        <w:t>报告期内公司经营活动产生的现金净流量与本年度净利润存在重大差异的原因说明</w:t>
      </w:r>
    </w:p>
    <w:p>
      <w:pPr>
        <w:pStyle w:val="BodyText"/>
        <w:spacing w:line="338" w:lineRule="auto" w:before="116"/>
        <w:ind w:right="0"/>
        <w:jc w:val="left"/>
      </w:pPr>
      <w:r>
        <w:rPr/>
        <w:t>√ 适用 □ 不适用 </w:t>
      </w:r>
      <w:r>
        <w:rPr>
          <w:spacing w:val="-2"/>
        </w:rPr>
        <w:t>报告期内公司经营活动产生的现金净流量与本年度净利润存在较大差异的主要原因是公司园林绿化业务具有前期垫支，分期</w:t>
      </w:r>
      <w:r>
        <w:rPr>
          <w:spacing w:val="-64"/>
        </w:rPr>
        <w:t> </w:t>
      </w:r>
      <w:r>
        <w:rPr>
          <w:spacing w:val="-64"/>
        </w:rPr>
      </w:r>
      <w:r>
        <w:rPr/>
        <w:t>结算、货款回收期限长的特点，符合园林行业特征。</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67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6,764,749.29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46" w:right="0"/>
              <w:jc w:val="left"/>
              <w:rPr>
                <w:rFonts w:ascii="Times New Roman" w:hAnsi="Times New Roman" w:cs="Times New Roman" w:eastAsia="Times New Roman" w:hint="default"/>
                <w:sz w:val="18"/>
                <w:szCs w:val="18"/>
              </w:rPr>
            </w:pPr>
            <w:r>
              <w:rPr>
                <w:rFonts w:ascii="Times New Roman"/>
                <w:sz w:val="18"/>
              </w:rPr>
              <w:t>4.78%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9"/>
              <w:jc w:val="left"/>
              <w:rPr>
                <w:rFonts w:ascii="宋体" w:hAnsi="宋体" w:cs="宋体" w:eastAsia="宋体" w:hint="default"/>
                <w:sz w:val="18"/>
                <w:szCs w:val="18"/>
              </w:rPr>
            </w:pPr>
            <w:r>
              <w:rPr>
                <w:rFonts w:ascii="宋体" w:hAnsi="宋体" w:cs="宋体" w:eastAsia="宋体" w:hint="default"/>
                <w:sz w:val="18"/>
                <w:szCs w:val="18"/>
              </w:rPr>
              <w:t>处置长期股权投资和可供 出售金融资产在持有期间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36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产生的投资收益</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8"/>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433,202.24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0.31%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9"/>
              <w:jc w:val="left"/>
              <w:rPr>
                <w:rFonts w:ascii="宋体" w:hAnsi="宋体" w:cs="宋体" w:eastAsia="宋体" w:hint="default"/>
                <w:sz w:val="18"/>
                <w:szCs w:val="18"/>
              </w:rPr>
            </w:pPr>
            <w:r>
              <w:rPr>
                <w:rFonts w:ascii="宋体" w:hAnsi="宋体" w:cs="宋体" w:eastAsia="宋体" w:hint="default"/>
                <w:sz w:val="18"/>
                <w:szCs w:val="18"/>
              </w:rPr>
              <w:t>控股子公司以公允价值计 量的金融资产的变动</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20,609,267.68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14.58%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9"/>
              <w:jc w:val="left"/>
              <w:rPr>
                <w:rFonts w:ascii="宋体" w:hAnsi="宋体" w:cs="宋体" w:eastAsia="宋体" w:hint="default"/>
                <w:sz w:val="18"/>
                <w:szCs w:val="18"/>
              </w:rPr>
            </w:pPr>
            <w:r>
              <w:rPr>
                <w:rFonts w:ascii="宋体" w:hAnsi="宋体" w:cs="宋体" w:eastAsia="宋体" w:hint="default"/>
                <w:sz w:val="18"/>
                <w:szCs w:val="18"/>
              </w:rPr>
              <w:t>应收账款计提的坏账准备 变动</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5,975,625.38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4.23%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主要是政府补助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1,354,659.99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0.96%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9"/>
              <w:jc w:val="left"/>
              <w:rPr>
                <w:rFonts w:ascii="宋体" w:hAnsi="宋体" w:cs="宋体" w:eastAsia="宋体" w:hint="default"/>
                <w:sz w:val="18"/>
                <w:szCs w:val="18"/>
              </w:rPr>
            </w:pPr>
            <w:r>
              <w:rPr>
                <w:rFonts w:ascii="宋体" w:hAnsi="宋体" w:cs="宋体" w:eastAsia="宋体" w:hint="default"/>
                <w:sz w:val="18"/>
                <w:szCs w:val="18"/>
              </w:rPr>
              <w:t>主要是捐赠支出和处置部 分固定资产损失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271,887,707.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183,865,705.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年期末金额较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年期末金 额增加</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47.87%</w:t>
            </w:r>
            <w:r>
              <w:rPr>
                <w:rFonts w:ascii="宋体" w:hAnsi="宋体" w:cs="宋体" w:eastAsia="宋体" w:hint="default"/>
                <w:spacing w:val="-4"/>
                <w:sz w:val="18"/>
                <w:szCs w:val="18"/>
              </w:rPr>
              <w:t>，主要原因是本期短</w:t>
            </w:r>
            <w:r>
              <w:rPr>
                <w:rFonts w:ascii="宋体" w:hAnsi="宋体" w:cs="宋体" w:eastAsia="宋体" w:hint="default"/>
                <w:sz w:val="18"/>
                <w:szCs w:val="18"/>
              </w:rPr>
              <w:t> 期借款融资增加较多所致。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397,856,751.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415,520,964.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797,269,193.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744,985,280.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3,694,662.00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270,377.08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2" w:right="105"/>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年期末金额较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年期末金 额增加较多，主要原因是房屋建筑 物对外出租所致。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737,436,682.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750,724,317.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5,411,570.00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13,045,449.5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年期末金额较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年期末金 额减少</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58.52%</w:t>
            </w:r>
            <w:r>
              <w:rPr>
                <w:rFonts w:ascii="宋体" w:hAnsi="宋体" w:cs="宋体" w:eastAsia="宋体" w:hint="default"/>
                <w:spacing w:val="-4"/>
                <w:sz w:val="18"/>
                <w:szCs w:val="18"/>
              </w:rPr>
              <w:t>，主要原因是在建工</w:t>
            </w:r>
            <w:r>
              <w:rPr>
                <w:rFonts w:ascii="宋体" w:hAnsi="宋体" w:cs="宋体" w:eastAsia="宋体" w:hint="default"/>
                <w:sz w:val="18"/>
                <w:szCs w:val="18"/>
              </w:rPr>
              <w:t> 程完工转资所致。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759,100,000.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377,500,000.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2" w:right="13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年期末金额较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年期末金 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101.09%</w:t>
            </w:r>
            <w:r>
              <w:rPr>
                <w:rFonts w:ascii="宋体" w:hAnsi="宋体" w:cs="宋体" w:eastAsia="宋体" w:hint="default"/>
                <w:sz w:val="18"/>
                <w:szCs w:val="18"/>
              </w:rPr>
              <w:t>，主要原因是短期 借款融资增加较多所致。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5,580,000.00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33,580,000.0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20"/>
        <w:gridCol w:w="1213"/>
        <w:gridCol w:w="1213"/>
        <w:gridCol w:w="1212"/>
        <w:gridCol w:w="1213"/>
        <w:gridCol w:w="1214"/>
        <w:gridCol w:w="1213"/>
        <w:gridCol w:w="1073"/>
      </w:tblGrid>
      <w:tr>
        <w:trPr>
          <w:trHeight w:val="102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23"/>
              <w:jc w:val="righ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1" w:right="15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0" w:right="150"/>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1" w:right="150"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1" w:right="150"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1" w:right="150"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4"/>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27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 值计量且其 变动计入当 期损益的金 </w:t>
            </w:r>
            <w:r>
              <w:rPr>
                <w:rFonts w:ascii="宋体" w:hAnsi="宋体" w:cs="宋体" w:eastAsia="宋体" w:hint="default"/>
                <w:spacing w:val="-13"/>
                <w:sz w:val="18"/>
                <w:szCs w:val="18"/>
              </w:rPr>
              <w:t>融资产（不含</w:t>
            </w:r>
            <w:r>
              <w:rPr>
                <w:rFonts w:ascii="宋体" w:hAnsi="宋体" w:cs="宋体" w:eastAsia="宋体" w:hint="default"/>
                <w:sz w:val="18"/>
                <w:szCs w:val="18"/>
              </w:rPr>
              <w:t> 衍生金融资 产）</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433,202.24</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2,989,647.76</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3,422,850.0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4"/>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433,202.24</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2,989,647.76</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3,422,850.0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4"/>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right="0"/>
        <w:jc w:val="left"/>
      </w:pPr>
      <w:r>
        <w:rPr/>
        <w:t>□ 是 √ 否</w:t>
      </w:r>
    </w:p>
    <w:p>
      <w:pPr>
        <w:spacing w:line="240" w:lineRule="auto" w:before="0"/>
        <w:rPr>
          <w:rFonts w:ascii="宋体" w:hAnsi="宋体" w:cs="宋体" w:eastAsia="宋体" w:hint="default"/>
          <w:sz w:val="25"/>
          <w:szCs w:val="25"/>
        </w:rPr>
      </w:pPr>
    </w:p>
    <w:p>
      <w:pPr>
        <w:pStyle w:val="Heading2"/>
        <w:spacing w:line="240" w:lineRule="auto"/>
        <w:ind w:left="113"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8"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2" w:right="170"/>
              <w:jc w:val="left"/>
              <w:rPr>
                <w:rFonts w:ascii="宋体" w:hAnsi="宋体" w:cs="宋体" w:eastAsia="宋体" w:hint="default"/>
                <w:sz w:val="18"/>
                <w:szCs w:val="18"/>
              </w:rPr>
            </w:pPr>
            <w:r>
              <w:rPr>
                <w:rFonts w:ascii="宋体" w:hAnsi="宋体" w:cs="宋体" w:eastAsia="宋体" w:hint="default"/>
                <w:sz w:val="18"/>
                <w:szCs w:val="18"/>
              </w:rPr>
              <w:t>初始投 资成本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8" w:right="179"/>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4" w:right="135"/>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1" w:right="140"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2" w:right="110"/>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3" w:right="112" w:hanging="181"/>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left"/>
              <w:rPr>
                <w:rFonts w:ascii="Times New Roman" w:hAnsi="Times New Roman" w:cs="Times New Roman" w:eastAsia="Times New Roman" w:hint="default"/>
                <w:sz w:val="18"/>
                <w:szCs w:val="18"/>
              </w:rPr>
            </w:pPr>
            <w:r>
              <w:rPr>
                <w:rFonts w:ascii="Times New Roman"/>
                <w:sz w:val="18"/>
              </w:rPr>
              <w:t>2,989,64</w:t>
            </w:r>
          </w:p>
          <w:p>
            <w:pPr>
              <w:pStyle w:val="TableParagraph"/>
              <w:spacing w:line="240" w:lineRule="auto" w:before="106"/>
              <w:ind w:left="467" w:right="0"/>
              <w:jc w:val="left"/>
              <w:rPr>
                <w:rFonts w:ascii="Times New Roman" w:hAnsi="Times New Roman" w:cs="Times New Roman" w:eastAsia="Times New Roman" w:hint="default"/>
                <w:sz w:val="18"/>
                <w:szCs w:val="18"/>
              </w:rPr>
            </w:pPr>
            <w:r>
              <w:rPr>
                <w:rFonts w:ascii="Times New Roman"/>
                <w:sz w:val="18"/>
              </w:rPr>
              <w:t>7.76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433,202.24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433,202.24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2,989,647.76</w:t>
            </w: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3,422,850</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left"/>
              <w:rPr>
                <w:rFonts w:ascii="Times New Roman" w:hAnsi="Times New Roman" w:cs="Times New Roman" w:eastAsia="Times New Roman" w:hint="default"/>
                <w:sz w:val="18"/>
                <w:szCs w:val="18"/>
              </w:rPr>
            </w:pPr>
            <w:r>
              <w:rPr>
                <w:rFonts w:ascii="Times New Roman"/>
                <w:sz w:val="18"/>
              </w:rPr>
              <w:t>2,989,64</w:t>
            </w:r>
          </w:p>
          <w:p>
            <w:pPr>
              <w:pStyle w:val="TableParagraph"/>
              <w:spacing w:line="240" w:lineRule="auto" w:before="106"/>
              <w:ind w:left="467" w:right="0"/>
              <w:jc w:val="left"/>
              <w:rPr>
                <w:rFonts w:ascii="Times New Roman" w:hAnsi="Times New Roman" w:cs="Times New Roman" w:eastAsia="Times New Roman" w:hint="default"/>
                <w:sz w:val="18"/>
                <w:szCs w:val="18"/>
              </w:rPr>
            </w:pPr>
            <w:r>
              <w:rPr>
                <w:rFonts w:ascii="Times New Roman"/>
                <w:sz w:val="18"/>
              </w:rPr>
              <w:t>7.76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433,202.24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433,202.24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2,989,647.76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3,422,850</w:t>
            </w:r>
          </w:p>
          <w:p>
            <w:pPr>
              <w:pStyle w:val="TableParagraph"/>
              <w:spacing w:line="240" w:lineRule="auto" w:before="106"/>
              <w:ind w:left="619"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650"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8"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5" w:right="155"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63" w:right="162"/>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0"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9"/>
              <w:jc w:val="both"/>
              <w:rPr>
                <w:rFonts w:ascii="宋体" w:hAnsi="宋体" w:cs="宋体" w:eastAsia="宋体" w:hint="default"/>
                <w:sz w:val="18"/>
                <w:szCs w:val="18"/>
              </w:rPr>
            </w:pPr>
            <w:r>
              <w:rPr>
                <w:rFonts w:ascii="宋体" w:hAnsi="宋体" w:cs="宋体" w:eastAsia="宋体" w:hint="default"/>
                <w:sz w:val="18"/>
                <w:szCs w:val="18"/>
              </w:rPr>
              <w:t>非公开 发行股 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25,279.9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706.48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21,432.6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3,847.33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永久性 补充流 动资金</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09"/>
              <w:jc w:val="left"/>
              <w:rPr>
                <w:rFonts w:ascii="宋体" w:hAnsi="宋体" w:cs="宋体" w:eastAsia="宋体" w:hint="default"/>
                <w:sz w:val="18"/>
                <w:szCs w:val="18"/>
              </w:rPr>
            </w:pPr>
            <w:r>
              <w:rPr>
                <w:rFonts w:ascii="宋体" w:hAnsi="宋体" w:cs="宋体" w:eastAsia="宋体" w:hint="default"/>
                <w:sz w:val="18"/>
                <w:szCs w:val="18"/>
              </w:rPr>
              <w:t>定向发 行股份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26,742.8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6,710.02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26,730.5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暂存专 户待支 付</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52,022.8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7,416.5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48,163.1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3,859.66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年度募集资金存放与实际使用情况：公司审计机构山东和信会计师事务所（特殊普通合伙）出具了</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w:t>
            </w:r>
          </w:p>
          <w:p>
            <w:pPr>
              <w:pStyle w:val="TableParagraph"/>
              <w:spacing w:line="319" w:lineRule="auto" w:before="63"/>
              <w:ind w:left="103" w:right="102"/>
              <w:jc w:val="left"/>
              <w:rPr>
                <w:rFonts w:ascii="宋体" w:hAnsi="宋体" w:cs="宋体" w:eastAsia="宋体" w:hint="default"/>
                <w:sz w:val="18"/>
                <w:szCs w:val="18"/>
              </w:rPr>
            </w:pPr>
            <w:r>
              <w:rPr>
                <w:rFonts w:ascii="宋体" w:hAnsi="宋体" w:cs="宋体" w:eastAsia="宋体" w:hint="default"/>
                <w:spacing w:val="-1"/>
                <w:sz w:val="18"/>
                <w:szCs w:val="18"/>
              </w:rPr>
              <w:t>《山东丽鹏股份有限公司募集资金年度存放与实际使用情况的鉴证报告》，公司董事会出具了《关于公司募集资金存放</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与实际使用情况的专项报告》，具体内容请见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日公司刊登于巨潮资讯网上的相关公告。</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429" w:right="15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4" w:right="113"/>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5" w:right="113"/>
              <w:jc w:val="both"/>
              <w:rPr>
                <w:rFonts w:ascii="宋体" w:hAnsi="宋体" w:cs="宋体" w:eastAsia="宋体" w:hint="default"/>
                <w:sz w:val="18"/>
                <w:szCs w:val="18"/>
              </w:rPr>
            </w:pPr>
            <w:r>
              <w:rPr>
                <w:rFonts w:ascii="宋体" w:hAnsi="宋体" w:cs="宋体" w:eastAsia="宋体" w:hint="default"/>
                <w:sz w:val="18"/>
                <w:szCs w:val="18"/>
              </w:rPr>
              <w:t>募集资 金承诺 投资总</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3"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5" w:right="113"/>
              <w:jc w:val="both"/>
              <w:rPr>
                <w:rFonts w:ascii="宋体" w:hAnsi="宋体" w:cs="宋体" w:eastAsia="宋体" w:hint="default"/>
                <w:sz w:val="18"/>
                <w:szCs w:val="18"/>
              </w:rPr>
            </w:pPr>
            <w:r>
              <w:rPr>
                <w:rFonts w:ascii="宋体" w:hAnsi="宋体" w:cs="宋体" w:eastAsia="宋体" w:hint="default"/>
                <w:sz w:val="18"/>
                <w:szCs w:val="18"/>
              </w:rPr>
              <w:t>截至期 末累计 投入金</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5" w:right="113"/>
              <w:jc w:val="both"/>
              <w:rPr>
                <w:rFonts w:ascii="宋体" w:hAnsi="宋体" w:cs="宋体" w:eastAsia="宋体" w:hint="default"/>
                <w:sz w:val="18"/>
                <w:szCs w:val="18"/>
              </w:rPr>
            </w:pPr>
            <w:r>
              <w:rPr>
                <w:rFonts w:ascii="宋体" w:hAnsi="宋体" w:cs="宋体" w:eastAsia="宋体" w:hint="default"/>
                <w:sz w:val="18"/>
                <w:szCs w:val="18"/>
              </w:rPr>
              <w:t>截至期 末投资 进度</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5" w:right="113"/>
              <w:jc w:val="both"/>
              <w:rPr>
                <w:rFonts w:ascii="宋体" w:hAnsi="宋体" w:cs="宋体" w:eastAsia="宋体" w:hint="default"/>
                <w:sz w:val="18"/>
                <w:szCs w:val="18"/>
              </w:rPr>
            </w:pPr>
            <w:r>
              <w:rPr>
                <w:rFonts w:ascii="宋体" w:hAnsi="宋体" w:cs="宋体" w:eastAsia="宋体" w:hint="default"/>
                <w:sz w:val="18"/>
                <w:szCs w:val="18"/>
              </w:rPr>
              <w:t>项目达 到预定 可使用</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5" w:right="113"/>
              <w:jc w:val="both"/>
              <w:rPr>
                <w:rFonts w:ascii="宋体" w:hAnsi="宋体" w:cs="宋体" w:eastAsia="宋体" w:hint="default"/>
                <w:sz w:val="18"/>
                <w:szCs w:val="18"/>
              </w:rPr>
            </w:pPr>
            <w:r>
              <w:rPr>
                <w:rFonts w:ascii="宋体" w:hAnsi="宋体" w:cs="宋体" w:eastAsia="宋体" w:hint="default"/>
                <w:sz w:val="18"/>
                <w:szCs w:val="18"/>
              </w:rPr>
              <w:t>项目可 行性是 否发生</w:t>
            </w:r>
          </w:p>
        </w:tc>
      </w:tr>
    </w:tbl>
    <w:p>
      <w:pPr>
        <w:spacing w:after="0" w:line="316" w:lineRule="auto"/>
        <w:jc w:val="both"/>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64" w:right="113" w:hanging="150"/>
              <w:jc w:val="left"/>
              <w:rPr>
                <w:rFonts w:ascii="Times New Roman" w:hAnsi="Times New Roman" w:cs="Times New Roman" w:eastAsia="Times New Roman" w:hint="default"/>
                <w:sz w:val="18"/>
                <w:szCs w:val="18"/>
              </w:rPr>
            </w:pPr>
            <w:r>
              <w:rPr>
                <w:rFonts w:ascii="宋体" w:hAnsi="宋体" w:cs="宋体" w:eastAsia="宋体" w:hint="default"/>
                <w:sz w:val="18"/>
                <w:szCs w:val="18"/>
              </w:rPr>
              <w:t>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10"/>
              <w:ind w:left="150" w:right="148" w:firstLine="3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5" w:right="113" w:hanging="180"/>
              <w:jc w:val="left"/>
              <w:rPr>
                <w:rFonts w:ascii="宋体" w:hAnsi="宋体" w:cs="宋体" w:eastAsia="宋体" w:hint="default"/>
                <w:sz w:val="18"/>
                <w:szCs w:val="18"/>
              </w:rPr>
            </w:pPr>
            <w:r>
              <w:rPr>
                <w:rFonts w:ascii="宋体" w:hAnsi="宋体" w:cs="宋体" w:eastAsia="宋体" w:hint="default"/>
                <w:sz w:val="18"/>
                <w:szCs w:val="18"/>
              </w:rPr>
              <w:t>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5" w:right="113" w:hanging="180"/>
              <w:jc w:val="left"/>
              <w:rPr>
                <w:rFonts w:ascii="宋体" w:hAnsi="宋体" w:cs="宋体" w:eastAsia="宋体" w:hint="default"/>
                <w:sz w:val="18"/>
                <w:szCs w:val="18"/>
              </w:rPr>
            </w:pPr>
            <w:r>
              <w:rPr>
                <w:rFonts w:ascii="宋体" w:hAnsi="宋体" w:cs="宋体" w:eastAsia="宋体" w:hint="default"/>
                <w:sz w:val="18"/>
                <w:szCs w:val="18"/>
              </w:rPr>
              <w:t>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亳州丽鹏制盖有限 公司高档组合式防 伪瓶盖技术改造项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0" w:right="0"/>
              <w:jc w:val="center"/>
              <w:rPr>
                <w:rFonts w:ascii="Times New Roman" w:hAnsi="Times New Roman" w:cs="Times New Roman" w:eastAsia="Times New Roman" w:hint="default"/>
                <w:sz w:val="18"/>
                <w:szCs w:val="18"/>
              </w:rPr>
            </w:pPr>
            <w:r>
              <w:rPr>
                <w:rFonts w:ascii="Times New Roman"/>
                <w:sz w:val="18"/>
              </w:rPr>
              <w:t>12,000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0" w:right="0"/>
              <w:jc w:val="center"/>
              <w:rPr>
                <w:rFonts w:ascii="Times New Roman" w:hAnsi="Times New Roman" w:cs="Times New Roman" w:eastAsia="Times New Roman" w:hint="default"/>
                <w:sz w:val="18"/>
                <w:szCs w:val="18"/>
              </w:rPr>
            </w:pPr>
            <w:r>
              <w:rPr>
                <w:rFonts w:ascii="Times New Roman"/>
                <w:sz w:val="18"/>
              </w:rPr>
              <w:t>12,000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680.58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9,946.7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 w:right="0"/>
              <w:jc w:val="center"/>
              <w:rPr>
                <w:rFonts w:ascii="Times New Roman" w:hAnsi="Times New Roman" w:cs="Times New Roman" w:eastAsia="Times New Roman" w:hint="default"/>
                <w:sz w:val="18"/>
                <w:szCs w:val="18"/>
              </w:rPr>
            </w:pPr>
            <w:r>
              <w:rPr>
                <w:rFonts w:ascii="Times New Roman"/>
                <w:sz w:val="18"/>
              </w:rPr>
              <w:t>82.89%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-226.68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瓶盖厂新增年产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亿只组合式防伪瓶 盖生产线建设项目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7,280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7,280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7,287.6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模具制造生产线扩 建项目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6,000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4,198.3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69.97%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发行股份及支付现 金购买资产并募集 配套资金项目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26,742.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26,742.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6,710.0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26,730.</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99.95%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52,022.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52,022.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7,416.5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48,163.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17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-224.51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52,022.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52,022.</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84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7,416.5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48,163.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17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-224.51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
              <w:jc w:val="left"/>
              <w:rPr>
                <w:rFonts w:ascii="宋体" w:hAnsi="宋体" w:cs="宋体" w:eastAsia="宋体" w:hint="default"/>
                <w:sz w:val="18"/>
                <w:szCs w:val="18"/>
              </w:rPr>
            </w:pPr>
            <w:r>
              <w:rPr>
                <w:rFonts w:ascii="宋体" w:hAnsi="宋体" w:cs="宋体" w:eastAsia="宋体" w:hint="default"/>
                <w:spacing w:val="-2"/>
                <w:sz w:val="18"/>
                <w:szCs w:val="18"/>
              </w:rPr>
              <w:t>受国际、国内经济环境的影响，中国经济告别了快速增长的时代，步入了“增速放缓、转型换挡、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结构优化、全面提质”的经济发展“新常态”，加上近年来中央禁令和规定的波及，酒行业进入 了深度的调整期和转折期，同样进入了发展的“新常态”。</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以来，公司产品受酒类行业的调 整影响较大。酒类行业的“新常态”导致公司防伪瓶盖业务经营业绩增速放缓</w:t>
            </w:r>
            <w:r>
              <w:rPr>
                <w:rFonts w:ascii="Times New Roman" w:hAnsi="Times New Roman" w:cs="Times New Roman" w:eastAsia="Times New Roman" w:hint="default"/>
                <w:sz w:val="18"/>
                <w:szCs w:val="18"/>
              </w:rPr>
              <w:t>,</w:t>
            </w:r>
            <w:r>
              <w:rPr>
                <w:rFonts w:ascii="宋体" w:hAnsi="宋体" w:cs="宋体" w:eastAsia="宋体" w:hint="default"/>
                <w:sz w:val="18"/>
                <w:szCs w:val="18"/>
              </w:rPr>
              <w:t>致使公司募集资金 项目产能利用率较低，未达到预计效益。</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15"/>
              <w:jc w:val="left"/>
              <w:rPr>
                <w:rFonts w:ascii="宋体" w:hAnsi="宋体" w:cs="宋体" w:eastAsia="宋体" w:hint="default"/>
                <w:sz w:val="18"/>
                <w:szCs w:val="18"/>
              </w:rPr>
            </w:pPr>
            <w:r>
              <w:rPr>
                <w:rFonts w:ascii="宋体" w:hAnsi="宋体" w:cs="宋体" w:eastAsia="宋体" w:hint="default"/>
                <w:sz w:val="18"/>
                <w:szCs w:val="18"/>
              </w:rPr>
              <w:t>先期投入及置换情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月，公司以募集资金置换了瓶盖厂新增年产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亿只组合式防伪瓶盖生产线建设项目前</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期投入资金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3,001.64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万，模具制造生产线扩建项目前期投入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229.58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万。亳州丽鹏制盖有限公司高</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档组合式防伪瓶盖技术制造项目前期投入资金为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月完成募集资金置换。</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9" w:lineRule="auto"/>
              <w:ind w:left="103" w:right="21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日，“亳州丽鹏制盖有限公司高档组合式防伪瓶盖技术改造项目”已实施完</w:t>
            </w:r>
          </w:p>
          <w:p>
            <w:pPr>
              <w:pStyle w:val="TableParagraph"/>
              <w:spacing w:line="300" w:lineRule="auto" w:before="63"/>
              <w:ind w:left="103" w:right="41"/>
              <w:jc w:val="left"/>
              <w:rPr>
                <w:rFonts w:ascii="宋体" w:hAnsi="宋体" w:cs="宋体" w:eastAsia="宋体" w:hint="default"/>
                <w:sz w:val="18"/>
                <w:szCs w:val="18"/>
              </w:rPr>
            </w:pPr>
            <w:r>
              <w:rPr>
                <w:rFonts w:ascii="宋体" w:hAnsi="宋体" w:cs="宋体" w:eastAsia="宋体" w:hint="default"/>
                <w:sz w:val="18"/>
                <w:szCs w:val="18"/>
              </w:rPr>
              <w:t>毕，达到预计可使用状态，该项目累计使用募集资金</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99,467,114.14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元，银行手续费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6,055.81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累计利息收入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2,032,081.41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元，永久性补充流动资金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20,538,527.41</w:t>
            </w:r>
            <w:r>
              <w:rPr>
                <w:rFonts w:ascii="宋体" w:hAnsi="宋体" w:cs="宋体" w:eastAsia="宋体" w:hint="default"/>
                <w:sz w:val="18"/>
                <w:szCs w:val="18"/>
              </w:rPr>
              <w:t>。募集资金账户节余净额为 </w:t>
            </w:r>
            <w:r>
              <w:rPr>
                <w:rFonts w:ascii="Times New Roman" w:hAnsi="Times New Roman" w:cs="Times New Roman" w:eastAsia="Times New Roman" w:hint="default"/>
                <w:sz w:val="18"/>
                <w:szCs w:val="18"/>
              </w:rPr>
              <w:t>2,020,384.05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元，主要用于补充公司生产经营活动所需的流动资金。</w:t>
            </w:r>
          </w:p>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日，“模具制造生产线扩建项目”已实施完毕，达到预计可使用状态，该项</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目累计使用募集资金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41,983,261.62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元，银行手续费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元；累计利息收入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2,000,487.87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元，永</w:t>
            </w:r>
          </w:p>
          <w:p>
            <w:pPr>
              <w:pStyle w:val="TableParagraph"/>
              <w:spacing w:line="302" w:lineRule="auto" w:before="63"/>
              <w:ind w:left="103" w:right="102"/>
              <w:jc w:val="left"/>
              <w:rPr>
                <w:rFonts w:ascii="宋体" w:hAnsi="宋体" w:cs="宋体" w:eastAsia="宋体" w:hint="default"/>
                <w:sz w:val="18"/>
                <w:szCs w:val="18"/>
              </w:rPr>
            </w:pPr>
            <w:r>
              <w:rPr>
                <w:rFonts w:ascii="宋体" w:hAnsi="宋体" w:cs="宋体" w:eastAsia="宋体" w:hint="default"/>
                <w:sz w:val="18"/>
                <w:szCs w:val="18"/>
              </w:rPr>
              <w:t>久性补充流动资金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19,674,073.64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元，募集资金账户节余净额为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343,106.21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元，主要用于补充公司 生产经营活动所需的流动资金。</w:t>
            </w:r>
          </w:p>
        </w:tc>
      </w:tr>
      <w:tr>
        <w:trPr>
          <w:trHeight w:val="137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经公司第三届董事会第二次会议审计通过</w:t>
            </w:r>
            <w:r>
              <w:rPr>
                <w:rFonts w:ascii="Times New Roman" w:hAnsi="Times New Roman" w:cs="Times New Roman" w:eastAsia="Times New Roman" w:hint="default"/>
                <w:sz w:val="18"/>
                <w:szCs w:val="18"/>
              </w:rPr>
              <w:t>,</w:t>
            </w:r>
            <w:r>
              <w:rPr>
                <w:rFonts w:ascii="宋体" w:hAnsi="宋体" w:cs="宋体" w:eastAsia="宋体" w:hint="default"/>
                <w:sz w:val="18"/>
                <w:szCs w:val="18"/>
              </w:rPr>
              <w:t>公司将亳州丽鹏制盖有限公司高档</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组合式防伪瓶盖技术改造项目节余资金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20,538,527.41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元及其利息永久性补充流动资金。</w:t>
            </w:r>
          </w:p>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日，经公司第三届董事会第六次会议审议通过，公司将模具制造生产线扩建项</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目募集资金专用账户的实际节余资金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19,674,073.04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元及其利息收入永久性补充流动资金。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332"/>
        <w:jc w:val="left"/>
      </w:pPr>
      <w:r>
        <w:rPr/>
        <w:t>□ 适用 √ 不适用 公司报告期不存在募集资金变更项目情况。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公司报告期未出售重大资产。</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重庆华宇 园林有限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30"/>
              <w:jc w:val="left"/>
              <w:rPr>
                <w:rFonts w:ascii="宋体" w:hAnsi="宋体" w:cs="宋体" w:eastAsia="宋体" w:hint="default"/>
                <w:sz w:val="18"/>
                <w:szCs w:val="18"/>
              </w:rPr>
            </w:pPr>
            <w:r>
              <w:rPr>
                <w:rFonts w:ascii="宋体" w:hAnsi="宋体" w:cs="宋体" w:eastAsia="宋体" w:hint="default"/>
                <w:sz w:val="18"/>
                <w:szCs w:val="18"/>
              </w:rPr>
              <w:t>工程施工、 </w:t>
            </w:r>
            <w:r>
              <w:rPr>
                <w:rFonts w:ascii="宋体" w:hAnsi="宋体" w:cs="宋体" w:eastAsia="宋体" w:hint="default"/>
                <w:spacing w:val="-15"/>
                <w:sz w:val="18"/>
                <w:szCs w:val="18"/>
              </w:rPr>
              <w:t>设计、苗木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种植等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107,500,00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2,097,777,</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101.11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850,557,73</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1.88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780,927,70</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3.05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157,460,39</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135,334,21</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7.67</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深圳在乎传媒科技有限公司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sz w:val="18"/>
                <w:szCs w:val="18"/>
              </w:rPr>
              <w:t>目前对公司整体生产和业绩影响较小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烟台聚融投资有限公司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sz w:val="18"/>
                <w:szCs w:val="18"/>
              </w:rPr>
              <w:t>目前对公司整体生产和业绩影响较小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巴中华丰建设发展有限公司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sz w:val="18"/>
                <w:szCs w:val="18"/>
              </w:rPr>
              <w:t>目前对公司整体生产和业绩影响较小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安顺华宇生态建设有限公司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sz w:val="18"/>
                <w:szCs w:val="18"/>
              </w:rPr>
              <w:t>目前对公司整体生产和业绩影响较小</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重庆东飞凯格建筑景观设计咨询有限 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center"/>
              <w:rPr>
                <w:rFonts w:ascii="宋体" w:hAnsi="宋体" w:cs="宋体" w:eastAsia="宋体" w:hint="default"/>
                <w:sz w:val="18"/>
                <w:szCs w:val="18"/>
              </w:rPr>
            </w:pPr>
            <w:r>
              <w:rPr>
                <w:rFonts w:ascii="宋体" w:hAnsi="宋体" w:cs="宋体" w:eastAsia="宋体" w:hint="default"/>
                <w:sz w:val="18"/>
                <w:szCs w:val="18"/>
              </w:rPr>
              <w:t>目前对公司整体生产和业绩影响较小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重庆秉创新材料科技有限公司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sz w:val="18"/>
                <w:szCs w:val="18"/>
              </w:rPr>
              <w:t>目前对公司整体生产和业绩影响较小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烟台丽鹏投资有限公司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sz w:val="18"/>
                <w:szCs w:val="18"/>
              </w:rPr>
              <w:t>目前对公司整体生产和业绩影响较小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烟台市鹏科能源有限公司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sz w:val="18"/>
                <w:szCs w:val="18"/>
              </w:rPr>
              <w:t>目前对公司整体生产和业绩影响较小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湘乡渝华生态农业发展有限公司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已转让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sz w:val="18"/>
                <w:szCs w:val="18"/>
              </w:rPr>
              <w:t>目前对公司整体生产和业绩影响较小</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74" w:right="0"/>
        <w:jc w:val="left"/>
      </w:pPr>
      <w:r>
        <w:rPr/>
        <w:t>（一）公司所处行业的发展趋势 </w:t>
      </w:r>
      <w:r>
        <w:rPr>
          <w:spacing w:val="-2"/>
        </w:rPr>
        <w:t>我国的经济和消费增长带动了包装业的增长和包装产品质量的提高。金属包装因其良好的密封性和具有鲜艳的图案，在</w:t>
      </w:r>
    </w:p>
    <w:p>
      <w:pPr>
        <w:pStyle w:val="BodyText"/>
        <w:spacing w:line="224" w:lineRule="exact"/>
        <w:ind w:right="0"/>
        <w:jc w:val="both"/>
      </w:pPr>
      <w:r>
        <w:rPr/>
        <w:t>食品、饮料、日化用品和家庭用品等行业得到广泛应用，食品和饮料业已成为金属包装的最大市场。此外，化工品、化妆品</w:t>
      </w:r>
    </w:p>
    <w:p>
      <w:pPr>
        <w:pStyle w:val="BodyText"/>
        <w:spacing w:line="309" w:lineRule="auto" w:before="76"/>
        <w:ind w:right="1131"/>
        <w:jc w:val="both"/>
      </w:pPr>
      <w:r>
        <w:rPr>
          <w:spacing w:val="-2"/>
        </w:rPr>
        <w:t>和药品行业也是金属包装的重要市场，我国金属包装市场的空间还很大，金属制品及金属包装产业发展前景广阔。铝业协会</w:t>
      </w:r>
      <w:r>
        <w:rPr>
          <w:spacing w:val="-66"/>
        </w:rPr>
        <w:t> </w:t>
      </w:r>
      <w:r>
        <w:rPr>
          <w:spacing w:val="-66"/>
        </w:rPr>
      </w:r>
      <w:r>
        <w:rPr/>
        <w:t>主席</w:t>
      </w:r>
      <w:r>
        <w:rPr>
          <w:spacing w:val="-52"/>
        </w:rPr>
        <w:t> </w:t>
      </w:r>
      <w:r>
        <w:rPr>
          <w:rFonts w:ascii="Times New Roman" w:hAnsi="Times New Roman" w:cs="Times New Roman" w:eastAsia="Times New Roman" w:hint="default"/>
        </w:rPr>
        <w:t>Heidi</w:t>
      </w:r>
      <w:r>
        <w:rPr>
          <w:rFonts w:ascii="Times New Roman" w:hAnsi="Times New Roman" w:cs="Times New Roman" w:eastAsia="Times New Roman" w:hint="default"/>
          <w:spacing w:val="-6"/>
        </w:rPr>
        <w:t> </w:t>
      </w:r>
      <w:r>
        <w:rPr>
          <w:rFonts w:ascii="Times New Roman" w:hAnsi="Times New Roman" w:cs="Times New Roman" w:eastAsia="Times New Roman" w:hint="default"/>
        </w:rPr>
        <w:t>Brock</w:t>
      </w:r>
      <w:r>
        <w:rPr>
          <w:rFonts w:ascii="Times New Roman" w:hAnsi="Times New Roman" w:cs="Times New Roman" w:eastAsia="Times New Roman" w:hint="default"/>
          <w:spacing w:val="33"/>
        </w:rPr>
        <w:t> </w:t>
      </w:r>
      <w:r>
        <w:rPr/>
        <w:t>表示，金属铝是迄今为止绿色饮料包装用品最好的选择，对具有环保意识的消费者来说极具吸引力。可持 续性更是铝工业发展首先考虑的问题。</w:t>
      </w:r>
    </w:p>
    <w:p>
      <w:pPr>
        <w:pStyle w:val="BodyText"/>
        <w:spacing w:line="319" w:lineRule="auto" w:before="62"/>
        <w:ind w:right="1032" w:firstLine="360"/>
        <w:jc w:val="left"/>
      </w:pPr>
      <w:r>
        <w:rPr>
          <w:spacing w:val="-2"/>
        </w:rPr>
        <w:t>国内金属包装在整个包装产业链中有着巨大的发展空间，但金属包装行业未来发展也面临挑战：国内金属包装产业集中</w:t>
      </w:r>
      <w:r>
        <w:rPr/>
        <w:t> </w:t>
      </w:r>
      <w:r>
        <w:rPr>
          <w:spacing w:val="-2"/>
        </w:rPr>
        <w:t>度不高，不具有规模效应，造就了金属包装行业整合者的扩张机遇；金属包装企业同质化竞争，创新能力欠缺，产品设计创</w:t>
      </w:r>
      <w:r>
        <w:rPr>
          <w:spacing w:val="-66"/>
        </w:rPr>
        <w:t> </w:t>
      </w:r>
      <w:r>
        <w:rPr>
          <w:spacing w:val="-66"/>
        </w:rPr>
      </w:r>
      <w:r>
        <w:rPr/>
        <w:t>新的机会凸显；原材料持续上涨，资源浪费严重，减重降耗的成本创新效益将非常突出；我国金属包装产业品牌建设缺乏， 下游依赖度高，标准制定者将拥有真正的话语权。但客户满意不等于行业品牌，因此金属包装企业应该把握终端消费市场， 为客户创造价值，才能够领导行业发展。</w:t>
      </w:r>
    </w:p>
    <w:p>
      <w:pPr>
        <w:pStyle w:val="BodyText"/>
        <w:spacing w:line="309" w:lineRule="auto" w:before="55"/>
        <w:ind w:left="113" w:right="1130" w:firstLine="360"/>
        <w:jc w:val="both"/>
      </w:pPr>
      <w:r>
        <w:rPr>
          <w:spacing w:val="-2"/>
        </w:rPr>
        <w:t>中共十八大报告提出要把生态文明建设放在突出地位，十八届三中全会要求紧紧围绕建设“美丽中国”深化生态文明体</w:t>
      </w:r>
      <w:r>
        <w:rPr/>
        <w:t> </w:t>
      </w:r>
      <w:r>
        <w:rPr>
          <w:spacing w:val="-2"/>
        </w:rPr>
        <w:t>制改革，允许社会资本通过特许经营等方式参与城市基础设施投资和运营。</w:t>
      </w:r>
      <w:r>
        <w:rPr>
          <w:rFonts w:ascii="Times New Roman" w:hAnsi="Times New Roman" w:cs="Times New Roman" w:eastAsia="Times New Roman" w:hint="default"/>
          <w:spacing w:val="-2"/>
        </w:rPr>
        <w:t>PPP</w:t>
      </w:r>
      <w:r>
        <w:rPr>
          <w:spacing w:val="-2"/>
        </w:rPr>
        <w:t>（</w:t>
      </w:r>
      <w:r>
        <w:rPr>
          <w:rFonts w:ascii="Times New Roman" w:hAnsi="Times New Roman" w:cs="Times New Roman" w:eastAsia="Times New Roman" w:hint="default"/>
          <w:spacing w:val="-2"/>
        </w:rPr>
        <w:t>Public-Private-Partnership</w:t>
      </w:r>
      <w:r>
        <w:rPr>
          <w:rFonts w:ascii="Times New Roman" w:hAnsi="Times New Roman" w:cs="Times New Roman" w:eastAsia="Times New Roman" w:hint="default"/>
          <w:spacing w:val="11"/>
        </w:rPr>
        <w:t> </w:t>
      </w:r>
      <w:r>
        <w:rPr>
          <w:spacing w:val="-9"/>
        </w:rPr>
        <w:t>的缩写，意即“公</w:t>
      </w:r>
      <w:r>
        <w:rPr>
          <w:spacing w:val="-86"/>
        </w:rPr>
        <w:t> </w:t>
      </w:r>
      <w:r>
        <w:rPr>
          <w:spacing w:val="-86"/>
        </w:rPr>
      </w:r>
      <w:r>
        <w:rPr>
          <w:spacing w:val="-2"/>
        </w:rPr>
        <w:t>共私营合作制”）模式是贯彻十八届三中、四中全会精神，引入社会资本破解地方投融资难题，提升政府治理水平的重要抓</w:t>
      </w:r>
    </w:p>
    <w:p>
      <w:pPr>
        <w:spacing w:after="0" w:line="309"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0" w:lineRule="auto" w:before="44"/>
        <w:ind w:right="1199"/>
        <w:jc w:val="both"/>
      </w:pPr>
      <w:r>
        <w:rPr/>
        <w:t>手。国务院常务会议明确要求各地加快推进</w:t>
      </w:r>
      <w:r>
        <w:rPr>
          <w:spacing w:val="-46"/>
        </w:rPr>
        <w:t> </w:t>
      </w:r>
      <w:r>
        <w:rPr>
          <w:rFonts w:ascii="Times New Roman" w:hAnsi="Times New Roman" w:cs="Times New Roman" w:eastAsia="Times New Roman" w:hint="default"/>
        </w:rPr>
        <w:t>PPP</w:t>
      </w:r>
      <w:r>
        <w:rPr>
          <w:rFonts w:ascii="Times New Roman" w:hAnsi="Times New Roman" w:cs="Times New Roman" w:eastAsia="Times New Roman" w:hint="default"/>
          <w:spacing w:val="-1"/>
        </w:rPr>
        <w:t> </w:t>
      </w:r>
      <w:r>
        <w:rPr/>
        <w:t>项目的实施，财政部、发改委等相关职能部门已相继出台了《关于推广运 用政府和社会资本合作模式有关问题的通知》（财金</w:t>
      </w:r>
      <w:r>
        <w:rPr>
          <w:rFonts w:ascii="Times New Roman" w:hAnsi="Times New Roman" w:cs="Times New Roman" w:eastAsia="Times New Roman" w:hint="default"/>
        </w:rPr>
        <w:t>[2014]76</w:t>
      </w:r>
      <w:r>
        <w:rPr>
          <w:rFonts w:ascii="Times New Roman" w:hAnsi="Times New Roman" w:cs="Times New Roman" w:eastAsia="Times New Roman" w:hint="default"/>
          <w:spacing w:val="-2"/>
        </w:rPr>
        <w:t> </w:t>
      </w:r>
      <w:r>
        <w:rPr/>
        <w:t>号）等一系列指导文件，使各地</w:t>
      </w:r>
      <w:r>
        <w:rPr>
          <w:spacing w:val="-47"/>
        </w:rPr>
        <w:t> </w:t>
      </w:r>
      <w:r>
        <w:rPr>
          <w:rFonts w:ascii="Times New Roman" w:hAnsi="Times New Roman" w:cs="Times New Roman" w:eastAsia="Times New Roman" w:hint="default"/>
        </w:rPr>
        <w:t>PPP</w:t>
      </w:r>
      <w:r>
        <w:rPr>
          <w:rFonts w:ascii="Times New Roman" w:hAnsi="Times New Roman" w:cs="Times New Roman" w:eastAsia="Times New Roman" w:hint="default"/>
          <w:spacing w:val="-1"/>
        </w:rPr>
        <w:t> </w:t>
      </w:r>
      <w:r>
        <w:rPr/>
        <w:t>项目的落地正式进入实 际运作阶段，城市公共园林绿化、生态修复、河道治理相关领域也迎来了新的发展契机。</w:t>
      </w:r>
    </w:p>
    <w:p>
      <w:pPr>
        <w:pStyle w:val="BodyText"/>
        <w:spacing w:line="319" w:lineRule="auto" w:before="70"/>
        <w:ind w:left="113" w:right="0" w:firstLine="360"/>
        <w:jc w:val="left"/>
      </w:pPr>
      <w:r>
        <w:rPr>
          <w:spacing w:val="-2"/>
        </w:rPr>
        <w:t>同时，我国新型城镇化建设将带来巨大的园林绿化市场，加上新《环境保护法》的实施、社会公众环保意识的增强及有</w:t>
      </w:r>
      <w:r>
        <w:rPr/>
        <w:t> 力的舆论监督，我国园林绿化行业正处于新的发展机遇期。</w:t>
      </w:r>
    </w:p>
    <w:p>
      <w:pPr>
        <w:pStyle w:val="BodyText"/>
        <w:spacing w:line="357" w:lineRule="auto" w:before="58"/>
        <w:ind w:left="474" w:right="1167"/>
        <w:jc w:val="left"/>
      </w:pPr>
      <w:r>
        <w:rPr/>
        <w:t>（二）公司发展战略及经营计划 为保持现有防伪瓶盖业务的稳定发展，提高防伪瓶盖业务的盈利水平</w:t>
      </w:r>
      <w:r>
        <w:rPr>
          <w:rFonts w:ascii="Times New Roman" w:hAnsi="Times New Roman" w:cs="Times New Roman" w:eastAsia="Times New Roman" w:hint="default"/>
        </w:rPr>
        <w:t>,</w:t>
      </w:r>
      <w:r>
        <w:rPr/>
        <w:t>丽鹏股份在继续采取调整产品结构、拓展国内、</w:t>
      </w:r>
    </w:p>
    <w:p>
      <w:pPr>
        <w:pStyle w:val="BodyText"/>
        <w:spacing w:line="214" w:lineRule="exact"/>
        <w:ind w:left="113" w:right="0"/>
        <w:jc w:val="both"/>
      </w:pPr>
      <w:r>
        <w:rPr/>
        <w:t>国际市场领域、强化产品质量等多种措施的同时，进一步加大业务模式创新，提高终端消费者粘性，通过以“瓶盖</w:t>
      </w:r>
      <w:r>
        <w:rPr>
          <w:rFonts w:ascii="Times New Roman" w:hAnsi="Times New Roman" w:cs="Times New Roman" w:eastAsia="Times New Roman" w:hint="default"/>
        </w:rPr>
        <w:t>+</w:t>
      </w:r>
      <w:r>
        <w:rPr/>
        <w:t>二维码”</w:t>
      </w:r>
    </w:p>
    <w:p>
      <w:pPr>
        <w:pStyle w:val="BodyText"/>
        <w:spacing w:line="319" w:lineRule="auto" w:before="63"/>
        <w:ind w:left="113" w:right="1133"/>
        <w:jc w:val="both"/>
      </w:pPr>
      <w:r>
        <w:rPr>
          <w:spacing w:val="-2"/>
        </w:rPr>
        <w:t>为互联网接口，搭建防伪追溯、积分促销、会员互动、广告发布的移动互联终端，增加瓶盖附加值，为酒厂及下游客户、消</w:t>
      </w:r>
      <w:r>
        <w:rPr>
          <w:spacing w:val="-71"/>
        </w:rPr>
        <w:t> </w:t>
      </w:r>
      <w:r>
        <w:rPr>
          <w:spacing w:val="-71"/>
        </w:rPr>
      </w:r>
      <w:r>
        <w:rPr/>
        <w:t>费者提供更多服务。</w:t>
      </w:r>
    </w:p>
    <w:p>
      <w:pPr>
        <w:pStyle w:val="BodyText"/>
        <w:spacing w:line="340" w:lineRule="auto" w:before="56"/>
        <w:ind w:left="474" w:right="7244"/>
        <w:jc w:val="left"/>
      </w:pPr>
      <w:r>
        <w:rPr/>
        <w:t>（三）公司发展展望及</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年工作计划 一）业务拓展计划</w:t>
      </w:r>
    </w:p>
    <w:p>
      <w:pPr>
        <w:pStyle w:val="BodyText"/>
        <w:spacing w:line="338" w:lineRule="auto" w:before="40"/>
        <w:ind w:left="474" w:right="0"/>
        <w:jc w:val="left"/>
      </w:pPr>
      <w:r>
        <w:rPr>
          <w:rFonts w:ascii="Times New Roman" w:hAnsi="Times New Roman" w:cs="Times New Roman" w:eastAsia="Times New Roman" w:hint="default"/>
        </w:rPr>
        <w:t>1</w:t>
      </w:r>
      <w:r>
        <w:rPr/>
        <w:t>、深化园林绿化业务，有效发挥并持续强化公司既有优势 </w:t>
      </w:r>
      <w:r>
        <w:rPr>
          <w:spacing w:val="-2"/>
        </w:rPr>
        <w:t>经过多年的发展，公司全资子公司华宇园林在园林绿化、生态修复方面的竞争优势非常明显，公司将时刻关注市场需求</w:t>
      </w:r>
    </w:p>
    <w:p>
      <w:pPr>
        <w:pStyle w:val="BodyText"/>
        <w:spacing w:line="309" w:lineRule="auto" w:before="2"/>
        <w:ind w:left="113" w:right="0"/>
        <w:jc w:val="left"/>
      </w:pPr>
      <w:r>
        <w:rPr>
          <w:spacing w:val="-2"/>
        </w:rPr>
        <w:t>和变化，充分发挥既有优势，培养新的竞争优势。为适应现有行业政策背景和宏观经济新常态下市政园林工程项目营运模式</w:t>
      </w:r>
      <w:r>
        <w:rPr>
          <w:spacing w:val="-66"/>
        </w:rPr>
        <w:t> </w:t>
      </w:r>
      <w:r>
        <w:rPr>
          <w:spacing w:val="-66"/>
        </w:rPr>
      </w:r>
      <w:r>
        <w:rPr/>
        <w:t>的要求，公司将根据行业特性、结合自身运营情况，并运用长期以来积累的丰富经验，全力推进</w:t>
      </w:r>
      <w:r>
        <w:rPr>
          <w:spacing w:val="-45"/>
        </w:rPr>
        <w:t> </w:t>
      </w:r>
      <w:r>
        <w:rPr>
          <w:rFonts w:ascii="Times New Roman" w:hAnsi="Times New Roman" w:cs="Times New Roman" w:eastAsia="Times New Roman" w:hint="default"/>
        </w:rPr>
        <w:t>PPP</w:t>
      </w:r>
      <w:r>
        <w:rPr>
          <w:rFonts w:ascii="Times New Roman" w:hAnsi="Times New Roman" w:cs="Times New Roman" w:eastAsia="Times New Roman" w:hint="default"/>
          <w:spacing w:val="-2"/>
        </w:rPr>
        <w:t> </w:t>
      </w:r>
      <w:r>
        <w:rPr/>
        <w:t>合作模式，进一步推 进全国化发展战略。</w:t>
      </w:r>
    </w:p>
    <w:p>
      <w:pPr>
        <w:pStyle w:val="BodyText"/>
        <w:spacing w:line="338" w:lineRule="auto" w:before="65"/>
        <w:ind w:left="474" w:right="0"/>
        <w:jc w:val="left"/>
      </w:pPr>
      <w:r>
        <w:rPr>
          <w:rFonts w:ascii="Times New Roman" w:hAnsi="Times New Roman" w:cs="Times New Roman" w:eastAsia="Times New Roman" w:hint="default"/>
        </w:rPr>
        <w:t>2</w:t>
      </w:r>
      <w:r>
        <w:rPr/>
        <w:t>、进一步优化公司在国内市场的业务布局体系 </w:t>
      </w:r>
      <w:r>
        <w:rPr>
          <w:spacing w:val="-2"/>
        </w:rPr>
        <w:t>公司的未来定位是将本部打造成为公司核心技术研发、人才培训、原材料提供与管理模式的基地与输出中心，在此基础</w:t>
      </w:r>
    </w:p>
    <w:p>
      <w:pPr>
        <w:pStyle w:val="BodyText"/>
        <w:spacing w:line="319" w:lineRule="auto" w:before="2"/>
        <w:ind w:right="1133"/>
        <w:jc w:val="both"/>
      </w:pPr>
      <w:r>
        <w:rPr>
          <w:spacing w:val="-2"/>
        </w:rPr>
        <w:t>上，进一步优化公司的区域市场布局，使烟台以外地区下属企业的业务拓展到周边区域市场，同时在巩固提升现有区域分支</w:t>
      </w:r>
      <w:r>
        <w:rPr>
          <w:spacing w:val="-66"/>
        </w:rPr>
        <w:t> </w:t>
      </w:r>
      <w:r>
        <w:rPr>
          <w:spacing w:val="-66"/>
        </w:rPr>
      </w:r>
      <w:r>
        <w:rPr>
          <w:spacing w:val="-2"/>
        </w:rPr>
        <w:t>机构业务的基础上，继续开发国内其它下游行业较发达的地区的产品市场，择机设立新的分支机构，并逐步带动周边区域市</w:t>
      </w:r>
      <w:r>
        <w:rPr>
          <w:spacing w:val="-66"/>
        </w:rPr>
        <w:t> </w:t>
      </w:r>
      <w:r>
        <w:rPr>
          <w:spacing w:val="-66"/>
        </w:rPr>
      </w:r>
      <w:r>
        <w:rPr/>
        <w:t>场发展。</w:t>
      </w:r>
    </w:p>
    <w:p>
      <w:pPr>
        <w:pStyle w:val="BodyText"/>
        <w:spacing w:line="338" w:lineRule="auto" w:before="56"/>
        <w:ind w:left="474" w:right="0"/>
        <w:jc w:val="left"/>
      </w:pPr>
      <w:r>
        <w:rPr>
          <w:rFonts w:ascii="Times New Roman" w:hAnsi="Times New Roman" w:cs="Times New Roman" w:eastAsia="Times New Roman" w:hint="default"/>
        </w:rPr>
        <w:t>3</w:t>
      </w:r>
      <w:r>
        <w:rPr/>
        <w:t>、继续稳步拓展国际市场，进一步提升公司品牌在国际市场中的影响度 </w:t>
      </w:r>
      <w:r>
        <w:rPr>
          <w:spacing w:val="-2"/>
        </w:rPr>
        <w:t>随着公司近几年来出口业务的快速增长，公司的出口已逐步形成了以俄罗斯及中亚市场为龙头，东南亚、葡萄酒市场为</w:t>
      </w:r>
    </w:p>
    <w:p>
      <w:pPr>
        <w:pStyle w:val="BodyText"/>
        <w:spacing w:line="319" w:lineRule="auto" w:before="2"/>
        <w:ind w:left="113" w:right="1050"/>
        <w:jc w:val="both"/>
      </w:pPr>
      <w:r>
        <w:rPr/>
        <w:t>两翼，以其它市场为补充的全球市场体系。公司将在现有的发展战略及市场布局情况下，根据业务发展形势逐步形成直销、 代理、办事处、分公司等多种形式的销售模式，完善公司国内外市场的总体布局。</w:t>
      </w:r>
    </w:p>
    <w:p>
      <w:pPr>
        <w:pStyle w:val="BodyText"/>
        <w:spacing w:line="338" w:lineRule="auto" w:before="56"/>
        <w:ind w:left="474" w:right="0"/>
        <w:jc w:val="left"/>
      </w:pPr>
      <w:r>
        <w:rPr>
          <w:rFonts w:ascii="Times New Roman" w:hAnsi="Times New Roman" w:cs="Times New Roman" w:eastAsia="Times New Roman" w:hint="default"/>
        </w:rPr>
        <w:t>4</w:t>
      </w:r>
      <w:r>
        <w:rPr/>
        <w:t>、积极开拓铝防伪瓶盖在我国啤酒、葡萄酒包装领域的潜在巨大市场 </w:t>
      </w:r>
      <w:r>
        <w:rPr>
          <w:spacing w:val="-2"/>
        </w:rPr>
        <w:t>铝防伪瓶盖已在西方发达国家的啤酒、葡萄酒等领域中广泛使用，而在我国，啤酒包装尚以传统的皇冠盖为主，葡萄酒</w:t>
      </w:r>
    </w:p>
    <w:p>
      <w:pPr>
        <w:pStyle w:val="BodyText"/>
        <w:spacing w:line="319" w:lineRule="auto" w:before="2"/>
        <w:ind w:left="113" w:right="1130"/>
        <w:jc w:val="both"/>
      </w:pPr>
      <w:r>
        <w:rPr>
          <w:spacing w:val="-2"/>
        </w:rPr>
        <w:t>包装也以传统的软木塞瓶盖为主。由于铝防伪瓶盖所具有的加工精美、包装精度高、易回收和成本低的优点，公司重视该产</w:t>
      </w:r>
      <w:r>
        <w:rPr>
          <w:spacing w:val="-66"/>
        </w:rPr>
        <w:t> </w:t>
      </w:r>
      <w:r>
        <w:rPr>
          <w:spacing w:val="-66"/>
        </w:rPr>
      </w:r>
      <w:r>
        <w:rPr>
          <w:spacing w:val="-2"/>
        </w:rPr>
        <w:t>品在我国啤酒、葡萄酒等领域的应用和潜在的巨大市场，为此，公司将加大对相关产品和技术的研发力度，并在啤酒、葡萄</w:t>
      </w:r>
      <w:r>
        <w:rPr>
          <w:spacing w:val="-66"/>
        </w:rPr>
        <w:t> </w:t>
      </w:r>
      <w:r>
        <w:rPr>
          <w:spacing w:val="-66"/>
        </w:rPr>
      </w:r>
      <w:r>
        <w:rPr/>
        <w:t>酒等行业中积极推广和宣传，进一步向这一潜在市场渗透。</w:t>
      </w:r>
    </w:p>
    <w:p>
      <w:pPr>
        <w:pStyle w:val="BodyText"/>
        <w:spacing w:line="240" w:lineRule="auto" w:before="58"/>
        <w:ind w:left="474" w:right="0"/>
        <w:jc w:val="left"/>
      </w:pPr>
      <w:r>
        <w:rPr/>
        <w:t>二）技术开发和创新计划</w:t>
      </w:r>
    </w:p>
    <w:p>
      <w:pPr>
        <w:pStyle w:val="BodyText"/>
        <w:spacing w:line="302" w:lineRule="auto" w:before="115"/>
        <w:ind w:right="1122" w:firstLine="360"/>
        <w:jc w:val="left"/>
      </w:pPr>
      <w:r>
        <w:rPr>
          <w:rFonts w:ascii="Times New Roman" w:hAnsi="Times New Roman" w:cs="Times New Roman" w:eastAsia="Times New Roman" w:hint="default"/>
        </w:rPr>
        <w:t>1</w:t>
      </w:r>
      <w:r>
        <w:rPr/>
        <w:t>、公司将以市场为导向，以增强企业经济效益和市场竞争力为中心，以公司研发制造中心为研发及创新主体，自主研 发与引进吸收相结合，不断提升企业技术创新能力和科技成果转化能力。</w:t>
      </w:r>
    </w:p>
    <w:p>
      <w:pPr>
        <w:pStyle w:val="BodyText"/>
        <w:spacing w:line="302" w:lineRule="auto" w:before="68"/>
        <w:ind w:right="1122" w:firstLine="360"/>
        <w:jc w:val="left"/>
      </w:pPr>
      <w:r>
        <w:rPr>
          <w:rFonts w:ascii="Times New Roman" w:hAnsi="Times New Roman" w:cs="Times New Roman" w:eastAsia="Times New Roman" w:hint="default"/>
        </w:rPr>
        <w:t>2</w:t>
      </w:r>
      <w:r>
        <w:rPr/>
        <w:t>、掌握国内外瓶盖行业的最新研究动态，注重前沿技术储备，不断促进企业装备的更新换代；开发具有良好市场前景 的新项目、新技术、新产品、新模式，提高企业的生产制造水平和瓶盖产品附加值。</w:t>
      </w:r>
    </w:p>
    <w:p>
      <w:pPr>
        <w:pStyle w:val="BodyText"/>
        <w:spacing w:line="302" w:lineRule="auto" w:before="69"/>
        <w:ind w:right="1122" w:firstLine="360"/>
        <w:jc w:val="left"/>
      </w:pPr>
      <w:r>
        <w:rPr>
          <w:rFonts w:ascii="Times New Roman" w:hAnsi="Times New Roman" w:cs="Times New Roman" w:eastAsia="Times New Roman" w:hint="default"/>
        </w:rPr>
        <w:t>3</w:t>
      </w:r>
      <w:r>
        <w:rPr/>
        <w:t>、积极与中国包装联合会及金属容器委员会、同行业其它先进企业、瓶盖下游企业合作，致力于推进瓶盖产品的标准 化、统一化，促进资源节约，实现制盖行业可持续发展。</w:t>
      </w:r>
    </w:p>
    <w:p>
      <w:pPr>
        <w:pStyle w:val="BodyText"/>
        <w:spacing w:line="302" w:lineRule="auto" w:before="68"/>
        <w:ind w:right="1114" w:firstLine="360"/>
        <w:jc w:val="left"/>
      </w:pPr>
      <w:r>
        <w:rPr>
          <w:rFonts w:ascii="Times New Roman" w:hAnsi="Times New Roman" w:cs="Times New Roman" w:eastAsia="Times New Roman" w:hint="default"/>
        </w:rPr>
        <w:t>4</w:t>
      </w:r>
      <w:r>
        <w:rPr/>
        <w:t>、公司继续致力于生态修复、低碳造园，继续研究“风景园林工程节能材料的应用与研究</w:t>
      </w:r>
      <w:r>
        <w:rPr>
          <w:spacing w:val="-34"/>
        </w:rPr>
        <w:t> </w:t>
      </w:r>
      <w:r>
        <w:rPr>
          <w:spacing w:val="-4"/>
        </w:rPr>
        <w:t>”、“湿地、水体生态修复</w:t>
      </w:r>
      <w:r>
        <w:rPr/>
        <w:t> 技术应用示范推广”、“土壤生态修复”、“河道治理”、“海绵城市”等方面的科研工作。</w:t>
      </w:r>
    </w:p>
    <w:p>
      <w:pPr>
        <w:pStyle w:val="BodyText"/>
        <w:spacing w:line="357" w:lineRule="auto" w:before="69"/>
        <w:ind w:left="474" w:right="0"/>
        <w:jc w:val="left"/>
      </w:pPr>
      <w:r>
        <w:rPr/>
        <w:t>三）人力资源计划 </w:t>
      </w:r>
      <w:r>
        <w:rPr>
          <w:spacing w:val="-2"/>
        </w:rPr>
        <w:t>人才是公司实现上述战略目标和发展计划的根本保障，为此，公司将继续奉行长期以来“尊重知识、尊重人才、唯才是</w:t>
      </w:r>
    </w:p>
    <w:p>
      <w:pPr>
        <w:spacing w:after="0" w:line="357"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left="474" w:right="1032" w:hanging="360"/>
        <w:jc w:val="left"/>
      </w:pPr>
      <w:r>
        <w:rPr/>
        <w:t>举、量才施用”的用人之道，采取自己培养和外部引进相结合的方式，培养和引进大量的优秀人才。 同时，公司将继续加强企业文化建设，大力提升战略人力资源管理水平，提高员工激励效果，完善员工绩效评价体系，</w:t>
      </w:r>
    </w:p>
    <w:p>
      <w:pPr>
        <w:pStyle w:val="BodyText"/>
        <w:spacing w:line="225" w:lineRule="exact"/>
        <w:ind w:right="0"/>
        <w:jc w:val="left"/>
      </w:pPr>
      <w:r>
        <w:rPr/>
        <w:t>切实加强员工培训力度，并加强人才梯队建设，丰富人才引进的策略，积极培养、引进符合公司战略发展的中高级人才。</w:t>
      </w:r>
    </w:p>
    <w:p>
      <w:pPr>
        <w:pStyle w:val="BodyText"/>
        <w:spacing w:line="240" w:lineRule="auto" w:before="117"/>
        <w:ind w:left="474" w:right="0"/>
        <w:jc w:val="left"/>
      </w:pPr>
      <w:r>
        <w:rPr/>
        <w:t>（四）风险因素及对策</w:t>
      </w:r>
    </w:p>
    <w:p>
      <w:pPr>
        <w:pStyle w:val="BodyText"/>
        <w:spacing w:line="338" w:lineRule="auto" w:before="116"/>
        <w:ind w:left="474" w:right="0"/>
        <w:jc w:val="left"/>
      </w:pPr>
      <w:r>
        <w:rPr>
          <w:rFonts w:ascii="Times New Roman" w:hAnsi="Times New Roman" w:cs="Times New Roman" w:eastAsia="Times New Roman" w:hint="default"/>
        </w:rPr>
        <w:t>1</w:t>
      </w:r>
      <w:r>
        <w:rPr/>
        <w:t>、宏观经济及行业政策风险 </w:t>
      </w:r>
      <w:r>
        <w:rPr>
          <w:spacing w:val="-2"/>
        </w:rPr>
        <w:t>公司园林业务主要为市政园林绿化和生态修复，而市政园林绿化和生态修复业务与政府对基础建设投资、环境保护等宏</w:t>
      </w:r>
    </w:p>
    <w:p>
      <w:pPr>
        <w:pStyle w:val="BodyText"/>
        <w:spacing w:line="319" w:lineRule="auto" w:before="2"/>
        <w:ind w:left="113" w:right="1131"/>
        <w:jc w:val="both"/>
      </w:pPr>
      <w:r>
        <w:rPr>
          <w:spacing w:val="-2"/>
        </w:rPr>
        <w:t>观政策密切相关。公司业务增长在一定程度上将受到我国经济增速放缓的影响，加上近期中央加强了对地方政府债务的审计</w:t>
      </w:r>
      <w:r>
        <w:rPr>
          <w:spacing w:val="-64"/>
        </w:rPr>
        <w:t> </w:t>
      </w:r>
      <w:r>
        <w:rPr>
          <w:spacing w:val="-64"/>
        </w:rPr>
      </w:r>
      <w:r>
        <w:rPr>
          <w:spacing w:val="-2"/>
        </w:rPr>
        <w:t>力度，逐步规范地方市政工程建设，对市政园林工程的推进造成一定压力，进而对公司业务拓展造成一定影响。公司未来将</w:t>
      </w:r>
      <w:r>
        <w:rPr>
          <w:spacing w:val="-66"/>
        </w:rPr>
        <w:t> </w:t>
      </w:r>
      <w:r>
        <w:rPr>
          <w:spacing w:val="-66"/>
        </w:rPr>
      </w:r>
      <w:r>
        <w:rPr/>
        <w:t>密切关注行业政策变化，牢牢抓住生态文明建设和城镇化推进的机会，及时调整市场布局以应对行业政策变化。</w:t>
      </w:r>
    </w:p>
    <w:p>
      <w:pPr>
        <w:pStyle w:val="BodyText"/>
        <w:spacing w:line="319" w:lineRule="auto" w:before="56"/>
        <w:ind w:left="113" w:right="1132" w:firstLine="360"/>
        <w:jc w:val="both"/>
      </w:pPr>
      <w:r>
        <w:rPr>
          <w:spacing w:val="-2"/>
        </w:rPr>
        <w:t>同时，受国际、国内经济环境的影响，酒类行业进入了调整和转折期，公司瓶盖业务发展亦受到一定程度的影响。公司</w:t>
      </w:r>
      <w:r>
        <w:rPr/>
        <w:t> </w:t>
      </w:r>
      <w:r>
        <w:rPr>
          <w:spacing w:val="-2"/>
        </w:rPr>
        <w:t>将继续采取调整产品结构、拓展国内、国际市场领域、强化产品质量、加大工艺创新等多种措施，在保持原有防伪瓶盖业务</w:t>
      </w:r>
      <w:r>
        <w:rPr>
          <w:spacing w:val="-66"/>
        </w:rPr>
        <w:t> </w:t>
      </w:r>
      <w:r>
        <w:rPr>
          <w:spacing w:val="-66"/>
        </w:rPr>
      </w:r>
      <w:r>
        <w:rPr/>
        <w:t>稳步增长的基础上，不断加大业务创新，提高瓶盖产品附加值。</w:t>
      </w:r>
    </w:p>
    <w:p>
      <w:pPr>
        <w:pStyle w:val="BodyText"/>
        <w:spacing w:line="348" w:lineRule="auto" w:before="56"/>
        <w:ind w:left="474" w:right="1118"/>
        <w:jc w:val="left"/>
      </w:pPr>
      <w:r>
        <w:rPr/>
        <w:t>宏观经济及下游酒类行业深度调整的双重影响，可能对公司的经营业绩和财务状况产生一定影响。 </w:t>
      </w:r>
      <w:r>
        <w:rPr>
          <w:rFonts w:ascii="Times New Roman" w:hAnsi="Times New Roman" w:cs="Times New Roman" w:eastAsia="Times New Roman" w:hint="default"/>
        </w:rPr>
        <w:t>2</w:t>
      </w:r>
      <w:r>
        <w:rPr/>
        <w:t>、市场竞争加剧风险 </w:t>
      </w:r>
      <w:r>
        <w:rPr>
          <w:spacing w:val="-2"/>
        </w:rPr>
        <w:t>丽鹏股份瓶盖业务在国内处于细分行业龙头地位，但随着国际市场的不断开拓，国内下游行业转型调整加剧，公司将面</w:t>
      </w:r>
    </w:p>
    <w:p>
      <w:pPr>
        <w:pStyle w:val="BodyText"/>
        <w:spacing w:line="357" w:lineRule="auto"/>
        <w:ind w:left="474" w:right="0" w:hanging="360"/>
        <w:jc w:val="left"/>
      </w:pPr>
      <w:r>
        <w:rPr/>
        <w:t>临国内、国际双重市场的竞争，存在市场竞争加剧的风险。 </w:t>
      </w:r>
      <w:r>
        <w:rPr>
          <w:spacing w:val="-2"/>
        </w:rPr>
        <w:t>华宇园林具有城市园林绿化壹级资质、环境污染治理甲级资质和风景园林工程设计专项乙级资质，主要业务为市政工程</w:t>
      </w:r>
    </w:p>
    <w:p>
      <w:pPr>
        <w:pStyle w:val="BodyText"/>
        <w:spacing w:line="224" w:lineRule="exact"/>
        <w:ind w:right="0"/>
        <w:jc w:val="left"/>
      </w:pPr>
      <w:r>
        <w:rPr/>
        <w:t>和生态修复项目。如果华宇园林未来不能适应市场变化，不能及时根据市场竞争环境调整发展战略，则可能在未来的竞争中</w:t>
      </w:r>
    </w:p>
    <w:p>
      <w:pPr>
        <w:pStyle w:val="BodyText"/>
        <w:spacing w:line="240" w:lineRule="auto" w:before="77"/>
        <w:ind w:right="0"/>
        <w:jc w:val="left"/>
      </w:pPr>
      <w:r>
        <w:rPr/>
        <w:t>处于不利地位，导致业务拓展能力和盈利能力下降。</w:t>
      </w:r>
    </w:p>
    <w:p>
      <w:pPr>
        <w:pStyle w:val="BodyText"/>
        <w:spacing w:line="240" w:lineRule="auto" w:before="116"/>
        <w:ind w:left="474" w:right="0"/>
        <w:jc w:val="left"/>
      </w:pPr>
      <w:r>
        <w:rPr>
          <w:rFonts w:ascii="Times New Roman" w:hAnsi="Times New Roman" w:cs="Times New Roman" w:eastAsia="Times New Roman" w:hint="default"/>
        </w:rPr>
        <w:t>3</w:t>
      </w:r>
      <w:r>
        <w:rPr/>
        <w:t>、收购整合风险</w:t>
      </w:r>
    </w:p>
    <w:p>
      <w:pPr>
        <w:pStyle w:val="BodyText"/>
        <w:spacing w:line="312" w:lineRule="auto" w:before="102"/>
        <w:ind w:left="113" w:right="1033" w:firstLine="36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年收购华宇园林后，上市公司成为华宇园林的控股股东，并初步实现多元化发展战略、形成双主业格局。上市公 </w:t>
      </w:r>
      <w:r>
        <w:rPr>
          <w:spacing w:val="-2"/>
        </w:rPr>
        <w:t>司在本次收购完成后，园林业务将在原有架构和管理团队下运营，不会进行重大调整。本次收购主要通过后台管理制度的完</w:t>
      </w:r>
      <w:r>
        <w:rPr>
          <w:spacing w:val="-66"/>
        </w:rPr>
        <w:t> </w:t>
      </w:r>
      <w:r>
        <w:rPr>
          <w:spacing w:val="-66"/>
        </w:rPr>
      </w:r>
      <w:r>
        <w:rPr/>
        <w:t>善，前端客户资源的整合，跨区域项目运营管理等方面实现业务协同。但本次收购整合能否保持华宇园林原有的竞争优势， 能否充分发挥本次交易的协同效应，均具有一定的不确定性，存在由于整合不利导致经营波动的风险。</w:t>
      </w:r>
    </w:p>
    <w:p>
      <w:pPr>
        <w:pStyle w:val="BodyText"/>
        <w:spacing w:line="338" w:lineRule="auto" w:before="62"/>
        <w:ind w:left="474" w:right="1032"/>
        <w:jc w:val="left"/>
      </w:pPr>
      <w:r>
        <w:rPr>
          <w:rFonts w:ascii="Times New Roman" w:hAnsi="Times New Roman" w:cs="Times New Roman" w:eastAsia="Times New Roman" w:hint="default"/>
        </w:rPr>
        <w:t>4</w:t>
      </w:r>
      <w:r>
        <w:rPr/>
        <w:t>、原材料价格波动的风险 公司的主导产品防伪瓶盖、复合型防伪印刷铝板的主要原材料包括铝板、油墨、涂料、塑料原料等。铝板是防伪瓶盖、</w:t>
      </w:r>
    </w:p>
    <w:p>
      <w:pPr>
        <w:pStyle w:val="BodyText"/>
        <w:spacing w:line="312" w:lineRule="auto" w:before="2"/>
        <w:ind w:left="113" w:right="1033"/>
        <w:jc w:val="left"/>
      </w:pPr>
      <w:r>
        <w:rPr/>
        <w:t>复合型防伪印刷铝板原材料的主要部分。铝作为基础原材料，价格随宏观经济波动呈现出相应的周期性变动规律，受国际、 国内经济影响，</w:t>
      </w:r>
      <w:r>
        <w:rPr>
          <w:rFonts w:ascii="Times New Roman" w:hAnsi="Times New Roman" w:cs="Times New Roman" w:eastAsia="Times New Roman" w:hint="default"/>
        </w:rPr>
        <w:t>2012 </w:t>
      </w:r>
      <w:r>
        <w:rPr/>
        <w:t>年以来铝材价格处于短期高位震荡，长期整体下行趋势。原材料成本占产品成本的比重在</w:t>
      </w:r>
      <w:r>
        <w:rPr>
          <w:spacing w:val="-46"/>
        </w:rPr>
        <w:t> </w:t>
      </w:r>
      <w:r>
        <w:rPr>
          <w:rFonts w:ascii="Times New Roman" w:hAnsi="Times New Roman" w:cs="Times New Roman" w:eastAsia="Times New Roman" w:hint="default"/>
        </w:rPr>
        <w:t>70%</w:t>
      </w:r>
      <w:r>
        <w:rPr/>
        <w:t>以上， </w:t>
      </w:r>
      <w:r>
        <w:rPr>
          <w:spacing w:val="-2"/>
        </w:rPr>
        <w:t>虽然公司通过比价采购、技术改造、内部挖潜等措施，努力提高原材料利用率并取得了一定成效，但若上述原材料的价格出</w:t>
      </w:r>
      <w:r>
        <w:rPr>
          <w:spacing w:val="-66"/>
        </w:rPr>
        <w:t> </w:t>
      </w:r>
      <w:r>
        <w:rPr>
          <w:spacing w:val="-66"/>
        </w:rPr>
      </w:r>
      <w:r>
        <w:rPr/>
        <w:t>现较大波动，仍将对公司的生产经营产生较大影响，从而影响到公司盈利水平和经营业绩。</w:t>
      </w:r>
    </w:p>
    <w:p>
      <w:pPr>
        <w:pStyle w:val="BodyText"/>
        <w:spacing w:line="312" w:lineRule="auto" w:before="62"/>
        <w:ind w:left="113" w:right="0" w:firstLine="360"/>
        <w:jc w:val="left"/>
      </w:pPr>
      <w:r>
        <w:rPr/>
        <w:t>另外，园林工程施工业务在华宇园林营业收入中所占比重达</w:t>
      </w:r>
      <w:r>
        <w:rPr>
          <w:spacing w:val="-45"/>
        </w:rPr>
        <w:t> </w:t>
      </w:r>
      <w:r>
        <w:rPr>
          <w:rFonts w:ascii="Times New Roman" w:hAnsi="Times New Roman" w:cs="Times New Roman" w:eastAsia="Times New Roman" w:hint="default"/>
        </w:rPr>
        <w:t>90%</w:t>
      </w:r>
      <w:r>
        <w:rPr/>
        <w:t>以上，是华宇园林的核心业务。园林工程施工的主要 </w:t>
      </w:r>
      <w:r>
        <w:rPr>
          <w:spacing w:val="-2"/>
        </w:rPr>
        <w:t>成本是苗木、石材等建筑材料。华宇园林采购模式分为集中采购、就地采购、零星采购三种，并针对工程中主要用材采取集</w:t>
      </w:r>
      <w:r>
        <w:rPr>
          <w:spacing w:val="-66"/>
        </w:rPr>
        <w:t> </w:t>
      </w:r>
      <w:r>
        <w:rPr>
          <w:spacing w:val="-66"/>
        </w:rPr>
      </w:r>
      <w:r>
        <w:rPr>
          <w:spacing w:val="-2"/>
        </w:rPr>
        <w:t>中采购的方式。华宇园林通常根据项目的实际需要制定采购计划，预算采购成本并进行项目报价，由于工程项目合同周期较</w:t>
      </w:r>
      <w:r>
        <w:rPr>
          <w:spacing w:val="-66"/>
        </w:rPr>
        <w:t> </w:t>
      </w:r>
      <w:r>
        <w:rPr>
          <w:spacing w:val="-66"/>
        </w:rPr>
      </w:r>
      <w:r>
        <w:rPr/>
        <w:t>长，在项目合同期内，如果原材料成本上升幅度超过预期，致使项目成本上升，将对园林业务的盈利水平造成不利影响。</w:t>
      </w:r>
    </w:p>
    <w:p>
      <w:pPr>
        <w:pStyle w:val="BodyText"/>
        <w:spacing w:line="338" w:lineRule="auto" w:before="62"/>
        <w:ind w:left="474" w:right="0"/>
        <w:jc w:val="left"/>
      </w:pPr>
      <w:r>
        <w:rPr>
          <w:rFonts w:ascii="Times New Roman" w:hAnsi="Times New Roman" w:cs="Times New Roman" w:eastAsia="Times New Roman" w:hint="default"/>
        </w:rPr>
        <w:t>5</w:t>
      </w:r>
      <w:r>
        <w:rPr/>
        <w:t>、劳动力成本上升的风险 </w:t>
      </w:r>
      <w:r>
        <w:rPr>
          <w:spacing w:val="-2"/>
        </w:rPr>
        <w:t>近年来，随着我国经济持续快速增长，国家倡导提高工资性收入有利于缩小贫富差距、扩大消费、拉动内需，并逐步完</w:t>
      </w:r>
    </w:p>
    <w:p>
      <w:pPr>
        <w:pStyle w:val="BodyText"/>
        <w:spacing w:line="319" w:lineRule="auto" w:before="2"/>
        <w:ind w:right="1032"/>
        <w:jc w:val="left"/>
      </w:pPr>
      <w:r>
        <w:rPr/>
        <w:t>善劳动与社会保障制度，这些因素使得劳动力成本不断上涨，不断压缩企业的盈利空间，已成为我国企业普遍面临的问题， </w:t>
      </w:r>
      <w:r>
        <w:rPr>
          <w:spacing w:val="-2"/>
        </w:rPr>
        <w:t>加上劳务成本在园林工程施工成本中占比较大，如果劳务成本上升幅度超过预期，对公司瓶盖业务、园林业务的盈利水平都</w:t>
      </w:r>
      <w:r>
        <w:rPr>
          <w:spacing w:val="-66"/>
        </w:rPr>
        <w:t> </w:t>
      </w:r>
      <w:r>
        <w:rPr>
          <w:spacing w:val="-66"/>
        </w:rPr>
      </w:r>
      <w:r>
        <w:rPr/>
        <w:t>将造成一定影响，公司面临着劳动力成本上升的风险。</w:t>
      </w:r>
    </w:p>
    <w:p>
      <w:pPr>
        <w:pStyle w:val="BodyText"/>
        <w:spacing w:line="338" w:lineRule="auto" w:before="58"/>
        <w:ind w:left="474" w:right="0"/>
        <w:jc w:val="left"/>
      </w:pPr>
      <w:r>
        <w:rPr>
          <w:rFonts w:ascii="Times New Roman" w:hAnsi="Times New Roman" w:cs="Times New Roman" w:eastAsia="Times New Roman" w:hint="default"/>
        </w:rPr>
        <w:t>6</w:t>
      </w:r>
      <w:r>
        <w:rPr/>
        <w:t>、应收账款金额较大及坏账风险 </w:t>
      </w:r>
      <w:r>
        <w:rPr>
          <w:spacing w:val="-2"/>
        </w:rPr>
        <w:t>由于园林行业的经营特性，且公司客户主要为地方政府，资信情况良好，回款风险较低。但应收账款回收率不可避免地</w:t>
      </w:r>
    </w:p>
    <w:p>
      <w:pPr>
        <w:pStyle w:val="BodyText"/>
        <w:spacing w:line="240" w:lineRule="auto" w:before="2"/>
        <w:ind w:right="0"/>
        <w:jc w:val="left"/>
      </w:pPr>
      <w:r>
        <w:rPr/>
        <w:t>受到地方政府财政预算、资金状况以及地方政府办公效率的影响，仍存在随着业务规模的扩大和应收账款余额的增加，出现</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未来不能及时收回或无法收回的风险。</w:t>
      </w:r>
    </w:p>
    <w:p>
      <w:pPr>
        <w:pStyle w:val="BodyText"/>
        <w:spacing w:line="338" w:lineRule="auto" w:before="116"/>
        <w:ind w:left="474" w:right="0"/>
        <w:jc w:val="left"/>
      </w:pPr>
      <w:r>
        <w:rPr>
          <w:rFonts w:ascii="Times New Roman" w:hAnsi="Times New Roman" w:cs="Times New Roman" w:eastAsia="Times New Roman" w:hint="default"/>
        </w:rPr>
        <w:t>7</w:t>
      </w:r>
      <w:r>
        <w:rPr/>
        <w:t>、自然灾害风险 </w:t>
      </w:r>
      <w:r>
        <w:rPr>
          <w:spacing w:val="-2"/>
        </w:rPr>
        <w:t>园林施工业务受到极端天气等其他不可预测的自然灾害的影响较大。不良天气状况（如严寒、暴雨、高温、台风等）及</w:t>
      </w:r>
    </w:p>
    <w:p>
      <w:pPr>
        <w:pStyle w:val="BodyText"/>
        <w:spacing w:line="319" w:lineRule="auto" w:before="2"/>
        <w:ind w:right="0"/>
        <w:jc w:val="left"/>
      </w:pPr>
      <w:r>
        <w:rPr>
          <w:spacing w:val="-2"/>
        </w:rPr>
        <w:t>自然灾害（如地震、滑坡或泥石流等）均会影响到项目施工的正常进度。如果异常严峻的气候状况持续时间较长，则可能对</w:t>
      </w:r>
      <w:r>
        <w:rPr>
          <w:spacing w:val="-66"/>
        </w:rPr>
        <w:t> </w:t>
      </w:r>
      <w:r>
        <w:rPr>
          <w:spacing w:val="-66"/>
        </w:rPr>
      </w:r>
      <w:r>
        <w:rPr/>
        <w:t>公司园林工程施工业务开展及经营成果造成重大不利影响。</w:t>
      </w:r>
    </w:p>
    <w:p>
      <w:pPr>
        <w:pStyle w:val="BodyText"/>
        <w:spacing w:line="338" w:lineRule="auto" w:before="56"/>
        <w:ind w:left="474" w:right="1118"/>
        <w:jc w:val="left"/>
      </w:pPr>
      <w:r>
        <w:rPr>
          <w:rFonts w:ascii="Times New Roman" w:hAnsi="Times New Roman" w:cs="Times New Roman" w:eastAsia="Times New Roman" w:hint="default"/>
        </w:rPr>
        <w:t>8</w:t>
      </w:r>
      <w:r>
        <w:rPr/>
        <w:t>、其他风险 </w:t>
      </w:r>
      <w:r>
        <w:rPr>
          <w:spacing w:val="-2"/>
        </w:rPr>
        <w:t>本报告中如有涉及未来的计划、业绩预测等方面的内容，均不构成本公司对任何投资者及相关人士的承诺。投资者及相</w:t>
      </w:r>
    </w:p>
    <w:p>
      <w:pPr>
        <w:pStyle w:val="BodyText"/>
        <w:spacing w:line="240" w:lineRule="auto" w:before="4"/>
        <w:ind w:right="0"/>
        <w:jc w:val="left"/>
      </w:pPr>
      <w:r>
        <w:rPr/>
        <w:t>关人士均应对此保持足够的风险认识，并应当理解计划、预测与承诺之间的差异。</w:t>
      </w:r>
    </w:p>
    <w:p>
      <w:pPr>
        <w:spacing w:line="240" w:lineRule="auto" w:before="1"/>
        <w:rPr>
          <w:rFonts w:ascii="宋体" w:hAnsi="宋体" w:cs="宋体" w:eastAsia="宋体" w:hint="default"/>
          <w:sz w:val="25"/>
          <w:szCs w:val="25"/>
        </w:rPr>
      </w:pPr>
    </w:p>
    <w:p>
      <w:pPr>
        <w:pStyle w:val="Heading2"/>
        <w:spacing w:line="240" w:lineRule="auto"/>
        <w:ind w:left="113" w:right="0"/>
        <w:jc w:val="left"/>
        <w:rPr>
          <w:b w:val="0"/>
          <w:bCs w:val="0"/>
        </w:rPr>
      </w:pPr>
      <w:bookmarkStart w:name="十、接待调研、沟通、采访等活动" w:id="58"/>
      <w:bookmarkEnd w:id="58"/>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28"/>
              <w:jc w:val="left"/>
              <w:rPr>
                <w:rFonts w:ascii="Times New Roman" w:hAnsi="Times New Roman" w:cs="Times New Roman" w:eastAsia="Times New Roman" w:hint="default"/>
                <w:sz w:val="18"/>
                <w:szCs w:val="18"/>
              </w:rPr>
            </w:pPr>
            <w:hyperlink r:id="rId16">
              <w:r>
                <w:rPr>
                  <w:rFonts w:ascii="Times New Roman"/>
                  <w:sz w:val="18"/>
                </w:rPr>
                <w:t>http://irm.cninfo.com.cn/ircs/sse/sseSu</w:t>
              </w:r>
            </w:hyperlink>
            <w:r>
              <w:rPr>
                <w:rFonts w:ascii="Times New Roman"/>
                <w:w w:val="99"/>
                <w:sz w:val="18"/>
              </w:rPr>
              <w:t> </w:t>
            </w:r>
            <w:r>
              <w:rPr>
                <w:rFonts w:ascii="Times New Roman"/>
                <w:sz w:val="18"/>
              </w:rPr>
              <w:t>bIndex.do?condition.type=6</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29"/>
              <w:jc w:val="left"/>
              <w:rPr>
                <w:rFonts w:ascii="Times New Roman" w:hAnsi="Times New Roman" w:cs="Times New Roman" w:eastAsia="Times New Roman" w:hint="default"/>
                <w:sz w:val="18"/>
                <w:szCs w:val="18"/>
              </w:rPr>
            </w:pPr>
            <w:hyperlink r:id="rId16">
              <w:r>
                <w:rPr>
                  <w:rFonts w:ascii="Times New Roman"/>
                  <w:sz w:val="18"/>
                </w:rPr>
                <w:t>http://irm.cninfo.com.cn/ircs/sse/sseSu</w:t>
              </w:r>
            </w:hyperlink>
            <w:r>
              <w:rPr>
                <w:rFonts w:ascii="Times New Roman"/>
                <w:w w:val="99"/>
                <w:sz w:val="18"/>
              </w:rPr>
              <w:t> </w:t>
            </w:r>
            <w:r>
              <w:rPr>
                <w:rFonts w:ascii="Times New Roman"/>
                <w:sz w:val="18"/>
              </w:rPr>
              <w:t>bIndex.do?condition.type=6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末至披露日期间接待调研、沟通、采访等活动登记表" w:id="60"/>
      <w:bookmarkEnd w:id="60"/>
      <w:r>
        <w:rPr>
          <w:b w:val="0"/>
          <w:bCs w:val="0"/>
        </w:rPr>
      </w: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352"/>
        <w:jc w:val="left"/>
      </w:pPr>
      <w:r>
        <w:rPr/>
        <w:t>□ 适用 √ 不适用 公司报告期期末至披露日期间未发生接待调研、沟通、采访等活动。</w:t>
      </w:r>
    </w:p>
    <w:p>
      <w:pPr>
        <w:spacing w:after="0" w:line="36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321"/>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0"/>
        <w:jc w:val="left"/>
      </w:pPr>
      <w:r>
        <w:rPr/>
        <w:t>报告期内普通股利润分配政策，特别是现金分红政策的制定、执行或调整情况</w:t>
      </w:r>
    </w:p>
    <w:p>
      <w:pPr>
        <w:pStyle w:val="BodyText"/>
        <w:spacing w:line="240" w:lineRule="auto" w:before="117"/>
        <w:ind w:left="113" w:right="0"/>
        <w:jc w:val="left"/>
      </w:pPr>
      <w:r>
        <w:rPr/>
        <w:t>□ 适用 √ 不适用</w:t>
      </w:r>
    </w:p>
    <w:p>
      <w:pPr>
        <w:pStyle w:val="BodyText"/>
        <w:spacing w:line="338" w:lineRule="auto" w:before="116"/>
        <w:ind w:left="473" w:right="0" w:hanging="36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年（包括本报告期）的普通股股利分配方案（预案）、资本公积金转增股本方案（预案）情况 </w:t>
      </w:r>
      <w:r>
        <w:rPr>
          <w:rFonts w:ascii="宋体" w:hAnsi="宋体" w:cs="宋体" w:eastAsia="宋体" w:hint="default"/>
          <w:spacing w:val="-2"/>
        </w:rPr>
        <w:t>1</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26</w:t>
      </w:r>
      <w:r>
        <w:rPr>
          <w:spacing w:val="-2"/>
        </w:rPr>
        <w:t>日，公司</w:t>
      </w:r>
      <w:r>
        <w:rPr>
          <w:rFonts w:ascii="宋体" w:hAnsi="宋体" w:cs="宋体" w:eastAsia="宋体" w:hint="default"/>
          <w:spacing w:val="-2"/>
        </w:rPr>
        <w:t>2013</w:t>
      </w:r>
      <w:r>
        <w:rPr>
          <w:spacing w:val="-2"/>
        </w:rPr>
        <w:t>年年度股东大会审议通过了《公司</w:t>
      </w:r>
      <w:r>
        <w:rPr>
          <w:rFonts w:ascii="宋体" w:hAnsi="宋体" w:cs="宋体" w:eastAsia="宋体" w:hint="default"/>
          <w:spacing w:val="-2"/>
        </w:rPr>
        <w:t>2013</w:t>
      </w:r>
      <w:r>
        <w:rPr>
          <w:spacing w:val="-2"/>
        </w:rPr>
        <w:t>年度利润分配预案》，以截至</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w:t>
      </w:r>
    </w:p>
    <w:p>
      <w:pPr>
        <w:pStyle w:val="BodyText"/>
        <w:spacing w:line="319" w:lineRule="auto" w:before="2"/>
        <w:ind w:left="113" w:right="0"/>
        <w:jc w:val="left"/>
      </w:pPr>
      <w:r>
        <w:rPr>
          <w:spacing w:val="-4"/>
        </w:rPr>
        <w:t>总股本</w:t>
      </w:r>
      <w:r>
        <w:rPr>
          <w:rFonts w:ascii="宋体" w:hAnsi="宋体" w:cs="宋体" w:eastAsia="宋体" w:hint="default"/>
          <w:spacing w:val="-4"/>
        </w:rPr>
        <w:t>191,409,229</w:t>
      </w:r>
      <w:r>
        <w:rPr>
          <w:spacing w:val="-4"/>
        </w:rPr>
        <w:t>股为基数，向全体股东每</w:t>
      </w:r>
      <w:r>
        <w:rPr>
          <w:rFonts w:ascii="宋体" w:hAnsi="宋体" w:cs="宋体" w:eastAsia="宋体" w:hint="default"/>
          <w:spacing w:val="-4"/>
        </w:rPr>
        <w:t>10</w:t>
      </w:r>
      <w:r>
        <w:rPr>
          <w:spacing w:val="-4"/>
        </w:rPr>
        <w:t>股派发现金红利</w:t>
      </w:r>
      <w:r>
        <w:rPr>
          <w:rFonts w:ascii="宋体" w:hAnsi="宋体" w:cs="宋体" w:eastAsia="宋体" w:hint="default"/>
          <w:spacing w:val="-4"/>
        </w:rPr>
        <w:t>0.50</w:t>
      </w:r>
      <w:r>
        <w:rPr>
          <w:spacing w:val="-4"/>
        </w:rPr>
        <w:t>元（含税），派发现金红利共计</w:t>
      </w:r>
      <w:r>
        <w:rPr>
          <w:rFonts w:ascii="宋体" w:hAnsi="宋体" w:cs="宋体" w:eastAsia="宋体" w:hint="default"/>
          <w:spacing w:val="-4"/>
        </w:rPr>
        <w:t>9,570,461.45</w:t>
      </w:r>
      <w:r>
        <w:rPr>
          <w:spacing w:val="-4"/>
        </w:rPr>
        <w:t>元（含税），</w:t>
      </w:r>
      <w:r>
        <w:rPr>
          <w:spacing w:val="-76"/>
        </w:rPr>
        <w:t> </w:t>
      </w:r>
      <w:r>
        <w:rPr>
          <w:spacing w:val="-76"/>
        </w:rPr>
      </w:r>
      <w:r>
        <w:rPr/>
        <w:t>剩余未分配利润结转下一年度。本次利润分配不送股，不转增股本。</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4</w:t>
      </w:r>
      <w:r>
        <w:rPr/>
        <w:t>日，公司实施了该方案。</w:t>
      </w:r>
    </w:p>
    <w:p>
      <w:pPr>
        <w:pStyle w:val="BodyText"/>
        <w:spacing w:line="319" w:lineRule="auto" w:before="56"/>
        <w:ind w:left="113" w:right="1132" w:firstLine="360"/>
        <w:jc w:val="both"/>
      </w:pPr>
      <w:r>
        <w:rPr>
          <w:rFonts w:ascii="宋体" w:hAnsi="宋体" w:cs="宋体" w:eastAsia="宋体" w:hint="default"/>
          <w:spacing w:val="-2"/>
        </w:rPr>
        <w:t>2</w:t>
      </w:r>
      <w:r>
        <w:rPr>
          <w:spacing w:val="-2"/>
        </w:rPr>
        <w:t>、</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30</w:t>
      </w:r>
      <w:r>
        <w:rPr>
          <w:spacing w:val="-2"/>
        </w:rPr>
        <w:t>日，公司</w:t>
      </w:r>
      <w:r>
        <w:rPr>
          <w:rFonts w:ascii="宋体" w:hAnsi="宋体" w:cs="宋体" w:eastAsia="宋体" w:hint="default"/>
          <w:spacing w:val="-2"/>
        </w:rPr>
        <w:t>2014</w:t>
      </w:r>
      <w:r>
        <w:rPr>
          <w:spacing w:val="-2"/>
        </w:rPr>
        <w:t>年度股东大会审议通过了《公司</w:t>
      </w:r>
      <w:r>
        <w:rPr>
          <w:rFonts w:ascii="宋体" w:hAnsi="宋体" w:cs="宋体" w:eastAsia="宋体" w:hint="default"/>
          <w:spacing w:val="-2"/>
        </w:rPr>
        <w:t>2014</w:t>
      </w:r>
      <w:r>
        <w:rPr>
          <w:spacing w:val="-2"/>
        </w:rPr>
        <w:t>年度利润分配预案》，结合</w:t>
      </w:r>
      <w:r>
        <w:rPr>
          <w:rFonts w:ascii="宋体" w:hAnsi="宋体" w:cs="宋体" w:eastAsia="宋体" w:hint="default"/>
          <w:spacing w:val="-2"/>
        </w:rPr>
        <w:t>2014</w:t>
      </w:r>
      <w:r>
        <w:rPr>
          <w:spacing w:val="-2"/>
        </w:rPr>
        <w:t>年度经营与财务状况</w:t>
      </w:r>
      <w:r>
        <w:rPr/>
        <w:t> 及</w:t>
      </w:r>
      <w:r>
        <w:rPr>
          <w:rFonts w:ascii="宋体" w:hAnsi="宋体" w:cs="宋体" w:eastAsia="宋体" w:hint="default"/>
        </w:rPr>
        <w:t>2015</w:t>
      </w:r>
      <w:r>
        <w:rPr/>
        <w:t>年发展规划，拟定公司</w:t>
      </w:r>
      <w:r>
        <w:rPr>
          <w:rFonts w:ascii="宋体" w:hAnsi="宋体" w:cs="宋体" w:eastAsia="宋体" w:hint="default"/>
        </w:rPr>
        <w:t>2014</w:t>
      </w:r>
      <w:r>
        <w:rPr/>
        <w:t>年度利润分配预案为：</w:t>
      </w:r>
      <w:r>
        <w:rPr>
          <w:rFonts w:ascii="宋体" w:hAnsi="宋体" w:cs="宋体" w:eastAsia="宋体" w:hint="default"/>
        </w:rPr>
        <w:t>2014 </w:t>
      </w:r>
      <w:r>
        <w:rPr/>
        <w:t>年度不进行利润分配，也不进行资本公积金转增股本，未分 配利润结转下一年度。</w:t>
      </w:r>
    </w:p>
    <w:p>
      <w:pPr>
        <w:pStyle w:val="BodyText"/>
        <w:spacing w:line="319" w:lineRule="auto" w:before="55"/>
        <w:ind w:left="113" w:right="1130" w:firstLine="360"/>
        <w:jc w:val="both"/>
      </w:pPr>
      <w:r>
        <w:rPr>
          <w:rFonts w:ascii="宋体" w:hAnsi="宋体" w:cs="宋体" w:eastAsia="宋体" w:hint="default"/>
          <w:spacing w:val="-2"/>
        </w:rPr>
        <w:t>3</w:t>
      </w:r>
      <w:r>
        <w:rPr>
          <w:spacing w:val="-2"/>
        </w:rPr>
        <w:t>、</w:t>
      </w:r>
      <w:r>
        <w:rPr>
          <w:rFonts w:ascii="宋体" w:hAnsi="宋体" w:cs="宋体" w:eastAsia="宋体" w:hint="default"/>
          <w:spacing w:val="-2"/>
        </w:rPr>
        <w:t>2015</w:t>
      </w:r>
      <w:r>
        <w:rPr>
          <w:spacing w:val="-2"/>
        </w:rPr>
        <w:t>年度公司利润分配预案：以截至目前公司总股本</w:t>
      </w:r>
      <w:r>
        <w:rPr>
          <w:rFonts w:ascii="宋体" w:hAnsi="宋体" w:cs="宋体" w:eastAsia="宋体" w:hint="default"/>
          <w:spacing w:val="-2"/>
        </w:rPr>
        <w:t>351,623,221</w:t>
      </w:r>
      <w:r>
        <w:rPr>
          <w:spacing w:val="-2"/>
        </w:rPr>
        <w:t>股为基数，向在股权登记日登记在册的全体股东进</w:t>
      </w:r>
      <w:r>
        <w:rPr/>
        <w:t> 行利润分配，按每</w:t>
      </w:r>
      <w:r>
        <w:rPr>
          <w:rFonts w:ascii="宋体" w:hAnsi="宋体" w:cs="宋体" w:eastAsia="宋体" w:hint="default"/>
        </w:rPr>
        <w:t>10</w:t>
      </w:r>
      <w:r>
        <w:rPr/>
        <w:t>股派息</w:t>
      </w:r>
      <w:r>
        <w:rPr>
          <w:rFonts w:ascii="宋体" w:hAnsi="宋体" w:cs="宋体" w:eastAsia="宋体" w:hint="default"/>
        </w:rPr>
        <w:t>0.50</w:t>
      </w:r>
      <w:r>
        <w:rPr/>
        <w:t>元（含税），合计派息</w:t>
      </w:r>
      <w:r>
        <w:rPr>
          <w:rFonts w:ascii="宋体" w:hAnsi="宋体" w:cs="宋体" w:eastAsia="宋体" w:hint="default"/>
        </w:rPr>
        <w:t>17581161.05</w:t>
      </w:r>
      <w:r>
        <w:rPr/>
        <w:t>元（含税），经过本次分配后未分配利润剩余部分结转 以后年度分配；根据稳步有序的股本扩张计划和长期市值管理规划，公司以目前</w:t>
      </w:r>
      <w:r>
        <w:rPr>
          <w:rFonts w:ascii="宋体" w:hAnsi="宋体" w:cs="宋体" w:eastAsia="宋体" w:hint="default"/>
        </w:rPr>
        <w:t>351,623,221</w:t>
      </w:r>
      <w:r>
        <w:rPr/>
        <w:t>股总股本为基数，以资本公积 </w:t>
      </w:r>
      <w:r>
        <w:rPr>
          <w:spacing w:val="-2"/>
        </w:rPr>
        <w:t>金转增股本的方式，拟向全体股东每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12</w:t>
      </w:r>
      <w:r>
        <w:rPr>
          <w:spacing w:val="-2"/>
        </w:rPr>
        <w:t>股，共计转增</w:t>
      </w:r>
      <w:r>
        <w:rPr>
          <w:rFonts w:ascii="宋体" w:hAnsi="宋体" w:cs="宋体" w:eastAsia="宋体" w:hint="default"/>
          <w:spacing w:val="-2"/>
        </w:rPr>
        <w:t>421,947,865</w:t>
      </w:r>
      <w:r>
        <w:rPr>
          <w:spacing w:val="-2"/>
        </w:rPr>
        <w:t>股，转增后公司总股本为</w:t>
      </w:r>
      <w:r>
        <w:rPr>
          <w:rFonts w:ascii="宋体" w:hAnsi="宋体" w:cs="宋体" w:eastAsia="宋体" w:hint="default"/>
          <w:spacing w:val="-2"/>
        </w:rPr>
        <w:t>773,571,086</w:t>
      </w:r>
      <w:r>
        <w:rPr>
          <w:spacing w:val="-2"/>
        </w:rPr>
        <w:t>股，公司注</w:t>
      </w:r>
      <w:r>
        <w:rPr>
          <w:spacing w:val="-41"/>
        </w:rPr>
        <w:t> </w:t>
      </w:r>
      <w:r>
        <w:rPr>
          <w:spacing w:val="-41"/>
        </w:rPr>
      </w:r>
      <w:r>
        <w:rPr/>
        <w:t>册资本及实收资本变更为</w:t>
      </w:r>
      <w:r>
        <w:rPr>
          <w:rFonts w:ascii="宋体" w:hAnsi="宋体" w:cs="宋体" w:eastAsia="宋体" w:hint="default"/>
        </w:rPr>
        <w:t>773,571,086</w:t>
      </w:r>
      <w:r>
        <w:rPr/>
        <w:t>元。</w:t>
      </w:r>
    </w:p>
    <w:p>
      <w:pPr>
        <w:spacing w:line="240" w:lineRule="auto" w:before="12"/>
        <w:rPr>
          <w:rFonts w:ascii="宋体" w:hAnsi="宋体" w:cs="宋体" w:eastAsia="宋体" w:hint="default"/>
          <w:sz w:val="27"/>
          <w:szCs w:val="27"/>
        </w:rPr>
      </w:pPr>
    </w:p>
    <w:p>
      <w:pPr>
        <w:pStyle w:val="BodyText"/>
        <w:spacing w:line="240" w:lineRule="auto" w:before="44"/>
        <w:ind w:left="113"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2" w:right="101"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1" w:right="16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1" w:right="161"/>
              <w:jc w:val="center"/>
              <w:rPr>
                <w:rFonts w:ascii="宋体" w:hAnsi="宋体" w:cs="宋体" w:eastAsia="宋体" w:hint="default"/>
                <w:sz w:val="18"/>
                <w:szCs w:val="18"/>
              </w:rPr>
            </w:pPr>
            <w:r>
              <w:rPr>
                <w:rFonts w:ascii="宋体" w:hAnsi="宋体" w:cs="宋体" w:eastAsia="宋体" w:hint="default"/>
                <w:sz w:val="18"/>
                <w:szCs w:val="18"/>
              </w:rPr>
              <w:t>占合并报表中归 属于上市公司普 通股股东的净利 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2" w:right="16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1" w:right="16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17,581,161.05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121,304,672.40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31,350,531.97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9,570,461.45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37,836,354.03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6"/>
        <w:ind w:left="11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96"/>
        <w:gridCol w:w="5773"/>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351,623,221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796"/>
        <w:gridCol w:w="5772"/>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现金分红总额（元）（含税）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17,581,161.05</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121,304,672.40</w:t>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年度公司利润分配预案：以截至目前公司总股本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351,623,221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股为基数，向在股权登记日登记在册的全体股东进行</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利润分配，按每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元（含税），合计派息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17581161.05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元（含税），经过本次分配后未分配利润剩余部分</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结转以后年度分配；根据稳步有序的股本扩张计划和长期市值管理规划，公司以目前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351,623,221 </w:t>
            </w:r>
            <w:r>
              <w:rPr>
                <w:rFonts w:ascii="宋体" w:hAnsi="宋体" w:cs="宋体" w:eastAsia="宋体" w:hint="default"/>
                <w:sz w:val="18"/>
                <w:szCs w:val="18"/>
              </w:rPr>
              <w:t>股总股本为基数，以</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资本公积金转增股本的方式</w:t>
            </w:r>
            <w:r>
              <w:rPr>
                <w:rFonts w:ascii="宋体" w:hAnsi="宋体" w:cs="宋体" w:eastAsia="宋体" w:hint="default"/>
                <w:spacing w:val="-90"/>
                <w:sz w:val="18"/>
                <w:szCs w:val="18"/>
              </w:rPr>
              <w:t>，</w:t>
            </w:r>
            <w:r>
              <w:rPr>
                <w:rFonts w:ascii="宋体" w:hAnsi="宋体" w:cs="宋体" w:eastAsia="宋体" w:hint="default"/>
                <w:sz w:val="18"/>
                <w:szCs w:val="18"/>
              </w:rPr>
              <w:t>拟向全体股东每</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股转增</w:t>
            </w:r>
            <w:r>
              <w:rPr>
                <w:rFonts w:ascii="宋体" w:hAnsi="宋体" w:cs="宋体" w:eastAsia="宋体" w:hint="default"/>
                <w:spacing w:val="-53"/>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共计转增</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421,947,865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转增后公司总股本为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773,571</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086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股，公司注册资本及实收资本变更为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773,571,086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13" w:right="0"/>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103" w:right="11"/>
              <w:jc w:val="left"/>
              <w:rPr>
                <w:rFonts w:ascii="宋体" w:hAnsi="宋体" w:cs="宋体" w:eastAsia="宋体" w:hint="default"/>
                <w:sz w:val="18"/>
                <w:szCs w:val="18"/>
              </w:rPr>
            </w:pPr>
            <w:r>
              <w:rPr>
                <w:rFonts w:ascii="宋体" w:hAnsi="宋体" w:cs="宋体" w:eastAsia="宋体" w:hint="default"/>
                <w:spacing w:val="-14"/>
                <w:sz w:val="18"/>
                <w:szCs w:val="18"/>
              </w:rPr>
              <w:t>汤于、赖力、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汤洪波、丁 小玲、成都 富恩德股权 投资基金合 伙企业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华宇园林于</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p>
          <w:p>
            <w:pPr>
              <w:pStyle w:val="TableParagraph"/>
              <w:spacing w:line="312" w:lineRule="auto" w:before="63"/>
              <w:ind w:left="103" w:right="1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年扣 除非经常性 损益后归属 于母公司所 有者的净利 润分别不低 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10,500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13,000</w:t>
            </w:r>
          </w:p>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27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01"/>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11"/>
              <w:jc w:val="left"/>
              <w:rPr>
                <w:rFonts w:ascii="宋体" w:hAnsi="宋体" w:cs="宋体" w:eastAsia="宋体" w:hint="default"/>
                <w:sz w:val="18"/>
                <w:szCs w:val="18"/>
              </w:rPr>
            </w:pPr>
            <w:r>
              <w:rPr>
                <w:rFonts w:ascii="宋体" w:hAnsi="宋体" w:cs="宋体" w:eastAsia="宋体" w:hint="default"/>
                <w:sz w:val="18"/>
                <w:szCs w:val="18"/>
              </w:rPr>
              <w:t>孙世尧、孙 </w:t>
            </w:r>
            <w:r>
              <w:rPr>
                <w:rFonts w:ascii="宋体" w:hAnsi="宋体" w:cs="宋体" w:eastAsia="宋体" w:hint="default"/>
                <w:spacing w:val="-14"/>
                <w:sz w:val="18"/>
                <w:szCs w:val="18"/>
              </w:rPr>
              <w:t>鲲鹏、汤于、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霍文菊、孙 红丽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both"/>
              <w:rPr>
                <w:rFonts w:ascii="宋体" w:hAnsi="宋体" w:cs="宋体" w:eastAsia="宋体" w:hint="default"/>
                <w:sz w:val="18"/>
                <w:szCs w:val="18"/>
              </w:rPr>
            </w:pPr>
            <w:r>
              <w:rPr>
                <w:rFonts w:ascii="宋体" w:hAnsi="宋体" w:cs="宋体" w:eastAsia="宋体" w:hint="default"/>
                <w:sz w:val="18"/>
                <w:szCs w:val="18"/>
              </w:rPr>
              <w:t>自丽鹏股份 本次发行股 份上市之日 起，三十六 个月内不转 让本次认购 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72"/>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细说明未完成履行的具体原因及 下一步的工作计划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3" w:right="133"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5" w:right="133"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4" w:right="134"/>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3" w:right="134"/>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4" w:right="135"/>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5" w:right="134"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4" w:right="132"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11"/>
              <w:jc w:val="left"/>
              <w:rPr>
                <w:rFonts w:ascii="宋体" w:hAnsi="宋体" w:cs="宋体" w:eastAsia="宋体" w:hint="default"/>
                <w:sz w:val="18"/>
                <w:szCs w:val="18"/>
              </w:rPr>
            </w:pPr>
            <w:r>
              <w:rPr>
                <w:rFonts w:ascii="宋体" w:hAnsi="宋体" w:cs="宋体" w:eastAsia="宋体" w:hint="default"/>
                <w:sz w:val="18"/>
                <w:szCs w:val="18"/>
              </w:rPr>
              <w:t>重庆华宇园林 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12,460.96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13,534.93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03" w:right="135"/>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pacing w:val="-2"/>
                <w:sz w:val="18"/>
                <w:szCs w:val="18"/>
              </w:rPr>
              <w:t>www.cninfo.</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Times New Roman" w:hAnsi="Times New Roman" w:cs="Times New Roman" w:eastAsia="Times New Roman" w:hint="default"/>
                <w:sz w:val="18"/>
                <w:szCs w:val="18"/>
              </w:rPr>
              <w:t>com.cn</w:t>
            </w:r>
          </w:p>
        </w:tc>
      </w:tr>
    </w:tbl>
    <w:p>
      <w:pPr>
        <w:pStyle w:val="BodyText"/>
        <w:spacing w:line="240" w:lineRule="auto" w:before="51"/>
        <w:ind w:right="0"/>
        <w:jc w:val="left"/>
      </w:pPr>
      <w:r>
        <w:rPr/>
        <w:t>公司股东、交易对手方在报告年度经营业绩做出的承诺情况</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992"/>
        <w:jc w:val="left"/>
      </w:pPr>
      <w:r>
        <w:rPr/>
        <w:t>□ 适用 √ 不适用 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2"/>
        <w:spacing w:line="240" w:lineRule="auto"/>
        <w:ind w:left="113" w:right="1392"/>
        <w:jc w:val="left"/>
        <w:rPr>
          <w:b w:val="0"/>
          <w:bCs w:val="0"/>
        </w:rPr>
      </w:pPr>
      <w:bookmarkStart w:name="五、董事会、监事会、独立董事（如有）对会计师事务所本报告期“非标准审计报告”的说" w:id="69"/>
      <w:bookmarkEnd w:id="69"/>
      <w:r>
        <w:rPr>
          <w:b w:val="0"/>
          <w:bCs w:val="0"/>
        </w:rPr>
      </w:r>
      <w:r>
        <w:rPr>
          <w:w w:val="95"/>
        </w:rPr>
        <w:t>五、董事会、监事会、独立董事（如有）对会计师事务所本报告期“非标准审计报告”的说  </w:t>
      </w:r>
      <w:r>
        <w:rPr>
          <w:spacing w:val="99"/>
          <w:w w:val="95"/>
        </w:rPr>
        <w:t> </w:t>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5712"/>
        <w:jc w:val="left"/>
      </w:pPr>
      <w:r>
        <w:rPr/>
        <w:t>□ 适用 √ 不适用 公司报告期无会计政策、会计估计和核算方法发生变化的情况。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612"/>
        <w:jc w:val="left"/>
      </w:pPr>
      <w:r>
        <w:rPr/>
        <w:t>□ 适用 √ 不适用 公司报告期无重大会计差错更正需追溯重述的情况。</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3"/>
        <w:spacing w:line="240" w:lineRule="auto"/>
        <w:ind w:left="552" w:right="0"/>
        <w:jc w:val="left"/>
        <w:rPr>
          <w:b w:val="0"/>
          <w:bCs w:val="0"/>
        </w:rPr>
      </w:pPr>
      <w:r>
        <w:rPr>
          <w:rFonts w:ascii="宋体" w:hAnsi="宋体" w:cs="宋体" w:eastAsia="宋体" w:hint="default"/>
        </w:rPr>
        <w:t>1</w:t>
      </w:r>
      <w:r>
        <w:rPr/>
        <w:t>、处置子公司</w:t>
      </w:r>
      <w:r>
        <w:rPr>
          <w:b w:val="0"/>
          <w:bCs w:val="0"/>
        </w:rPr>
      </w:r>
    </w:p>
    <w:p>
      <w:pPr>
        <w:spacing w:line="240" w:lineRule="auto" w:before="12"/>
        <w:rPr>
          <w:rFonts w:ascii="宋体" w:hAnsi="宋体" w:cs="宋体" w:eastAsia="宋体" w:hint="default"/>
          <w:b/>
          <w:bCs/>
          <w:sz w:val="12"/>
          <w:szCs w:val="12"/>
        </w:rPr>
      </w:pPr>
    </w:p>
    <w:p>
      <w:pPr>
        <w:spacing w:line="1635" w:lineRule="exact"/>
        <w:ind w:left="114"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5959005" cy="10382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7" cstate="print"/>
                    <a:stretch>
                      <a:fillRect/>
                    </a:stretch>
                  </pic:blipFill>
                  <pic:spPr>
                    <a:xfrm>
                      <a:off x="0" y="0"/>
                      <a:ext cx="5959005" cy="1038225"/>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BodyText"/>
        <w:spacing w:line="240" w:lineRule="auto"/>
        <w:ind w:left="474" w:right="0"/>
        <w:jc w:val="left"/>
      </w:pP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4"/>
        </w:rPr>
        <w:t> </w:t>
      </w:r>
      <w:r>
        <w:rPr>
          <w:rFonts w:ascii="宋体" w:hAnsi="宋体" w:cs="宋体" w:eastAsia="宋体" w:hint="default"/>
        </w:rPr>
        <w:t>19</w:t>
      </w:r>
      <w:r>
        <w:rPr>
          <w:rFonts w:ascii="宋体" w:hAnsi="宋体" w:cs="宋体" w:eastAsia="宋体" w:hint="default"/>
          <w:spacing w:val="-54"/>
        </w:rPr>
        <w:t> </w:t>
      </w:r>
      <w:r>
        <w:rPr/>
        <w:t>日子公司重庆华宇园林有限公司与湘乡市农之源农业科技有限公司签订股权转让协议，将子公司湘乡渝</w:t>
      </w:r>
    </w:p>
    <w:p>
      <w:pPr>
        <w:pStyle w:val="BodyText"/>
        <w:spacing w:line="319" w:lineRule="auto" w:before="76"/>
        <w:ind w:right="1127"/>
        <w:jc w:val="left"/>
      </w:pPr>
      <w:r>
        <w:rPr/>
        <w:t>华生态农业发展有限公司</w:t>
      </w:r>
      <w:r>
        <w:rPr>
          <w:spacing w:val="-46"/>
        </w:rPr>
        <w:t> </w:t>
      </w:r>
      <w:r>
        <w:rPr>
          <w:rFonts w:ascii="宋体" w:hAnsi="宋体" w:cs="宋体" w:eastAsia="宋体" w:hint="default"/>
        </w:rPr>
        <w:t>100%</w:t>
      </w:r>
      <w:r>
        <w:rPr/>
        <w:t>股权以</w:t>
      </w:r>
      <w:r>
        <w:rPr>
          <w:spacing w:val="-46"/>
        </w:rPr>
        <w:t> </w:t>
      </w:r>
      <w:r>
        <w:rPr>
          <w:rFonts w:ascii="宋体" w:hAnsi="宋体" w:cs="宋体" w:eastAsia="宋体" w:hint="default"/>
        </w:rPr>
        <w:t>1000</w:t>
      </w:r>
      <w:r>
        <w:rPr>
          <w:rFonts w:ascii="宋体" w:hAnsi="宋体" w:cs="宋体" w:eastAsia="宋体" w:hint="default"/>
          <w:spacing w:val="-45"/>
        </w:rPr>
        <w:t> </w:t>
      </w:r>
      <w:r>
        <w:rPr/>
        <w:t>万人民币的价格转让给湘乡市农之源农业科技有限公司，</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5"/>
        </w:rPr>
        <w:t> </w:t>
      </w:r>
      <w:r>
        <w:rPr/>
        <w:t>月</w:t>
      </w:r>
      <w:r>
        <w:rPr>
          <w:spacing w:val="-45"/>
        </w:rPr>
        <w:t> </w:t>
      </w:r>
      <w:r>
        <w:rPr>
          <w:rFonts w:ascii="宋体" w:hAnsi="宋体" w:cs="宋体" w:eastAsia="宋体" w:hint="default"/>
        </w:rPr>
        <w:t>29</w:t>
      </w:r>
      <w:r>
        <w:rPr>
          <w:rFonts w:ascii="宋体" w:hAnsi="宋体" w:cs="宋体" w:eastAsia="宋体" w:hint="default"/>
          <w:spacing w:val="-46"/>
        </w:rPr>
        <w:t> </w:t>
      </w:r>
      <w:r>
        <w:rPr/>
        <w:t>日完成 工商变更。</w:t>
      </w:r>
    </w:p>
    <w:p>
      <w:pPr>
        <w:pStyle w:val="Heading3"/>
        <w:spacing w:line="240" w:lineRule="auto" w:before="30"/>
        <w:ind w:left="430" w:right="0"/>
        <w:jc w:val="left"/>
        <w:rPr>
          <w:b w:val="0"/>
          <w:bCs w:val="0"/>
        </w:rPr>
      </w:pPr>
      <w:r>
        <w:rPr>
          <w:rFonts w:ascii="宋体" w:hAnsi="宋体" w:cs="宋体" w:eastAsia="宋体" w:hint="default"/>
        </w:rPr>
        <w:t>2</w:t>
      </w:r>
      <w:r>
        <w:rPr/>
        <w:t>、新设子公司</w:t>
      </w:r>
      <w:r>
        <w:rPr>
          <w:b w:val="0"/>
          <w:bCs w:val="0"/>
        </w:rPr>
      </w:r>
    </w:p>
    <w:p>
      <w:pPr>
        <w:pStyle w:val="BodyText"/>
        <w:spacing w:line="316" w:lineRule="auto" w:before="103"/>
        <w:ind w:left="113" w:right="1125" w:firstLine="360"/>
        <w:jc w:val="left"/>
      </w:pP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0"/>
        </w:rPr>
        <w:t> </w:t>
      </w:r>
      <w:r>
        <w:rPr/>
        <w:t>月</w:t>
      </w:r>
      <w:r>
        <w:rPr>
          <w:spacing w:val="-51"/>
        </w:rPr>
        <w:t> </w:t>
      </w:r>
      <w:r>
        <w:rPr>
          <w:rFonts w:ascii="宋体" w:hAnsi="宋体" w:cs="宋体" w:eastAsia="宋体" w:hint="default"/>
        </w:rPr>
        <w:t>27</w:t>
      </w:r>
      <w:r>
        <w:rPr>
          <w:rFonts w:ascii="宋体" w:hAnsi="宋体" w:cs="宋体" w:eastAsia="宋体" w:hint="default"/>
          <w:spacing w:val="-51"/>
        </w:rPr>
        <w:t> </w:t>
      </w:r>
      <w:r>
        <w:rPr/>
        <w:t>日公司与自然人贺传虎共同设立烟台丽鹏投资有限公司，注册资本</w:t>
      </w:r>
      <w:r>
        <w:rPr>
          <w:spacing w:val="-51"/>
        </w:rPr>
        <w:t> </w:t>
      </w:r>
      <w:r>
        <w:rPr>
          <w:rFonts w:ascii="宋体" w:hAnsi="宋体" w:cs="宋体" w:eastAsia="宋体" w:hint="default"/>
        </w:rPr>
        <w:t>2000</w:t>
      </w:r>
      <w:r>
        <w:rPr>
          <w:rFonts w:ascii="宋体" w:hAnsi="宋体" w:cs="宋体" w:eastAsia="宋体" w:hint="default"/>
          <w:spacing w:val="-51"/>
        </w:rPr>
        <w:t> </w:t>
      </w:r>
      <w:r>
        <w:rPr>
          <w:spacing w:val="-5"/>
        </w:rPr>
        <w:t>万元人民币，公司占</w:t>
      </w:r>
      <w:r>
        <w:rPr>
          <w:spacing w:val="-51"/>
        </w:rPr>
        <w:t> </w:t>
      </w:r>
      <w:r>
        <w:rPr>
          <w:rFonts w:ascii="宋体" w:hAnsi="宋体" w:cs="宋体" w:eastAsia="宋体" w:hint="default"/>
        </w:rPr>
        <w:t>51%</w:t>
      </w:r>
      <w:r>
        <w:rPr/>
        <w:t>股权比 例，自设立日起将其纳入合并报表范围。</w:t>
      </w:r>
    </w:p>
    <w:p>
      <w:pPr>
        <w:pStyle w:val="BodyText"/>
        <w:spacing w:line="319" w:lineRule="auto" w:before="58"/>
        <w:ind w:left="113" w:right="1035" w:firstLine="360"/>
        <w:jc w:val="left"/>
      </w:pPr>
      <w:r>
        <w:rPr>
          <w:rFonts w:ascii="宋体" w:hAnsi="宋体" w:cs="宋体" w:eastAsia="宋体" w:hint="default"/>
        </w:rPr>
        <w:t>2015</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1"/>
        </w:rPr>
        <w:t> </w:t>
      </w:r>
      <w:r>
        <w:rPr/>
        <w:t>月</w:t>
      </w:r>
      <w:r>
        <w:rPr>
          <w:spacing w:val="-52"/>
        </w:rPr>
        <w:t> </w:t>
      </w:r>
      <w:r>
        <w:rPr>
          <w:rFonts w:ascii="宋体" w:hAnsi="宋体" w:cs="宋体" w:eastAsia="宋体" w:hint="default"/>
        </w:rPr>
        <w:t>7</w:t>
      </w:r>
      <w:r>
        <w:rPr>
          <w:rFonts w:ascii="宋体" w:hAnsi="宋体" w:cs="宋体" w:eastAsia="宋体" w:hint="default"/>
          <w:spacing w:val="-52"/>
        </w:rPr>
        <w:t> </w:t>
      </w:r>
      <w:r>
        <w:rPr/>
        <w:t>日子公司重庆华宇园林有限公司设立重庆东飞凯格建筑景观设计咨询有限公司，注册资本</w:t>
      </w:r>
      <w:r>
        <w:rPr>
          <w:spacing w:val="-52"/>
        </w:rPr>
        <w:t> </w:t>
      </w:r>
      <w:r>
        <w:rPr>
          <w:rFonts w:ascii="宋体" w:hAnsi="宋体" w:cs="宋体" w:eastAsia="宋体" w:hint="default"/>
        </w:rPr>
        <w:t>500</w:t>
      </w:r>
      <w:r>
        <w:rPr>
          <w:rFonts w:ascii="宋体" w:hAnsi="宋体" w:cs="宋体" w:eastAsia="宋体" w:hint="default"/>
          <w:spacing w:val="-51"/>
        </w:rPr>
        <w:t> </w:t>
      </w:r>
      <w:r>
        <w:rPr/>
        <w:t>万人民币， 公司占</w:t>
      </w:r>
      <w:r>
        <w:rPr>
          <w:spacing w:val="-46"/>
        </w:rPr>
        <w:t> </w:t>
      </w:r>
      <w:r>
        <w:rPr>
          <w:rFonts w:ascii="宋体" w:hAnsi="宋体" w:cs="宋体" w:eastAsia="宋体" w:hint="default"/>
        </w:rPr>
        <w:t>65%</w:t>
      </w:r>
      <w:r>
        <w:rPr/>
        <w:t>股权比例，自设立日起将其纳入合并报表范围。</w:t>
      </w:r>
    </w:p>
    <w:p>
      <w:pPr>
        <w:pStyle w:val="BodyText"/>
        <w:spacing w:line="240" w:lineRule="auto" w:before="55"/>
        <w:ind w:left="474" w:right="0"/>
        <w:jc w:val="left"/>
      </w:pP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w:t>
      </w:r>
      <w:r>
        <w:rPr>
          <w:spacing w:val="-46"/>
        </w:rPr>
        <w:t> </w:t>
      </w:r>
      <w:r>
        <w:rPr>
          <w:rFonts w:ascii="宋体" w:hAnsi="宋体" w:cs="宋体" w:eastAsia="宋体" w:hint="default"/>
        </w:rPr>
        <w:t>14</w:t>
      </w:r>
      <w:r>
        <w:rPr>
          <w:rFonts w:ascii="宋体" w:hAnsi="宋体" w:cs="宋体" w:eastAsia="宋体" w:hint="default"/>
          <w:spacing w:val="-46"/>
        </w:rPr>
        <w:t> </w:t>
      </w:r>
      <w:r>
        <w:rPr/>
        <w:t>日子公司重庆华宇园林有限公司出资设立烟台聚融投资有限公司，注册资本</w:t>
      </w:r>
      <w:r>
        <w:rPr>
          <w:spacing w:val="-45"/>
        </w:rPr>
        <w:t> </w:t>
      </w:r>
      <w:r>
        <w:rPr>
          <w:rFonts w:ascii="宋体" w:hAnsi="宋体" w:cs="宋体" w:eastAsia="宋体" w:hint="default"/>
        </w:rPr>
        <w:t>5000</w:t>
      </w:r>
      <w:r>
        <w:rPr>
          <w:rFonts w:ascii="宋体" w:hAnsi="宋体" w:cs="宋体" w:eastAsia="宋体" w:hint="default"/>
          <w:spacing w:val="-46"/>
        </w:rPr>
        <w:t> </w:t>
      </w:r>
      <w:r>
        <w:rPr/>
        <w:t>万元人民币，公司占</w:t>
      </w:r>
    </w:p>
    <w:p>
      <w:pPr>
        <w:pStyle w:val="BodyText"/>
        <w:spacing w:line="240" w:lineRule="auto" w:before="78"/>
        <w:ind w:left="113" w:right="0"/>
        <w:jc w:val="left"/>
      </w:pPr>
      <w:r>
        <w:rPr>
          <w:rFonts w:ascii="宋体" w:hAnsi="宋体" w:cs="宋体" w:eastAsia="宋体" w:hint="default"/>
        </w:rPr>
        <w:t>100%</w:t>
      </w:r>
      <w:r>
        <w:rPr/>
        <w:t>股权比例，自设立日起将其纳入合并报表范围。</w:t>
      </w:r>
    </w:p>
    <w:p>
      <w:pPr>
        <w:pStyle w:val="BodyText"/>
        <w:spacing w:line="319" w:lineRule="auto" w:before="115"/>
        <w:ind w:left="113" w:right="1173" w:firstLine="360"/>
        <w:jc w:val="left"/>
      </w:pP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5"/>
        </w:rPr>
        <w:t> </w:t>
      </w:r>
      <w:r>
        <w:rPr/>
        <w:t>月</w:t>
      </w:r>
      <w:r>
        <w:rPr>
          <w:spacing w:val="-46"/>
        </w:rPr>
        <w:t> </w:t>
      </w:r>
      <w:r>
        <w:rPr>
          <w:rFonts w:ascii="宋体" w:hAnsi="宋体" w:cs="宋体" w:eastAsia="宋体" w:hint="default"/>
        </w:rPr>
        <w:t>15</w:t>
      </w:r>
      <w:r>
        <w:rPr>
          <w:rFonts w:ascii="宋体" w:hAnsi="宋体" w:cs="宋体" w:eastAsia="宋体" w:hint="default"/>
          <w:spacing w:val="-46"/>
        </w:rPr>
        <w:t> </w:t>
      </w:r>
      <w:r>
        <w:rPr/>
        <w:t>日公司子公司烟台丽鹏国际贸易有限公司设立烟台市鹏科能源有限公司，注册资本</w:t>
      </w:r>
      <w:r>
        <w:rPr>
          <w:spacing w:val="-45"/>
        </w:rPr>
        <w:t> </w:t>
      </w:r>
      <w:r>
        <w:rPr>
          <w:rFonts w:ascii="宋体" w:hAnsi="宋体" w:cs="宋体" w:eastAsia="宋体" w:hint="default"/>
        </w:rPr>
        <w:t>50</w:t>
      </w:r>
      <w:r>
        <w:rPr>
          <w:rFonts w:ascii="宋体" w:hAnsi="宋体" w:cs="宋体" w:eastAsia="宋体" w:hint="default"/>
          <w:spacing w:val="-46"/>
        </w:rPr>
        <w:t> </w:t>
      </w:r>
      <w:r>
        <w:rPr/>
        <w:t>万元人民币，公 司占</w:t>
      </w:r>
      <w:r>
        <w:rPr>
          <w:spacing w:val="-46"/>
        </w:rPr>
        <w:t> </w:t>
      </w:r>
      <w:r>
        <w:rPr>
          <w:rFonts w:ascii="宋体" w:hAnsi="宋体" w:cs="宋体" w:eastAsia="宋体" w:hint="default"/>
        </w:rPr>
        <w:t>100%</w:t>
      </w:r>
      <w:r>
        <w:rPr/>
        <w:t>股权比例，自设立日起将其纳入合并报表范围。</w:t>
      </w:r>
    </w:p>
    <w:p>
      <w:pPr>
        <w:pStyle w:val="BodyText"/>
        <w:spacing w:line="319" w:lineRule="auto" w:before="56"/>
        <w:ind w:right="1126" w:firstLine="360"/>
        <w:jc w:val="left"/>
      </w:pP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8</w:t>
      </w:r>
      <w:r>
        <w:rPr>
          <w:rFonts w:ascii="宋体" w:hAnsi="宋体" w:cs="宋体" w:eastAsia="宋体" w:hint="default"/>
          <w:spacing w:val="-44"/>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3"/>
        </w:rPr>
        <w:t>日公司与自然人兰坤共同出资设立深圳在乎传媒科技有限公司，注册资本</w:t>
      </w:r>
      <w:r>
        <w:rPr>
          <w:spacing w:val="-45"/>
        </w:rPr>
        <w:t> </w:t>
      </w:r>
      <w:r>
        <w:rPr>
          <w:rFonts w:ascii="宋体" w:hAnsi="宋体" w:cs="宋体" w:eastAsia="宋体" w:hint="default"/>
        </w:rPr>
        <w:t>20000</w:t>
      </w:r>
      <w:r>
        <w:rPr>
          <w:rFonts w:ascii="宋体" w:hAnsi="宋体" w:cs="宋体" w:eastAsia="宋体" w:hint="default"/>
          <w:spacing w:val="-44"/>
        </w:rPr>
        <w:t> </w:t>
      </w:r>
      <w:r>
        <w:rPr>
          <w:spacing w:val="-10"/>
        </w:rPr>
        <w:t>万元人民币，公司占</w:t>
      </w:r>
      <w:r>
        <w:rPr>
          <w:spacing w:val="-45"/>
        </w:rPr>
        <w:t> </w:t>
      </w:r>
      <w:r>
        <w:rPr>
          <w:rFonts w:ascii="宋体" w:hAnsi="宋体" w:cs="宋体" w:eastAsia="宋体" w:hint="default"/>
        </w:rPr>
        <w:t>60% </w:t>
      </w:r>
      <w:r>
        <w:rPr/>
        <w:t>股权比例，自设立日起将其纳入合并报表范围。</w:t>
      </w:r>
    </w:p>
    <w:p>
      <w:pPr>
        <w:pStyle w:val="BodyText"/>
        <w:spacing w:line="319" w:lineRule="auto" w:before="55"/>
        <w:ind w:left="113" w:right="1173" w:firstLine="360"/>
        <w:jc w:val="left"/>
      </w:pP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w:t>
      </w:r>
      <w:r>
        <w:rPr>
          <w:spacing w:val="-46"/>
        </w:rPr>
        <w:t> </w:t>
      </w:r>
      <w:r>
        <w:rPr>
          <w:rFonts w:ascii="宋体" w:hAnsi="宋体" w:cs="宋体" w:eastAsia="宋体" w:hint="default"/>
        </w:rPr>
        <w:t>3</w:t>
      </w:r>
      <w:r>
        <w:rPr>
          <w:rFonts w:ascii="宋体" w:hAnsi="宋体" w:cs="宋体" w:eastAsia="宋体" w:hint="default"/>
          <w:spacing w:val="-46"/>
        </w:rPr>
        <w:t> </w:t>
      </w:r>
      <w:r>
        <w:rPr/>
        <w:t>日子公司重庆华宇园林有限公司出资设立巴中华丰建设发展有限公司，注册资本</w:t>
      </w:r>
      <w:r>
        <w:rPr>
          <w:spacing w:val="-45"/>
        </w:rPr>
        <w:t> </w:t>
      </w:r>
      <w:r>
        <w:rPr>
          <w:rFonts w:ascii="宋体" w:hAnsi="宋体" w:cs="宋体" w:eastAsia="宋体" w:hint="default"/>
        </w:rPr>
        <w:t>1000</w:t>
      </w:r>
      <w:r>
        <w:rPr>
          <w:rFonts w:ascii="宋体" w:hAnsi="宋体" w:cs="宋体" w:eastAsia="宋体" w:hint="default"/>
          <w:spacing w:val="-46"/>
        </w:rPr>
        <w:t> </w:t>
      </w:r>
      <w:r>
        <w:rPr/>
        <w:t>万人民币，公司 占</w:t>
      </w:r>
      <w:r>
        <w:rPr>
          <w:spacing w:val="-46"/>
        </w:rPr>
        <w:t> </w:t>
      </w:r>
      <w:r>
        <w:rPr>
          <w:rFonts w:ascii="宋体" w:hAnsi="宋体" w:cs="宋体" w:eastAsia="宋体" w:hint="default"/>
        </w:rPr>
        <w:t>80%</w:t>
      </w:r>
      <w:r>
        <w:rPr/>
        <w:t>股权比例，自设立日起将其纳入合并报表范围。</w:t>
      </w:r>
    </w:p>
    <w:p>
      <w:pPr>
        <w:pStyle w:val="BodyText"/>
        <w:spacing w:line="319" w:lineRule="auto" w:before="55"/>
        <w:ind w:left="113" w:right="1118" w:firstLine="360"/>
        <w:jc w:val="left"/>
      </w:pP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7"/>
        </w:rPr>
        <w:t> </w:t>
      </w:r>
      <w:r>
        <w:rPr/>
        <w:t>月</w:t>
      </w:r>
      <w:r>
        <w:rPr>
          <w:spacing w:val="-48"/>
        </w:rPr>
        <w:t> </w:t>
      </w:r>
      <w:r>
        <w:rPr>
          <w:rFonts w:ascii="宋体" w:hAnsi="宋体" w:cs="宋体" w:eastAsia="宋体" w:hint="default"/>
        </w:rPr>
        <w:t>17</w:t>
      </w:r>
      <w:r>
        <w:rPr>
          <w:rFonts w:ascii="宋体" w:hAnsi="宋体" w:cs="宋体" w:eastAsia="宋体" w:hint="default"/>
          <w:spacing w:val="-48"/>
        </w:rPr>
        <w:t> </w:t>
      </w:r>
      <w:r>
        <w:rPr/>
        <w:t>日子公司重庆华宇园林有限公司出资设立安顺华宇生态建设有限公司，注册资本</w:t>
      </w:r>
      <w:r>
        <w:rPr>
          <w:spacing w:val="-47"/>
        </w:rPr>
        <w:t> </w:t>
      </w:r>
      <w:r>
        <w:rPr>
          <w:rFonts w:ascii="宋体" w:hAnsi="宋体" w:cs="宋体" w:eastAsia="宋体" w:hint="default"/>
        </w:rPr>
        <w:t>1000</w:t>
      </w:r>
      <w:r>
        <w:rPr>
          <w:rFonts w:ascii="宋体" w:hAnsi="宋体" w:cs="宋体" w:eastAsia="宋体" w:hint="default"/>
          <w:spacing w:val="-48"/>
        </w:rPr>
        <w:t> </w:t>
      </w:r>
      <w:r>
        <w:rPr>
          <w:spacing w:val="-3"/>
        </w:rPr>
        <w:t>万人民币，公司</w:t>
      </w:r>
      <w:r>
        <w:rPr/>
        <w:t> 占</w:t>
      </w:r>
      <w:r>
        <w:rPr>
          <w:spacing w:val="-46"/>
        </w:rPr>
        <w:t> </w:t>
      </w:r>
      <w:r>
        <w:rPr>
          <w:rFonts w:ascii="宋体" w:hAnsi="宋体" w:cs="宋体" w:eastAsia="宋体" w:hint="default"/>
        </w:rPr>
        <w:t>100%</w:t>
      </w:r>
      <w:r>
        <w:rPr/>
        <w:t>股权比例，自设立日起将其纳入合并报表范围。</w:t>
      </w:r>
    </w:p>
    <w:p>
      <w:pPr>
        <w:pStyle w:val="BodyText"/>
        <w:spacing w:line="319" w:lineRule="auto" w:before="56"/>
        <w:ind w:right="1171" w:firstLine="360"/>
        <w:jc w:val="left"/>
      </w:pP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w:t>
      </w:r>
      <w:r>
        <w:rPr>
          <w:spacing w:val="-46"/>
        </w:rPr>
        <w:t> </w:t>
      </w:r>
      <w:r>
        <w:rPr>
          <w:rFonts w:ascii="宋体" w:hAnsi="宋体" w:cs="宋体" w:eastAsia="宋体" w:hint="default"/>
        </w:rPr>
        <w:t>27</w:t>
      </w:r>
      <w:r>
        <w:rPr>
          <w:rFonts w:ascii="宋体" w:hAnsi="宋体" w:cs="宋体" w:eastAsia="宋体" w:hint="default"/>
          <w:spacing w:val="-46"/>
        </w:rPr>
        <w:t> </w:t>
      </w:r>
      <w:r>
        <w:rPr/>
        <w:t>日子公司重庆华宇园林有限公司的子公司烟台聚融投资有限公司设立重庆秉创新材料科技有限公司， 注册资本</w:t>
      </w:r>
      <w:r>
        <w:rPr>
          <w:spacing w:val="-46"/>
        </w:rPr>
        <w:t> </w:t>
      </w:r>
      <w:r>
        <w:rPr>
          <w:rFonts w:ascii="宋体" w:hAnsi="宋体" w:cs="宋体" w:eastAsia="宋体" w:hint="default"/>
        </w:rPr>
        <w:t>100</w:t>
      </w:r>
      <w:r>
        <w:rPr>
          <w:rFonts w:ascii="宋体" w:hAnsi="宋体" w:cs="宋体" w:eastAsia="宋体" w:hint="default"/>
          <w:spacing w:val="-45"/>
        </w:rPr>
        <w:t> </w:t>
      </w:r>
      <w:r>
        <w:rPr/>
        <w:t>万人民币，公司占</w:t>
      </w:r>
      <w:r>
        <w:rPr>
          <w:spacing w:val="-46"/>
        </w:rPr>
        <w:t> </w:t>
      </w:r>
      <w:r>
        <w:rPr>
          <w:rFonts w:ascii="宋体" w:hAnsi="宋体" w:cs="宋体" w:eastAsia="宋体" w:hint="default"/>
        </w:rPr>
        <w:t>100%</w:t>
      </w:r>
      <w:r>
        <w:rPr/>
        <w:t>股权比例，自设立日起将其纳入合并报表范围。</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迟慰、王丽敏</w:t>
            </w:r>
          </w:p>
        </w:tc>
      </w:tr>
    </w:tbl>
    <w:p>
      <w:pPr>
        <w:pStyle w:val="BodyText"/>
        <w:spacing w:line="240" w:lineRule="auto" w:before="51"/>
        <w:ind w:right="0"/>
        <w:jc w:val="left"/>
      </w:pPr>
      <w:r>
        <w:rPr/>
        <w:t>当期是否改聘会计师事务所</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left="113" w:right="6253"/>
        <w:jc w:val="left"/>
      </w:pPr>
      <w:r>
        <w:rPr/>
        <w:t>□ 是 √ 否 聘请内部控制审计会计师事务所、财务顾问或保荐人情况</w:t>
      </w:r>
    </w:p>
    <w:p>
      <w:pPr>
        <w:pStyle w:val="BodyText"/>
        <w:spacing w:line="240" w:lineRule="auto" w:before="29"/>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公司报告期未发生破产重整相关事项。</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7692"/>
        <w:jc w:val="left"/>
      </w:pPr>
      <w:r>
        <w:rPr/>
        <w:t>□ 适用 √ 不适用 本报告期公司无重大诉讼、仲裁事项。</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 适用 √ 不适用 公司报告期不存在处罚及整改情况。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452"/>
        <w:jc w:val="left"/>
      </w:pPr>
      <w:r>
        <w:rPr/>
        <w:t>□ 适用 √ 不适用 公司报告期无股权激励计划、员工持股计划或其他员工激励措施及其实施情况。</w:t>
      </w:r>
    </w:p>
    <w:p>
      <w:pPr>
        <w:spacing w:line="240" w:lineRule="auto" w:before="4"/>
        <w:rPr>
          <w:rFonts w:ascii="宋体" w:hAnsi="宋体" w:cs="宋体" w:eastAsia="宋体" w:hint="default"/>
          <w:sz w:val="18"/>
          <w:szCs w:val="18"/>
        </w:rPr>
      </w:pPr>
    </w:p>
    <w:p>
      <w:pPr>
        <w:pStyle w:val="Heading2"/>
        <w:spacing w:line="240" w:lineRule="auto"/>
        <w:ind w:left="113"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792"/>
        <w:jc w:val="left"/>
      </w:pPr>
      <w:r>
        <w:rPr/>
        <w:t>□ 适用 √ 不适用 公司报告期未发生与日常经营相关的关联交易。</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432"/>
        <w:jc w:val="left"/>
      </w:pPr>
      <w:r>
        <w:rPr/>
        <w:t>□ 适用 √ 不适用 公司报告期未发生资产或股权收购、出售的关联交易。</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152"/>
        <w:jc w:val="left"/>
      </w:pPr>
      <w:r>
        <w:rPr/>
        <w:t>□ 适用 √ 不适用 公司报告期未发生共同对外投资的关联交易。</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872"/>
        <w:jc w:val="left"/>
      </w:pPr>
      <w:r>
        <w:rPr/>
        <w:t>√ 适用 □ 不适用 是否存在非经营性关联债权债务往来</w:t>
      </w:r>
    </w:p>
    <w:p>
      <w:pPr>
        <w:pStyle w:val="BodyText"/>
        <w:spacing w:line="240" w:lineRule="auto" w:before="26"/>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052"/>
        <w:jc w:val="left"/>
      </w:pPr>
      <w:r>
        <w:rPr/>
        <w:t>□ 适用 √ 不适用 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left="113"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公司报告期不存在托管情况。</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412"/>
        <w:jc w:val="left"/>
      </w:pPr>
      <w:r>
        <w:rPr/>
        <w:t>□ 适用 √ 不适用 公司报告期不存在承包情况。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公司报告期不存在租赁情况。</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5"/>
        <w:rPr>
          <w:rFonts w:ascii="宋体" w:hAnsi="宋体" w:cs="宋体" w:eastAsia="宋体" w:hint="default"/>
          <w:sz w:val="8"/>
          <w:szCs w:val="8"/>
        </w:rPr>
      </w:pPr>
    </w:p>
    <w:p>
      <w:pPr>
        <w:spacing w:line="402" w:lineRule="exact"/>
        <w:ind w:left="11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75pt;height:20.1pt;mso-position-horizontal-relative:char;mso-position-vertical-relative:line" type="#_x0000_t202" filled="true" fillcolor="#d2d2d2" stroked="true" strokeweight=".48pt" strokecolor="#000000">
            <w10:anchorlock/>
            <v:textbox inset="0,0,0,0">
              <w:txbxContent>
                <w:p>
                  <w:pPr>
                    <w:pStyle w:val="BodyText"/>
                    <w:spacing w:line="240" w:lineRule="auto" w:before="52"/>
                    <w:ind w:left="2532" w:right="0"/>
                    <w:jc w:val="left"/>
                  </w:pPr>
                  <w:r>
                    <w:rPr/>
                    <w:t>公司及其子公司对外担保情况（不包括对子公司的担保）</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709"/>
        <w:gridCol w:w="923"/>
        <w:gridCol w:w="922"/>
        <w:gridCol w:w="1302"/>
        <w:gridCol w:w="1057"/>
        <w:gridCol w:w="1041"/>
        <w:gridCol w:w="1048"/>
        <w:gridCol w:w="790"/>
        <w:gridCol w:w="783"/>
      </w:tblGrid>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9" w:right="181"/>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71" w:right="178"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69" w:right="19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5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3" w:right="114"/>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7"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6" w:right="185"/>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68" w:right="18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69" w:right="19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5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9" w:right="118"/>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7"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亳州丽鹏制盖有限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重庆华宇园林有限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20,000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z w:val="18"/>
              </w:rPr>
              <w:t>13,500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重庆华宇园林有限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10,000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13,500</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13,500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9"/>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6" w:right="19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60" w:right="19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7" w:right="16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2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2"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3" w:right="182"/>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13,500</w:t>
            </w:r>
          </w:p>
        </w:tc>
      </w:tr>
      <w:tr>
        <w:trPr>
          <w:trHeight w:val="714"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13,500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6.79%</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1"/>
        <w:ind w:right="0"/>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公司报告期无违规对外担保情况。</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公司报告期不存在委托理财。</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公司报告期不存在委托贷款。</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八、其他重大事项的说明" w:id="98"/>
      <w:bookmarkEnd w:id="98"/>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 w:right="0"/>
        <w:jc w:val="left"/>
      </w:pPr>
      <w:r>
        <w:rPr/>
        <w:t>√ 适用 □ 不适用 </w:t>
      </w:r>
      <w:r>
        <w:rPr>
          <w:spacing w:val="-2"/>
        </w:rPr>
        <w:t>公司</w:t>
      </w:r>
      <w:r>
        <w:rPr>
          <w:rFonts w:ascii="宋体" w:hAnsi="宋体" w:cs="宋体" w:eastAsia="宋体" w:hint="default"/>
          <w:spacing w:val="-2"/>
        </w:rPr>
        <w:t>2015</w:t>
      </w:r>
      <w:r>
        <w:rPr>
          <w:spacing w:val="-2"/>
        </w:rPr>
        <w:t>年非公开发行股票事项获得中国证监会核准批复，新股已于</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日发行上市。相关公告已在公司指定信披媒</w:t>
      </w:r>
      <w:r>
        <w:rPr>
          <w:spacing w:val="-54"/>
        </w:rPr>
        <w:t> </w:t>
      </w:r>
      <w:r>
        <w:rPr>
          <w:spacing w:val="-54"/>
        </w:rPr>
      </w:r>
      <w:r>
        <w:rPr>
          <w:spacing w:val="-2"/>
        </w:rPr>
        <w:t>体进行披露，详见</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23</w:t>
      </w:r>
      <w:r>
        <w:rPr>
          <w:spacing w:val="-2"/>
        </w:rPr>
        <w:t>日、</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日公告的《山东丽鹏股份有限公司关于非公开发行股票申请获得中国证监会</w:t>
      </w:r>
    </w:p>
    <w:p>
      <w:pPr>
        <w:pStyle w:val="BodyText"/>
        <w:spacing w:line="240" w:lineRule="auto" w:before="2"/>
        <w:ind w:right="0"/>
        <w:jc w:val="left"/>
      </w:pPr>
      <w:r>
        <w:rPr/>
        <w:t>核准批复的公告》、《山东丽鹏股份有限公司股票发行情况报告书暨上市公告书》（公告编号</w:t>
      </w:r>
      <w:r>
        <w:rPr>
          <w:rFonts w:ascii="宋体" w:hAnsi="宋体" w:cs="宋体" w:eastAsia="宋体" w:hint="default"/>
        </w:rPr>
        <w:t>2015-94</w:t>
      </w:r>
      <w:r>
        <w:rPr/>
        <w:t>、</w:t>
      </w:r>
      <w:r>
        <w:rPr>
          <w:rFonts w:ascii="宋体" w:hAnsi="宋体" w:cs="宋体" w:eastAsia="宋体" w:hint="default"/>
        </w:rPr>
        <w:t>2016-02</w:t>
      </w:r>
      <w:r>
        <w:rPr/>
        <w:t>）。</w:t>
      </w:r>
    </w:p>
    <w:p>
      <w:pPr>
        <w:spacing w:line="240" w:lineRule="auto" w:before="2"/>
        <w:rPr>
          <w:rFonts w:ascii="宋体" w:hAnsi="宋体" w:cs="宋体" w:eastAsia="宋体" w:hint="default"/>
          <w:sz w:val="25"/>
          <w:szCs w:val="25"/>
        </w:rPr>
      </w:pPr>
    </w:p>
    <w:p>
      <w:pPr>
        <w:pStyle w:val="Heading2"/>
        <w:spacing w:line="240" w:lineRule="auto"/>
        <w:ind w:left="113" w:right="0"/>
        <w:jc w:val="left"/>
        <w:rPr>
          <w:b w:val="0"/>
          <w:bCs w:val="0"/>
        </w:rPr>
      </w:pPr>
      <w:bookmarkStart w:name="十九、公司子公司重大事项" w:id="99"/>
      <w:bookmarkEnd w:id="99"/>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13" w:right="1123"/>
        <w:jc w:val="left"/>
      </w:pPr>
      <w:r>
        <w:rPr/>
        <w:t>√ 适用 □ 不适用 </w:t>
      </w:r>
      <w:r>
        <w:rPr>
          <w:rFonts w:ascii="宋体" w:hAnsi="宋体" w:cs="宋体" w:eastAsia="宋体" w:hint="default"/>
        </w:rPr>
        <w:t>1</w:t>
      </w:r>
      <w:r>
        <w:rPr/>
        <w:t>、公司设立烟台丽鹏投资有限公司的相关公告，详见</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4</w:t>
      </w:r>
      <w:r>
        <w:rPr/>
        <w:t>日在公司指定的信披媒体披露的《关于设立控股子公司并 取得营业执照的公告 》（公告编号：</w:t>
      </w:r>
      <w:r>
        <w:rPr>
          <w:rFonts w:ascii="宋体" w:hAnsi="宋体" w:cs="宋体" w:eastAsia="宋体" w:hint="default"/>
        </w:rPr>
        <w:t>2015-08</w:t>
      </w:r>
      <w:r>
        <w:rPr/>
        <w:t>）。</w:t>
      </w:r>
    </w:p>
    <w:p>
      <w:pPr>
        <w:pStyle w:val="BodyText"/>
        <w:spacing w:line="316" w:lineRule="auto" w:before="2"/>
        <w:ind w:left="113" w:right="1033"/>
        <w:jc w:val="left"/>
      </w:pPr>
      <w:r>
        <w:rPr>
          <w:rFonts w:ascii="宋体" w:hAnsi="宋体" w:cs="宋体" w:eastAsia="宋体" w:hint="default"/>
        </w:rPr>
        <w:t>2</w:t>
      </w:r>
      <w:r>
        <w:rPr/>
        <w:t>、公司设立深圳在乎传媒科技有限公司相关公告，详见</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4</w:t>
      </w:r>
      <w:r>
        <w:rPr/>
        <w:t>日在公司指定的信披媒体披露的《关于解除并签订对外 投资设立合资公司合作协议的公告 》、《关于设立控股子公司取得营业执照的公告 》（公告编号：</w:t>
      </w:r>
      <w:r>
        <w:rPr>
          <w:rFonts w:ascii="宋体" w:hAnsi="宋体" w:cs="宋体" w:eastAsia="宋体" w:hint="default"/>
        </w:rPr>
        <w:t>2015-69</w:t>
      </w:r>
      <w:r>
        <w:rPr/>
        <w:t>、</w:t>
      </w:r>
      <w:r>
        <w:rPr>
          <w:rFonts w:ascii="宋体" w:hAnsi="宋体" w:cs="宋体" w:eastAsia="宋体" w:hint="default"/>
        </w:rPr>
        <w:t>2015-70</w:t>
      </w:r>
      <w:r>
        <w:rPr/>
        <w:t>）。 </w:t>
      </w:r>
      <w:r>
        <w:rPr>
          <w:rFonts w:ascii="宋体" w:hAnsi="宋体" w:cs="宋体" w:eastAsia="宋体" w:hint="default"/>
          <w:spacing w:val="-2"/>
        </w:rPr>
        <w:t>3</w:t>
      </w:r>
      <w:r>
        <w:rPr>
          <w:spacing w:val="-2"/>
        </w:rPr>
        <w:t>、公司的控股子公司烟台和俊制盖有限公司因营业期限到期，于</w:t>
      </w:r>
      <w:r>
        <w:rPr>
          <w:rFonts w:ascii="宋体" w:hAnsi="宋体" w:cs="宋体" w:eastAsia="宋体" w:hint="default"/>
          <w:spacing w:val="-2"/>
        </w:rPr>
        <w:t>2015</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23</w:t>
      </w:r>
      <w:r>
        <w:rPr>
          <w:spacing w:val="-2"/>
        </w:rPr>
        <w:t>日完成工商注销登记，全资子公司烟台丽鹏包</w:t>
      </w:r>
      <w:r>
        <w:rPr>
          <w:spacing w:val="-58"/>
        </w:rPr>
        <w:t> </w:t>
      </w:r>
      <w:r>
        <w:rPr>
          <w:spacing w:val="-58"/>
        </w:rPr>
      </w:r>
      <w:r>
        <w:rPr/>
        <w:t>装有限公司因公司战略调整，于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22</w:t>
      </w:r>
      <w:r>
        <w:rPr/>
        <w:t>日完成工商注销登记。</w:t>
      </w:r>
    </w:p>
    <w:p>
      <w:pPr>
        <w:spacing w:line="240" w:lineRule="auto" w:before="10"/>
        <w:rPr>
          <w:rFonts w:ascii="宋体" w:hAnsi="宋体" w:cs="宋体" w:eastAsia="宋体" w:hint="default"/>
          <w:sz w:val="20"/>
          <w:szCs w:val="20"/>
        </w:rPr>
      </w:pPr>
    </w:p>
    <w:p>
      <w:pPr>
        <w:pStyle w:val="Heading2"/>
        <w:spacing w:line="240" w:lineRule="auto"/>
        <w:ind w:left="113" w:right="0"/>
        <w:jc w:val="left"/>
        <w:rPr>
          <w:b w:val="0"/>
          <w:bCs w:val="0"/>
        </w:rPr>
      </w:pPr>
      <w:bookmarkStart w:name="二十、社会责任情况" w:id="100"/>
      <w:bookmarkEnd w:id="100"/>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474" w:right="1118" w:hanging="360"/>
        <w:jc w:val="left"/>
      </w:pPr>
      <w:r>
        <w:rPr/>
        <w:t>√ 适用 □ 不适用 </w:t>
      </w:r>
      <w:r>
        <w:rPr>
          <w:spacing w:val="-2"/>
        </w:rPr>
        <w:t>企业存在的前提是盈利，盈利的最终目的是承担社会责任。作为一家上市公司，在发展壮大的过程中，在实践中追求企</w:t>
      </w:r>
    </w:p>
    <w:p>
      <w:pPr>
        <w:pStyle w:val="BodyText"/>
        <w:spacing w:line="237" w:lineRule="exact"/>
        <w:ind w:right="0"/>
        <w:jc w:val="left"/>
      </w:pPr>
      <w:r>
        <w:rPr/>
        <w:t>业与员工、社会、自然的和谐发展，以实际行动回报社会，创建和谐的企业发展环境。公司以</w:t>
      </w:r>
      <w:r>
        <w:rPr>
          <w:rFonts w:ascii="Times New Roman" w:hAnsi="Times New Roman" w:cs="Times New Roman" w:eastAsia="Times New Roman" w:hint="default"/>
        </w:rPr>
        <w:t>“</w:t>
      </w:r>
      <w:r>
        <w:rPr/>
        <w:t>立足报国、服务社会、回报</w:t>
      </w:r>
    </w:p>
    <w:p>
      <w:pPr>
        <w:pStyle w:val="BodyText"/>
        <w:spacing w:line="240" w:lineRule="auto" w:before="64"/>
        <w:ind w:left="113" w:right="0"/>
        <w:jc w:val="left"/>
      </w:pPr>
      <w:r>
        <w:rPr/>
        <w:t>股东、造福职工</w:t>
      </w:r>
      <w:r>
        <w:rPr>
          <w:rFonts w:ascii="Times New Roman" w:hAnsi="Times New Roman" w:cs="Times New Roman" w:eastAsia="Times New Roman" w:hint="default"/>
        </w:rPr>
        <w:t>”</w:t>
      </w:r>
      <w:r>
        <w:rPr/>
        <w:t>为己任，从各个层面履行社会责任。</w:t>
      </w:r>
    </w:p>
    <w:p>
      <w:pPr>
        <w:pStyle w:val="BodyText"/>
        <w:spacing w:line="357" w:lineRule="auto" w:before="103"/>
        <w:ind w:left="474" w:right="0"/>
        <w:jc w:val="left"/>
      </w:pPr>
      <w:r>
        <w:rPr/>
        <w:t>（一）社会人文环境责任 </w:t>
      </w:r>
      <w:r>
        <w:rPr>
          <w:spacing w:val="-2"/>
        </w:rPr>
        <w:t>公司坚持以人为本，把对员工负责视为自身的责任，把为员工创造未来当成长期坚持的重要使命。公司提出对待职工的</w:t>
      </w:r>
    </w:p>
    <w:p>
      <w:pPr>
        <w:pStyle w:val="BodyText"/>
        <w:spacing w:line="237" w:lineRule="exact"/>
        <w:ind w:right="0"/>
        <w:jc w:val="left"/>
      </w:pPr>
      <w:r>
        <w:rPr>
          <w:rFonts w:ascii="Times New Roman" w:hAnsi="Times New Roman" w:cs="Times New Roman" w:eastAsia="Times New Roman" w:hint="default"/>
        </w:rPr>
        <w:t>“</w:t>
      </w:r>
      <w:r>
        <w:rPr/>
        <w:t>三三法宝</w:t>
      </w:r>
      <w:r>
        <w:rPr>
          <w:rFonts w:ascii="Times New Roman" w:hAnsi="Times New Roman" w:cs="Times New Roman" w:eastAsia="Times New Roman" w:hint="default"/>
        </w:rPr>
        <w:t>”——</w:t>
      </w:r>
      <w:r>
        <w:rPr/>
        <w:t>对待我们的员工像对待我们的父母一样，像对待我们的子女一样，像对待我们的兄弟姐妹一样；不断改善职</w:t>
      </w:r>
    </w:p>
    <w:p>
      <w:pPr>
        <w:pStyle w:val="BodyText"/>
        <w:spacing w:line="319" w:lineRule="auto" w:before="63"/>
        <w:ind w:right="0"/>
        <w:jc w:val="left"/>
      </w:pPr>
      <w:r>
        <w:rPr>
          <w:spacing w:val="-2"/>
        </w:rPr>
        <w:t>工的工作环境，不断降低职工的劳动强度，不断提高职工的工资福利；保证让我们的职工体面的活着，快乐的工作，幸福的</w:t>
      </w:r>
      <w:r>
        <w:rPr>
          <w:spacing w:val="-66"/>
        </w:rPr>
        <w:t> </w:t>
      </w:r>
      <w:r>
        <w:rPr>
          <w:spacing w:val="-66"/>
        </w:rPr>
      </w:r>
      <w:r>
        <w:rPr/>
        <w:t>生活。公司注重对员工职业发展进行规划，为员工提供平等的发展机会，尊重和维护员工的个人利益。</w:t>
      </w:r>
    </w:p>
    <w:p>
      <w:pPr>
        <w:spacing w:after="0" w:line="319"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9" w:lineRule="auto" w:before="44"/>
        <w:ind w:right="1132" w:firstLine="360"/>
        <w:jc w:val="both"/>
      </w:pPr>
      <w:r>
        <w:rPr>
          <w:spacing w:val="-2"/>
        </w:rPr>
        <w:t>生活环境的改善：环境污染是一个国家在发展的过程中必然要面对的课题，中国自改革开放以来，经济增长的步伐迈的</w:t>
      </w:r>
      <w:r>
        <w:rPr/>
        <w:t> </w:t>
      </w:r>
      <w:r>
        <w:rPr>
          <w:spacing w:val="-2"/>
        </w:rPr>
        <w:t>很大很大，同时在一定程度上也忽略了生态环境的保护，丽鹏在发展的道路上无时不在努力着，使用天然气、循环水。华宇</w:t>
      </w:r>
      <w:r>
        <w:rPr>
          <w:spacing w:val="-66"/>
        </w:rPr>
        <w:t> </w:t>
      </w:r>
      <w:r>
        <w:rPr>
          <w:spacing w:val="-66"/>
        </w:rPr>
      </w:r>
      <w:r>
        <w:rPr>
          <w:spacing w:val="-2"/>
        </w:rPr>
        <w:t>园林设生态环保部门，取得了重庆市环境污染治理（生态修复、废水、固废）甲级资质证书，在环保、生态修复、水利设施</w:t>
      </w:r>
      <w:r>
        <w:rPr>
          <w:spacing w:val="-67"/>
        </w:rPr>
        <w:t> </w:t>
      </w:r>
      <w:r>
        <w:rPr>
          <w:spacing w:val="-67"/>
        </w:rPr>
      </w:r>
      <w:r>
        <w:rPr/>
        <w:t>建设等方面让我们的家园变得更加纯净，更加温暖。</w:t>
      </w:r>
    </w:p>
    <w:p>
      <w:pPr>
        <w:pStyle w:val="BodyText"/>
        <w:spacing w:line="357" w:lineRule="auto" w:before="57"/>
        <w:ind w:left="474" w:right="0"/>
        <w:jc w:val="left"/>
      </w:pPr>
      <w:r>
        <w:rPr/>
        <w:t>（二）利益相关者责任 </w:t>
      </w:r>
      <w:r>
        <w:rPr>
          <w:spacing w:val="-2"/>
        </w:rPr>
        <w:t>丽鹏有三类最主要的利益相关者：一是客户，二是投资者，三是我们自己。客户是我们的衣食父母，投资者是我们发展</w:t>
      </w:r>
    </w:p>
    <w:p>
      <w:pPr>
        <w:pStyle w:val="BodyText"/>
        <w:spacing w:line="224" w:lineRule="exact"/>
        <w:ind w:right="0"/>
        <w:jc w:val="both"/>
      </w:pPr>
      <w:r>
        <w:rPr/>
        <w:t>壮大的基础，而我们自己则是企业存在的基础。这是丽鹏赖以生存的三大利益相关者，也是我们承担责任的最直接表现。公</w:t>
      </w:r>
    </w:p>
    <w:p>
      <w:pPr>
        <w:pStyle w:val="BodyText"/>
        <w:spacing w:line="314" w:lineRule="auto" w:before="76"/>
        <w:ind w:left="113" w:right="1130"/>
        <w:jc w:val="both"/>
      </w:pPr>
      <w:r>
        <w:rPr>
          <w:spacing w:val="-2"/>
        </w:rPr>
        <w:t>司坚持</w:t>
      </w:r>
      <w:r>
        <w:rPr>
          <w:rFonts w:ascii="Times New Roman" w:hAnsi="Times New Roman" w:cs="Times New Roman" w:eastAsia="Times New Roman" w:hint="default"/>
          <w:spacing w:val="-2"/>
        </w:rPr>
        <w:t>“</w:t>
      </w:r>
      <w:r>
        <w:rPr>
          <w:spacing w:val="-2"/>
        </w:rPr>
        <w:t>客户至上</w:t>
      </w:r>
      <w:r>
        <w:rPr>
          <w:rFonts w:ascii="Times New Roman" w:hAnsi="Times New Roman" w:cs="Times New Roman" w:eastAsia="Times New Roman" w:hint="default"/>
          <w:spacing w:val="-2"/>
        </w:rPr>
        <w:t>”</w:t>
      </w:r>
      <w:r>
        <w:rPr>
          <w:spacing w:val="-2"/>
        </w:rPr>
        <w:t>原则，为客户提供优质的产品；加强与供应商的沟通合作，实现互惠共赢；严格把控产品质量，注重产品</w:t>
      </w:r>
      <w:r>
        <w:rPr>
          <w:spacing w:val="-47"/>
        </w:rPr>
        <w:t> </w:t>
      </w:r>
      <w:r>
        <w:rPr>
          <w:spacing w:val="-47"/>
        </w:rPr>
      </w:r>
      <w:r>
        <w:rPr>
          <w:spacing w:val="-2"/>
        </w:rPr>
        <w:t>安全，保护消费者利益。保障股东特别是中小股东的权益，是公司最基本的社会责任。公司严格按照《公司章程》、《股东</w:t>
      </w:r>
      <w:r>
        <w:rPr>
          <w:spacing w:val="-68"/>
        </w:rPr>
        <w:t> </w:t>
      </w:r>
      <w:r>
        <w:rPr>
          <w:spacing w:val="-68"/>
        </w:rPr>
      </w:r>
      <w:r>
        <w:rPr>
          <w:spacing w:val="-2"/>
        </w:rPr>
        <w:t>大会议事规则》的规定和要求，规范股东大会的召集、召开、表决程序，通过合法有效的方式，让更多的股东能够参加股东</w:t>
      </w:r>
      <w:r>
        <w:rPr>
          <w:spacing w:val="-68"/>
        </w:rPr>
        <w:t> </w:t>
      </w:r>
      <w:r>
        <w:rPr>
          <w:spacing w:val="-68"/>
        </w:rPr>
      </w:r>
      <w:r>
        <w:rPr>
          <w:spacing w:val="-2"/>
        </w:rPr>
        <w:t>大会，确保股东对公司重大事项的知情权、参与权和表决权；认真履行信息披露义务，秉持公平、公正、公开的原则对待全</w:t>
      </w:r>
      <w:r>
        <w:rPr>
          <w:spacing w:val="-68"/>
        </w:rPr>
        <w:t> </w:t>
      </w:r>
      <w:r>
        <w:rPr>
          <w:spacing w:val="-68"/>
        </w:rPr>
      </w:r>
      <w:r>
        <w:rPr/>
        <w:t>体投资者。</w:t>
      </w:r>
    </w:p>
    <w:p>
      <w:pPr>
        <w:pStyle w:val="BodyText"/>
        <w:spacing w:line="319" w:lineRule="auto" w:before="59"/>
        <w:ind w:right="0" w:firstLine="360"/>
        <w:jc w:val="left"/>
      </w:pPr>
      <w:r>
        <w:rPr>
          <w:spacing w:val="-2"/>
        </w:rPr>
        <w:t>未来，公司将积极履行社会责任，在兼顾环境保护的同时，致力于打造广受客户青睐、赢得社会信赖的知名品牌，实现</w:t>
      </w:r>
      <w:r>
        <w:rPr/>
        <w:t> </w:t>
      </w:r>
      <w:r>
        <w:rPr>
          <w:spacing w:val="-2"/>
        </w:rPr>
        <w:t>商业利益与社会责任的高度统一。我们一定要全力以赴分阶段、分步骤、持续、稳定的完成丽鹏的事业，才能兑现对重要利</w:t>
      </w:r>
      <w:r>
        <w:rPr>
          <w:spacing w:val="-66"/>
        </w:rPr>
        <w:t> </w:t>
      </w:r>
      <w:r>
        <w:rPr>
          <w:spacing w:val="-66"/>
        </w:rPr>
      </w:r>
      <w:r>
        <w:rPr>
          <w:spacing w:val="-4"/>
        </w:rPr>
        <w:t>益相关者的责任和义务。让客户的价值实现最大化，让投资者的利益实现最大化，让员工流血流汗不流泪，吃苦吃亏不吃气，</w:t>
      </w:r>
      <w:r>
        <w:rPr>
          <w:spacing w:val="-46"/>
        </w:rPr>
        <w:t> </w:t>
      </w:r>
      <w:r>
        <w:rPr>
          <w:spacing w:val="-46"/>
        </w:rPr>
      </w:r>
      <w:r>
        <w:rPr/>
        <w:t>实现自己的幸福的、有价值的人生。</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both"/>
      </w:pPr>
      <w:r>
        <w:rPr/>
        <w:t>上市公司及其子公司是否属于国家环境保护部门规定的重污染行业</w:t>
      </w:r>
    </w:p>
    <w:p>
      <w:pPr>
        <w:pStyle w:val="BodyText"/>
        <w:spacing w:line="357" w:lineRule="auto" w:before="117"/>
        <w:ind w:right="7332"/>
        <w:jc w:val="left"/>
      </w:pPr>
      <w:r>
        <w:rPr/>
        <w:t>□ 是 □ 否 √不适用 是否发布社会责任报告</w:t>
      </w:r>
    </w:p>
    <w:p>
      <w:pPr>
        <w:pStyle w:val="BodyText"/>
        <w:spacing w:line="240" w:lineRule="auto" w:before="29"/>
        <w:ind w:right="0"/>
        <w:jc w:val="both"/>
      </w:pPr>
      <w:r>
        <w:rPr/>
        <w:t>□ 是 √ 否</w:t>
      </w:r>
    </w:p>
    <w:p>
      <w:pPr>
        <w:spacing w:line="240" w:lineRule="auto" w:before="0"/>
        <w:rPr>
          <w:rFonts w:ascii="宋体" w:hAnsi="宋体" w:cs="宋体" w:eastAsia="宋体" w:hint="default"/>
          <w:sz w:val="25"/>
          <w:szCs w:val="25"/>
        </w:rPr>
      </w:pPr>
    </w:p>
    <w:p>
      <w:pPr>
        <w:pStyle w:val="Heading2"/>
        <w:spacing w:line="240" w:lineRule="auto"/>
        <w:ind w:left="113" w:right="0"/>
        <w:jc w:val="both"/>
        <w:rPr>
          <w:b w:val="0"/>
          <w:bCs w:val="0"/>
        </w:rPr>
      </w:pPr>
      <w:bookmarkStart w:name="二十一、公司债券相关情况" w:id="101"/>
      <w:bookmarkEnd w:id="101"/>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926" w:right="0"/>
        <w:jc w:val="left"/>
        <w:rPr>
          <w:b w:val="0"/>
          <w:bCs w:val="0"/>
        </w:rPr>
      </w:pPr>
      <w:bookmarkStart w:name="第六节 股份变动及股东情况" w:id="102"/>
      <w:bookmarkEnd w:id="102"/>
      <w:r>
        <w:rPr>
          <w:b w:val="0"/>
          <w:bCs w:val="0"/>
        </w:rPr>
      </w:r>
      <w:bookmarkStart w:name="_bookmark4"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0"/>
        <w:jc w:val="left"/>
        <w:rPr>
          <w:b w:val="0"/>
          <w:bCs w:val="0"/>
        </w:rPr>
      </w:pPr>
      <w:bookmarkStart w:name="一、股份变动情况" w:id="104"/>
      <w:bookmarkEnd w:id="104"/>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174,938</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,372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53.07%</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-72,879,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344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-72,879,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344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102,05</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9,028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30.96%</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174,938</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,372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53.07%</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-72,879,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344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-72,879,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344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102,05</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9,028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30.96%</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34,258,</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276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10.39%</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-22,732,</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235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-22,732,</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235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11,526,</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041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140,680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,096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42.67%</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-50,147,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109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-50,147,</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109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90,532,</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987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27.46%</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154,714</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,849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46.93%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72,879,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344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72,879,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344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227,59</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4,193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69.04%</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154,714</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,849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46.93%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72,879,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344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72,879,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344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227,59</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4,193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69.04%</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329,653</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,221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329,65</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3,221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0"/>
        <w:jc w:val="left"/>
      </w:pPr>
      <w:r>
        <w:rPr/>
        <w:t>股份变动的原因</w:t>
      </w:r>
    </w:p>
    <w:p>
      <w:pPr>
        <w:pStyle w:val="BodyText"/>
        <w:spacing w:line="357" w:lineRule="auto" w:before="117"/>
        <w:ind w:right="9132"/>
        <w:jc w:val="left"/>
      </w:pPr>
      <w:r>
        <w:rPr/>
        <w:t>□ 适用 √ 不适用 股份变动的批准情况</w:t>
      </w:r>
    </w:p>
    <w:p>
      <w:pPr>
        <w:pStyle w:val="BodyText"/>
        <w:spacing w:line="240" w:lineRule="auto" w:before="28"/>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股份变动的过户情况</w:t>
      </w:r>
    </w:p>
    <w:p>
      <w:pPr>
        <w:pStyle w:val="BodyText"/>
        <w:spacing w:line="360" w:lineRule="auto" w:before="116"/>
        <w:ind w:right="1392"/>
        <w:jc w:val="left"/>
      </w:pPr>
      <w:r>
        <w:rPr/>
        <w:t>□ 适用 √ 不适用 股份变动对最近一年和最近一期基本每股收益和稀释每股收益、归属于公司普通股股东的每股净资产等财务指标的影响</w:t>
      </w:r>
    </w:p>
    <w:p>
      <w:pPr>
        <w:pStyle w:val="BodyText"/>
        <w:spacing w:line="357" w:lineRule="auto" w:before="26"/>
        <w:ind w:right="6792"/>
        <w:jc w:val="left"/>
      </w:pPr>
      <w:r>
        <w:rPr/>
        <w:t>□ 适用 √ 不适用 公司认为必要或证券监管机构要求披露的其他内容</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137"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7" w:right="137"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both"/>
              <w:rPr>
                <w:rFonts w:ascii="宋体" w:hAnsi="宋体" w:cs="宋体" w:eastAsia="宋体" w:hint="default"/>
                <w:sz w:val="18"/>
                <w:szCs w:val="18"/>
              </w:rPr>
            </w:pPr>
            <w:r>
              <w:rPr>
                <w:rFonts w:ascii="宋体" w:hAnsi="宋体" w:cs="宋体" w:eastAsia="宋体" w:hint="default"/>
                <w:sz w:val="18"/>
                <w:szCs w:val="18"/>
              </w:rPr>
              <w:t>上海金融发展 投资基金（有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15,859,306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15,859,306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增发后机构类 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847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汤洪波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6,776,622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1,761,921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5,014,701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1" w:right="12"/>
              <w:jc w:val="left"/>
              <w:rPr>
                <w:rFonts w:ascii="宋体" w:hAnsi="宋体" w:cs="宋体" w:eastAsia="宋体" w:hint="default"/>
                <w:sz w:val="18"/>
                <w:szCs w:val="18"/>
              </w:rPr>
            </w:pPr>
            <w:r>
              <w:rPr>
                <w:rFonts w:ascii="宋体" w:hAnsi="宋体" w:cs="宋体" w:eastAsia="宋体" w:hint="default"/>
                <w:sz w:val="18"/>
                <w:szCs w:val="18"/>
              </w:rPr>
              <w:t>增发后个人类 限售股，自本 次股份发行结 束之日起满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个月且前一年 度的《专项审 核报告》出具 后，本次交易 取得的丽鹏股 份的股份中的 </w:t>
            </w:r>
            <w:r>
              <w:rPr>
                <w:rFonts w:ascii="Times New Roman" w:hAnsi="Times New Roman" w:cs="Times New Roman" w:eastAsia="Times New Roman" w:hint="default"/>
                <w:sz w:val="18"/>
                <w:szCs w:val="18"/>
              </w:rPr>
              <w:t>26%</w:t>
            </w:r>
            <w:r>
              <w:rPr>
                <w:rFonts w:ascii="宋体" w:hAnsi="宋体" w:cs="宋体" w:eastAsia="宋体" w:hint="default"/>
                <w:sz w:val="18"/>
                <w:szCs w:val="18"/>
              </w:rPr>
              <w:t>可以解除 锁定；自本次 股份发行结束 之日起满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 月且前一年度 的《专项审核 </w:t>
            </w:r>
            <w:r>
              <w:rPr>
                <w:rFonts w:ascii="宋体" w:hAnsi="宋体" w:cs="宋体" w:eastAsia="宋体" w:hint="default"/>
                <w:spacing w:val="-3"/>
                <w:sz w:val="18"/>
                <w:szCs w:val="18"/>
              </w:rPr>
              <w:t>报告》出具后，</w:t>
            </w:r>
            <w:r>
              <w:rPr>
                <w:rFonts w:ascii="宋体" w:hAnsi="宋体" w:cs="宋体" w:eastAsia="宋体" w:hint="default"/>
                <w:sz w:val="18"/>
                <w:szCs w:val="18"/>
              </w:rPr>
              <w:t> 本次交易取得 的丽鹏股份的 股份中的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可以解除锁 定；自本次股 份发行结束之 日起满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 且前一年度的</w:t>
            </w:r>
          </w:p>
          <w:p>
            <w:pPr>
              <w:pStyle w:val="TableParagraph"/>
              <w:spacing w:line="316" w:lineRule="auto" w:before="20"/>
              <w:ind w:left="101" w:right="128"/>
              <w:jc w:val="left"/>
              <w:rPr>
                <w:rFonts w:ascii="宋体" w:hAnsi="宋体" w:cs="宋体" w:eastAsia="宋体" w:hint="default"/>
                <w:sz w:val="18"/>
                <w:szCs w:val="18"/>
              </w:rPr>
            </w:pPr>
            <w:r>
              <w:rPr>
                <w:rFonts w:ascii="宋体" w:hAnsi="宋体" w:cs="宋体" w:eastAsia="宋体" w:hint="default"/>
                <w:sz w:val="18"/>
                <w:szCs w:val="18"/>
              </w:rPr>
              <w:t>《专项审核报 告》、</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首次解禁日期</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2235"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1" w:right="102"/>
              <w:jc w:val="left"/>
              <w:rPr>
                <w:rFonts w:ascii="宋体" w:hAnsi="宋体" w:cs="宋体" w:eastAsia="宋体" w:hint="default"/>
                <w:sz w:val="18"/>
                <w:szCs w:val="18"/>
              </w:rPr>
            </w:pPr>
            <w:r>
              <w:rPr>
                <w:rFonts w:ascii="宋体" w:hAnsi="宋体" w:cs="宋体" w:eastAsia="宋体" w:hint="default"/>
                <w:sz w:val="18"/>
                <w:szCs w:val="18"/>
              </w:rPr>
              <w:t>度结束后的减 值测试报告出 具后，本次交 易取得的上市 公司股份中的 </w:t>
            </w:r>
            <w:r>
              <w:rPr>
                <w:rFonts w:ascii="Times New Roman" w:hAnsi="Times New Roman" w:cs="Times New Roman" w:eastAsia="Times New Roman" w:hint="default"/>
                <w:spacing w:val="-10"/>
                <w:sz w:val="18"/>
                <w:szCs w:val="18"/>
              </w:rPr>
              <w:t>42%</w:t>
            </w:r>
            <w:r>
              <w:rPr>
                <w:rFonts w:ascii="宋体" w:hAnsi="宋体" w:cs="宋体" w:eastAsia="宋体" w:hint="default"/>
                <w:spacing w:val="-10"/>
                <w:sz w:val="18"/>
                <w:szCs w:val="18"/>
              </w:rPr>
              <w:t>，可以解除</w:t>
            </w:r>
            <w:r>
              <w:rPr>
                <w:rFonts w:ascii="宋体" w:hAnsi="宋体" w:cs="宋体" w:eastAsia="宋体" w:hint="default"/>
                <w:sz w:val="18"/>
                <w:szCs w:val="18"/>
              </w:rPr>
              <w:t> 锁定。</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14"/>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上海复星创泓 股权投资基金 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3,799,165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3,799,165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73"/>
              <w:jc w:val="left"/>
              <w:rPr>
                <w:rFonts w:ascii="宋体" w:hAnsi="宋体" w:cs="宋体" w:eastAsia="宋体" w:hint="default"/>
                <w:sz w:val="18"/>
                <w:szCs w:val="18"/>
              </w:rPr>
            </w:pPr>
            <w:r>
              <w:rPr>
                <w:rFonts w:ascii="宋体" w:hAnsi="宋体" w:cs="宋体" w:eastAsia="宋体" w:hint="default"/>
                <w:sz w:val="18"/>
                <w:szCs w:val="18"/>
              </w:rPr>
              <w:t>增发后机构类 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3,092,344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3,092,344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增发后个人类 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黄玲珍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2,915,638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2,915,638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增发后个人类 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878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2" w:lineRule="auto"/>
              <w:ind w:left="103" w:right="114"/>
              <w:jc w:val="both"/>
              <w:rPr>
                <w:rFonts w:ascii="Times New Roman" w:hAnsi="Times New Roman" w:cs="Times New Roman" w:eastAsia="Times New Roman" w:hint="default"/>
                <w:sz w:val="18"/>
                <w:szCs w:val="18"/>
              </w:rPr>
            </w:pPr>
            <w:r>
              <w:rPr>
                <w:rFonts w:ascii="宋体" w:hAnsi="宋体" w:cs="宋体" w:eastAsia="宋体" w:hint="default"/>
                <w:sz w:val="18"/>
                <w:szCs w:val="18"/>
              </w:rPr>
              <w:t>成都富恩德股 权投资基金合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z w:val="18"/>
              </w:rPr>
              <w:t>3,156,812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z w:val="18"/>
              </w:rPr>
              <w:t>820,771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533" w:right="0"/>
              <w:jc w:val="left"/>
              <w:rPr>
                <w:rFonts w:ascii="Times New Roman" w:hAnsi="Times New Roman" w:cs="Times New Roman" w:eastAsia="Times New Roman" w:hint="default"/>
                <w:sz w:val="18"/>
                <w:szCs w:val="18"/>
              </w:rPr>
            </w:pPr>
            <w:r>
              <w:rPr>
                <w:rFonts w:ascii="Times New Roman"/>
                <w:sz w:val="18"/>
              </w:rPr>
              <w:t>2,336,041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2"/>
              <w:jc w:val="left"/>
              <w:rPr>
                <w:rFonts w:ascii="宋体" w:hAnsi="宋体" w:cs="宋体" w:eastAsia="宋体" w:hint="default"/>
                <w:sz w:val="18"/>
                <w:szCs w:val="18"/>
              </w:rPr>
            </w:pPr>
            <w:r>
              <w:rPr>
                <w:rFonts w:ascii="宋体" w:hAnsi="宋体" w:cs="宋体" w:eastAsia="宋体" w:hint="default"/>
                <w:sz w:val="18"/>
                <w:szCs w:val="18"/>
              </w:rPr>
              <w:t>增发后机构类 限售股，自本 次股份发行结 束之日起满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个月且前一年 度的《专项审 核报告》出具 后，本次交易 取得的丽鹏股 份的股份中的 </w:t>
            </w:r>
            <w:r>
              <w:rPr>
                <w:rFonts w:ascii="Times New Roman" w:hAnsi="Times New Roman" w:cs="Times New Roman" w:eastAsia="Times New Roman" w:hint="default"/>
                <w:sz w:val="18"/>
                <w:szCs w:val="18"/>
              </w:rPr>
              <w:t>26%</w:t>
            </w:r>
            <w:r>
              <w:rPr>
                <w:rFonts w:ascii="宋体" w:hAnsi="宋体" w:cs="宋体" w:eastAsia="宋体" w:hint="default"/>
                <w:sz w:val="18"/>
                <w:szCs w:val="18"/>
              </w:rPr>
              <w:t>可以解除 锁定；自本次 股份发行结束 之日起满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 月且前一年度 的《专项审核 </w:t>
            </w:r>
            <w:r>
              <w:rPr>
                <w:rFonts w:ascii="宋体" w:hAnsi="宋体" w:cs="宋体" w:eastAsia="宋体" w:hint="default"/>
                <w:spacing w:val="-3"/>
                <w:sz w:val="18"/>
                <w:szCs w:val="18"/>
              </w:rPr>
              <w:t>报告》出具后，</w:t>
            </w:r>
            <w:r>
              <w:rPr>
                <w:rFonts w:ascii="宋体" w:hAnsi="宋体" w:cs="宋体" w:eastAsia="宋体" w:hint="default"/>
                <w:sz w:val="18"/>
                <w:szCs w:val="18"/>
              </w:rPr>
              <w:t> 本次交易取得 的丽鹏股份的 股份中的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可以解除锁 定；自本次股 份发行结束之 日起满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 且前一年度的</w:t>
            </w:r>
          </w:p>
          <w:p>
            <w:pPr>
              <w:pStyle w:val="TableParagraph"/>
              <w:spacing w:line="309" w:lineRule="auto" w:before="20"/>
              <w:ind w:left="101" w:right="128"/>
              <w:jc w:val="both"/>
              <w:rPr>
                <w:rFonts w:ascii="宋体" w:hAnsi="宋体" w:cs="宋体" w:eastAsia="宋体" w:hint="default"/>
                <w:sz w:val="18"/>
                <w:szCs w:val="18"/>
              </w:rPr>
            </w:pPr>
            <w:r>
              <w:rPr>
                <w:rFonts w:ascii="宋体" w:hAnsi="宋体" w:cs="宋体" w:eastAsia="宋体" w:hint="default"/>
                <w:sz w:val="18"/>
                <w:szCs w:val="18"/>
              </w:rPr>
              <w:t>《专项审核报 告》、</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度结束后的减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首次解禁日期</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923"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1" w:right="102"/>
              <w:jc w:val="left"/>
              <w:rPr>
                <w:rFonts w:ascii="宋体" w:hAnsi="宋体" w:cs="宋体" w:eastAsia="宋体" w:hint="default"/>
                <w:sz w:val="18"/>
                <w:szCs w:val="18"/>
              </w:rPr>
            </w:pPr>
            <w:r>
              <w:rPr>
                <w:rFonts w:ascii="宋体" w:hAnsi="宋体" w:cs="宋体" w:eastAsia="宋体" w:hint="default"/>
                <w:sz w:val="18"/>
                <w:szCs w:val="18"/>
              </w:rPr>
              <w:t>值测试报告出 具后，本次交 易取得的上市 公司股份中的 </w:t>
            </w:r>
            <w:r>
              <w:rPr>
                <w:rFonts w:ascii="Times New Roman" w:hAnsi="Times New Roman" w:cs="Times New Roman" w:eastAsia="Times New Roman" w:hint="default"/>
                <w:spacing w:val="-10"/>
                <w:sz w:val="18"/>
                <w:szCs w:val="18"/>
              </w:rPr>
              <w:t>42%</w:t>
            </w:r>
            <w:r>
              <w:rPr>
                <w:rFonts w:ascii="宋体" w:hAnsi="宋体" w:cs="宋体" w:eastAsia="宋体" w:hint="default"/>
                <w:spacing w:val="-10"/>
                <w:sz w:val="18"/>
                <w:szCs w:val="18"/>
              </w:rPr>
              <w:t>，可以解除</w:t>
            </w:r>
            <w:r>
              <w:rPr>
                <w:rFonts w:ascii="宋体" w:hAnsi="宋体" w:cs="宋体" w:eastAsia="宋体" w:hint="default"/>
                <w:sz w:val="18"/>
                <w:szCs w:val="18"/>
              </w:rPr>
              <w:t> 锁定。</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4"/>
              <w:jc w:val="both"/>
              <w:rPr>
                <w:rFonts w:ascii="宋体" w:hAnsi="宋体" w:cs="宋体" w:eastAsia="宋体" w:hint="default"/>
                <w:sz w:val="18"/>
                <w:szCs w:val="18"/>
              </w:rPr>
            </w:pPr>
            <w:r>
              <w:rPr>
                <w:rFonts w:ascii="宋体" w:hAnsi="宋体" w:cs="宋体" w:eastAsia="宋体" w:hint="default"/>
                <w:sz w:val="18"/>
                <w:szCs w:val="18"/>
              </w:rPr>
              <w:t>杭州金灿金道 股权投资合伙 企业（有限合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2,252,993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2,252,993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73"/>
              <w:jc w:val="left"/>
              <w:rPr>
                <w:rFonts w:ascii="宋体" w:hAnsi="宋体" w:cs="宋体" w:eastAsia="宋体" w:hint="default"/>
                <w:sz w:val="18"/>
                <w:szCs w:val="18"/>
              </w:rPr>
            </w:pPr>
            <w:r>
              <w:rPr>
                <w:rFonts w:ascii="宋体" w:hAnsi="宋体" w:cs="宋体" w:eastAsia="宋体" w:hint="default"/>
                <w:sz w:val="18"/>
                <w:szCs w:val="18"/>
              </w:rPr>
              <w:t>增发后机构类 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2,120,464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2,120,464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增发后个人类 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97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赖力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1,778,337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462,367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533" w:right="0"/>
              <w:jc w:val="left"/>
              <w:rPr>
                <w:rFonts w:ascii="Times New Roman" w:hAnsi="Times New Roman" w:cs="Times New Roman" w:eastAsia="Times New Roman" w:hint="default"/>
                <w:sz w:val="18"/>
                <w:szCs w:val="18"/>
              </w:rPr>
            </w:pPr>
            <w:r>
              <w:rPr>
                <w:rFonts w:ascii="Times New Roman"/>
                <w:sz w:val="18"/>
              </w:rPr>
              <w:t>1,315,970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2"/>
              <w:jc w:val="left"/>
              <w:rPr>
                <w:rFonts w:ascii="宋体" w:hAnsi="宋体" w:cs="宋体" w:eastAsia="宋体" w:hint="default"/>
                <w:sz w:val="18"/>
                <w:szCs w:val="18"/>
              </w:rPr>
            </w:pPr>
            <w:r>
              <w:rPr>
                <w:rFonts w:ascii="宋体" w:hAnsi="宋体" w:cs="宋体" w:eastAsia="宋体" w:hint="default"/>
                <w:sz w:val="18"/>
                <w:szCs w:val="18"/>
              </w:rPr>
              <w:t>增发后个人类 限售股，自本 次股份发行结 束之日起满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个月且前一年 度的《专项审 核报告》出具 后，本次交易 取得的丽鹏股 份的股份中的 </w:t>
            </w:r>
            <w:r>
              <w:rPr>
                <w:rFonts w:ascii="Times New Roman" w:hAnsi="Times New Roman" w:cs="Times New Roman" w:eastAsia="Times New Roman" w:hint="default"/>
                <w:sz w:val="18"/>
                <w:szCs w:val="18"/>
              </w:rPr>
              <w:t>26%</w:t>
            </w:r>
            <w:r>
              <w:rPr>
                <w:rFonts w:ascii="宋体" w:hAnsi="宋体" w:cs="宋体" w:eastAsia="宋体" w:hint="default"/>
                <w:sz w:val="18"/>
                <w:szCs w:val="18"/>
              </w:rPr>
              <w:t>可以解除 锁定；自本次 股份发行结束 之日起满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 月且前一年度 的《专项审核 </w:t>
            </w:r>
            <w:r>
              <w:rPr>
                <w:rFonts w:ascii="宋体" w:hAnsi="宋体" w:cs="宋体" w:eastAsia="宋体" w:hint="default"/>
                <w:spacing w:val="-3"/>
                <w:sz w:val="18"/>
                <w:szCs w:val="18"/>
              </w:rPr>
              <w:t>报告》出具后，</w:t>
            </w:r>
            <w:r>
              <w:rPr>
                <w:rFonts w:ascii="宋体" w:hAnsi="宋体" w:cs="宋体" w:eastAsia="宋体" w:hint="default"/>
                <w:sz w:val="18"/>
                <w:szCs w:val="18"/>
              </w:rPr>
              <w:t> 本次交易取得 的丽鹏股份的 股份中的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可以解除锁 定；自本次股 份发行结束之 日起满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 且前一年度的</w:t>
            </w:r>
          </w:p>
          <w:p>
            <w:pPr>
              <w:pStyle w:val="TableParagraph"/>
              <w:spacing w:line="314" w:lineRule="auto" w:before="20"/>
              <w:ind w:left="101" w:right="128"/>
              <w:jc w:val="both"/>
              <w:rPr>
                <w:rFonts w:ascii="宋体" w:hAnsi="宋体" w:cs="宋体" w:eastAsia="宋体" w:hint="default"/>
                <w:sz w:val="18"/>
                <w:szCs w:val="18"/>
              </w:rPr>
            </w:pPr>
            <w:r>
              <w:rPr>
                <w:rFonts w:ascii="宋体" w:hAnsi="宋体" w:cs="宋体" w:eastAsia="宋体" w:hint="default"/>
                <w:sz w:val="18"/>
                <w:szCs w:val="18"/>
              </w:rPr>
              <w:t>《专项审核报 告》、</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度结束后的减 值测试报告出 具后，本次交 易取得的上市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首次解禁日期</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1" w:right="102"/>
              <w:jc w:val="left"/>
              <w:rPr>
                <w:rFonts w:ascii="宋体" w:hAnsi="宋体" w:cs="宋体" w:eastAsia="宋体" w:hint="default"/>
                <w:sz w:val="18"/>
                <w:szCs w:val="18"/>
              </w:rPr>
            </w:pPr>
            <w:r>
              <w:rPr>
                <w:rFonts w:ascii="宋体" w:hAnsi="宋体" w:cs="宋体" w:eastAsia="宋体" w:hint="default"/>
                <w:sz w:val="18"/>
                <w:szCs w:val="18"/>
              </w:rPr>
              <w:t>公司股份中的 </w:t>
            </w:r>
            <w:r>
              <w:rPr>
                <w:rFonts w:ascii="Times New Roman" w:hAnsi="Times New Roman" w:cs="Times New Roman" w:eastAsia="Times New Roman" w:hint="default"/>
                <w:spacing w:val="-10"/>
                <w:sz w:val="18"/>
                <w:szCs w:val="18"/>
              </w:rPr>
              <w:t>42%</w:t>
            </w:r>
            <w:r>
              <w:rPr>
                <w:rFonts w:ascii="宋体" w:hAnsi="宋体" w:cs="宋体" w:eastAsia="宋体" w:hint="default"/>
                <w:spacing w:val="-10"/>
                <w:sz w:val="18"/>
                <w:szCs w:val="18"/>
              </w:rPr>
              <w:t>，可以解除</w:t>
            </w:r>
            <w:r>
              <w:rPr>
                <w:rFonts w:ascii="宋体" w:hAnsi="宋体" w:cs="宋体" w:eastAsia="宋体" w:hint="default"/>
                <w:sz w:val="18"/>
                <w:szCs w:val="18"/>
              </w:rPr>
              <w:t> 锁定。</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69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丁小玲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1,052,271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273,590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778,681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2"/>
              <w:jc w:val="left"/>
              <w:rPr>
                <w:rFonts w:ascii="宋体" w:hAnsi="宋体" w:cs="宋体" w:eastAsia="宋体" w:hint="default"/>
                <w:sz w:val="18"/>
                <w:szCs w:val="18"/>
              </w:rPr>
            </w:pPr>
            <w:r>
              <w:rPr>
                <w:rFonts w:ascii="宋体" w:hAnsi="宋体" w:cs="宋体" w:eastAsia="宋体" w:hint="default"/>
                <w:sz w:val="18"/>
                <w:szCs w:val="18"/>
              </w:rPr>
              <w:t>增发后个人类 限售股，自本 次股份发行结 束之日起满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个月且前一年 度的《专项审 核报告》出具 后，本次交易 取得的丽鹏股 份的股份中的 </w:t>
            </w:r>
            <w:r>
              <w:rPr>
                <w:rFonts w:ascii="Times New Roman" w:hAnsi="Times New Roman" w:cs="Times New Roman" w:eastAsia="Times New Roman" w:hint="default"/>
                <w:sz w:val="18"/>
                <w:szCs w:val="18"/>
              </w:rPr>
              <w:t>26%</w:t>
            </w:r>
            <w:r>
              <w:rPr>
                <w:rFonts w:ascii="宋体" w:hAnsi="宋体" w:cs="宋体" w:eastAsia="宋体" w:hint="default"/>
                <w:sz w:val="18"/>
                <w:szCs w:val="18"/>
              </w:rPr>
              <w:t>可以解除 锁定；自本次 股份发行结束 之日起满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 月且前一年度 的《专项审核 </w:t>
            </w:r>
            <w:r>
              <w:rPr>
                <w:rFonts w:ascii="宋体" w:hAnsi="宋体" w:cs="宋体" w:eastAsia="宋体" w:hint="default"/>
                <w:spacing w:val="-3"/>
                <w:sz w:val="18"/>
                <w:szCs w:val="18"/>
              </w:rPr>
              <w:t>报告》出具后，</w:t>
            </w:r>
            <w:r>
              <w:rPr>
                <w:rFonts w:ascii="宋体" w:hAnsi="宋体" w:cs="宋体" w:eastAsia="宋体" w:hint="default"/>
                <w:sz w:val="18"/>
                <w:szCs w:val="18"/>
              </w:rPr>
              <w:t> 本次交易取得 的丽鹏股份的 股份中的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可以解除锁 定；自本次股 份发行结束之 日起满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 且前一年度的</w:t>
            </w:r>
          </w:p>
          <w:p>
            <w:pPr>
              <w:pStyle w:val="TableParagraph"/>
              <w:spacing w:line="314" w:lineRule="auto" w:before="20"/>
              <w:ind w:left="101" w:right="102"/>
              <w:jc w:val="both"/>
              <w:rPr>
                <w:rFonts w:ascii="宋体" w:hAnsi="宋体" w:cs="宋体" w:eastAsia="宋体" w:hint="default"/>
                <w:sz w:val="18"/>
                <w:szCs w:val="18"/>
              </w:rPr>
            </w:pPr>
            <w:r>
              <w:rPr>
                <w:rFonts w:ascii="宋体" w:hAnsi="宋体" w:cs="宋体" w:eastAsia="宋体" w:hint="default"/>
                <w:sz w:val="18"/>
                <w:szCs w:val="18"/>
              </w:rPr>
              <w:t>《专项审核报 告》、</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度结束后的减 值测试报告出 具后，本次交 易取得的上市 公司股份中的 </w:t>
            </w:r>
            <w:r>
              <w:rPr>
                <w:rFonts w:ascii="Times New Roman" w:hAnsi="Times New Roman" w:cs="Times New Roman" w:eastAsia="Times New Roman" w:hint="default"/>
                <w:spacing w:val="-10"/>
                <w:sz w:val="18"/>
                <w:szCs w:val="18"/>
              </w:rPr>
              <w:t>42%</w:t>
            </w:r>
            <w:r>
              <w:rPr>
                <w:rFonts w:ascii="宋体" w:hAnsi="宋体" w:cs="宋体" w:eastAsia="宋体" w:hint="default"/>
                <w:spacing w:val="-10"/>
                <w:sz w:val="18"/>
                <w:szCs w:val="18"/>
              </w:rPr>
              <w:t>，可以解除</w:t>
            </w:r>
            <w:r>
              <w:rPr>
                <w:rFonts w:ascii="宋体" w:hAnsi="宋体" w:cs="宋体" w:eastAsia="宋体" w:hint="default"/>
                <w:sz w:val="18"/>
                <w:szCs w:val="18"/>
              </w:rPr>
              <w:t> 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首次解禁日期</w:t>
            </w:r>
          </w:p>
          <w:p>
            <w:pPr>
              <w:pStyle w:val="TableParagraph"/>
              <w:spacing w:line="240" w:lineRule="auto" w:before="7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9,683,453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9,683,453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增发后个人类 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52,487,405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43,042,012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9,445,393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Times New Roman" w:hAnsi="Times New Roman" w:cs="Times New Roman" w:eastAsia="Times New Roman" w:hint="default"/>
          <w:sz w:val="23"/>
          <w:szCs w:val="23"/>
        </w:rPr>
      </w:pPr>
    </w:p>
    <w:p>
      <w:pPr>
        <w:pStyle w:val="Heading2"/>
        <w:spacing w:line="240" w:lineRule="auto" w:before="26"/>
        <w:ind w:right="0"/>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274"/>
        <w:gridCol w:w="923"/>
        <w:gridCol w:w="490"/>
        <w:gridCol w:w="748"/>
        <w:gridCol w:w="827"/>
        <w:gridCol w:w="328"/>
        <w:gridCol w:w="461"/>
        <w:gridCol w:w="761"/>
        <w:gridCol w:w="866"/>
        <w:gridCol w:w="305"/>
        <w:gridCol w:w="1044"/>
        <w:gridCol w:w="152"/>
        <w:gridCol w:w="1195"/>
      </w:tblGrid>
      <w:tr>
        <w:trPr>
          <w:trHeight w:val="2279"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180"/>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89" w:right="0"/>
              <w:jc w:val="left"/>
              <w:rPr>
                <w:rFonts w:ascii="Times New Roman" w:hAnsi="Times New Roman" w:cs="Times New Roman" w:eastAsia="Times New Roman" w:hint="default"/>
                <w:sz w:val="18"/>
                <w:szCs w:val="18"/>
              </w:rPr>
            </w:pPr>
            <w:r>
              <w:rPr>
                <w:rFonts w:ascii="Times New Roman"/>
                <w:sz w:val="18"/>
              </w:rPr>
              <w:t>17,941</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1" w:right="223"/>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18,073</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36"/>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w:t>
            </w:r>
            <w:r>
              <w:rPr>
                <w:rFonts w:ascii="宋体" w:hAnsi="宋体" w:cs="宋体" w:eastAsia="宋体" w:hint="default"/>
                <w:spacing w:val="-2"/>
                <w:sz w:val="18"/>
                <w:szCs w:val="18"/>
              </w:rPr>
              <w:t>总数（如有）</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1"/>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319" w:lineRule="auto" w:before="19"/>
              <w:ind w:left="103" w:right="102"/>
              <w:jc w:val="both"/>
              <w:rPr>
                <w:rFonts w:ascii="宋体" w:hAnsi="宋体" w:cs="宋体" w:eastAsia="宋体" w:hint="default"/>
                <w:sz w:val="18"/>
                <w:szCs w:val="18"/>
              </w:rPr>
            </w:pPr>
            <w:r>
              <w:rPr>
                <w:rFonts w:ascii="宋体" w:hAnsi="宋体" w:cs="宋体" w:eastAsia="宋体" w:hint="default"/>
                <w:spacing w:val="-17"/>
                <w:sz w:val="18"/>
                <w:szCs w:val="18"/>
              </w:rPr>
              <w:t>（如有）（参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8"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7" w:right="119"/>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7"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8" w:right="9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7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7"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16.14%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53,200,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43,200,</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44,750,000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14.88%</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49,066,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587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49,066,</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587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上海金融发展 投资基金（有限 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4.34%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14,300,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-1,559,</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306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5"/>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14,300,</w:t>
            </w:r>
          </w:p>
          <w:p>
            <w:pPr>
              <w:pStyle w:val="TableParagraph"/>
              <w:spacing w:line="240" w:lineRule="auto" w:before="105"/>
              <w:ind w:left="483" w:right="0"/>
              <w:jc w:val="left"/>
              <w:rPr>
                <w:rFonts w:ascii="Times New Roman" w:hAnsi="Times New Roman" w:cs="Times New Roman" w:eastAsia="Times New Roman" w:hint="default"/>
                <w:sz w:val="18"/>
                <w:szCs w:val="18"/>
              </w:rPr>
            </w:pPr>
            <w:r>
              <w:rPr>
                <w:rFonts w:ascii="Times New Roman"/>
                <w:sz w:val="18"/>
              </w:rPr>
              <w:t>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4.08%</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13,444,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204,30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11,208,</w:t>
            </w:r>
          </w:p>
          <w:p>
            <w:pPr>
              <w:pStyle w:val="TableParagraph"/>
              <w:spacing w:line="240" w:lineRule="auto" w:before="105"/>
              <w:ind w:left="404" w:right="0"/>
              <w:jc w:val="left"/>
              <w:rPr>
                <w:rFonts w:ascii="Times New Roman" w:hAnsi="Times New Roman" w:cs="Times New Roman" w:eastAsia="Times New Roman" w:hint="default"/>
                <w:sz w:val="18"/>
                <w:szCs w:val="18"/>
              </w:rPr>
            </w:pPr>
            <w:r>
              <w:rPr>
                <w:rFonts w:ascii="Times New Roman"/>
                <w:sz w:val="18"/>
              </w:rPr>
              <w:t>225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2,236,0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3.68%</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12,140,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8,640,0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8,400,000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10,640,</w:t>
            </w:r>
          </w:p>
          <w:p>
            <w:pPr>
              <w:pStyle w:val="TableParagraph"/>
              <w:spacing w:line="240" w:lineRule="auto" w:before="106"/>
              <w:ind w:left="402" w:right="0"/>
              <w:jc w:val="lef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8,640,0</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西藏坤德投资 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7"/>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8,640,0</w:t>
            </w:r>
          </w:p>
          <w:p>
            <w:pPr>
              <w:pStyle w:val="TableParagraph"/>
              <w:spacing w:line="240" w:lineRule="auto" w:before="106"/>
              <w:ind w:left="492"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-4,098,</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100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8,640,0</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齐鲁证券资管</w:t>
            </w:r>
          </w:p>
          <w:p>
            <w:pPr>
              <w:pStyle w:val="TableParagraph"/>
              <w:spacing w:line="312" w:lineRule="auto" w:before="76"/>
              <w:ind w:left="103" w:right="102"/>
              <w:jc w:val="left"/>
              <w:rPr>
                <w:rFonts w:ascii="宋体" w:hAnsi="宋体" w:cs="宋体" w:eastAsia="宋体" w:hint="default"/>
                <w:sz w:val="18"/>
                <w:szCs w:val="18"/>
              </w:rPr>
            </w:pPr>
            <w:r>
              <w:rPr>
                <w:rFonts w:ascii="宋体" w:hAnsi="宋体" w:cs="宋体" w:eastAsia="宋体" w:hint="default"/>
                <w:sz w:val="18"/>
                <w:szCs w:val="18"/>
              </w:rPr>
              <w:t>—工商银行— 齐鲁定增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号集</w:t>
            </w:r>
            <w:r>
              <w:rPr>
                <w:rFonts w:ascii="宋体" w:hAnsi="宋体" w:cs="宋体" w:eastAsia="宋体" w:hint="default"/>
                <w:spacing w:val="-2"/>
                <w:sz w:val="18"/>
                <w:szCs w:val="18"/>
              </w:rPr>
              <w:t> </w:t>
            </w:r>
            <w:r>
              <w:rPr>
                <w:rFonts w:ascii="宋体" w:hAnsi="宋体" w:cs="宋体" w:eastAsia="宋体" w:hint="default"/>
                <w:sz w:val="18"/>
                <w:szCs w:val="18"/>
              </w:rPr>
              <w:t>合资产管理计</w:t>
            </w:r>
            <w:r>
              <w:rPr>
                <w:rFonts w:ascii="宋体" w:hAnsi="宋体" w:cs="宋体" w:eastAsia="宋体" w:hint="default"/>
                <w:sz w:val="18"/>
                <w:szCs w:val="18"/>
              </w:rPr>
              <w:t>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2" w:right="0"/>
              <w:jc w:val="left"/>
              <w:rPr>
                <w:rFonts w:ascii="Times New Roman" w:hAnsi="Times New Roman" w:cs="Times New Roman" w:eastAsia="Times New Roman" w:hint="default"/>
                <w:sz w:val="18"/>
                <w:szCs w:val="18"/>
              </w:rPr>
            </w:pPr>
            <w:r>
              <w:rPr>
                <w:rFonts w:ascii="Times New Roman"/>
                <w:sz w:val="18"/>
              </w:rPr>
              <w:t>7,190,0</w:t>
            </w:r>
          </w:p>
          <w:p>
            <w:pPr>
              <w:pStyle w:val="TableParagraph"/>
              <w:spacing w:line="240" w:lineRule="auto" w:before="106"/>
              <w:ind w:left="492"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4" w:right="0"/>
              <w:jc w:val="left"/>
              <w:rPr>
                <w:rFonts w:ascii="Times New Roman" w:hAnsi="Times New Roman" w:cs="Times New Roman" w:eastAsia="Times New Roman" w:hint="default"/>
                <w:sz w:val="18"/>
                <w:szCs w:val="18"/>
              </w:rPr>
            </w:pPr>
            <w:r>
              <w:rPr>
                <w:rFonts w:ascii="Times New Roman"/>
                <w:sz w:val="18"/>
              </w:rPr>
              <w:t>7,190,0</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汤洪波</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6,776,6</w:t>
            </w:r>
          </w:p>
          <w:p>
            <w:pPr>
              <w:pStyle w:val="TableParagraph"/>
              <w:spacing w:line="240" w:lineRule="auto" w:before="106"/>
              <w:ind w:left="492" w:right="0"/>
              <w:jc w:val="left"/>
              <w:rPr>
                <w:rFonts w:ascii="Times New Roman" w:hAnsi="Times New Roman" w:cs="Times New Roman" w:eastAsia="Times New Roman" w:hint="default"/>
                <w:sz w:val="18"/>
                <w:szCs w:val="18"/>
              </w:rPr>
            </w:pPr>
            <w:r>
              <w:rPr>
                <w:rFonts w:ascii="Times New Roman"/>
                <w:sz w:val="18"/>
              </w:rPr>
              <w:t>22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5,014,7</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01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1,761,9</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21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于志芬</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6"/>
              <w:ind w:left="492"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both"/>
              <w:rPr>
                <w:rFonts w:ascii="宋体" w:hAnsi="宋体" w:cs="宋体" w:eastAsia="宋体" w:hint="default"/>
                <w:sz w:val="18"/>
                <w:szCs w:val="18"/>
              </w:rPr>
            </w:pPr>
            <w:r>
              <w:rPr>
                <w:rFonts w:ascii="宋体" w:hAnsi="宋体" w:cs="宋体" w:eastAsia="宋体" w:hint="default"/>
                <w:spacing w:val="-1"/>
                <w:sz w:val="18"/>
                <w:szCs w:val="18"/>
              </w:rPr>
              <w:t>上述股东中，孙世尧与于志芬系夫妻；孙世尧为孙鲲鹏、孙红丽的父亲；于志芬为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
                <w:sz w:val="18"/>
                <w:szCs w:val="18"/>
              </w:rPr>
              <w:t>孙鲲鹏、孙红丽的母亲；霍文菊为孙世尧内弟之妻；汤于为汤洪波的叔叔。未知其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他股东相互之间是否存在关联关系，也未知是否属于《上市公司收购管理办法》中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规定的一致行动人。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gridSpan w:val="2"/>
            <w:vMerge/>
            <w:tcBorders>
              <w:left w:val="single" w:sz="4" w:space="0" w:color="000000"/>
              <w:bottom w:val="single" w:sz="4" w:space="0" w:color="000000"/>
              <w:right w:val="single" w:sz="4" w:space="0" w:color="000000"/>
            </w:tcBorders>
            <w:shd w:val="clear" w:color="auto" w:fill="D2D2D2"/>
          </w:tcPr>
          <w:p>
            <w:pPr/>
          </w:p>
        </w:tc>
        <w:tc>
          <w:tcPr>
            <w:tcW w:w="3990"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43,200,000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6"/>
              <w:jc w:val="left"/>
              <w:rPr>
                <w:rFonts w:ascii="宋体" w:hAnsi="宋体" w:cs="宋体" w:eastAsia="宋体" w:hint="default"/>
                <w:sz w:val="18"/>
                <w:szCs w:val="18"/>
              </w:rPr>
            </w:pPr>
            <w:r>
              <w:rPr>
                <w:rFonts w:ascii="宋体" w:hAnsi="宋体" w:cs="宋体" w:eastAsia="宋体" w:hint="default"/>
                <w:sz w:val="18"/>
                <w:szCs w:val="18"/>
              </w:rPr>
              <w:t>上海金融发展投资基金（有限合 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8,640,000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8,640,000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西藏坤德投资有限公司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8,640,000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于志芬</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5,040,000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6"/>
              <w:jc w:val="left"/>
              <w:rPr>
                <w:rFonts w:ascii="宋体" w:hAnsi="宋体" w:cs="宋体" w:eastAsia="宋体" w:hint="default"/>
                <w:sz w:val="18"/>
                <w:szCs w:val="18"/>
              </w:rPr>
            </w:pPr>
            <w:r>
              <w:rPr>
                <w:rFonts w:ascii="宋体" w:hAnsi="宋体" w:cs="宋体" w:eastAsia="宋体" w:hint="default"/>
                <w:sz w:val="18"/>
                <w:szCs w:val="18"/>
              </w:rPr>
              <w:t>上海复星创泓股权投资基金合伙 企业（有限合伙）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3,799,165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3,799,165</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西藏明华投资有限公司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3,750,000</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华融国际信托有限责任公司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 </w:t>
            </w:r>
            <w:r>
              <w:rPr>
                <w:rFonts w:ascii="宋体" w:hAnsi="宋体" w:cs="宋体" w:eastAsia="宋体" w:hint="default"/>
                <w:spacing w:val="-3"/>
                <w:sz w:val="18"/>
                <w:szCs w:val="18"/>
              </w:rPr>
              <w:t>融·得壹汇金证券投资集合资金信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3,212,100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3,212,100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路程寒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2,950,998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2,950,998</w:t>
            </w:r>
          </w:p>
        </w:tc>
      </w:tr>
      <w:tr>
        <w:trPr>
          <w:trHeight w:val="362"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名股东之间关联关系：孙世尧与于志芬系夫妻；</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82"/>
        <w:gridCol w:w="6687"/>
      </w:tblGrid>
      <w:tr>
        <w:trPr>
          <w:trHeight w:val="986"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103" w:right="1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孙世尧为孙鲲鹏、孙红丽的父亲；于志芬为孙鲲鹏、孙红丽的母亲；霍文菊为孙世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尧内弟之妻；孙世尧、于志芬、霍文菊、孙红丽、孙鲲鹏为一致行动人。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业务情况说明（如有）（参见注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13" w:right="0"/>
        <w:jc w:val="left"/>
      </w:pPr>
      <w:r>
        <w:rPr/>
        <w:t>□ 是 √ 否</w:t>
      </w:r>
    </w:p>
    <w:p>
      <w:pPr>
        <w:pStyle w:val="BodyText"/>
        <w:spacing w:line="240" w:lineRule="auto" w:before="116"/>
        <w:ind w:left="113"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left="113" w:right="0"/>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 w:right="8593"/>
        <w:jc w:val="left"/>
      </w:pPr>
      <w:r>
        <w:rPr/>
        <w:t>控股股东性质：自然人控股 控股股东类型：自然人</w:t>
      </w:r>
    </w:p>
    <w:tbl>
      <w:tblPr>
        <w:tblW w:w="0" w:type="auto"/>
        <w:jc w:val="left"/>
        <w:tblInd w:w="10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曾任山东丽鹏股份有限公司董事长，现为山东丽鹏股份有限公司控股股东</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357" w:lineRule="auto" w:before="117"/>
        <w:ind w:right="8052"/>
        <w:jc w:val="left"/>
      </w:pPr>
      <w:r>
        <w:rPr/>
        <w:t>□ 适用 √ 不适用 公司报告期控股股东未发生变更。</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公司实际控制人情况" w:id="114"/>
      <w:bookmarkEnd w:id="11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于志芬</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孙世尧自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月担任公司董事长；霍文菊自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月担任公司监事会主席；孙鲲鹏自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年任公司董事，</w:t>
            </w:r>
            <w:r>
              <w:rPr>
                <w:rFonts w:ascii="Times New Roman" w:hAnsi="Times New Roman" w:cs="Times New Roman" w:eastAsia="Times New Roman" w:hint="default"/>
                <w:spacing w:val="-4"/>
                <w:sz w:val="18"/>
                <w:szCs w:val="18"/>
              </w:rPr>
              <w:t>2010</w:t>
            </w:r>
          </w:p>
          <w:p>
            <w:pPr>
              <w:pStyle w:val="TableParagraph"/>
              <w:spacing w:line="302" w:lineRule="auto" w:before="63"/>
              <w:ind w:left="103" w:right="102"/>
              <w:jc w:val="left"/>
              <w:rPr>
                <w:rFonts w:ascii="宋体" w:hAnsi="宋体" w:cs="宋体" w:eastAsia="宋体" w:hint="default"/>
                <w:sz w:val="18"/>
                <w:szCs w:val="18"/>
              </w:rPr>
            </w:pP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月任公司副董事长，现任公司董事长；于志芬、孙红丽暂未 就业。</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240" w:lineRule="auto" w:before="117"/>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right="6792"/>
        <w:jc w:val="left"/>
      </w:pPr>
      <w:r>
        <w:rPr/>
        <w:t>公司报告期实际控制人未发生变更。 公司与实际控制人之间的产权及控制关系的方框图</w:t>
      </w:r>
    </w:p>
    <w:p>
      <w:pPr>
        <w:spacing w:line="240" w:lineRule="auto" w:before="4"/>
        <w:rPr>
          <w:rFonts w:ascii="宋体" w:hAnsi="宋体" w:cs="宋体" w:eastAsia="宋体" w:hint="default"/>
          <w:sz w:val="16"/>
          <w:szCs w:val="16"/>
        </w:rPr>
      </w:pPr>
    </w:p>
    <w:p>
      <w:pPr>
        <w:spacing w:line="3360" w:lineRule="exact"/>
        <w:ind w:left="1318"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591050" cy="213360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8" cstate="print"/>
                    <a:stretch>
                      <a:fillRect/>
                    </a:stretch>
                  </pic:blipFill>
                  <pic:spPr>
                    <a:xfrm>
                      <a:off x="0" y="0"/>
                      <a:ext cx="4591050" cy="2133600"/>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1"/>
        <w:rPr>
          <w:rFonts w:ascii="宋体" w:hAnsi="宋体" w:cs="宋体" w:eastAsia="宋体" w:hint="default"/>
          <w:sz w:val="15"/>
          <w:szCs w:val="15"/>
        </w:rPr>
      </w:pPr>
    </w:p>
    <w:p>
      <w:pPr>
        <w:spacing w:before="0"/>
        <w:ind w:left="11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left="11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246" w:right="0"/>
        <w:jc w:val="left"/>
        <w:rPr>
          <w:b w:val="0"/>
          <w:bCs w:val="0"/>
        </w:rPr>
      </w:pPr>
      <w:bookmarkStart w:name="第七节 优先股相关情况" w:id="117"/>
      <w:bookmarkEnd w:id="117"/>
      <w:r>
        <w:rPr>
          <w:b w:val="0"/>
          <w:bCs w:val="0"/>
        </w:rPr>
      </w:r>
      <w:bookmarkStart w:name="_bookmark5"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1640" w:right="0"/>
        <w:jc w:val="left"/>
        <w:rPr>
          <w:b w:val="0"/>
          <w:bCs w:val="0"/>
        </w:rPr>
      </w:pPr>
      <w:bookmarkStart w:name="第八节 董事、监事、高级管理人员和员工情况" w:id="119"/>
      <w:bookmarkEnd w:id="119"/>
      <w:r>
        <w:rPr>
          <w:b w:val="0"/>
          <w:bCs w:val="0"/>
        </w:rPr>
      </w:r>
      <w:bookmarkStart w:name="_bookmark6" w:id="120"/>
      <w:bookmarkEnd w:id="120"/>
      <w:r>
        <w:rPr>
          <w:b w:val="0"/>
          <w:bCs w:val="0"/>
        </w:rPr>
      </w:r>
      <w:r>
        <w:rPr/>
        <w:t>第八节</w:t>
      </w:r>
      <w:r>
        <w:rPr>
          <w:spacing w:val="-14"/>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40"/>
              <w:jc w:val="center"/>
              <w:rPr>
                <w:rFonts w:ascii="宋体" w:hAnsi="宋体" w:cs="宋体" w:eastAsia="宋体" w:hint="default"/>
                <w:sz w:val="18"/>
                <w:szCs w:val="18"/>
              </w:rPr>
            </w:pPr>
            <w:r>
              <w:rPr>
                <w:rFonts w:ascii="宋体" w:hAnsi="宋体" w:cs="宋体" w:eastAsia="宋体" w:hint="default"/>
                <w:sz w:val="18"/>
                <w:szCs w:val="18"/>
              </w:rPr>
              <w:t>孙鲲鹏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13,240,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204,30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13,444,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40"/>
              <w:jc w:val="center"/>
              <w:rPr>
                <w:rFonts w:ascii="宋体" w:hAnsi="宋体" w:cs="宋体" w:eastAsia="宋体" w:hint="default"/>
                <w:sz w:val="18"/>
                <w:szCs w:val="18"/>
              </w:rPr>
            </w:pPr>
            <w:r>
              <w:rPr>
                <w:rFonts w:ascii="宋体" w:hAnsi="宋体" w:cs="宋体" w:eastAsia="宋体" w:hint="default"/>
                <w:sz w:val="18"/>
                <w:szCs w:val="18"/>
              </w:rPr>
              <w:t>李海霞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副董事 长、董 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40"/>
              <w:jc w:val="center"/>
              <w:rPr>
                <w:rFonts w:ascii="宋体" w:hAnsi="宋体" w:cs="宋体" w:eastAsia="宋体" w:hint="default"/>
                <w:sz w:val="18"/>
                <w:szCs w:val="18"/>
              </w:rPr>
            </w:pPr>
            <w:r>
              <w:rPr>
                <w:rFonts w:ascii="宋体" w:hAnsi="宋体" w:cs="宋体" w:eastAsia="宋体" w:hint="default"/>
                <w:sz w:val="18"/>
                <w:szCs w:val="18"/>
              </w:rPr>
              <w:t>张本杰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董事、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40"/>
              <w:jc w:val="center"/>
              <w:rPr>
                <w:rFonts w:ascii="宋体" w:hAnsi="宋体" w:cs="宋体" w:eastAsia="宋体" w:hint="default"/>
                <w:sz w:val="18"/>
                <w:szCs w:val="18"/>
              </w:rPr>
            </w:pPr>
            <w:r>
              <w:rPr>
                <w:rFonts w:ascii="宋体" w:hAnsi="宋体" w:cs="宋体" w:eastAsia="宋体" w:hint="default"/>
                <w:sz w:val="18"/>
                <w:szCs w:val="18"/>
              </w:rPr>
              <w:t>汤  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49,066,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49,066,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587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40"/>
              <w:jc w:val="center"/>
              <w:rPr>
                <w:rFonts w:ascii="宋体" w:hAnsi="宋体" w:cs="宋体" w:eastAsia="宋体" w:hint="default"/>
                <w:sz w:val="18"/>
                <w:szCs w:val="18"/>
              </w:rPr>
            </w:pPr>
            <w:r>
              <w:rPr>
                <w:rFonts w:ascii="宋体" w:hAnsi="宋体" w:cs="宋体" w:eastAsia="宋体" w:hint="default"/>
                <w:sz w:val="18"/>
                <w:szCs w:val="18"/>
              </w:rPr>
              <w:t>邢路坤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40"/>
              <w:jc w:val="center"/>
              <w:rPr>
                <w:rFonts w:ascii="宋体" w:hAnsi="宋体" w:cs="宋体" w:eastAsia="宋体" w:hint="default"/>
                <w:sz w:val="18"/>
                <w:szCs w:val="18"/>
              </w:rPr>
            </w:pPr>
            <w:r>
              <w:rPr>
                <w:rFonts w:ascii="宋体" w:hAnsi="宋体" w:cs="宋体" w:eastAsia="宋体" w:hint="default"/>
                <w:sz w:val="18"/>
                <w:szCs w:val="18"/>
              </w:rPr>
              <w:t>罗  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14,600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40"/>
              <w:jc w:val="center"/>
              <w:rPr>
                <w:rFonts w:ascii="宋体" w:hAnsi="宋体" w:cs="宋体" w:eastAsia="宋体" w:hint="default"/>
                <w:sz w:val="18"/>
                <w:szCs w:val="18"/>
              </w:rPr>
            </w:pPr>
            <w:r>
              <w:rPr>
                <w:rFonts w:ascii="宋体" w:hAnsi="宋体" w:cs="宋体" w:eastAsia="宋体" w:hint="default"/>
                <w:sz w:val="18"/>
                <w:szCs w:val="18"/>
              </w:rPr>
              <w:t>王全宁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40"/>
              <w:jc w:val="center"/>
              <w:rPr>
                <w:rFonts w:ascii="宋体" w:hAnsi="宋体" w:cs="宋体" w:eastAsia="宋体" w:hint="default"/>
                <w:sz w:val="18"/>
                <w:szCs w:val="18"/>
              </w:rPr>
            </w:pPr>
            <w:r>
              <w:rPr>
                <w:rFonts w:ascii="宋体" w:hAnsi="宋体" w:cs="宋体" w:eastAsia="宋体" w:hint="default"/>
                <w:sz w:val="18"/>
                <w:szCs w:val="18"/>
              </w:rPr>
              <w:t>秦  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
              <w:jc w:val="center"/>
              <w:rPr>
                <w:rFonts w:ascii="宋体" w:hAnsi="宋体" w:cs="宋体" w:eastAsia="宋体" w:hint="default"/>
                <w:sz w:val="18"/>
                <w:szCs w:val="18"/>
              </w:rPr>
            </w:pPr>
            <w:r>
              <w:rPr>
                <w:rFonts w:ascii="宋体" w:hAnsi="宋体" w:cs="宋体" w:eastAsia="宋体" w:hint="default"/>
                <w:sz w:val="18"/>
                <w:szCs w:val="18"/>
              </w:rPr>
              <w:t>秦书尧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
              <w:jc w:val="center"/>
              <w:rPr>
                <w:rFonts w:ascii="宋体" w:hAnsi="宋体" w:cs="宋体" w:eastAsia="宋体" w:hint="default"/>
                <w:sz w:val="18"/>
                <w:szCs w:val="18"/>
              </w:rPr>
            </w:pPr>
            <w:r>
              <w:rPr>
                <w:rFonts w:ascii="宋体" w:hAnsi="宋体" w:cs="宋体" w:eastAsia="宋体" w:hint="default"/>
                <w:sz w:val="18"/>
                <w:szCs w:val="18"/>
              </w:rPr>
              <w:t>于善晓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曲德堂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7,725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梅  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常务副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赖  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1,778,3</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1,778,3</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37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李  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64,259,</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644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204,30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64,428,</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869</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葛江河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因个人原因，辞去独立董事职务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吴贤国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因个人原因，辞去独立董事职务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秦  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新聘任为公司独立董事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新聘任为公司独立董事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  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收购重庆华宇园林后，被提名为公司董事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职务变动，现任本公司副总裁</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赖力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收购重庆华宇园林后，新聘任为公司副总裁</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0"/>
        <w:jc w:val="left"/>
      </w:pPr>
      <w:r>
        <w:rPr/>
        <w:t>公司现任董事、监事、高级管理人员专业背景、主要工作经历以及目前在公司的主要职责</w:t>
      </w:r>
    </w:p>
    <w:p>
      <w:pPr>
        <w:pStyle w:val="Heading5"/>
        <w:spacing w:line="240" w:lineRule="auto" w:before="117"/>
        <w:ind w:right="0"/>
        <w:jc w:val="left"/>
        <w:rPr>
          <w:b w:val="0"/>
          <w:bCs w:val="0"/>
        </w:rPr>
      </w:pPr>
      <w:r>
        <w:rPr/>
        <w:t>（一）董事会成员</w:t>
      </w:r>
      <w:r>
        <w:rPr>
          <w:b w:val="0"/>
          <w:bCs w:val="0"/>
        </w:rPr>
      </w:r>
    </w:p>
    <w:p>
      <w:pPr>
        <w:pStyle w:val="BodyText"/>
        <w:spacing w:line="302" w:lineRule="auto" w:before="115"/>
        <w:ind w:left="113" w:right="1050" w:firstLine="412"/>
        <w:jc w:val="both"/>
      </w:pPr>
      <w:r>
        <w:rPr>
          <w:rFonts w:ascii="宋体" w:hAnsi="宋体" w:cs="宋体" w:eastAsia="宋体" w:hint="default"/>
          <w:b/>
          <w:bCs/>
        </w:rPr>
        <w:t>孙鲲鹏先生：</w:t>
      </w:r>
      <w:r>
        <w:rPr/>
        <w:t>中国国籍，无永久境外居留权，</w:t>
      </w:r>
      <w:r>
        <w:rPr>
          <w:rFonts w:ascii="Times New Roman" w:hAnsi="Times New Roman" w:cs="Times New Roman" w:eastAsia="Times New Roman" w:hint="default"/>
        </w:rPr>
        <w:t>1977</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月出生，大专学历，曾任山东丽鹏包装有限公司董事、北京鹏 和祥包装制品有限公司董事长、山东丽鹏股份有限公司副董事长，现任本公司董事长，深圳在乎传媒科技有限公司董事长。</w:t>
      </w:r>
    </w:p>
    <w:p>
      <w:pPr>
        <w:pStyle w:val="BodyText"/>
        <w:spacing w:line="309" w:lineRule="auto" w:before="68"/>
        <w:ind w:right="1130" w:firstLine="412"/>
        <w:jc w:val="both"/>
      </w:pPr>
      <w:r>
        <w:rPr>
          <w:rFonts w:ascii="宋体" w:hAnsi="宋体" w:cs="宋体" w:eastAsia="宋体" w:hint="default"/>
          <w:b/>
          <w:bCs/>
        </w:rPr>
        <w:t>张本杰先生：</w:t>
      </w:r>
      <w:r>
        <w:rPr/>
        <w:t>中国国籍，无永久境外居留权，</w:t>
      </w:r>
      <w:r>
        <w:rPr>
          <w:rFonts w:ascii="Times New Roman" w:hAnsi="Times New Roman" w:cs="Times New Roman" w:eastAsia="Times New Roman" w:hint="default"/>
        </w:rPr>
        <w:t>1969</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月出生，大专学历，曾任烟台市丽鹏包装有限责任公司总经理 </w:t>
      </w:r>
      <w:r>
        <w:rPr>
          <w:spacing w:val="-2"/>
        </w:rPr>
        <w:t>办公室主任、山东丽鹏包装有限公司总裁办公室主任、生产业务部经理、经营管理部经理、销售部经理、副总裁、山东丽鹏</w:t>
      </w:r>
      <w:r>
        <w:rPr>
          <w:spacing w:val="-68"/>
        </w:rPr>
        <w:t> </w:t>
      </w:r>
      <w:r>
        <w:rPr>
          <w:spacing w:val="-68"/>
        </w:rPr>
      </w:r>
      <w:r>
        <w:rPr/>
        <w:t>股份有限公司副总裁、销售部经理、国内贸易部经理，现任本公司董事、总裁。</w:t>
      </w:r>
    </w:p>
    <w:p>
      <w:pPr>
        <w:pStyle w:val="BodyText"/>
        <w:spacing w:line="319" w:lineRule="auto" w:before="64"/>
        <w:ind w:right="1132" w:firstLine="412"/>
        <w:jc w:val="both"/>
      </w:pPr>
      <w:r>
        <w:rPr>
          <w:rFonts w:ascii="宋体" w:hAnsi="宋体" w:cs="宋体" w:eastAsia="宋体" w:hint="default"/>
          <w:b/>
          <w:bCs/>
        </w:rPr>
        <w:t>李海霞女士：</w:t>
      </w:r>
      <w:r>
        <w:rPr/>
        <w:t>中国国籍，无永久境外居留权，</w:t>
      </w:r>
      <w:r>
        <w:rPr>
          <w:rFonts w:ascii="宋体" w:hAnsi="宋体" w:cs="宋体" w:eastAsia="宋体" w:hint="default"/>
        </w:rPr>
        <w:t>1976</w:t>
      </w:r>
      <w:r>
        <w:rPr>
          <w:rFonts w:ascii="宋体" w:hAnsi="宋体" w:cs="宋体" w:eastAsia="宋体" w:hint="default"/>
          <w:spacing w:val="-49"/>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月出生，本科学历，曾任山东丽鹏包装有限公司总裁办公室主 </w:t>
      </w:r>
      <w:r>
        <w:rPr>
          <w:spacing w:val="-2"/>
        </w:rPr>
        <w:t>任、行政管理部经理、副总裁、山东丽鹏股份有限公司副总裁、董事会秘书、证券部经理，现任本公司副董事长、董事会秘</w:t>
      </w:r>
      <w:r>
        <w:rPr>
          <w:spacing w:val="-72"/>
        </w:rPr>
        <w:t> </w:t>
      </w:r>
      <w:r>
        <w:rPr>
          <w:spacing w:val="-72"/>
        </w:rPr>
      </w:r>
      <w:r>
        <w:rPr/>
        <w:t>书、烟台丽鹏投资有限公司董事长、深圳在乎传媒科技有限公司董事。</w:t>
      </w:r>
    </w:p>
    <w:p>
      <w:pPr>
        <w:pStyle w:val="BodyText"/>
        <w:spacing w:line="319" w:lineRule="auto" w:before="55"/>
        <w:ind w:left="113" w:right="1131" w:firstLine="362"/>
        <w:jc w:val="both"/>
      </w:pPr>
      <w:r>
        <w:rPr>
          <w:rFonts w:ascii="宋体" w:hAnsi="宋体" w:cs="宋体" w:eastAsia="宋体" w:hint="default"/>
          <w:b/>
          <w:bCs/>
        </w:rPr>
        <w:t>汤于先生：</w:t>
      </w:r>
      <w:r>
        <w:rPr/>
        <w:t>中国国籍，无永久境外居留权，</w:t>
      </w:r>
      <w:r>
        <w:rPr>
          <w:rFonts w:ascii="宋体" w:hAnsi="宋体" w:cs="宋体" w:eastAsia="宋体" w:hint="default"/>
        </w:rPr>
        <w:t>1968</w:t>
      </w:r>
      <w:r>
        <w:rPr>
          <w:rFonts w:ascii="宋体" w:hAnsi="宋体" w:cs="宋体" w:eastAsia="宋体" w:hint="default"/>
          <w:spacing w:val="-30"/>
        </w:rPr>
        <w:t> </w:t>
      </w:r>
      <w:r>
        <w:rPr/>
        <w:t>年</w:t>
      </w:r>
      <w:r>
        <w:rPr>
          <w:spacing w:val="-30"/>
        </w:rPr>
        <w:t> </w:t>
      </w:r>
      <w:r>
        <w:rPr>
          <w:rFonts w:ascii="宋体" w:hAnsi="宋体" w:cs="宋体" w:eastAsia="宋体" w:hint="default"/>
        </w:rPr>
        <w:t>3</w:t>
      </w:r>
      <w:r>
        <w:rPr>
          <w:rFonts w:ascii="宋体" w:hAnsi="宋体" w:cs="宋体" w:eastAsia="宋体" w:hint="default"/>
          <w:spacing w:val="-30"/>
        </w:rPr>
        <w:t> </w:t>
      </w:r>
      <w:r>
        <w:rPr/>
        <w:t>月出生，在职研究生，曾任重庆浙江商会副会长、全国风景园林 </w:t>
      </w:r>
      <w:r>
        <w:rPr>
          <w:spacing w:val="-2"/>
        </w:rPr>
        <w:t>学会企业发展和信息委员会主任，现任本公司董事，重庆华宇园林有限公司董事长、重庆市江北区工商联副主席、江北区第</w:t>
      </w:r>
      <w:r>
        <w:rPr>
          <w:spacing w:val="-66"/>
        </w:rPr>
        <w:t> </w:t>
      </w:r>
      <w:r>
        <w:rPr>
          <w:spacing w:val="-66"/>
        </w:rPr>
      </w:r>
      <w:r>
        <w:rPr>
          <w:spacing w:val="-2"/>
        </w:rPr>
        <w:t>十七届人大代表、重庆市第四届人大代表、江北区大石坝商会常务副会长、大石坝慈善分会副会长、中国国民党革命委员会</w:t>
      </w:r>
      <w:r>
        <w:rPr>
          <w:spacing w:val="-66"/>
        </w:rPr>
        <w:t> </w:t>
      </w:r>
      <w:r>
        <w:rPr>
          <w:spacing w:val="-66"/>
        </w:rPr>
      </w:r>
      <w:r>
        <w:rPr/>
        <w:t>重庆市委员会委员。</w:t>
      </w:r>
    </w:p>
    <w:p>
      <w:pPr>
        <w:pStyle w:val="BodyText"/>
        <w:spacing w:line="309" w:lineRule="auto" w:before="56"/>
        <w:ind w:left="113" w:right="1130" w:firstLine="362"/>
        <w:jc w:val="both"/>
      </w:pPr>
      <w:r>
        <w:rPr>
          <w:rFonts w:ascii="宋体" w:hAnsi="宋体" w:cs="宋体" w:eastAsia="宋体" w:hint="default"/>
          <w:b/>
          <w:bCs/>
        </w:rPr>
        <w:t>邢路坤先生：</w:t>
      </w:r>
      <w:r>
        <w:rPr/>
        <w:t>中国国籍，无永久境外居留权，</w:t>
      </w:r>
      <w:r>
        <w:rPr>
          <w:rFonts w:ascii="Times New Roman" w:hAnsi="Times New Roman" w:cs="Times New Roman" w:eastAsia="Times New Roman" w:hint="default"/>
        </w:rPr>
        <w:t>1959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月出生，大专学历，曾任烟台市罐头厂技术厂长、山东丽鹏包 </w:t>
      </w:r>
      <w:r>
        <w:rPr>
          <w:spacing w:val="-2"/>
        </w:rPr>
        <w:t>装有限公司副总裁、运营部经理、印铁厂厂长、山东丽鹏股份有限公司副总裁、运营部经理，现任本公司董事、深圳在乎传</w:t>
      </w:r>
      <w:r>
        <w:rPr>
          <w:spacing w:val="-68"/>
        </w:rPr>
        <w:t> </w:t>
      </w:r>
      <w:r>
        <w:rPr>
          <w:spacing w:val="-68"/>
        </w:rPr>
      </w:r>
      <w:r>
        <w:rPr/>
        <w:t>媒科技有限公司董事。</w:t>
      </w:r>
    </w:p>
    <w:p>
      <w:pPr>
        <w:pStyle w:val="BodyText"/>
        <w:spacing w:line="302" w:lineRule="auto" w:before="64"/>
        <w:ind w:left="113" w:right="1131" w:firstLine="362"/>
        <w:jc w:val="both"/>
      </w:pPr>
      <w:r>
        <w:rPr>
          <w:rFonts w:ascii="宋体" w:hAnsi="宋体" w:cs="宋体" w:eastAsia="宋体" w:hint="default"/>
          <w:b/>
          <w:bCs/>
        </w:rPr>
        <w:t>罗田先生：</w:t>
      </w:r>
      <w:r>
        <w:rPr/>
        <w:t>中国国籍，无永久境外居留权，</w:t>
      </w:r>
      <w:r>
        <w:rPr>
          <w:rFonts w:ascii="Arial" w:hAnsi="Arial" w:cs="Arial" w:eastAsia="Arial" w:hint="default"/>
        </w:rPr>
        <w:t>1963 </w:t>
      </w:r>
      <w:r>
        <w:rPr/>
        <w:t>年 </w:t>
      </w:r>
      <w:r>
        <w:rPr>
          <w:rFonts w:ascii="Arial" w:hAnsi="Arial" w:cs="Arial" w:eastAsia="Arial" w:hint="default"/>
        </w:rPr>
        <w:t>12</w:t>
      </w:r>
      <w:r>
        <w:rPr>
          <w:rFonts w:ascii="Arial" w:hAnsi="Arial" w:cs="Arial" w:eastAsia="Arial" w:hint="default"/>
          <w:spacing w:val="18"/>
        </w:rPr>
        <w:t> </w:t>
      </w:r>
      <w:r>
        <w:rPr/>
        <w:t>月出生，大专学历，现任本公司董事，成都海川制盖有限公司 董事长、四川泸州丽鹏制盖有限公司董事长，四川省成都市人大代表、蒲江县人大常委、蒲江县工商联主席、商会会长。</w:t>
      </w:r>
    </w:p>
    <w:p>
      <w:pPr>
        <w:pStyle w:val="BodyText"/>
        <w:spacing w:line="309" w:lineRule="auto" w:before="68"/>
        <w:ind w:right="0" w:firstLine="362"/>
        <w:jc w:val="left"/>
      </w:pPr>
      <w:r>
        <w:rPr>
          <w:rFonts w:ascii="宋体" w:hAnsi="宋体" w:cs="宋体" w:eastAsia="宋体" w:hint="default"/>
          <w:b/>
          <w:bCs/>
        </w:rPr>
        <w:t>王全宁先生：</w:t>
      </w:r>
      <w:r>
        <w:rPr/>
        <w:t>中国国籍，无永久境外居留权，</w:t>
      </w:r>
      <w:r>
        <w:rPr>
          <w:rFonts w:ascii="Times New Roman" w:hAnsi="Times New Roman" w:cs="Times New Roman" w:eastAsia="Times New Roman" w:hint="default"/>
        </w:rPr>
        <w:t>1969</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月出生，本科学历，高级会计师、注册会计师、资产评估师、 </w:t>
      </w:r>
      <w:r>
        <w:rPr>
          <w:spacing w:val="-2"/>
        </w:rPr>
        <w:t>房地产评估师。曾任烟台牟平职业中等专业学校教师、烟台市牟平区审计师事务所部门经理、烟台天罡有限责任会计师事务</w:t>
      </w:r>
      <w:r>
        <w:rPr>
          <w:spacing w:val="-66"/>
        </w:rPr>
        <w:t> </w:t>
      </w:r>
      <w:r>
        <w:rPr>
          <w:spacing w:val="-66"/>
        </w:rPr>
      </w:r>
      <w:r>
        <w:rPr/>
        <w:t>所部门经理，现任本公司独立董事、烟台天陆新有限责任会计师事务所主任会计师。</w:t>
      </w:r>
    </w:p>
    <w:p>
      <w:pPr>
        <w:pStyle w:val="BodyText"/>
        <w:spacing w:line="319" w:lineRule="auto" w:before="62"/>
        <w:ind w:left="113" w:right="1131" w:firstLine="362"/>
        <w:jc w:val="both"/>
      </w:pPr>
      <w:r>
        <w:rPr>
          <w:rFonts w:ascii="宋体" w:hAnsi="宋体" w:cs="宋体" w:eastAsia="宋体" w:hint="default"/>
          <w:b/>
          <w:bCs/>
        </w:rPr>
        <w:t>秦华先生：</w:t>
      </w:r>
      <w:r>
        <w:rPr/>
        <w:t>中国国籍，无永久境外居留权，</w:t>
      </w:r>
      <w:r>
        <w:rPr>
          <w:rFonts w:ascii="宋体" w:hAnsi="宋体" w:cs="宋体" w:eastAsia="宋体" w:hint="default"/>
        </w:rPr>
        <w:t>1962</w:t>
      </w:r>
      <w:r>
        <w:rPr>
          <w:rFonts w:ascii="宋体" w:hAnsi="宋体" w:cs="宋体" w:eastAsia="宋体" w:hint="default"/>
          <w:spacing w:val="-47"/>
        </w:rPr>
        <w:t> </w:t>
      </w:r>
      <w:r>
        <w:rPr/>
        <w:t>年</w:t>
      </w:r>
      <w:r>
        <w:rPr>
          <w:spacing w:val="-46"/>
        </w:rPr>
        <w:t> </w:t>
      </w:r>
      <w:r>
        <w:rPr>
          <w:rFonts w:ascii="宋体" w:hAnsi="宋体" w:cs="宋体" w:eastAsia="宋体" w:hint="default"/>
        </w:rPr>
        <w:t>7</w:t>
      </w:r>
      <w:r>
        <w:rPr>
          <w:rFonts w:ascii="宋体" w:hAnsi="宋体" w:cs="宋体" w:eastAsia="宋体" w:hint="default"/>
          <w:spacing w:val="-47"/>
        </w:rPr>
        <w:t> </w:t>
      </w:r>
      <w:r>
        <w:rPr/>
        <w:t>月出生，博士学历，重庆人文科技学院建筑与设计学院副院长， </w:t>
      </w:r>
      <w:r>
        <w:rPr>
          <w:spacing w:val="-2"/>
        </w:rPr>
        <w:t>西南大学教授，博士生导师。教育部、财政部国家级精品课程获得者，国家林业局风景资源评价专家组成员，重庆市风景园</w:t>
      </w:r>
      <w:r>
        <w:rPr>
          <w:spacing w:val="-66"/>
        </w:rPr>
        <w:t> </w:t>
      </w:r>
      <w:r>
        <w:rPr>
          <w:spacing w:val="-66"/>
        </w:rPr>
      </w:r>
      <w:r>
        <w:rPr>
          <w:spacing w:val="-2"/>
        </w:rPr>
        <w:t>林师培训考试中心副主任，注册一级风景园林师，重庆市政府科技特派员，重庆市风景园林学会副理事长，重庆市花卉协会</w:t>
      </w:r>
      <w:r>
        <w:rPr>
          <w:spacing w:val="-66"/>
        </w:rPr>
        <w:t> </w:t>
      </w:r>
      <w:r>
        <w:rPr>
          <w:spacing w:val="-66"/>
        </w:rPr>
      </w:r>
      <w:r>
        <w:rPr/>
        <w:t>常务理事，</w:t>
      </w:r>
      <w:r>
        <w:rPr>
          <w:rFonts w:ascii="宋体" w:hAnsi="宋体" w:cs="宋体" w:eastAsia="宋体" w:hint="default"/>
        </w:rPr>
        <w:t>2012</w:t>
      </w:r>
      <w:r>
        <w:rPr>
          <w:rFonts w:ascii="宋体" w:hAnsi="宋体" w:cs="宋体" w:eastAsia="宋体" w:hint="default"/>
          <w:spacing w:val="-46"/>
        </w:rPr>
        <w:t> </w:t>
      </w:r>
      <w:r>
        <w:rPr/>
        <w:t>年</w:t>
      </w:r>
      <w:r>
        <w:rPr>
          <w:rFonts w:ascii="宋体" w:hAnsi="宋体" w:cs="宋体" w:eastAsia="宋体" w:hint="default"/>
        </w:rPr>
        <w:t>-2014</w:t>
      </w:r>
      <w:r>
        <w:rPr>
          <w:rFonts w:ascii="宋体" w:hAnsi="宋体" w:cs="宋体" w:eastAsia="宋体" w:hint="default"/>
          <w:spacing w:val="-46"/>
        </w:rPr>
        <w:t> </w:t>
      </w:r>
      <w:r>
        <w:rPr/>
        <w:t>年任重庆华宇园林股份公司独立董事，现任本公司独立董事。</w:t>
      </w:r>
    </w:p>
    <w:p>
      <w:pPr>
        <w:pStyle w:val="BodyText"/>
        <w:spacing w:line="316" w:lineRule="auto" w:before="56"/>
        <w:ind w:left="113" w:right="1042" w:firstLine="362"/>
        <w:jc w:val="both"/>
      </w:pPr>
      <w:r>
        <w:rPr>
          <w:rFonts w:ascii="宋体" w:hAnsi="宋体" w:cs="宋体" w:eastAsia="宋体" w:hint="default"/>
          <w:b/>
          <w:bCs/>
        </w:rPr>
        <w:t>秦书尧先生：</w:t>
      </w:r>
      <w:r>
        <w:rPr/>
        <w:t>中国国籍，无永久境外居留权，</w:t>
      </w:r>
      <w:r>
        <w:rPr>
          <w:rFonts w:ascii="宋体" w:hAnsi="宋体" w:cs="宋体" w:eastAsia="宋体" w:hint="default"/>
        </w:rPr>
        <w:t>1971</w:t>
      </w:r>
      <w:r>
        <w:rPr>
          <w:rFonts w:ascii="宋体" w:hAnsi="宋体" w:cs="宋体" w:eastAsia="宋体" w:hint="default"/>
          <w:spacing w:val="-47"/>
        </w:rPr>
        <w:t> </w:t>
      </w:r>
      <w:r>
        <w:rPr/>
        <w:t>年</w:t>
      </w:r>
      <w:r>
        <w:rPr>
          <w:spacing w:val="-47"/>
        </w:rPr>
        <w:t> </w:t>
      </w:r>
      <w:r>
        <w:rPr>
          <w:rFonts w:ascii="宋体" w:hAnsi="宋体" w:cs="宋体" w:eastAsia="宋体" w:hint="default"/>
        </w:rPr>
        <w:t>5</w:t>
      </w:r>
      <w:r>
        <w:rPr>
          <w:rFonts w:ascii="宋体" w:hAnsi="宋体" w:cs="宋体" w:eastAsia="宋体" w:hint="default"/>
          <w:spacing w:val="-47"/>
        </w:rPr>
        <w:t> </w:t>
      </w:r>
      <w:r>
        <w:rPr/>
        <w:t>月出生，本科学历，曾任烟台市南山路小学教师、华夏酒报记 </w:t>
      </w:r>
      <w:r>
        <w:rPr>
          <w:spacing w:val="-5"/>
        </w:rPr>
        <w:t>者、烟台日报社《今晨</w:t>
      </w:r>
      <w:r>
        <w:rPr>
          <w:spacing w:val="-41"/>
        </w:rPr>
        <w:t> </w:t>
      </w:r>
      <w:r>
        <w:rPr>
          <w:rFonts w:ascii="宋体" w:hAnsi="宋体" w:cs="宋体" w:eastAsia="宋体" w:hint="default"/>
        </w:rPr>
        <w:t>6</w:t>
      </w:r>
      <w:r>
        <w:rPr>
          <w:rFonts w:ascii="宋体" w:hAnsi="宋体" w:cs="宋体" w:eastAsia="宋体" w:hint="default"/>
          <w:spacing w:val="-41"/>
        </w:rPr>
        <w:t> </w:t>
      </w:r>
      <w:r>
        <w:rPr>
          <w:spacing w:val="-3"/>
        </w:rPr>
        <w:t>点》策划部主任、北京大写国际文化传媒有限公司法人代表、总经理，创办女性杂志《</w:t>
      </w:r>
      <w:r>
        <w:rPr>
          <w:rFonts w:ascii="宋体" w:hAnsi="宋体" w:cs="宋体" w:eastAsia="宋体" w:hint="default"/>
          <w:spacing w:val="-3"/>
        </w:rPr>
        <w:t>37</w:t>
      </w:r>
      <w:r>
        <w:rPr>
          <w:spacing w:val="-3"/>
        </w:rPr>
        <w:t>°女人》、</w:t>
      </w:r>
    </w:p>
    <w:p>
      <w:pPr>
        <w:pStyle w:val="BodyText"/>
        <w:spacing w:line="240" w:lineRule="auto" w:before="20"/>
        <w:ind w:left="113" w:right="0"/>
        <w:jc w:val="left"/>
      </w:pPr>
      <w:r>
        <w:rPr/>
        <w:t>《优格》，现任本公司独立董事，北京凌智文化传媒有限公司董事长。</w:t>
      </w:r>
    </w:p>
    <w:p>
      <w:pPr>
        <w:pStyle w:val="Heading5"/>
        <w:spacing w:line="240" w:lineRule="auto" w:before="116"/>
        <w:ind w:right="0"/>
        <w:jc w:val="left"/>
        <w:rPr>
          <w:b w:val="0"/>
          <w:bCs w:val="0"/>
        </w:rPr>
      </w:pPr>
      <w:r>
        <w:rPr/>
        <w:t>（二）监事会成员</w:t>
      </w:r>
      <w:r>
        <w:rPr>
          <w:b w:val="0"/>
          <w:bCs w:val="0"/>
        </w:rPr>
      </w:r>
    </w:p>
    <w:p>
      <w:pPr>
        <w:pStyle w:val="BodyText"/>
        <w:spacing w:line="309" w:lineRule="auto" w:before="115"/>
        <w:ind w:left="113" w:right="1129" w:firstLine="412"/>
        <w:jc w:val="both"/>
      </w:pPr>
      <w:r>
        <w:rPr>
          <w:rFonts w:ascii="宋体" w:hAnsi="宋体" w:cs="宋体" w:eastAsia="宋体" w:hint="default"/>
          <w:b/>
          <w:bCs/>
        </w:rPr>
        <w:t>于善晓先生</w:t>
      </w:r>
      <w:r>
        <w:rPr/>
        <w:t>：中国国籍，无永久境外居留权，</w:t>
      </w:r>
      <w:r>
        <w:rPr>
          <w:rFonts w:ascii="Times New Roman" w:hAnsi="Times New Roman" w:cs="Times New Roman" w:eastAsia="Times New Roman" w:hint="default"/>
        </w:rPr>
        <w:t>1977</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月出生，本科学历，曾任山东丽鹏包装有限公司质检员、质检 </w:t>
      </w:r>
      <w:r>
        <w:rPr>
          <w:spacing w:val="-2"/>
        </w:rPr>
        <w:t>主任、质保部主任、铝塑厂厂长、山东丽鹏股份有限公司监事、行政管理部经理，现任本公司监事会主席、人力资源与知识</w:t>
      </w:r>
      <w:r>
        <w:rPr>
          <w:spacing w:val="-68"/>
        </w:rPr>
        <w:t> </w:t>
      </w:r>
      <w:r>
        <w:rPr>
          <w:spacing w:val="-68"/>
        </w:rPr>
      </w:r>
      <w:r>
        <w:rPr/>
        <w:t>产权部经理。</w:t>
      </w:r>
    </w:p>
    <w:p>
      <w:pPr>
        <w:pStyle w:val="BodyText"/>
        <w:spacing w:line="302" w:lineRule="auto" w:before="64"/>
        <w:ind w:right="1131" w:firstLine="412"/>
        <w:jc w:val="both"/>
      </w:pPr>
      <w:r>
        <w:rPr>
          <w:rFonts w:ascii="宋体" w:hAnsi="宋体" w:cs="宋体" w:eastAsia="宋体" w:hint="default"/>
          <w:b/>
          <w:bCs/>
        </w:rPr>
        <w:t>曲德堂先生</w:t>
      </w:r>
      <w:r>
        <w:rPr/>
        <w:t>：中国国籍，无永久境外居留权，</w:t>
      </w:r>
      <w:r>
        <w:rPr>
          <w:rFonts w:ascii="Times New Roman" w:hAnsi="Times New Roman" w:cs="Times New Roman" w:eastAsia="Times New Roman" w:hint="default"/>
        </w:rPr>
        <w:t>1965</w:t>
      </w:r>
      <w:r>
        <w:rPr>
          <w:rFonts w:ascii="Times New Roman" w:hAnsi="Times New Roman" w:cs="Times New Roman" w:eastAsia="Times New Roman" w:hint="default"/>
          <w:spacing w:val="-8"/>
        </w:rPr>
        <w:t> </w:t>
      </w:r>
      <w:r>
        <w:rPr/>
        <w:t>年</w:t>
      </w:r>
      <w:r>
        <w:rPr>
          <w:spacing w:val="-36"/>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月出生，本科学历，曾任山东丽鹏包装有限公司机械模具厂班 长、车间主任、副厂长、山东丽鹏股份有限公司机械模具厂厂长、瓶盖厂厂长，现任本公司监事、铝塑厂厂长。</w:t>
      </w:r>
    </w:p>
    <w:p>
      <w:pPr>
        <w:spacing w:after="0" w:line="302"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9" w:lineRule="auto" w:before="44"/>
        <w:ind w:right="1131" w:firstLine="412"/>
        <w:jc w:val="both"/>
      </w:pPr>
      <w:r>
        <w:rPr>
          <w:rFonts w:ascii="宋体" w:hAnsi="宋体" w:cs="宋体" w:eastAsia="宋体" w:hint="default"/>
          <w:b/>
          <w:bCs/>
        </w:rPr>
        <w:t>梅焕女士：</w:t>
      </w:r>
      <w:r>
        <w:rPr/>
        <w:t>中国国籍，无永久境外居留权，</w:t>
      </w:r>
      <w:r>
        <w:rPr>
          <w:rFonts w:ascii="Times New Roman" w:hAnsi="Times New Roman" w:cs="Times New Roman" w:eastAsia="Times New Roman" w:hint="default"/>
        </w:rPr>
        <w:t>1977</w:t>
      </w:r>
      <w:r>
        <w:rPr>
          <w:rFonts w:ascii="Times New Roman" w:hAnsi="Times New Roman" w:cs="Times New Roman" w:eastAsia="Times New Roman" w:hint="default"/>
          <w:spacing w:val="-8"/>
        </w:rPr>
        <w:t> </w:t>
      </w:r>
      <w:r>
        <w:rPr/>
        <w:t>年</w:t>
      </w:r>
      <w:r>
        <w:rPr>
          <w:spacing w:val="-36"/>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月出生，本科学历，曾任山东丽鹏包装有限公司瓶盖厂办公室主 </w:t>
      </w:r>
      <w:r>
        <w:rPr>
          <w:spacing w:val="-2"/>
        </w:rPr>
        <w:t>任、山东丽鹏股份有限公司财务部办公室主任、四川泸州丽鹏制盖有限公司副总经理、审计部职员，现任本公司监事、审计</w:t>
      </w:r>
      <w:r>
        <w:rPr>
          <w:spacing w:val="-66"/>
        </w:rPr>
        <w:t> </w:t>
      </w:r>
      <w:r>
        <w:rPr>
          <w:spacing w:val="-66"/>
        </w:rPr>
      </w:r>
      <w:r>
        <w:rPr/>
        <w:t>部经理、山东丽鹏国际贸易有限公司监事、新疆军鹏制盖有限公司董事、烟台丽鹏投资有限公司监事。</w:t>
      </w:r>
    </w:p>
    <w:p>
      <w:pPr>
        <w:spacing w:line="360" w:lineRule="auto" w:before="64"/>
        <w:ind w:left="476" w:right="7346" w:firstLine="0"/>
        <w:jc w:val="left"/>
        <w:rPr>
          <w:rFonts w:ascii="宋体" w:hAnsi="宋体" w:cs="宋体" w:eastAsia="宋体" w:hint="default"/>
          <w:sz w:val="18"/>
          <w:szCs w:val="18"/>
        </w:rPr>
      </w:pPr>
      <w:r>
        <w:rPr>
          <w:rFonts w:ascii="宋体" w:hAnsi="宋体" w:cs="宋体" w:eastAsia="宋体" w:hint="default"/>
          <w:b/>
          <w:bCs/>
          <w:sz w:val="18"/>
          <w:szCs w:val="18"/>
        </w:rPr>
        <w:t>（三）高级管理人员</w:t>
      </w:r>
      <w:r>
        <w:rPr>
          <w:rFonts w:ascii="宋体" w:hAnsi="宋体" w:cs="宋体" w:eastAsia="宋体" w:hint="default"/>
          <w:b/>
          <w:bCs/>
          <w:w w:val="99"/>
          <w:sz w:val="18"/>
          <w:szCs w:val="18"/>
        </w:rPr>
        <w:t> </w:t>
      </w:r>
      <w:r>
        <w:rPr>
          <w:rFonts w:ascii="宋体" w:hAnsi="宋体" w:cs="宋体" w:eastAsia="宋体" w:hint="default"/>
          <w:b/>
          <w:bCs/>
          <w:sz w:val="18"/>
          <w:szCs w:val="18"/>
        </w:rPr>
        <w:t>张本杰先生：</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部分。</w:t>
      </w:r>
    </w:p>
    <w:p>
      <w:pPr>
        <w:pStyle w:val="BodyText"/>
        <w:spacing w:line="309" w:lineRule="auto" w:before="1"/>
        <w:ind w:right="1026" w:firstLine="362"/>
        <w:jc w:val="left"/>
      </w:pPr>
      <w:r>
        <w:rPr>
          <w:rFonts w:ascii="宋体" w:hAnsi="宋体" w:cs="宋体" w:eastAsia="宋体" w:hint="default"/>
          <w:b/>
          <w:bCs/>
          <w:spacing w:val="-3"/>
        </w:rPr>
        <w:t>王国祝先生：</w:t>
      </w:r>
      <w:r>
        <w:rPr>
          <w:spacing w:val="-3"/>
        </w:rPr>
        <w:t>中国国籍，无永久境外居留权，</w:t>
      </w:r>
      <w:r>
        <w:rPr>
          <w:rFonts w:ascii="Times New Roman" w:hAnsi="Times New Roman" w:cs="Times New Roman" w:eastAsia="Times New Roman" w:hint="default"/>
          <w:spacing w:val="-3"/>
        </w:rPr>
        <w:t>1976</w:t>
      </w:r>
      <w:r>
        <w:rPr>
          <w:rFonts w:ascii="Times New Roman" w:hAnsi="Times New Roman" w:cs="Times New Roman" w:eastAsia="Times New Roman" w:hint="default"/>
          <w:spacing w:val="-21"/>
        </w:rPr>
        <w:t> </w:t>
      </w:r>
      <w:r>
        <w:rPr/>
        <w:t>年</w:t>
      </w:r>
      <w:r>
        <w:rPr>
          <w:spacing w:val="-6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1"/>
        </w:rPr>
        <w:t> </w:t>
      </w:r>
      <w:r>
        <w:rPr/>
        <w:t>月出生，本科学历，曾任山东丽鹏包装有限公司财务部副经理、 </w:t>
      </w:r>
      <w:r>
        <w:rPr>
          <w:spacing w:val="-2"/>
        </w:rPr>
        <w:t>经理、副总裁、山东丽鹏股份有限公司副总裁、财务总监、财务部经理、北京鹏和祥包装制品有限公司董事长。现任本公司</w:t>
      </w:r>
      <w:r>
        <w:rPr>
          <w:spacing w:val="-68"/>
        </w:rPr>
        <w:t> </w:t>
      </w:r>
      <w:r>
        <w:rPr>
          <w:spacing w:val="-68"/>
        </w:rPr>
      </w:r>
      <w:r>
        <w:rPr/>
        <w:t>常务副总裁、国内贸易部经理、亳州丽鹏制盖有限公司董事长。</w:t>
      </w:r>
    </w:p>
    <w:p>
      <w:pPr>
        <w:pStyle w:val="BodyText"/>
        <w:spacing w:line="319" w:lineRule="auto" w:before="62"/>
        <w:ind w:right="1032" w:firstLine="411"/>
        <w:jc w:val="left"/>
      </w:pPr>
      <w:r>
        <w:rPr>
          <w:rFonts w:ascii="宋体" w:hAnsi="宋体" w:cs="宋体" w:eastAsia="宋体" w:hint="default"/>
          <w:b/>
          <w:bCs/>
        </w:rPr>
        <w:t>赖力先生：</w:t>
      </w:r>
      <w:r>
        <w:rPr/>
        <w:t>中国国籍，无永久境外居留权，</w:t>
      </w:r>
      <w:r>
        <w:rPr>
          <w:rFonts w:ascii="宋体" w:hAnsi="宋体" w:cs="宋体" w:eastAsia="宋体" w:hint="default"/>
        </w:rPr>
        <w:t>1966</w:t>
      </w:r>
      <w:r>
        <w:rPr/>
        <w:t>年</w:t>
      </w:r>
      <w:r>
        <w:rPr>
          <w:rFonts w:ascii="宋体" w:hAnsi="宋体" w:cs="宋体" w:eastAsia="宋体" w:hint="default"/>
        </w:rPr>
        <w:t>1</w:t>
      </w:r>
      <w:r>
        <w:rPr/>
        <w:t>月出生，中国科学院植物学硕士研究生，植物学资深专家，教授级 </w:t>
      </w:r>
      <w:r>
        <w:rPr>
          <w:spacing w:val="-2"/>
        </w:rPr>
        <w:t>高工，西南大学、重庆工商大学、重庆理工大学客座教授、硕士生导师，重庆市风景园林学会常务理事，重庆市工程技术建</w:t>
      </w:r>
      <w:r>
        <w:rPr>
          <w:spacing w:val="-68"/>
        </w:rPr>
        <w:t> </w:t>
      </w:r>
      <w:r>
        <w:rPr>
          <w:spacing w:val="-68"/>
        </w:rPr>
      </w:r>
      <w:r>
        <w:rPr>
          <w:spacing w:val="-2"/>
        </w:rPr>
        <w:t>筑高级职务资格评审会委员。历任重庆市花卉园管理处绿化科副科长、重庆市园林绿化科学研究所所长、重庆市花木公司经</w:t>
      </w:r>
      <w:r>
        <w:rPr>
          <w:spacing w:val="-66"/>
        </w:rPr>
        <w:t> </w:t>
      </w:r>
      <w:r>
        <w:rPr>
          <w:spacing w:val="-66"/>
        </w:rPr>
      </w:r>
      <w:r>
        <w:rPr/>
        <w:t>理、重庆市园林工程建设有限公司董事长兼总经理（西部地区第一家园林一级施工资质企业）、重庆市园林大酒店总经理、 </w:t>
      </w:r>
      <w:r>
        <w:rPr>
          <w:spacing w:val="-4"/>
        </w:rPr>
        <w:t>重庆市花卉苗木中心主任、重庆市园林建筑规划设计院院长、重庆绿谷开发建设有限公司执行副总经理。现任本公司副总裁，</w:t>
      </w:r>
      <w:r>
        <w:rPr>
          <w:spacing w:val="-44"/>
        </w:rPr>
        <w:t> </w:t>
      </w:r>
      <w:r>
        <w:rPr>
          <w:spacing w:val="-44"/>
        </w:rPr>
      </w:r>
      <w:r>
        <w:rPr/>
        <w:t>重庆华宇园林有限公司总经理。</w:t>
      </w:r>
    </w:p>
    <w:p>
      <w:pPr>
        <w:pStyle w:val="BodyText"/>
        <w:spacing w:line="309" w:lineRule="auto" w:before="56"/>
        <w:ind w:left="113" w:right="1130" w:firstLine="482"/>
        <w:jc w:val="both"/>
      </w:pPr>
      <w:r>
        <w:rPr>
          <w:rFonts w:ascii="宋体" w:hAnsi="宋体" w:cs="宋体" w:eastAsia="宋体" w:hint="default"/>
          <w:b/>
          <w:bCs/>
        </w:rPr>
        <w:t>刘宗江先生</w:t>
      </w:r>
      <w:r>
        <w:rPr/>
        <w:t>：中国国籍，无永久境外居留权，</w:t>
      </w:r>
      <w:r>
        <w:rPr>
          <w:rFonts w:ascii="Times New Roman" w:hAnsi="Times New Roman" w:cs="Times New Roman" w:eastAsia="Times New Roman" w:hint="default"/>
        </w:rPr>
        <w:t>1976</w:t>
      </w:r>
      <w:r>
        <w:rPr>
          <w:rFonts w:ascii="Times New Roman" w:hAnsi="Times New Roman" w:cs="Times New Roman" w:eastAsia="Times New Roman" w:hint="default"/>
          <w:spacing w:val="-2"/>
        </w:rPr>
        <w:t> </w:t>
      </w:r>
      <w:r>
        <w:rPr/>
        <w:t>年</w:t>
      </w:r>
      <w:r>
        <w:rPr>
          <w:spacing w:val="-29"/>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月出生，本科学历，曾任山东丽鹏包装有限公司国际贸易部 </w:t>
      </w:r>
      <w:r>
        <w:rPr>
          <w:spacing w:val="-2"/>
        </w:rPr>
        <w:t>经理、销售部副经理，山东丽鹏股份有限公司监事、董事、国际贸易部经理，现任本公司副总裁、烟台丽鹏包装有限公司执</w:t>
      </w:r>
      <w:r>
        <w:rPr>
          <w:spacing w:val="-68"/>
        </w:rPr>
        <w:t> </w:t>
      </w:r>
      <w:r>
        <w:rPr>
          <w:spacing w:val="-68"/>
        </w:rPr>
      </w:r>
      <w:r>
        <w:rPr/>
        <w:t>行董事、经理、山东丽鹏国际贸易有限公司执行董事、经理、新疆军鹏制盖有限公司董事长。</w:t>
      </w:r>
    </w:p>
    <w:p>
      <w:pPr>
        <w:pStyle w:val="BodyText"/>
        <w:spacing w:line="309" w:lineRule="auto" w:before="62"/>
        <w:ind w:right="0" w:firstLine="412"/>
        <w:jc w:val="left"/>
      </w:pPr>
      <w:r>
        <w:rPr>
          <w:rFonts w:ascii="宋体" w:hAnsi="宋体" w:cs="宋体" w:eastAsia="宋体" w:hint="default"/>
          <w:b/>
          <w:bCs/>
        </w:rPr>
        <w:t>李波先生：</w:t>
      </w:r>
      <w:r>
        <w:rPr/>
        <w:t>中国国籍，无永久境外居留权，</w:t>
      </w:r>
      <w:r>
        <w:rPr>
          <w:rFonts w:ascii="Times New Roman" w:hAnsi="Times New Roman" w:cs="Times New Roman" w:eastAsia="Times New Roman" w:hint="default"/>
        </w:rPr>
        <w:t>1965</w:t>
      </w:r>
      <w:r>
        <w:rPr>
          <w:rFonts w:ascii="Times New Roman" w:hAnsi="Times New Roman" w:cs="Times New Roman" w:eastAsia="Times New Roman" w:hint="default"/>
          <w:spacing w:val="-23"/>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月出生，中专学历，曾任烟台市丽鹏包装有限责任公司技术开发 </w:t>
      </w:r>
      <w:r>
        <w:rPr>
          <w:spacing w:val="-4"/>
        </w:rPr>
        <w:t>部经理、山东丽鹏包装有限公司瓶盖厂厂长、机械模具厂厂长、技术开发部经理、山东丽鹏股份有限公司董事、印铁厂厂长，</w:t>
      </w:r>
      <w:r>
        <w:rPr>
          <w:spacing w:val="-44"/>
        </w:rPr>
        <w:t> </w:t>
      </w:r>
      <w:r>
        <w:rPr>
          <w:spacing w:val="-44"/>
        </w:rPr>
      </w:r>
      <w:r>
        <w:rPr/>
        <w:t>现任本公司副总裁、供应部经理。</w:t>
      </w:r>
    </w:p>
    <w:p>
      <w:pPr>
        <w:pStyle w:val="BodyText"/>
        <w:spacing w:line="302" w:lineRule="auto" w:before="62"/>
        <w:ind w:right="1032" w:firstLine="412"/>
        <w:jc w:val="left"/>
      </w:pPr>
      <w:r>
        <w:rPr>
          <w:rFonts w:ascii="宋体" w:hAnsi="宋体" w:cs="宋体" w:eastAsia="宋体" w:hint="default"/>
          <w:b/>
          <w:bCs/>
        </w:rPr>
        <w:t>王德泰先生：</w:t>
      </w:r>
      <w:r>
        <w:rPr/>
        <w:t>中国国籍，无永久境外居留权，</w:t>
      </w:r>
      <w:r>
        <w:rPr>
          <w:rFonts w:ascii="Times New Roman" w:hAnsi="Times New Roman" w:cs="Times New Roman" w:eastAsia="Times New Roman" w:hint="default"/>
        </w:rPr>
        <w:t>1971</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月出生，大专学历，曾任山东丽鹏包装有限公司机械模具厂厂 长助理、厂长、山东丽鹏股份有限公司运营部副经理、瓶盖厂厂长，研发制造中心经理。现任本公司副总裁、运营部经理。</w:t>
      </w:r>
    </w:p>
    <w:p>
      <w:pPr>
        <w:spacing w:before="70"/>
        <w:ind w:left="536" w:right="0" w:firstLine="0"/>
        <w:jc w:val="left"/>
        <w:rPr>
          <w:rFonts w:ascii="宋体" w:hAnsi="宋体" w:cs="宋体" w:eastAsia="宋体" w:hint="default"/>
          <w:sz w:val="18"/>
          <w:szCs w:val="18"/>
        </w:rPr>
      </w:pPr>
      <w:r>
        <w:rPr>
          <w:rFonts w:ascii="宋体" w:hAnsi="宋体" w:cs="宋体" w:eastAsia="宋体" w:hint="default"/>
          <w:b/>
          <w:bCs/>
          <w:sz w:val="18"/>
          <w:szCs w:val="18"/>
        </w:rPr>
        <w:t>李海霞女士：</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董事会成员</w:t>
      </w:r>
      <w:r>
        <w:rPr>
          <w:rFonts w:ascii="Times New Roman" w:hAnsi="Times New Roman" w:cs="Times New Roman" w:eastAsia="Times New Roman" w:hint="default"/>
          <w:sz w:val="18"/>
          <w:szCs w:val="18"/>
        </w:rPr>
        <w:t>”</w:t>
      </w:r>
      <w:r>
        <w:rPr>
          <w:rFonts w:ascii="宋体" w:hAnsi="宋体" w:cs="宋体" w:eastAsia="宋体" w:hint="default"/>
          <w:sz w:val="18"/>
          <w:szCs w:val="18"/>
        </w:rPr>
        <w:t>部分。</w:t>
      </w:r>
    </w:p>
    <w:p>
      <w:pPr>
        <w:pStyle w:val="BodyText"/>
        <w:spacing w:line="309" w:lineRule="auto" w:before="101"/>
        <w:ind w:right="1024" w:firstLine="412"/>
        <w:jc w:val="left"/>
      </w:pPr>
      <w:r>
        <w:rPr>
          <w:rFonts w:ascii="宋体" w:hAnsi="宋体" w:cs="宋体" w:eastAsia="宋体" w:hint="default"/>
          <w:b/>
          <w:bCs/>
        </w:rPr>
        <w:t>张国平先生：</w:t>
      </w:r>
      <w:r>
        <w:rPr/>
        <w:t>中国国籍，无永久境外居留权，</w:t>
      </w:r>
      <w:r>
        <w:rPr>
          <w:rFonts w:ascii="Times New Roman" w:hAnsi="Times New Roman" w:cs="Times New Roman" w:eastAsia="Times New Roman" w:hint="default"/>
        </w:rPr>
        <w:t>1977</w:t>
      </w:r>
      <w:r>
        <w:rPr>
          <w:rFonts w:ascii="Times New Roman" w:hAnsi="Times New Roman" w:cs="Times New Roman" w:eastAsia="Times New Roman" w:hint="default"/>
          <w:spacing w:val="-32"/>
        </w:rPr>
        <w:t> </w:t>
      </w:r>
      <w:r>
        <w:rPr/>
        <w:t>年</w:t>
      </w:r>
      <w:r>
        <w:rPr>
          <w:spacing w:val="-74"/>
        </w:rPr>
        <w:t> </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月出生，本科学历，曾任山东丽鹏包装有限公司财务部副经理， </w:t>
      </w:r>
      <w:r>
        <w:rPr>
          <w:spacing w:val="-2"/>
        </w:rPr>
        <w:t>山东丽鹏股份有限公司财务部副经理、山东丽鹏股份有限公司财务部经理，现任本公司财务总监、重庆华宇园林有限公司董</w:t>
      </w:r>
      <w:r>
        <w:rPr>
          <w:spacing w:val="-66"/>
        </w:rPr>
        <w:t> </w:t>
      </w:r>
      <w:r>
        <w:rPr>
          <w:spacing w:val="-66"/>
        </w:rPr>
      </w:r>
      <w:r>
        <w:rPr/>
        <w:t>事、财务总监。</w:t>
      </w:r>
    </w:p>
    <w:p>
      <w:pPr>
        <w:pStyle w:val="BodyText"/>
        <w:spacing w:line="240" w:lineRule="auto" w:before="64"/>
        <w:ind w:right="0"/>
        <w:jc w:val="left"/>
      </w:pPr>
      <w:r>
        <w:rPr/>
        <w:t>在股东单位任职情况</w:t>
      </w:r>
    </w:p>
    <w:p>
      <w:pPr>
        <w:pStyle w:val="BodyText"/>
        <w:spacing w:line="357" w:lineRule="auto" w:before="117"/>
        <w:ind w:right="9132"/>
        <w:jc w:val="left"/>
      </w:pPr>
      <w:r>
        <w:rPr/>
        <w:t>□ 适用 √ 不适用 在其他单位任职情况</w:t>
      </w:r>
    </w:p>
    <w:p>
      <w:pPr>
        <w:pStyle w:val="BodyText"/>
        <w:spacing w:line="240" w:lineRule="auto" w:before="28"/>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102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2" w:right="160"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179"/>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9" w:right="15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143"/>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深圳在乎传媒科技有限公司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大冶市劲鹏制盖有限公司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烟台丽鹏投资有限公司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深圳在乎传媒科技有限公司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成都海川制盖有限公司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四川泸州丽鹏制盖有限公司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北京鹏和祥包装制品有限公司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山东丽鹏国际贸易有限公司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新疆军鹏制盖有限公司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邢路坤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深圳在乎传媒科技有限公司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董事、财务</w:t>
            </w:r>
            <w:r>
              <w:rPr>
                <w:rFonts w:ascii="宋体" w:hAnsi="宋体" w:cs="宋体" w:eastAsia="宋体" w:hint="default"/>
                <w:sz w:val="18"/>
                <w:szCs w:val="18"/>
              </w:rPr>
              <w:t> 总监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赖力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重庆东飞凯格建筑景观设计咨询有限公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赖力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梅焕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山东丽鹏国际贸易有限公司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梅焕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新疆军鹏制盖有限公司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梅焕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烟台丽鹏投资有限公司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1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0"/>
        <w:jc w:val="left"/>
      </w:pPr>
      <w:r>
        <w:rPr/>
        <w:t>董事、监事、高级管理人员报酬的决策程序、确定依据、实际支付情况</w:t>
      </w:r>
    </w:p>
    <w:p>
      <w:pPr>
        <w:pStyle w:val="BodyText"/>
        <w:spacing w:line="302" w:lineRule="auto" w:before="115"/>
        <w:ind w:right="1032"/>
        <w:jc w:val="left"/>
      </w:pPr>
      <w:r>
        <w:rPr>
          <w:rFonts w:ascii="Times New Roman" w:hAnsi="Times New Roman" w:cs="Times New Roman" w:eastAsia="Times New Roman" w:hint="default"/>
        </w:rPr>
        <w:t>1</w:t>
      </w:r>
      <w:r>
        <w:rPr/>
        <w:t>、决策程序：根据公司章程规定和经营情况，公司董事、监事的报酬分别由董事会、监事会提出议案，股东大会批准；公 司总裁、副总裁、财务总监、董事会秘书等高级管理人员的报酬由公司董事会薪酬与考核委员会提出议案，报董事会批准。</w:t>
      </w:r>
    </w:p>
    <w:p>
      <w:pPr>
        <w:pStyle w:val="BodyText"/>
        <w:spacing w:line="302" w:lineRule="auto" w:before="69"/>
        <w:ind w:right="1122"/>
        <w:jc w:val="left"/>
      </w:pPr>
      <w:r>
        <w:rPr>
          <w:rFonts w:ascii="Times New Roman" w:hAnsi="Times New Roman" w:cs="Times New Roman" w:eastAsia="Times New Roman" w:hint="default"/>
        </w:rPr>
        <w:t>2</w:t>
      </w:r>
      <w:r>
        <w:rPr/>
        <w:t>、确定依据：公司董事、监事、高级管理人员报酬根据公司总体发展战略和年度的经营目标以及其在公司担任的职务，按 公司实际情况结合工资制度、考核办法获得劳动报酬。</w:t>
      </w:r>
    </w:p>
    <w:p>
      <w:pPr>
        <w:spacing w:after="0" w:line="302"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副董事长、董 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张本杰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邢路坤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于善晓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曲德堂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梅焕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赖力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313.11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 w:right="0"/>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日，本公司员工总数</w:t>
      </w:r>
      <w:r>
        <w:rPr>
          <w:rFonts w:ascii="宋体" w:hAnsi="宋体" w:cs="宋体" w:eastAsia="宋体" w:hint="default"/>
        </w:rPr>
        <w:t>1,960</w:t>
      </w:r>
      <w:r>
        <w:rPr/>
        <w:t>人</w:t>
      </w:r>
      <w:r>
        <w:rPr>
          <w:rFonts w:ascii="宋体" w:hAnsi="宋体" w:cs="宋体" w:eastAsia="宋体" w:hint="default"/>
        </w:rPr>
        <w:t>,</w:t>
      </w:r>
      <w:r>
        <w:rPr/>
        <w:t>构成情况如下：</w:t>
      </w:r>
    </w:p>
    <w:p>
      <w:pPr>
        <w:spacing w:after="0" w:line="240" w:lineRule="auto"/>
        <w:jc w:val="left"/>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spacing w:line="2640" w:lineRule="exact"/>
        <w:ind w:left="1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drawing>
          <wp:inline distT="0" distB="0" distL="0" distR="0">
            <wp:extent cx="6191250" cy="167640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9" cstate="print"/>
                    <a:stretch>
                      <a:fillRect/>
                    </a:stretch>
                  </pic:blipFill>
                  <pic:spPr>
                    <a:xfrm>
                      <a:off x="0" y="0"/>
                      <a:ext cx="6191250" cy="1676400"/>
                    </a:xfrm>
                    <a:prstGeom prst="rect">
                      <a:avLst/>
                    </a:prstGeom>
                  </pic:spPr>
                </pic:pic>
              </a:graphicData>
            </a:graphic>
          </wp:inline>
        </w:drawing>
      </w:r>
      <w:r>
        <w:rPr>
          <w:rFonts w:ascii="Times New Roman" w:hAnsi="Times New Roman" w:cs="Times New Roman" w:eastAsia="Times New Roman" w:hint="default"/>
          <w:position w:val="-5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p>
      <w:pPr>
        <w:spacing w:line="4380" w:lineRule="exact"/>
        <w:ind w:left="1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7"/>
          <w:sz w:val="20"/>
          <w:szCs w:val="20"/>
        </w:rPr>
        <w:drawing>
          <wp:inline distT="0" distB="0" distL="0" distR="0">
            <wp:extent cx="4648199" cy="278130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20" cstate="print"/>
                    <a:stretch>
                      <a:fillRect/>
                    </a:stretch>
                  </pic:blipFill>
                  <pic:spPr>
                    <a:xfrm>
                      <a:off x="0" y="0"/>
                      <a:ext cx="4648199" cy="2781300"/>
                    </a:xfrm>
                    <a:prstGeom prst="rect">
                      <a:avLst/>
                    </a:prstGeom>
                  </pic:spPr>
                </pic:pic>
              </a:graphicData>
            </a:graphic>
          </wp:inline>
        </w:drawing>
      </w:r>
      <w:r>
        <w:rPr>
          <w:rFonts w:ascii="Times New Roman" w:hAnsi="Times New Roman" w:cs="Times New Roman" w:eastAsia="Times New Roman" w:hint="default"/>
          <w:position w:val="-8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p>
      <w:pPr>
        <w:spacing w:line="2079" w:lineRule="exact"/>
        <w:ind w:left="1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drawing>
          <wp:inline distT="0" distB="0" distL="0" distR="0">
            <wp:extent cx="6148197" cy="1320164"/>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1" cstate="print"/>
                    <a:stretch>
                      <a:fillRect/>
                    </a:stretch>
                  </pic:blipFill>
                  <pic:spPr>
                    <a:xfrm>
                      <a:off x="0" y="0"/>
                      <a:ext cx="6148197" cy="1320164"/>
                    </a:xfrm>
                    <a:prstGeom prst="rect">
                      <a:avLst/>
                    </a:prstGeom>
                  </pic:spPr>
                </pic:pic>
              </a:graphicData>
            </a:graphic>
          </wp:inline>
        </w:drawing>
      </w:r>
      <w:r>
        <w:rPr>
          <w:rFonts w:ascii="Times New Roman" w:hAnsi="Times New Roman" w:cs="Times New Roman" w:eastAsia="Times New Roman" w:hint="default"/>
          <w:position w:val="-41"/>
          <w:sz w:val="20"/>
          <w:szCs w:val="20"/>
        </w:rPr>
      </w:r>
    </w:p>
    <w:p>
      <w:pPr>
        <w:spacing w:after="0" w:line="2079" w:lineRule="exact"/>
        <w:rPr>
          <w:rFonts w:ascii="Times New Roman" w:hAnsi="Times New Roman" w:cs="Times New Roman" w:eastAsia="Times New Roman" w:hint="default"/>
          <w:sz w:val="20"/>
          <w:szCs w:val="20"/>
        </w:rPr>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5"/>
          <w:szCs w:val="15"/>
        </w:rPr>
      </w:pPr>
    </w:p>
    <w:p>
      <w:pPr>
        <w:spacing w:line="4215" w:lineRule="exact"/>
        <w:ind w:left="1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3"/>
          <w:sz w:val="20"/>
          <w:szCs w:val="20"/>
        </w:rPr>
        <w:drawing>
          <wp:inline distT="0" distB="0" distL="0" distR="0">
            <wp:extent cx="4419600" cy="2676525"/>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22" cstate="print"/>
                    <a:stretch>
                      <a:fillRect/>
                    </a:stretch>
                  </pic:blipFill>
                  <pic:spPr>
                    <a:xfrm>
                      <a:off x="0" y="0"/>
                      <a:ext cx="4419600" cy="2676525"/>
                    </a:xfrm>
                    <a:prstGeom prst="rect">
                      <a:avLst/>
                    </a:prstGeom>
                  </pic:spPr>
                </pic:pic>
              </a:graphicData>
            </a:graphic>
          </wp:inline>
        </w:drawing>
      </w:r>
      <w:r>
        <w:rPr>
          <w:rFonts w:ascii="Times New Roman" w:hAnsi="Times New Roman" w:cs="Times New Roman" w:eastAsia="Times New Roman" w:hint="default"/>
          <w:position w:val="-8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2430" w:lineRule="exact"/>
        <w:ind w:left="1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8"/>
          <w:sz w:val="20"/>
          <w:szCs w:val="20"/>
        </w:rPr>
        <w:drawing>
          <wp:inline distT="0" distB="0" distL="0" distR="0">
            <wp:extent cx="6277610" cy="1543050"/>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3" cstate="print"/>
                    <a:stretch>
                      <a:fillRect/>
                    </a:stretch>
                  </pic:blipFill>
                  <pic:spPr>
                    <a:xfrm>
                      <a:off x="0" y="0"/>
                      <a:ext cx="6277610" cy="1543050"/>
                    </a:xfrm>
                    <a:prstGeom prst="rect">
                      <a:avLst/>
                    </a:prstGeom>
                  </pic:spPr>
                </pic:pic>
              </a:graphicData>
            </a:graphic>
          </wp:inline>
        </w:drawing>
      </w:r>
      <w:r>
        <w:rPr>
          <w:rFonts w:ascii="Times New Roman" w:hAnsi="Times New Roman" w:cs="Times New Roman" w:eastAsia="Times New Roman" w:hint="default"/>
          <w:position w:val="-4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p>
      <w:pPr>
        <w:spacing w:line="4365" w:lineRule="exact"/>
        <w:ind w:left="11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drawing>
          <wp:inline distT="0" distB="0" distL="0" distR="0">
            <wp:extent cx="4466836" cy="2771775"/>
            <wp:effectExtent l="0" t="0" r="0" b="0"/>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24" cstate="print"/>
                    <a:stretch>
                      <a:fillRect/>
                    </a:stretch>
                  </pic:blipFill>
                  <pic:spPr>
                    <a:xfrm>
                      <a:off x="0" y="0"/>
                      <a:ext cx="4466836" cy="2771775"/>
                    </a:xfrm>
                    <a:prstGeom prst="rect">
                      <a:avLst/>
                    </a:prstGeom>
                  </pic:spPr>
                </pic:pic>
              </a:graphicData>
            </a:graphic>
          </wp:inline>
        </w:drawing>
      </w:r>
      <w:r>
        <w:rPr>
          <w:rFonts w:ascii="Times New Roman" w:hAnsi="Times New Roman" w:cs="Times New Roman" w:eastAsia="Times New Roman" w:hint="default"/>
          <w:position w:val="-86"/>
          <w:sz w:val="20"/>
          <w:szCs w:val="20"/>
        </w:rPr>
      </w:r>
    </w:p>
    <w:p>
      <w:pPr>
        <w:spacing w:line="240" w:lineRule="auto" w:before="1"/>
        <w:rPr>
          <w:rFonts w:ascii="Times New Roman" w:hAnsi="Times New Roman" w:cs="Times New Roman" w:eastAsia="Times New Roman" w:hint="default"/>
          <w:sz w:val="23"/>
          <w:szCs w:val="23"/>
        </w:rPr>
      </w:pPr>
    </w:p>
    <w:p>
      <w:pPr>
        <w:pStyle w:val="Heading4"/>
        <w:spacing w:line="240" w:lineRule="auto" w:before="35"/>
        <w:ind w:left="114" w:right="0"/>
        <w:jc w:val="left"/>
      </w:pPr>
      <w:r>
        <w:rPr/>
        <w:t>公司不存在需承担费用的离退休职工。</w:t>
      </w:r>
    </w:p>
    <w:p>
      <w:pPr>
        <w:pStyle w:val="BodyText"/>
        <w:spacing w:line="240" w:lineRule="auto" w:before="103"/>
        <w:ind w:right="0"/>
        <w:jc w:val="left"/>
      </w:pPr>
      <w:r>
        <w:rPr/>
        <w:t>企业薪酬成本情况</w:t>
      </w:r>
    </w:p>
    <w:p>
      <w:pPr>
        <w:spacing w:line="240" w:lineRule="auto" w:before="9"/>
        <w:rPr>
          <w:rFonts w:ascii="宋体" w:hAnsi="宋体" w:cs="宋体" w:eastAsia="宋体" w:hint="default"/>
          <w:sz w:val="7"/>
          <w:szCs w:val="7"/>
        </w:rPr>
      </w:pPr>
    </w:p>
    <w:p>
      <w:pPr>
        <w:spacing w:line="421" w:lineRule="exact"/>
        <w:ind w:left="1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4;width:104;height:393" coordorigin="10,14" coordsize="104,393">
              <v:shape style="position:absolute;left:10;top:14;width:104;height:393" coordorigin="10,14" coordsize="104,393" path="m10,407l113,407,113,14,10,14,10,407xe" filled="true" fillcolor="#d2d2d2" stroked="false">
                <v:path arrowok="t"/>
                <v:fill type="solid"/>
              </v:shape>
            </v:group>
            <v:group style="position:absolute;left:3622;top:14;width:104;height:393" coordorigin="3622,14" coordsize="104,393">
              <v:shape style="position:absolute;left:3622;top:14;width:104;height:393" coordorigin="3622,14" coordsize="104,393" path="m3622,407l3725,407,3725,14,3622,14,3622,407xe" filled="true" fillcolor="#d2d2d2" stroked="false">
                <v:path arrowok="t"/>
                <v:fill type="solid"/>
              </v:shape>
            </v:group>
            <v:group style="position:absolute;left:113;top:14;width:3510;height:393" coordorigin="113,14" coordsize="3510,393">
              <v:shape style="position:absolute;left:113;top:14;width:3510;height:393" coordorigin="113,14" coordsize="3510,393" path="m113,407l3622,407,3622,14,113,14,113,407xe" filled="true" fillcolor="#d2d2d2" stroked="false">
                <v:path arrowok="t"/>
                <v:fill type="solid"/>
              </v:shape>
            </v:group>
            <v:group style="position:absolute;left:3735;top:14;width:104;height:393" coordorigin="3735,14" coordsize="104,393">
              <v:shape style="position:absolute;left:3735;top:14;width:104;height:393" coordorigin="3735,14" coordsize="104,393" path="m3735,407l3838,407,3838,14,3735,14,3735,407xe" filled="true" fillcolor="#d2d2d2" stroked="false">
                <v:path arrowok="t"/>
                <v:fill type="solid"/>
              </v:shape>
            </v:group>
            <v:group style="position:absolute;left:9466;top:14;width:104;height:393" coordorigin="9466,14" coordsize="104,393">
              <v:shape style="position:absolute;left:9466;top:14;width:104;height:393" coordorigin="9466,14" coordsize="104,393" path="m9466,407l9569,407,9569,14,9466,14,9466,407xe" filled="true" fillcolor="#d2d2d2" stroked="false">
                <v:path arrowok="t"/>
                <v:fill type="solid"/>
              </v:shape>
            </v:group>
            <v:group style="position:absolute;left:3838;top:14;width:5628;height:393" coordorigin="3838,14" coordsize="5628,393">
              <v:shape style="position:absolute;left:3838;top:14;width:5628;height:393" coordorigin="3838,14" coordsize="5628,393" path="m3838,407l9466,407,9466,14,3838,14,3838,407xe" filled="true" fillcolor="#d2d2d2" stroked="false">
                <v:path arrowok="t"/>
                <v:fill type="solid"/>
              </v:shape>
            </v:group>
            <v:group style="position:absolute;left:10;top:10;width:3716;height:2" coordorigin="10,10" coordsize="3716,2">
              <v:shape style="position:absolute;left:10;top:10;width:3716;height:2" coordorigin="10,10" coordsize="3716,0" path="m10,10l3725,10e" filled="false" stroked="true" strokeweight=".48pt" strokecolor="#000000">
                <v:path arrowok="t"/>
              </v:shape>
            </v:group>
            <v:group style="position:absolute;left:3735;top:10;width:5834;height:2" coordorigin="3735,10" coordsize="5834,2">
              <v:shape style="position:absolute;left:3735;top:10;width:5834;height:2" coordorigin="3735,10" coordsize="5834,0" path="m373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3716;height:2" coordorigin="10,412" coordsize="3716,2">
              <v:shape style="position:absolute;left:10;top:412;width:3716;height:2" coordorigin="10,412" coordsize="3716,0" path="m10,412l3725,412e" filled="false" stroked="true" strokeweight=".48pt" strokecolor="#000000">
                <v:path arrowok="t"/>
              </v:shape>
            </v:group>
            <v:group style="position:absolute;left:3730;top:5;width:2;height:412" coordorigin="3730,5" coordsize="2,412">
              <v:shape style="position:absolute;left:3730;top:5;width:2;height:412" coordorigin="3730,5" coordsize="0,412" path="m3730,5l3730,416e" filled="false" stroked="true" strokeweight=".48pt" strokecolor="#000000">
                <v:path arrowok="t"/>
              </v:shape>
            </v:group>
            <v:group style="position:absolute;left:3735;top:412;width:5834;height:2" coordorigin="3735,412" coordsize="5834,2">
              <v:shape style="position:absolute;left:3735;top:412;width:5834;height:2" coordorigin="3735,412" coordsize="5834,0" path="m373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647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725"/>
        <w:gridCol w:w="5844"/>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1,960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14,284.89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pStyle w:val="Heading1"/>
        <w:spacing w:line="240" w:lineRule="auto"/>
        <w:ind w:right="3321"/>
        <w:jc w:val="center"/>
        <w:rPr>
          <w:b w:val="0"/>
          <w:bCs w:val="0"/>
        </w:rPr>
      </w:pPr>
      <w:bookmarkStart w:name="第九节 公司治理" w:id="126"/>
      <w:bookmarkEnd w:id="126"/>
      <w:r>
        <w:rPr>
          <w:b w:val="0"/>
          <w:bCs w:val="0"/>
        </w:rPr>
      </w:r>
      <w:bookmarkStart w:name="_bookmark7" w:id="127"/>
      <w:bookmarkEnd w:id="127"/>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0"/>
        <w:jc w:val="both"/>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 w:right="1050" w:firstLine="420"/>
        <w:jc w:val="both"/>
      </w:pPr>
      <w:r>
        <w:rPr/>
        <w:t>报告期内，公司严格按照《公司法》、《证券法》和中国证监会有关法律法规的要求，不断完善公司法人治理结构， </w:t>
      </w:r>
      <w:r>
        <w:rPr>
          <w:spacing w:val="-2"/>
        </w:rPr>
        <w:t>建立健全内部管理和控制制度，进一步提高公司治理水平。截至报告期末，公司运作规范，信息披露规范，公司治理的实际</w:t>
      </w:r>
      <w:r>
        <w:rPr>
          <w:spacing w:val="-66"/>
        </w:rPr>
        <w:t> </w:t>
      </w:r>
      <w:r>
        <w:rPr>
          <w:spacing w:val="-66"/>
        </w:rPr>
      </w:r>
      <w:r>
        <w:rPr/>
        <w:t>状况基本符合中国证监会发布的有关上市公司治理的规范性文件要求，公司没有收到被监管部门采取行政监管措施的文件。</w:t>
      </w:r>
    </w:p>
    <w:p>
      <w:pPr>
        <w:pStyle w:val="BodyText"/>
        <w:spacing w:line="240" w:lineRule="auto" w:before="19"/>
        <w:ind w:left="534" w:right="0"/>
        <w:jc w:val="left"/>
      </w:pPr>
      <w:r>
        <w:rPr/>
        <w:t>报告期内，公司对《公司章程》进行了修订与完善。</w:t>
      </w:r>
    </w:p>
    <w:p>
      <w:pPr>
        <w:pStyle w:val="BodyText"/>
        <w:spacing w:line="316" w:lineRule="auto" w:before="76"/>
        <w:ind w:left="534" w:right="1152"/>
        <w:jc w:val="left"/>
      </w:pPr>
      <w:r>
        <w:rPr/>
        <w:t>（一）关于股东与股东大会 报告期内，公司严格按照《公司法》、《证券法》、《深圳证券交易所股票上市规则》、《公司章程》和《股东大会</w:t>
      </w:r>
    </w:p>
    <w:p>
      <w:pPr>
        <w:pStyle w:val="BodyText"/>
        <w:spacing w:line="316" w:lineRule="auto" w:before="19"/>
        <w:ind w:right="0"/>
        <w:jc w:val="left"/>
      </w:pPr>
      <w:r>
        <w:rPr>
          <w:spacing w:val="-2"/>
        </w:rPr>
        <w:t>议事规则》等相关法律法规要求召集、召开股东大会，并聘请律师出席见证。公司能够平等对待所有股东，特别是确保中小</w:t>
      </w:r>
      <w:r>
        <w:rPr>
          <w:spacing w:val="-66"/>
        </w:rPr>
        <w:t> </w:t>
      </w:r>
      <w:r>
        <w:rPr>
          <w:spacing w:val="-66"/>
        </w:rPr>
      </w:r>
      <w:r>
        <w:rPr/>
        <w:t>股东享有平等地位，公司通过建立与股东沟通的有效渠道，以保证股东能够充分行使自己的权利。</w:t>
      </w:r>
    </w:p>
    <w:p>
      <w:pPr>
        <w:pStyle w:val="BodyText"/>
        <w:spacing w:line="316" w:lineRule="auto" w:before="19"/>
        <w:ind w:left="534" w:right="1152"/>
        <w:jc w:val="left"/>
      </w:pPr>
      <w:r>
        <w:rPr/>
        <w:t>（二）关于控股股东与公司 公司具有独立的业务及自主经营能力，公司控股股东严格规范自己的行为，通过股东大会依法行使出资人的权利，没</w:t>
      </w:r>
    </w:p>
    <w:p>
      <w:pPr>
        <w:pStyle w:val="BodyText"/>
        <w:spacing w:line="316" w:lineRule="auto" w:before="19"/>
        <w:ind w:right="1032"/>
        <w:jc w:val="left"/>
      </w:pPr>
      <w:r>
        <w:rPr/>
        <w:t>有超越股东大会直接或间接干预公司的决策和经营活动，公司未与控股股东进行关联交易，公司与控股股东在人员、资产、 财务、机构、业务方面做到了</w:t>
      </w:r>
      <w:r>
        <w:rPr>
          <w:rFonts w:ascii="Times New Roman" w:hAnsi="Times New Roman" w:cs="Times New Roman" w:eastAsia="Times New Roman" w:hint="default"/>
        </w:rPr>
        <w:t>“</w:t>
      </w:r>
      <w:r>
        <w:rPr/>
        <w:t>五独立</w:t>
      </w:r>
      <w:r>
        <w:rPr>
          <w:rFonts w:ascii="Times New Roman" w:hAnsi="Times New Roman" w:cs="Times New Roman" w:eastAsia="Times New Roman" w:hint="default"/>
        </w:rPr>
        <w:t>”</w:t>
      </w:r>
      <w:r>
        <w:rPr/>
        <w:t>，公司董事会、监事会和内部经营管理机构根据各议事规则及公司制度独立运行。</w:t>
      </w:r>
    </w:p>
    <w:p>
      <w:pPr>
        <w:pStyle w:val="BodyText"/>
        <w:spacing w:line="316" w:lineRule="auto"/>
        <w:ind w:left="533" w:right="1153"/>
        <w:jc w:val="left"/>
      </w:pPr>
      <w:r>
        <w:rPr/>
        <w:t>（三）关于董事与董事会 报告期末公司董事会由</w:t>
      </w:r>
      <w:r>
        <w:rPr>
          <w:rFonts w:ascii="Times New Roman" w:hAnsi="Times New Roman" w:cs="Times New Roman" w:eastAsia="Times New Roman" w:hint="default"/>
        </w:rPr>
        <w:t>9</w:t>
      </w:r>
      <w:r>
        <w:rPr/>
        <w:t>名董事组成，其中独立董事</w:t>
      </w:r>
      <w:r>
        <w:rPr>
          <w:rFonts w:ascii="Times New Roman" w:hAnsi="Times New Roman" w:cs="Times New Roman" w:eastAsia="Times New Roman" w:hint="default"/>
        </w:rPr>
        <w:t>3</w:t>
      </w:r>
      <w:r>
        <w:rPr/>
        <w:t>名。独立董事均为在金融、行业等方面的专业人士担任，保证了</w:t>
      </w:r>
    </w:p>
    <w:p>
      <w:pPr>
        <w:pStyle w:val="BodyText"/>
        <w:spacing w:line="319" w:lineRule="auto"/>
        <w:ind w:right="1130"/>
        <w:jc w:val="both"/>
      </w:pPr>
      <w:r>
        <w:rPr>
          <w:spacing w:val="-2"/>
        </w:rPr>
        <w:t>董事会决策的质量和水平，维护了公司和全体股东的权益，充分发挥了董事会在公司治理中的核心作用。根据有关规定的要</w:t>
      </w:r>
      <w:r>
        <w:rPr>
          <w:spacing w:val="-66"/>
        </w:rPr>
        <w:t> </w:t>
      </w:r>
      <w:r>
        <w:rPr>
          <w:spacing w:val="-66"/>
        </w:rPr>
      </w:r>
      <w:r>
        <w:rPr>
          <w:spacing w:val="-2"/>
        </w:rPr>
        <w:t>求，公司董事会下设四个专业委员会：战略委员会、审计委员会、提名委员会和薪酬与考核委员会。各委员会分工明确，权</w:t>
      </w:r>
      <w:r>
        <w:rPr>
          <w:spacing w:val="-67"/>
        </w:rPr>
        <w:t> </w:t>
      </w:r>
      <w:r>
        <w:rPr>
          <w:spacing w:val="-67"/>
        </w:rPr>
      </w:r>
      <w:r>
        <w:rPr/>
        <w:t>责分明，有效运作。</w:t>
      </w:r>
    </w:p>
    <w:p>
      <w:pPr>
        <w:pStyle w:val="BodyText"/>
        <w:spacing w:line="316" w:lineRule="auto" w:before="17"/>
        <w:ind w:left="534" w:right="1152"/>
        <w:jc w:val="left"/>
      </w:pPr>
      <w:r>
        <w:rPr/>
        <w:t>（四）关于监事与监事会 报告期内公司监事会由</w:t>
      </w:r>
      <w:r>
        <w:rPr>
          <w:rFonts w:ascii="Times New Roman" w:hAnsi="Times New Roman" w:cs="Times New Roman" w:eastAsia="Times New Roman" w:hint="default"/>
        </w:rPr>
        <w:t>3</w:t>
      </w:r>
      <w:r>
        <w:rPr/>
        <w:t>名监事组成，其中职工监事</w:t>
      </w:r>
      <w:r>
        <w:rPr>
          <w:rFonts w:ascii="Times New Roman" w:hAnsi="Times New Roman" w:cs="Times New Roman" w:eastAsia="Times New Roman" w:hint="default"/>
        </w:rPr>
        <w:t>2</w:t>
      </w:r>
      <w:r>
        <w:rPr/>
        <w:t>名，人员构成符合法律、法规的要求。公司监事能够认真履行职</w:t>
      </w:r>
    </w:p>
    <w:p>
      <w:pPr>
        <w:pStyle w:val="BodyText"/>
        <w:spacing w:line="235" w:lineRule="exact"/>
        <w:ind w:right="0"/>
        <w:jc w:val="both"/>
      </w:pPr>
      <w:r>
        <w:rPr/>
        <w:t>责，能够本着对股东负责的精神，对公司财务及董事、高级管理人员履行职责的合法合规性进行监督。</w:t>
      </w:r>
    </w:p>
    <w:p>
      <w:pPr>
        <w:pStyle w:val="BodyText"/>
        <w:spacing w:line="316" w:lineRule="auto" w:before="76"/>
        <w:ind w:left="533" w:right="1153"/>
        <w:jc w:val="left"/>
      </w:pPr>
      <w:r>
        <w:rPr/>
        <w:t>（五）关于信息披露与透明度 报告期内，公司严格按照有关法律法规和公司《信息披露事务管理制度》的规定，履行信息披露义务；公司能真实、</w:t>
      </w:r>
    </w:p>
    <w:p>
      <w:pPr>
        <w:pStyle w:val="BodyText"/>
        <w:spacing w:line="316" w:lineRule="auto" w:before="19"/>
        <w:ind w:left="113" w:right="0"/>
        <w:jc w:val="left"/>
      </w:pPr>
      <w:r>
        <w:rPr>
          <w:spacing w:val="-2"/>
        </w:rPr>
        <w:t>准确、完整、及时地披露信息，没有虚假记载、误导性陈述和重大遗漏，确保所有投资者有平等机会获取公司信息，增加了</w:t>
      </w:r>
      <w:r>
        <w:rPr>
          <w:spacing w:val="-67"/>
        </w:rPr>
        <w:t> </w:t>
      </w:r>
      <w:r>
        <w:rPr>
          <w:spacing w:val="-67"/>
        </w:rPr>
      </w:r>
      <w:r>
        <w:rPr/>
        <w:t>公司透明度，切实发挥了保护中小投资者知情权的作用。</w:t>
      </w:r>
    </w:p>
    <w:p>
      <w:pPr>
        <w:pStyle w:val="BodyText"/>
        <w:spacing w:line="316" w:lineRule="auto" w:before="19"/>
        <w:ind w:left="533" w:right="1153"/>
        <w:jc w:val="left"/>
      </w:pPr>
      <w:r>
        <w:rPr/>
        <w:t>（六）关于相关利益者 公司在保持稳健发展、实现股东利益最大化的同时，积极关注所在地区福利、公益事业等问题，重视社会责任，充分</w:t>
      </w:r>
    </w:p>
    <w:p>
      <w:pPr>
        <w:pStyle w:val="BodyText"/>
        <w:spacing w:line="240" w:lineRule="auto" w:before="19"/>
        <w:ind w:left="113" w:right="0"/>
        <w:jc w:val="both"/>
      </w:pPr>
      <w:r>
        <w:rPr/>
        <w:t>尊重和维护职工、债权人等利益相关者的合法权利，加强与各方的沟通和合作，共同推动公司持续、健康地发展。</w:t>
      </w:r>
    </w:p>
    <w:p>
      <w:pPr>
        <w:pStyle w:val="BodyText"/>
        <w:spacing w:line="316" w:lineRule="auto" w:before="76"/>
        <w:ind w:left="533" w:right="1153"/>
        <w:jc w:val="left"/>
      </w:pPr>
      <w:r>
        <w:rPr/>
        <w:t>（七）关于公司与投资者 公司重视与投资者关系的沟通与交流，公司证券部负责信息披露和投资者关系管理工作，加强与中小股东的沟通，认</w:t>
      </w:r>
    </w:p>
    <w:p>
      <w:pPr>
        <w:pStyle w:val="BodyText"/>
        <w:spacing w:line="240" w:lineRule="auto" w:before="19"/>
        <w:ind w:left="113" w:right="0"/>
        <w:jc w:val="both"/>
      </w:pPr>
      <w:r>
        <w:rPr/>
        <w:t>真听取股东各方对公司发展的建议和意见，及时反馈给董事会，切实保证中小股东的合法权益。</w:t>
      </w:r>
    </w:p>
    <w:p>
      <w:pPr>
        <w:pStyle w:val="BodyText"/>
        <w:spacing w:line="316" w:lineRule="auto" w:before="76"/>
        <w:ind w:left="533" w:right="1115"/>
        <w:jc w:val="left"/>
      </w:pPr>
      <w:r>
        <w:rPr/>
        <w:t>（八）关于内部审计制度 </w:t>
      </w:r>
      <w:r>
        <w:rPr>
          <w:spacing w:val="-1"/>
        </w:rPr>
        <w:t>公司设立了内审部，配置了</w:t>
      </w:r>
      <w:r>
        <w:rPr>
          <w:rFonts w:ascii="宋体" w:hAnsi="宋体" w:cs="宋体" w:eastAsia="宋体" w:hint="default"/>
          <w:spacing w:val="-1"/>
        </w:rPr>
        <w:t>4</w:t>
      </w:r>
      <w:r>
        <w:rPr>
          <w:spacing w:val="-1"/>
        </w:rPr>
        <w:t>名专职审计人员，在董事会审计委员会的领导下对公司及子公司的经济运行质量、经济效</w:t>
      </w:r>
    </w:p>
    <w:p>
      <w:pPr>
        <w:pStyle w:val="BodyText"/>
        <w:spacing w:line="240" w:lineRule="auto" w:before="19"/>
        <w:ind w:left="113" w:right="0"/>
        <w:jc w:val="both"/>
      </w:pPr>
      <w:r>
        <w:rPr/>
        <w:t>益、内控的制度和执行、各项费用的使用以及资产情况进行审计和监督。</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left="113" w:right="0"/>
        <w:jc w:val="both"/>
      </w:pPr>
      <w:r>
        <w:rPr/>
        <w:t>公司治理的实际状况与中国证监会发布的有关上市公司治理的规范性文件是否存在重大差异</w:t>
      </w:r>
    </w:p>
    <w:p>
      <w:pPr>
        <w:pStyle w:val="BodyText"/>
        <w:spacing w:line="357" w:lineRule="auto" w:before="117"/>
        <w:ind w:left="113" w:right="3553"/>
        <w:jc w:val="left"/>
      </w:pPr>
      <w:r>
        <w:rPr/>
        <w:t>□ 是 √ 否 公司治理的实际状况与中国证监会发布的有关上市公司治理的规范性文件不存在重大差异。</w:t>
      </w:r>
    </w:p>
    <w:p>
      <w:pPr>
        <w:spacing w:after="0" w:line="357"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公司严格规范公司与股东之间的关系，建立健全各项管理制度。目前，公司在业务、资产、人员、财务、机构方面均独</w:t>
      </w:r>
      <w:r>
        <w:rPr/>
        <w:t> </w:t>
      </w:r>
      <w:r>
        <w:rPr>
          <w:spacing w:val="-4"/>
        </w:rPr>
        <w:t>立于公司各股东，具有独立完整的业务和供应、生产、销售系统，以及面向市场自主经营的能力，完全独立运作、自主经营，</w:t>
      </w:r>
      <w:r>
        <w:rPr>
          <w:spacing w:val="-44"/>
        </w:rPr>
        <w:t> </w:t>
      </w:r>
      <w:r>
        <w:rPr>
          <w:spacing w:val="-44"/>
        </w:rPr>
      </w:r>
      <w:r>
        <w:rPr/>
        <w:t>独立承担责任和风险。</w:t>
      </w:r>
    </w:p>
    <w:p>
      <w:pPr>
        <w:pStyle w:val="BodyText"/>
        <w:spacing w:line="357" w:lineRule="auto" w:before="56"/>
        <w:ind w:left="474" w:right="0"/>
        <w:jc w:val="left"/>
      </w:pPr>
      <w:r>
        <w:rPr/>
        <w:t>（一）业务独立 </w:t>
      </w:r>
      <w:r>
        <w:rPr>
          <w:spacing w:val="-4"/>
        </w:rPr>
        <w:t>公司主要从事铝板复合型防伪印刷和防伪瓶盖的生产、销售及园林绿化业务，拥有完整且独立的采购、生产、销售系统，</w:t>
      </w:r>
    </w:p>
    <w:p>
      <w:pPr>
        <w:pStyle w:val="BodyText"/>
        <w:spacing w:line="224" w:lineRule="exact"/>
        <w:ind w:right="0"/>
        <w:jc w:val="left"/>
      </w:pPr>
      <w:r>
        <w:rPr/>
        <w:t>具有独立、完整的资产和业务，形成了集铝板复合型防伪印刷、瓶盖制造、制盖机械及模具制造、产品技术研发和售后技术</w:t>
      </w:r>
    </w:p>
    <w:p>
      <w:pPr>
        <w:pStyle w:val="BodyText"/>
        <w:spacing w:line="319" w:lineRule="auto" w:before="76"/>
        <w:ind w:right="0"/>
        <w:jc w:val="left"/>
      </w:pPr>
      <w:r>
        <w:rPr>
          <w:spacing w:val="-2"/>
        </w:rPr>
        <w:t>服务为一体的完整业务体系和涵盖园林工程施工、园林景观规划设计、苗木种植销售、园林养护为一体的全产业链综合性园</w:t>
      </w:r>
      <w:r>
        <w:rPr>
          <w:spacing w:val="-66"/>
        </w:rPr>
        <w:t> </w:t>
      </w:r>
      <w:r>
        <w:rPr>
          <w:spacing w:val="-66"/>
        </w:rPr>
      </w:r>
      <w:r>
        <w:rPr/>
        <w:t>林绿化体系，具备面向市场自主经营的能力，独立组织和实施生产经营活动，不依赖于控股股东和实际控制人。</w:t>
      </w:r>
    </w:p>
    <w:p>
      <w:pPr>
        <w:pStyle w:val="BodyText"/>
        <w:spacing w:line="357" w:lineRule="auto" w:before="56"/>
        <w:ind w:left="474" w:right="0"/>
        <w:jc w:val="left"/>
      </w:pPr>
      <w:r>
        <w:rPr/>
        <w:t>（二）资产完整 </w:t>
      </w:r>
      <w:r>
        <w:rPr>
          <w:spacing w:val="-2"/>
        </w:rPr>
        <w:t>公司拥有独立的生产系统、辅助生产系统和配套设施、土地使用权、专利、商标、非专利技术等资产，公司没有以自身</w:t>
      </w:r>
    </w:p>
    <w:p>
      <w:pPr>
        <w:pStyle w:val="BodyText"/>
        <w:spacing w:line="224" w:lineRule="exact"/>
        <w:ind w:left="113" w:right="0"/>
        <w:jc w:val="left"/>
      </w:pPr>
      <w:r>
        <w:rPr/>
        <w:t>资产、权益或信誉为控股股东、实际控制人的债务提供过担保，对所有资产拥有完全的控制支配权，不存在资产、资金和其</w:t>
      </w:r>
    </w:p>
    <w:p>
      <w:pPr>
        <w:pStyle w:val="BodyText"/>
        <w:spacing w:line="240" w:lineRule="auto" w:before="77"/>
        <w:ind w:left="113" w:right="0"/>
        <w:jc w:val="left"/>
      </w:pPr>
      <w:r>
        <w:rPr/>
        <w:t>他资源被控股股东和实际控制人违规占用而损害公司其他股东利益及公司利益的情况。</w:t>
      </w:r>
    </w:p>
    <w:p>
      <w:pPr>
        <w:pStyle w:val="BodyText"/>
        <w:spacing w:line="357" w:lineRule="auto" w:before="117"/>
        <w:ind w:left="474" w:right="0"/>
        <w:jc w:val="left"/>
      </w:pPr>
      <w:r>
        <w:rPr/>
        <w:t>（三）人员独立 </w:t>
      </w:r>
      <w:r>
        <w:rPr>
          <w:spacing w:val="-4"/>
        </w:rPr>
        <w:t>公司董事、监事及高级管理人员均严格按照《公司法》、《公司章程》的有关规定产生。公司总裁、副总裁、财务总监、</w:t>
      </w:r>
    </w:p>
    <w:p>
      <w:pPr>
        <w:pStyle w:val="BodyText"/>
        <w:spacing w:line="224" w:lineRule="exact"/>
        <w:ind w:right="0"/>
        <w:jc w:val="left"/>
      </w:pPr>
      <w:r>
        <w:rPr/>
        <w:t>董事会秘书和业务部门负责人均属专职且在公司领取薪酬</w:t>
      </w:r>
      <w:r>
        <w:rPr>
          <w:spacing w:val="-87"/>
        </w:rPr>
        <w:t>，</w:t>
      </w:r>
      <w:r>
        <w:rPr/>
        <w:t>不存在在控股股东</w:t>
      </w:r>
      <w:r>
        <w:rPr>
          <w:spacing w:val="-87"/>
        </w:rPr>
        <w:t>、</w:t>
      </w:r>
      <w:r>
        <w:rPr/>
        <w:t>实际控制人及其控制的其他企业兼职的情形。</w:t>
      </w:r>
    </w:p>
    <w:p>
      <w:pPr>
        <w:pStyle w:val="BodyText"/>
        <w:spacing w:line="319" w:lineRule="auto" w:before="76"/>
        <w:ind w:left="113" w:right="0"/>
        <w:jc w:val="left"/>
      </w:pPr>
      <w:r>
        <w:rPr>
          <w:spacing w:val="-2"/>
        </w:rPr>
        <w:t>公司高级管理人员的推荐符合《公司章程》的规定，不存在超越董事会和股东大会而作出人事任免的决定。公司在劳动、人</w:t>
      </w:r>
      <w:r>
        <w:rPr>
          <w:spacing w:val="-66"/>
        </w:rPr>
        <w:t> </w:t>
      </w:r>
      <w:r>
        <w:rPr>
          <w:spacing w:val="-66"/>
        </w:rPr>
      </w:r>
      <w:r>
        <w:rPr/>
        <w:t>事及工资管理上完全独立，并根据《劳动法》和公司劳动管理制度等有关规定与公司员工签订劳动合同。</w:t>
      </w:r>
    </w:p>
    <w:p>
      <w:pPr>
        <w:pStyle w:val="BodyText"/>
        <w:spacing w:line="357" w:lineRule="auto" w:before="56"/>
        <w:ind w:left="474" w:right="0"/>
        <w:jc w:val="left"/>
      </w:pPr>
      <w:r>
        <w:rPr/>
        <w:t>（四）财务独立 </w:t>
      </w:r>
      <w:r>
        <w:rPr>
          <w:spacing w:val="-2"/>
        </w:rPr>
        <w:t>公司设立了独立的财务部门，配备了独立的财务人员，开设了独立的银行账号，建立了独立的会计核算体系，制定了内</w:t>
      </w:r>
    </w:p>
    <w:p>
      <w:pPr>
        <w:pStyle w:val="BodyText"/>
        <w:spacing w:line="224" w:lineRule="exact"/>
        <w:ind w:right="0"/>
        <w:jc w:val="left"/>
      </w:pPr>
      <w:r>
        <w:rPr/>
        <w:t>部财务管理制度等内控制度，独立进行财务决策并依法独立进行纳税申报和履行纳税义务。公司根据企业发展规划，自主决</w:t>
      </w:r>
    </w:p>
    <w:p>
      <w:pPr>
        <w:pStyle w:val="BodyText"/>
        <w:spacing w:line="319" w:lineRule="auto" w:before="76"/>
        <w:ind w:right="0"/>
        <w:jc w:val="left"/>
      </w:pPr>
      <w:r>
        <w:rPr>
          <w:spacing w:val="-2"/>
        </w:rPr>
        <w:t>定投资计划和资金安排，不存在股东干预公司财务决策、资金使用的情况，不存在货币资金或其他资产被股东或其他关联方</w:t>
      </w:r>
      <w:r>
        <w:rPr>
          <w:spacing w:val="-66"/>
        </w:rPr>
        <w:t> </w:t>
      </w:r>
      <w:r>
        <w:rPr>
          <w:spacing w:val="-66"/>
        </w:rPr>
      </w:r>
      <w:r>
        <w:rPr/>
        <w:t>占用的情况，也不存在为各股东、实际控制人及其控制的其他企业提供担保的情况。</w:t>
      </w:r>
    </w:p>
    <w:p>
      <w:pPr>
        <w:pStyle w:val="BodyText"/>
        <w:spacing w:line="357" w:lineRule="auto" w:before="56"/>
        <w:ind w:left="474" w:right="0"/>
        <w:jc w:val="left"/>
      </w:pPr>
      <w:r>
        <w:rPr/>
        <w:t>（五）机构独立 </w:t>
      </w:r>
      <w:r>
        <w:rPr>
          <w:spacing w:val="-2"/>
        </w:rPr>
        <w:t>公司设立了股东大会、董事会、监事会等机构，聘请了包括总裁、副总裁、财务总监、董事会秘书等人员在内的高级管</w:t>
      </w:r>
    </w:p>
    <w:p>
      <w:pPr>
        <w:pStyle w:val="BodyText"/>
        <w:spacing w:line="224" w:lineRule="exact"/>
        <w:ind w:right="0"/>
        <w:jc w:val="left"/>
      </w:pPr>
      <w:r>
        <w:rPr/>
        <w:t>理人员，根据自身经营需要，下设行政管理部、运营部、研发制造中心、财务部、国内贸易部、国际贸易部、人力资源与知</w:t>
      </w:r>
    </w:p>
    <w:p>
      <w:pPr>
        <w:pStyle w:val="BodyText"/>
        <w:spacing w:line="319" w:lineRule="auto" w:before="76"/>
        <w:ind w:right="0"/>
        <w:jc w:val="left"/>
      </w:pPr>
      <w:r>
        <w:rPr>
          <w:spacing w:val="-2"/>
        </w:rPr>
        <w:t>识产权部、证券部、供应部等职能部门，拥有完整的采购、生产、销售系统和配套部门。自公司设立以来，未发生股东干预</w:t>
      </w:r>
      <w:r>
        <w:rPr>
          <w:spacing w:val="-72"/>
        </w:rPr>
        <w:t> </w:t>
      </w:r>
      <w:r>
        <w:rPr>
          <w:spacing w:val="-72"/>
        </w:rPr>
      </w:r>
      <w:r>
        <w:rPr/>
        <w:t>公司正常生产经营活动的情况。</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0"/>
      <w:bookmarkEnd w:id="13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16" w:right="0"/>
              <w:jc w:val="lef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0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com.cn</w:t>
            </w:r>
          </w:p>
        </w:tc>
      </w:tr>
    </w:tbl>
    <w:p>
      <w:pPr>
        <w:spacing w:after="0" w:line="36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16" w:right="0"/>
              <w:jc w:val="lef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10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z w:val="18"/>
                <w:szCs w:val="18"/>
              </w:rPr>
              <w:t> com.cn</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102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16" w:right="11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17"/>
              <w:jc w:val="righ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86" w:right="115" w:hanging="270"/>
              <w:jc w:val="left"/>
              <w:rPr>
                <w:rFonts w:ascii="宋体" w:hAnsi="宋体" w:cs="宋体" w:eastAsia="宋体" w:hint="default"/>
                <w:sz w:val="18"/>
                <w:szCs w:val="18"/>
              </w:rPr>
            </w:pPr>
            <w:r>
              <w:rPr>
                <w:rFonts w:ascii="宋体" w:hAnsi="宋体" w:cs="宋体" w:eastAsia="宋体" w:hint="default"/>
                <w:sz w:val="18"/>
                <w:szCs w:val="18"/>
              </w:rPr>
              <w:t>以通讯方式参 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16"/>
              <w:jc w:val="righ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115"/>
              <w:jc w:val="center"/>
              <w:rPr>
                <w:rFonts w:ascii="宋体" w:hAnsi="宋体" w:cs="宋体" w:eastAsia="宋体" w:hint="default"/>
                <w:sz w:val="18"/>
                <w:szCs w:val="18"/>
              </w:rPr>
            </w:pPr>
            <w:r>
              <w:rPr>
                <w:rFonts w:ascii="宋体" w:hAnsi="宋体" w:cs="宋体" w:eastAsia="宋体" w:hint="default"/>
                <w:sz w:val="18"/>
                <w:szCs w:val="18"/>
              </w:rPr>
              <w:t>是否连续两次 未亲自参加会 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60" w:lineRule="auto" w:before="116"/>
        <w:ind w:left="113" w:right="6973"/>
        <w:jc w:val="left"/>
      </w:pPr>
      <w:r>
        <w:rPr/>
        <w:t>□ 是 √ 否 报告期内独立董事对公司有关事项未提出异议。</w:t>
      </w:r>
    </w:p>
    <w:p>
      <w:pPr>
        <w:spacing w:line="240" w:lineRule="auto" w:before="11"/>
        <w:rPr>
          <w:rFonts w:ascii="宋体" w:hAnsi="宋体" w:cs="宋体" w:eastAsia="宋体" w:hint="default"/>
          <w:sz w:val="19"/>
          <w:szCs w:val="19"/>
        </w:rPr>
      </w:pPr>
    </w:p>
    <w:p>
      <w:pPr>
        <w:pStyle w:val="Heading3"/>
        <w:spacing w:line="240" w:lineRule="auto"/>
        <w:ind w:left="113" w:right="0"/>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0"/>
        <w:jc w:val="left"/>
      </w:pPr>
      <w:r>
        <w:rPr/>
        <w:t>独立董事对公司有关建议是否被采纳</w:t>
      </w:r>
    </w:p>
    <w:p>
      <w:pPr>
        <w:pStyle w:val="BodyText"/>
        <w:spacing w:line="357" w:lineRule="auto" w:before="116"/>
        <w:ind w:left="113" w:right="6793"/>
        <w:jc w:val="left"/>
      </w:pPr>
      <w:r>
        <w:rPr/>
        <w:t>√ 是 □ 否 独立董事对公司有关建议被采纳或未被采纳的说明</w:t>
      </w:r>
    </w:p>
    <w:p>
      <w:pPr>
        <w:pStyle w:val="BodyText"/>
        <w:spacing w:line="316" w:lineRule="auto" w:before="28"/>
        <w:ind w:right="1043" w:firstLine="360"/>
        <w:jc w:val="both"/>
      </w:pPr>
      <w:r>
        <w:rPr>
          <w:spacing w:val="-2"/>
        </w:rPr>
        <w:t>报告期内公司独立董事严格按照有关法律、法规及《公司章程》的规定履行职责，出席了报告期内召开的董事会、认真</w:t>
      </w:r>
      <w:r>
        <w:rPr/>
        <w:t> </w:t>
      </w:r>
      <w:r>
        <w:rPr>
          <w:spacing w:val="-2"/>
        </w:rPr>
        <w:t>审议各项议案，客观地发表自己的看法和观点，并利用自己的专业知识做出独立、公正的判断。同时，几位独立董事还深入</w:t>
      </w:r>
      <w:r>
        <w:rPr>
          <w:spacing w:val="-66"/>
        </w:rPr>
        <w:t> </w:t>
      </w:r>
      <w:r>
        <w:rPr>
          <w:spacing w:val="-66"/>
        </w:rPr>
      </w:r>
      <w:r>
        <w:rPr>
          <w:spacing w:val="-4"/>
        </w:rPr>
        <w:t>公司现场调研，了解公司经营状况和内部控制的建设及董事会决议执行情况，为公司经营和发展提出了合理化的意见和建议。</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2" w:firstLine="420"/>
        <w:jc w:val="both"/>
      </w:pPr>
      <w:r>
        <w:rPr>
          <w:spacing w:val="-2"/>
        </w:rPr>
        <w:t>公司董事会下设审计委员会、薪酬与考核委员会、提名委员会和战略委员会。报告期内，专门委员会按照《公司章程》</w:t>
      </w:r>
      <w:r>
        <w:rPr/>
        <w:t> 和各议事规则的规定，对公司经营管理重大事项进行讨论与决策。</w:t>
      </w:r>
    </w:p>
    <w:p>
      <w:pPr>
        <w:pStyle w:val="BodyText"/>
        <w:spacing w:line="300" w:lineRule="auto" w:before="19"/>
        <w:ind w:left="534" w:right="1152"/>
        <w:jc w:val="left"/>
      </w:pPr>
      <w:r>
        <w:rPr>
          <w:rFonts w:ascii="Times New Roman" w:hAnsi="Times New Roman" w:cs="Times New Roman" w:eastAsia="Times New Roman" w:hint="default"/>
        </w:rPr>
        <w:t>1</w:t>
      </w:r>
      <w:r>
        <w:rPr/>
        <w:t>、董事会审计委员会履职情况 董事会审计委员会主要负责公司内外部审计的沟通和协调，组织内部审计等相关工作。报告期内，董事会审计委员会</w:t>
      </w:r>
    </w:p>
    <w:p>
      <w:pPr>
        <w:spacing w:after="0" w:line="300"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0" w:lineRule="auto" w:before="44"/>
        <w:ind w:left="113" w:right="1131"/>
        <w:jc w:val="both"/>
      </w:pPr>
      <w:r>
        <w:rPr/>
        <w:t>共召开会议</w:t>
      </w:r>
      <w:r>
        <w:rPr>
          <w:rFonts w:ascii="Times New Roman" w:hAnsi="Times New Roman" w:cs="Times New Roman" w:eastAsia="Times New Roman" w:hint="default"/>
        </w:rPr>
        <w:t>4</w:t>
      </w:r>
      <w:r>
        <w:rPr/>
        <w:t>次，主要审议了公司内部审计部门提交的季度募集资金存放和使用的专项报告和财务报告，对内部审计部门的 </w:t>
      </w:r>
      <w:r>
        <w:rPr>
          <w:spacing w:val="-2"/>
        </w:rPr>
        <w:t>工作进行监督和指导。在</w:t>
      </w:r>
      <w:r>
        <w:rPr>
          <w:rFonts w:ascii="Times New Roman" w:hAnsi="Times New Roman" w:cs="Times New Roman" w:eastAsia="Times New Roman" w:hint="default"/>
          <w:spacing w:val="-2"/>
        </w:rPr>
        <w:t>201</w:t>
      </w:r>
      <w:r>
        <w:rPr>
          <w:rFonts w:ascii="宋体" w:hAnsi="宋体" w:cs="宋体" w:eastAsia="宋体" w:hint="default"/>
          <w:spacing w:val="-2"/>
        </w:rPr>
        <w:t>5</w:t>
      </w:r>
      <w:r>
        <w:rPr>
          <w:spacing w:val="-2"/>
        </w:rPr>
        <w:t>年年报编制和审计工作过程中，审计委员会与审计机构沟通确定了年度财务报告审计工作的时</w:t>
      </w:r>
      <w:r>
        <w:rPr>
          <w:spacing w:val="-60"/>
        </w:rPr>
        <w:t> </w:t>
      </w:r>
      <w:r>
        <w:rPr>
          <w:spacing w:val="-60"/>
        </w:rPr>
      </w:r>
      <w:r>
        <w:rPr/>
        <w:t>间安排，对公司的财务报表进行了审计并形成了内部审计书面报告。</w:t>
      </w:r>
    </w:p>
    <w:p>
      <w:pPr>
        <w:pStyle w:val="BodyText"/>
        <w:spacing w:line="300" w:lineRule="auto" w:before="31"/>
        <w:ind w:left="533" w:right="1153"/>
        <w:jc w:val="left"/>
      </w:pPr>
      <w:r>
        <w:rPr>
          <w:rFonts w:ascii="Times New Roman" w:hAnsi="Times New Roman" w:cs="Times New Roman" w:eastAsia="Times New Roman" w:hint="default"/>
        </w:rPr>
        <w:t>2</w:t>
      </w:r>
      <w:r>
        <w:rPr/>
        <w:t>、董事会薪酬与考核委员会履职情况 董事会薪酬与考核委员会主要负责公司董事和高级管理人员的薪酬方案及考评方案的制定及执行。报告期内，董事会</w:t>
      </w:r>
    </w:p>
    <w:p>
      <w:pPr>
        <w:pStyle w:val="BodyText"/>
        <w:spacing w:line="300" w:lineRule="auto" w:before="31"/>
        <w:ind w:right="1139"/>
        <w:jc w:val="both"/>
      </w:pPr>
      <w:r>
        <w:rPr/>
        <w:t>薪酬与考核委员会共召开会议</w:t>
      </w:r>
      <w:r>
        <w:rPr>
          <w:rFonts w:ascii="Times New Roman" w:hAnsi="Times New Roman" w:cs="Times New Roman" w:eastAsia="Times New Roman" w:hint="default"/>
        </w:rPr>
        <w:t>1</w:t>
      </w:r>
      <w:r>
        <w:rPr/>
        <w:t>次，主要审议确定了公司</w:t>
      </w:r>
      <w:r>
        <w:rPr>
          <w:rFonts w:ascii="Times New Roman" w:hAnsi="Times New Roman" w:cs="Times New Roman" w:eastAsia="Times New Roman" w:hint="default"/>
        </w:rPr>
        <w:t>201</w:t>
      </w:r>
      <w:r>
        <w:rPr>
          <w:rFonts w:ascii="宋体" w:hAnsi="宋体" w:cs="宋体" w:eastAsia="宋体" w:hint="default"/>
        </w:rPr>
        <w:t>5</w:t>
      </w:r>
      <w:r>
        <w:rPr/>
        <w:t>年董事及高级管理人员的薪酬情况，形成决议并提交董事会审 议。</w:t>
      </w:r>
    </w:p>
    <w:p>
      <w:pPr>
        <w:pStyle w:val="BodyText"/>
        <w:spacing w:line="300" w:lineRule="auto" w:before="31"/>
        <w:ind w:left="534" w:right="1152"/>
        <w:jc w:val="left"/>
      </w:pPr>
      <w:r>
        <w:rPr>
          <w:rFonts w:ascii="Times New Roman" w:hAnsi="Times New Roman" w:cs="Times New Roman" w:eastAsia="Times New Roman" w:hint="default"/>
        </w:rPr>
        <w:t>3</w:t>
      </w:r>
      <w:r>
        <w:rPr/>
        <w:t>、董事会提名委员会履职情况 董事会提名委员会主要负责对公司董事和高级管理人员的人选、选择标准和选择程序提出建议。报告期内，董事会提</w:t>
      </w:r>
    </w:p>
    <w:p>
      <w:pPr>
        <w:pStyle w:val="BodyText"/>
        <w:spacing w:line="240" w:lineRule="auto" w:before="31"/>
        <w:ind w:right="0"/>
        <w:jc w:val="left"/>
      </w:pPr>
      <w:r>
        <w:rPr/>
        <w:t>名委员会共召开会议</w:t>
      </w:r>
      <w:r>
        <w:rPr>
          <w:rFonts w:ascii="Times New Roman" w:hAnsi="Times New Roman" w:cs="Times New Roman" w:eastAsia="Times New Roman" w:hint="default"/>
        </w:rPr>
        <w:t>1</w:t>
      </w:r>
      <w:r>
        <w:rPr/>
        <w:t>次，提名高级管理人员候选人。</w:t>
      </w:r>
    </w:p>
    <w:p>
      <w:pPr>
        <w:pStyle w:val="BodyText"/>
        <w:spacing w:line="300" w:lineRule="auto" w:before="63"/>
        <w:ind w:left="534" w:right="1152"/>
        <w:jc w:val="left"/>
      </w:pPr>
      <w:r>
        <w:rPr>
          <w:rFonts w:ascii="Times New Roman" w:hAnsi="Times New Roman" w:cs="Times New Roman" w:eastAsia="Times New Roman" w:hint="default"/>
        </w:rPr>
        <w:t>4</w:t>
      </w:r>
      <w:r>
        <w:rPr/>
        <w:t>、董事会战略委员会 董事会战略委员会主要负责研究公司长期发展战略和重大投资决策，对重大事项提出意见和建议。报告期内，董事会</w:t>
      </w:r>
    </w:p>
    <w:p>
      <w:pPr>
        <w:pStyle w:val="BodyText"/>
        <w:spacing w:line="240" w:lineRule="auto" w:before="31"/>
        <w:ind w:right="0"/>
        <w:jc w:val="left"/>
      </w:pPr>
      <w:r>
        <w:rPr/>
        <w:t>战略委员会共召开会议</w:t>
      </w:r>
      <w:r>
        <w:rPr>
          <w:rFonts w:ascii="Times New Roman" w:hAnsi="Times New Roman" w:cs="Times New Roman" w:eastAsia="Times New Roman" w:hint="default"/>
        </w:rPr>
        <w:t>1</w:t>
      </w:r>
      <w:r>
        <w:rPr/>
        <w:t>次，主要审议了公司目前战略定位和下一年度公司的战略发展方向。</w:t>
      </w:r>
    </w:p>
    <w:p>
      <w:pPr>
        <w:spacing w:line="240" w:lineRule="auto" w:before="1"/>
        <w:rPr>
          <w:rFonts w:ascii="宋体" w:hAnsi="宋体" w:cs="宋体" w:eastAsia="宋体" w:hint="default"/>
          <w:sz w:val="24"/>
          <w:szCs w:val="24"/>
        </w:rPr>
      </w:pPr>
    </w:p>
    <w:p>
      <w:pPr>
        <w:pStyle w:val="Heading2"/>
        <w:spacing w:line="240" w:lineRule="auto"/>
        <w:ind w:left="113" w:right="0"/>
        <w:jc w:val="left"/>
        <w:rPr>
          <w:b w:val="0"/>
          <w:bCs w:val="0"/>
        </w:rPr>
      </w:pPr>
      <w:bookmarkStart w:name="七、监事会工作情况" w:id="139"/>
      <w:bookmarkEnd w:id="13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0"/>
        <w:jc w:val="left"/>
      </w:pPr>
      <w:r>
        <w:rPr/>
        <w:t>监事会在报告期内的监督活动中发现公司是否存在风险</w:t>
      </w:r>
    </w:p>
    <w:p>
      <w:pPr>
        <w:pStyle w:val="BodyText"/>
        <w:spacing w:line="360" w:lineRule="auto" w:before="116"/>
        <w:ind w:left="113" w:right="7693"/>
        <w:jc w:val="left"/>
      </w:pPr>
      <w:r>
        <w:rPr/>
        <w:t>□ 是 √ 否 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left="113" w:right="0"/>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 w:right="1131" w:firstLine="420"/>
        <w:jc w:val="both"/>
      </w:pPr>
      <w:r>
        <w:rPr/>
        <w:t>公司建立了公正、合理、有效的高级管理人员绩效考核评价体系，以公司规范化管理以及经营效益稳步提升为基础， </w:t>
      </w:r>
      <w:r>
        <w:rPr>
          <w:spacing w:val="-2"/>
        </w:rPr>
        <w:t>明确责任。董事会薪酬与考核委员会具体审议高级管理人员的薪酬奖励方案，根据公司实际经营完成情况以及高级管理人员</w:t>
      </w:r>
      <w:r>
        <w:rPr>
          <w:spacing w:val="-64"/>
        </w:rPr>
        <w:t> </w:t>
      </w:r>
      <w:r>
        <w:rPr>
          <w:spacing w:val="-64"/>
        </w:rPr>
      </w:r>
      <w:r>
        <w:rPr>
          <w:spacing w:val="-2"/>
        </w:rPr>
        <w:t>的工作绩效，对高级管理人员进行年度绩效考核，并监督薪酬制度执行情况。报告期内，本公司高级管理人员能够严格按照</w:t>
      </w:r>
    </w:p>
    <w:p>
      <w:pPr>
        <w:pStyle w:val="BodyText"/>
        <w:spacing w:line="240" w:lineRule="auto" w:before="20"/>
        <w:ind w:left="113" w:right="0"/>
        <w:jc w:val="left"/>
      </w:pPr>
      <w:r>
        <w:rPr/>
        <w:t>《公司法》、《公司章程》等法律法规，认真履行职责。</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 w:right="0"/>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5"/>
        <w:gridCol w:w="6374"/>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日刊登在巨潮资讯网的《</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年度内部控制自我评价报 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年度内部控制鉴证报告》</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4"/>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95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）具有以下特征的缺陷，认定为重大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缺陷：</w:t>
            </w:r>
            <w:r>
              <w:rPr>
                <w:rFonts w:ascii="宋体" w:hAnsi="宋体" w:cs="宋体" w:eastAsia="宋体" w:hint="default"/>
                <w:spacing w:val="-41"/>
                <w:sz w:val="18"/>
                <w:szCs w:val="18"/>
              </w:rPr>
              <w:t> </w:t>
            </w:r>
            <w:r>
              <w:rPr>
                <w:rFonts w:ascii="宋体" w:hAnsi="宋体" w:cs="宋体" w:eastAsia="宋体" w:hint="default"/>
                <w:sz w:val="18"/>
                <w:szCs w:val="18"/>
              </w:rPr>
              <w:t>①董事、监事和高级管理人员违</w:t>
            </w:r>
            <w:r>
              <w:rPr>
                <w:rFonts w:ascii="宋体" w:hAnsi="宋体" w:cs="宋体" w:eastAsia="宋体" w:hint="default"/>
                <w:sz w:val="18"/>
                <w:szCs w:val="18"/>
              </w:rPr>
              <w:t> 反法律法规；</w:t>
            </w:r>
            <w:r>
              <w:rPr>
                <w:rFonts w:ascii="宋体" w:hAnsi="宋体" w:cs="宋体" w:eastAsia="宋体" w:hint="default"/>
                <w:spacing w:val="-43"/>
                <w:sz w:val="18"/>
                <w:szCs w:val="18"/>
              </w:rPr>
              <w:t> </w:t>
            </w:r>
            <w:r>
              <w:rPr>
                <w:rFonts w:ascii="宋体" w:hAnsi="宋体" w:cs="宋体" w:eastAsia="宋体" w:hint="default"/>
                <w:sz w:val="18"/>
                <w:szCs w:val="18"/>
              </w:rPr>
              <w:t>②对已公告的财务报告出</w:t>
            </w:r>
            <w:r>
              <w:rPr>
                <w:rFonts w:ascii="宋体" w:hAnsi="宋体" w:cs="宋体" w:eastAsia="宋体" w:hint="default"/>
                <w:sz w:val="18"/>
                <w:szCs w:val="18"/>
              </w:rPr>
              <w:t> 现的重大差错进行错报更正（由于政策 变化或其他客观因素变化导致的对以前 年度的追溯调整除外）；</w:t>
            </w:r>
            <w:r>
              <w:rPr>
                <w:rFonts w:ascii="宋体" w:hAnsi="宋体" w:cs="宋体" w:eastAsia="宋体" w:hint="default"/>
                <w:spacing w:val="-41"/>
                <w:sz w:val="18"/>
                <w:szCs w:val="18"/>
              </w:rPr>
              <w:t> </w:t>
            </w:r>
            <w:r>
              <w:rPr>
                <w:rFonts w:ascii="宋体" w:hAnsi="宋体" w:cs="宋体" w:eastAsia="宋体" w:hint="default"/>
                <w:sz w:val="18"/>
                <w:szCs w:val="18"/>
              </w:rPr>
              <w:t>③当期财务报</w:t>
            </w:r>
            <w:r>
              <w:rPr>
                <w:rFonts w:ascii="宋体" w:hAnsi="宋体" w:cs="宋体" w:eastAsia="宋体" w:hint="default"/>
                <w:sz w:val="18"/>
                <w:szCs w:val="18"/>
              </w:rPr>
              <w:t> 告存在重大错报，而内部控制在运行过 程中未能发现该错报；</w:t>
            </w:r>
            <w:r>
              <w:rPr>
                <w:rFonts w:ascii="宋体" w:hAnsi="宋体" w:cs="宋体" w:eastAsia="宋体" w:hint="default"/>
                <w:spacing w:val="-43"/>
                <w:sz w:val="18"/>
                <w:szCs w:val="18"/>
              </w:rPr>
              <w:t> </w:t>
            </w:r>
            <w:r>
              <w:rPr>
                <w:rFonts w:ascii="宋体" w:hAnsi="宋体" w:cs="宋体" w:eastAsia="宋体" w:hint="default"/>
                <w:sz w:val="18"/>
                <w:szCs w:val="18"/>
              </w:rPr>
              <w:t>④审计委员会以</w:t>
            </w:r>
            <w:r>
              <w:rPr>
                <w:rFonts w:ascii="宋体" w:hAnsi="宋体" w:cs="宋体" w:eastAsia="宋体" w:hint="default"/>
                <w:sz w:val="18"/>
                <w:szCs w:val="18"/>
              </w:rPr>
              <w:t> 及内部审计部门对财务报告内部控制监 督无效； ⑤未建立基本的财务核算体 系，无法保证财务信息的完整、及时和 准确。 （</w:t>
            </w:r>
            <w:r>
              <w:rPr>
                <w:rFonts w:ascii="Times New Roman" w:hAnsi="Times New Roman" w:cs="Times New Roman" w:eastAsia="Times New Roman" w:hint="default"/>
                <w:sz w:val="18"/>
                <w:szCs w:val="18"/>
              </w:rPr>
              <w:t>2</w:t>
            </w:r>
            <w:r>
              <w:rPr>
                <w:rFonts w:ascii="宋体" w:hAnsi="宋体" w:cs="宋体" w:eastAsia="宋体" w:hint="default"/>
                <w:sz w:val="18"/>
                <w:szCs w:val="18"/>
              </w:rPr>
              <w:t>）具有以下特征的缺陷，认 定为重要缺陷： ①未建立规范约束董 事、监事和高级管理人员行为的内部控 制措施；</w:t>
            </w:r>
            <w:r>
              <w:rPr>
                <w:rFonts w:ascii="宋体" w:hAnsi="宋体" w:cs="宋体" w:eastAsia="宋体" w:hint="default"/>
                <w:spacing w:val="-43"/>
                <w:sz w:val="18"/>
                <w:szCs w:val="18"/>
              </w:rPr>
              <w:t> </w:t>
            </w:r>
            <w:r>
              <w:rPr>
                <w:rFonts w:ascii="宋体" w:hAnsi="宋体" w:cs="宋体" w:eastAsia="宋体" w:hint="default"/>
                <w:sz w:val="18"/>
                <w:szCs w:val="18"/>
              </w:rPr>
              <w:t>②对于非常规或特殊交易的账</w:t>
            </w:r>
            <w:r>
              <w:rPr>
                <w:rFonts w:ascii="宋体" w:hAnsi="宋体" w:cs="宋体" w:eastAsia="宋体" w:hint="default"/>
                <w:sz w:val="18"/>
                <w:szCs w:val="18"/>
              </w:rPr>
              <w:t> 务处理没有建立相应的控制机制或没有 实施且没有相应的补偿性控制；</w:t>
            </w:r>
            <w:r>
              <w:rPr>
                <w:rFonts w:ascii="宋体" w:hAnsi="宋体" w:cs="宋体" w:eastAsia="宋体" w:hint="default"/>
                <w:spacing w:val="-43"/>
                <w:sz w:val="18"/>
                <w:szCs w:val="18"/>
              </w:rPr>
              <w:t> </w:t>
            </w:r>
            <w:r>
              <w:rPr>
                <w:rFonts w:ascii="宋体" w:hAnsi="宋体" w:cs="宋体" w:eastAsia="宋体" w:hint="default"/>
                <w:sz w:val="18"/>
                <w:szCs w:val="18"/>
              </w:rPr>
              <w:t>③财务</w:t>
            </w:r>
            <w:r>
              <w:rPr>
                <w:rFonts w:ascii="宋体" w:hAnsi="宋体" w:cs="宋体" w:eastAsia="宋体" w:hint="default"/>
                <w:sz w:val="18"/>
                <w:szCs w:val="18"/>
              </w:rPr>
              <w:t> 人员配备数量和基本素质不能满足需 要；</w:t>
            </w:r>
            <w:r>
              <w:rPr>
                <w:rFonts w:ascii="宋体" w:hAnsi="宋体" w:cs="宋体" w:eastAsia="宋体" w:hint="default"/>
                <w:spacing w:val="-44"/>
                <w:sz w:val="18"/>
                <w:szCs w:val="18"/>
              </w:rPr>
              <w:t> </w:t>
            </w:r>
            <w:r>
              <w:rPr>
                <w:rFonts w:ascii="宋体" w:hAnsi="宋体" w:cs="宋体" w:eastAsia="宋体" w:hint="default"/>
                <w:sz w:val="18"/>
                <w:szCs w:val="18"/>
              </w:rPr>
              <w:t>④重要财务内控制度不健全或没有</w:t>
            </w:r>
            <w:r>
              <w:rPr>
                <w:rFonts w:ascii="宋体" w:hAnsi="宋体" w:cs="宋体" w:eastAsia="宋体" w:hint="default"/>
                <w:sz w:val="18"/>
                <w:szCs w:val="18"/>
              </w:rPr>
              <w:t> 得到严格执行。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）一般缺陷是指除 上述重大缺陷、重要缺陷之外的其他控 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4" w:lineRule="auto"/>
              <w:ind w:left="103" w:right="14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）具有以下特征的缺陷，认定为 重大缺陷： ①公司经营活动严重违 反国家法律、法规； ②公司决策程 序导致重大失误； ③公司中高级管 理人员和高级技术人员流失严重；</w:t>
            </w:r>
          </w:p>
          <w:p>
            <w:pPr>
              <w:pStyle w:val="TableParagraph"/>
              <w:spacing w:line="316" w:lineRule="auto" w:before="20"/>
              <w:ind w:left="103" w:right="101"/>
              <w:jc w:val="both"/>
              <w:rPr>
                <w:rFonts w:ascii="宋体" w:hAnsi="宋体" w:cs="宋体" w:eastAsia="宋体" w:hint="default"/>
                <w:sz w:val="18"/>
                <w:szCs w:val="18"/>
              </w:rPr>
            </w:pPr>
            <w:r>
              <w:rPr>
                <w:rFonts w:ascii="宋体" w:hAnsi="宋体" w:cs="宋体" w:eastAsia="宋体" w:hint="default"/>
                <w:spacing w:val="-3"/>
                <w:sz w:val="18"/>
                <w:szCs w:val="18"/>
              </w:rPr>
              <w:t>④媒体频现负面新闻，涉及面广且负</w:t>
            </w:r>
            <w:r>
              <w:rPr>
                <w:rFonts w:ascii="宋体" w:hAnsi="宋体" w:cs="宋体" w:eastAsia="宋体" w:hint="default"/>
                <w:sz w:val="18"/>
                <w:szCs w:val="18"/>
              </w:rPr>
              <w:t> 面影响一直未能消除； ⑤公司内部 控制重大或重要缺陷未得到整改。</w:t>
            </w:r>
          </w:p>
          <w:p>
            <w:pPr>
              <w:pStyle w:val="TableParagraph"/>
              <w:spacing w:line="314"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）具有以下特征的缺陷，认定为 重要缺陷： ①公司违反国家法律法 规收到轻微处罚； ②公司决策程序 导致出现一般失误； ③公司违反企 业内部规章，形成损失； ④公司关 键岗位业务人员流失严重； ⑤媒体 出现负面新闻，波及局部区域； ⑥ 公司内部控制重要或一般缺陷未得 到整改。（</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）一般缺陷是指除上述 </w:t>
            </w:r>
            <w:r>
              <w:rPr>
                <w:rFonts w:ascii="宋体" w:hAnsi="宋体" w:cs="宋体" w:eastAsia="宋体" w:hint="default"/>
                <w:spacing w:val="-3"/>
                <w:sz w:val="18"/>
                <w:szCs w:val="18"/>
              </w:rPr>
              <w:t>重大缺陷、重要缺陷之外的其他控制</w:t>
            </w:r>
            <w:r>
              <w:rPr>
                <w:rFonts w:ascii="宋体" w:hAnsi="宋体" w:cs="宋体" w:eastAsia="宋体" w:hint="default"/>
                <w:sz w:val="18"/>
                <w:szCs w:val="18"/>
              </w:rPr>
              <w:t> 缺陷。</w:t>
            </w:r>
          </w:p>
        </w:tc>
      </w:tr>
      <w:tr>
        <w:trPr>
          <w:trHeight w:val="22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）：影响金额≥营业收入的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；影 响金额≥资产总额的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 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）一般缺陷：影响金额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）：影响金额≥营业收入的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影响金额≥资产总额的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w:t>
            </w:r>
            <w:r>
              <w:rPr>
                <w:rFonts w:ascii="宋体" w:hAnsi="宋体" w:cs="宋体" w:eastAsia="宋体" w:hint="default"/>
                <w:sz w:val="18"/>
                <w:szCs w:val="18"/>
              </w:rPr>
              <w:t> 缺陷营业收入的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 业收入的</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≤影 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 </w:t>
            </w:r>
            <w:r>
              <w:rPr>
                <w:rFonts w:ascii="宋体" w:hAnsi="宋体" w:cs="宋体" w:eastAsia="宋体" w:hint="default"/>
                <w:spacing w:val="-3"/>
                <w:sz w:val="18"/>
                <w:szCs w:val="18"/>
              </w:rPr>
              <w:t>陷：影响金额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公司按照《企业内部控制基本规范》及相关规定于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日在所有重大方面保持了有效的财务报告内部控制。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6907"/>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内部控制鉴证报告全文披露日 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内部控制鉴证报告全文披露索 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57" w:lineRule="auto" w:before="117"/>
        <w:ind w:left="113" w:right="4633"/>
        <w:jc w:val="left"/>
      </w:pPr>
      <w:r>
        <w:rPr/>
        <w:t>□ 是 √ 否 会计师事务所出具的内部控制鉴证报告与董事会的自我评价报告意见是否一致</w:t>
      </w:r>
    </w:p>
    <w:p>
      <w:pPr>
        <w:pStyle w:val="BodyText"/>
        <w:spacing w:line="240" w:lineRule="auto" w:before="29"/>
        <w:ind w:left="113" w:right="0"/>
        <w:jc w:val="left"/>
      </w:pPr>
      <w:r>
        <w:rPr/>
        <w:t>√ 是 □ 否</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321"/>
        <w:jc w:val="center"/>
        <w:rPr>
          <w:b w:val="0"/>
          <w:bCs w:val="0"/>
        </w:rPr>
      </w:pPr>
      <w:bookmarkStart w:name="第十节 财务报告" w:id="145"/>
      <w:bookmarkEnd w:id="145"/>
      <w:r>
        <w:rPr>
          <w:b w:val="0"/>
          <w:bCs w:val="0"/>
        </w:rPr>
      </w:r>
      <w:bookmarkStart w:name="_bookmark8" w:id="146"/>
      <w:bookmarkEnd w:id="146"/>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 w:right="0"/>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和信审字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000242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迟慰、王丽敏</w:t>
            </w:r>
          </w:p>
        </w:tc>
      </w:tr>
    </w:tbl>
    <w:p>
      <w:pPr>
        <w:pStyle w:val="BodyText"/>
        <w:spacing w:line="240" w:lineRule="auto" w:before="51"/>
        <w:ind w:left="2304" w:right="3320"/>
        <w:jc w:val="center"/>
      </w:pPr>
      <w:r>
        <w:rPr/>
        <w:t>审计报告正文</w:t>
      </w:r>
    </w:p>
    <w:p>
      <w:pPr>
        <w:spacing w:line="240" w:lineRule="auto" w:before="12"/>
        <w:rPr>
          <w:rFonts w:ascii="宋体" w:hAnsi="宋体" w:cs="宋体" w:eastAsia="宋体" w:hint="default"/>
          <w:sz w:val="28"/>
          <w:szCs w:val="28"/>
        </w:rPr>
      </w:pPr>
    </w:p>
    <w:p>
      <w:pPr>
        <w:pStyle w:val="Heading2"/>
        <w:spacing w:line="240" w:lineRule="auto" w:before="26"/>
        <w:ind w:left="113" w:right="0"/>
        <w:jc w:val="left"/>
        <w:rPr>
          <w:b w:val="0"/>
          <w:bCs w:val="0"/>
        </w:rPr>
      </w:pPr>
      <w:bookmarkStart w:name="山东丽鹏股份有限公司全体股东：" w:id="148"/>
      <w:bookmarkEnd w:id="148"/>
      <w:r>
        <w:rPr>
          <w:b w:val="0"/>
          <w:bCs w:val="0"/>
        </w:rPr>
      </w:r>
      <w:r>
        <w:rPr/>
        <w:t>山东丽鹏股份有限公司全体股东：</w:t>
      </w:r>
      <w:r>
        <w:rPr>
          <w:b w:val="0"/>
          <w:bCs w:val="0"/>
        </w:rPr>
      </w:r>
    </w:p>
    <w:p>
      <w:pPr>
        <w:spacing w:line="240" w:lineRule="auto" w:before="11"/>
        <w:rPr>
          <w:rFonts w:ascii="宋体" w:hAnsi="宋体" w:cs="宋体" w:eastAsia="宋体" w:hint="default"/>
          <w:b/>
          <w:bCs/>
          <w:sz w:val="34"/>
          <w:szCs w:val="34"/>
        </w:rPr>
      </w:pPr>
    </w:p>
    <w:p>
      <w:pPr>
        <w:pStyle w:val="BodyText"/>
        <w:spacing w:line="386" w:lineRule="auto"/>
        <w:ind w:right="1127" w:firstLine="360"/>
        <w:jc w:val="left"/>
      </w:pPr>
      <w:r>
        <w:rPr/>
        <w:t>我们审计了后附的山东丽鹏股份有限公司（以下简称丽鹏公司）财务报表，包括</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日的合并及公司资产 负债表，</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年度的合并及公司利润表、合并及公司现金流量表、合并及公司股东权益变动表以及财务报表附注。</w:t>
      </w:r>
    </w:p>
    <w:p>
      <w:pPr>
        <w:pStyle w:val="Heading3"/>
        <w:spacing w:line="240" w:lineRule="auto" w:before="33"/>
        <w:ind w:left="536" w:right="0"/>
        <w:jc w:val="left"/>
        <w:rPr>
          <w:b w:val="0"/>
          <w:bCs w:val="0"/>
        </w:rPr>
      </w:pPr>
      <w:r>
        <w:rPr/>
        <w:t>（一）管理层对财务报表的责任</w:t>
      </w:r>
      <w:r>
        <w:rPr>
          <w:b w:val="0"/>
          <w:bCs w:val="0"/>
        </w:rPr>
      </w:r>
    </w:p>
    <w:p>
      <w:pPr>
        <w:spacing w:line="240" w:lineRule="auto" w:before="4"/>
        <w:rPr>
          <w:rFonts w:ascii="宋体" w:hAnsi="宋体" w:cs="宋体" w:eastAsia="宋体" w:hint="default"/>
          <w:b/>
          <w:bCs/>
          <w:sz w:val="15"/>
          <w:szCs w:val="15"/>
        </w:rPr>
      </w:pPr>
    </w:p>
    <w:p>
      <w:pPr>
        <w:pStyle w:val="BodyText"/>
        <w:spacing w:line="386" w:lineRule="auto"/>
        <w:ind w:left="113" w:right="1126" w:firstLine="360"/>
        <w:jc w:val="left"/>
      </w:pPr>
      <w:r>
        <w:rPr>
          <w:spacing w:val="-1"/>
        </w:rPr>
        <w:t>编制和公允列报财务报表是管理层的责任，这种责任包括</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w:t>
      </w:r>
      <w:r>
        <w:rPr>
          <w:spacing w:val="-1"/>
        </w:rPr>
        <w:t>）按照企业会计准则的规定编制财务报表，并使其实现公</w:t>
      </w:r>
      <w:r>
        <w:rPr/>
        <w:t> 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7"/>
        <w:rPr>
          <w:rFonts w:ascii="宋体" w:hAnsi="宋体" w:cs="宋体" w:eastAsia="宋体" w:hint="default"/>
          <w:sz w:val="22"/>
          <w:szCs w:val="22"/>
        </w:rPr>
      </w:pPr>
    </w:p>
    <w:p>
      <w:pPr>
        <w:pStyle w:val="Heading3"/>
        <w:spacing w:line="240" w:lineRule="auto"/>
        <w:ind w:left="536" w:right="0"/>
        <w:jc w:val="left"/>
        <w:rPr>
          <w:b w:val="0"/>
          <w:bCs w:val="0"/>
        </w:rPr>
      </w:pPr>
      <w:bookmarkStart w:name="（二）注册会计师的责任" w:id="149"/>
      <w:bookmarkEnd w:id="149"/>
      <w:r>
        <w:rPr>
          <w:b w:val="0"/>
          <w:bCs w:val="0"/>
        </w:rPr>
      </w:r>
      <w:r>
        <w:rPr/>
        <w:t>（二）注册会计师的责任</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BodyText"/>
        <w:spacing w:line="408" w:lineRule="auto"/>
        <w:ind w:left="113" w:right="1130"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工作。中国注册会计师审计准则要求我们遵守职业道德守则，计划和执行审计工作以对财务报表是否不存在重大错报获取合</w:t>
      </w:r>
      <w:r>
        <w:rPr>
          <w:spacing w:val="-64"/>
        </w:rPr>
        <w:t> </w:t>
      </w:r>
      <w:r>
        <w:rPr>
          <w:spacing w:val="-64"/>
        </w:rPr>
      </w:r>
      <w:r>
        <w:rPr/>
        <w:t>理保证。</w:t>
      </w:r>
    </w:p>
    <w:p>
      <w:pPr>
        <w:pStyle w:val="BodyText"/>
        <w:spacing w:line="408" w:lineRule="auto" w:before="77"/>
        <w:ind w:right="1032"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79"/>
        <w:ind w:left="474" w:right="0"/>
        <w:jc w:val="left"/>
      </w:pPr>
      <w:r>
        <w:rPr/>
        <w:t>我们相信，我们获取的审计证据是充分、适当的，为发表审计意见提供了基础。</w:t>
      </w:r>
    </w:p>
    <w:p>
      <w:pPr>
        <w:spacing w:line="240" w:lineRule="auto" w:before="13"/>
        <w:rPr>
          <w:rFonts w:ascii="宋体" w:hAnsi="宋体" w:cs="宋体" w:eastAsia="宋体" w:hint="default"/>
          <w:sz w:val="12"/>
          <w:szCs w:val="12"/>
        </w:rPr>
      </w:pPr>
    </w:p>
    <w:p>
      <w:pPr>
        <w:pStyle w:val="Heading3"/>
        <w:spacing w:line="240" w:lineRule="auto"/>
        <w:ind w:left="536" w:right="0"/>
        <w:jc w:val="left"/>
        <w:rPr>
          <w:b w:val="0"/>
          <w:bCs w:val="0"/>
        </w:rPr>
      </w:pPr>
      <w:r>
        <w:rPr/>
        <w:t>（三）审计意见</w:t>
      </w:r>
      <w:r>
        <w:rPr>
          <w:b w:val="0"/>
          <w:bCs w:val="0"/>
        </w:rPr>
      </w:r>
    </w:p>
    <w:p>
      <w:pPr>
        <w:spacing w:line="240" w:lineRule="auto" w:before="3"/>
        <w:rPr>
          <w:rFonts w:ascii="宋体" w:hAnsi="宋体" w:cs="宋体" w:eastAsia="宋体" w:hint="default"/>
          <w:b/>
          <w:bCs/>
          <w:sz w:val="15"/>
          <w:szCs w:val="15"/>
        </w:rPr>
      </w:pPr>
    </w:p>
    <w:p>
      <w:pPr>
        <w:pStyle w:val="BodyText"/>
        <w:spacing w:line="240" w:lineRule="auto"/>
        <w:ind w:left="474" w:right="0"/>
        <w:jc w:val="left"/>
      </w:pPr>
      <w:r>
        <w:rPr/>
        <w:t>我们认为，丽鹏公司财务报表在所有重大方面按照企业会计准则的规定编制，公允反映了丽鹏公司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152"/>
        <w:ind w:left="113" w:right="0"/>
        <w:jc w:val="left"/>
      </w:pPr>
      <w:r>
        <w:rPr/>
        <w:t>的合并及公司财务状况以及</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年度的合并及公司经营成果和合并及公司现金流量。</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二、财务报表" w:id="150"/>
      <w:bookmarkEnd w:id="150"/>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13" w:right="0"/>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26"/>
          <w:szCs w:val="26"/>
        </w:rPr>
      </w:pPr>
    </w:p>
    <w:p>
      <w:pPr>
        <w:pStyle w:val="BodyText"/>
        <w:tabs>
          <w:tab w:pos="4704" w:val="left" w:leader="none"/>
          <w:tab w:pos="8799" w:val="left" w:leader="none"/>
        </w:tabs>
        <w:spacing w:line="240" w:lineRule="auto"/>
        <w:ind w:left="113" w:right="0"/>
        <w:jc w:val="left"/>
      </w:pPr>
      <w:r>
        <w:rPr/>
        <w:t>编制单位：山东丽鹏股份有限公司</w:t>
        <w:tab/>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tab/>
        <w:t>单位：元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271,887,707.14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183,865,705.05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3,422,850.00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8,078,803.19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9,656,390.51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397,856,751.06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415,520,964.60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11,832,802.71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8,417,282.00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166,491,739.20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71,368,070.43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797,269,193.28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744,985,280.59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120,247.52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705,828.72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8,718,869.26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28,853,605.49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1,665,678,963.36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1,463,373,127.39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926,496,266.88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290,480,420.03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3,694,662.00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270,377.08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737,436,682.58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750,724,317.92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5,411,570.00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13,045,449.53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100,269,130.56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32,439,739.91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296,278,562.27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296,278,562.27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639,989.85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759,894.57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24,421,756.82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10,733,083.51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24,910,180.42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22,625,620.09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2,131,608,801.38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1,427,907,464.91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3,797,287,764.74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2,891,280,592.30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759,100,000.00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377,500,000.00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277,663,680.00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561,881,687.92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388,158,042.55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10,617,838.81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8,962,224.06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11,329,035.58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12,172,147.45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68,903,324.88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51,950,954.02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1,461,899.35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887,670.87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8,534,241.11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31,155,282.15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20,270,655.72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2,234,385.77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1,787,500.00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1,721,996,749.14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946,073,821.10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33,580,000.00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34,236,156.79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19,932,064.12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17,875,000.03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108,300.56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3,779,491.56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63,636,013.03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51,455,000.03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1,785,632,762.17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997,528,821.13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329,653,221.00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329,653,221.00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1,359,296,207.78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1,359,296,207.78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15,220,557.25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14,655,398.57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283,825,593.30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163,086,079.58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1,987,995,579.33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1,866,690,906.93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23,659,423.24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27,060,864.24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2,011,655,002.57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1,893,751,771.17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3,797,287,764.74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2,891,280,592.30</w:t>
            </w:r>
          </w:p>
        </w:tc>
      </w:tr>
    </w:tbl>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3095"/>
        <w:gridCol w:w="3758"/>
        <w:gridCol w:w="2758"/>
      </w:tblGrid>
      <w:tr>
        <w:trPr>
          <w:trHeight w:val="1121"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法定代表人：孙鲲鹏</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5" w:right="0"/>
              <w:jc w:val="left"/>
              <w:rPr>
                <w:rFonts w:ascii="宋体" w:hAnsi="宋体" w:cs="宋体" w:eastAsia="宋体" w:hint="default"/>
                <w:sz w:val="21"/>
                <w:szCs w:val="21"/>
              </w:rPr>
            </w:pPr>
            <w:bookmarkStart w:name="2、母公司资产负债表" w:id="152"/>
            <w:bookmarkEnd w:id="1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tc>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主管会计工作负责人：张国平</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会计机构负责人：张国平</w:t>
            </w:r>
          </w:p>
        </w:tc>
      </w:tr>
      <w:tr>
        <w:trPr>
          <w:trHeight w:val="494"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宋体" w:hAnsi="宋体" w:cs="宋体" w:eastAsia="宋体" w:hint="default"/>
                <w:sz w:val="18"/>
                <w:szCs w:val="18"/>
              </w:rPr>
            </w:pPr>
            <w:r>
              <w:rPr>
                <w:rFonts w:ascii="宋体" w:hAnsi="宋体" w:cs="宋体" w:eastAsia="宋体" w:hint="default"/>
                <w:sz w:val="18"/>
                <w:szCs w:val="18"/>
              </w:rPr>
              <w:t>编制单位：山东丽鹏股份有限公司</w:t>
            </w:r>
          </w:p>
        </w:tc>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68"/>
              <w:jc w:val="right"/>
              <w:rPr>
                <w:rFonts w:ascii="宋体" w:hAnsi="宋体" w:cs="宋体" w:eastAsia="宋体" w:hint="default"/>
                <w:sz w:val="18"/>
                <w:szCs w:val="18"/>
              </w:rPr>
            </w:pPr>
            <w:r>
              <w:rPr>
                <w:rFonts w:ascii="宋体" w:hAnsi="宋体" w:cs="宋体" w:eastAsia="宋体" w:hint="default"/>
                <w:sz w:val="18"/>
                <w:szCs w:val="18"/>
              </w:rPr>
              <w:t>单位：元</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209,001,001.35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117,147,933.34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7,278,803.19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4,638,390.51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141,356,977.89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161,594,513.48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8,255,255.32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3,991,224.10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5,803,228.21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6,432,758.60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5,610,293.35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6,078,003.55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1,933,332.53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104,314,832.12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120,704,001.22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3,677,089.68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23,836,768.67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492,197,949.91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439,456,457.20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1,291,626,976.56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1,307,466,022.55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3,694,662.00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270,377.08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450,222,533.11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461,471,723.59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3,716,420.00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8,816,385.32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17,926,322.28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18,857,046.40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14,803,375.15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4,746,936.61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489,148,612.55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11,417,646.09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2,281,138,901.65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1,823,046,137.64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2,773,336,851.56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2,262,502,594.84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27,323,450.43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76,413,755.85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7,871,119.64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22,846,587.17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4,067,605.00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4,451,150.01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922,494.07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866,333.08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1,169,038.10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589,624.20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1,130,027.12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30,180,805.28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17,270,655.72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2,122,338.71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1,787,500.00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928,076,728.79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462,135,755.59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34,236,156.79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19,101,048.43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17,875,000.03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3,779,491.56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57,116,696.78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17,875,000.03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985,193,425.57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480,010,755.62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329,653,221.00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329,653,221.00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1,361,666,639.79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1,361,666,639.79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15,220,557.25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14,655,398.57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81,603,007.95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76,516,579.86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1,788,143,425.99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1,782,491,839.22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2,773,336,851.56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2,262,502,594.84</w:t>
            </w:r>
          </w:p>
        </w:tc>
      </w:tr>
    </w:tbl>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3095"/>
        <w:gridCol w:w="3758"/>
        <w:gridCol w:w="2758"/>
      </w:tblGrid>
      <w:tr>
        <w:trPr>
          <w:trHeight w:val="1121"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法定代表人：孙鲲鹏</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5" w:right="0"/>
              <w:jc w:val="left"/>
              <w:rPr>
                <w:rFonts w:ascii="宋体" w:hAnsi="宋体" w:cs="宋体" w:eastAsia="宋体" w:hint="default"/>
                <w:sz w:val="21"/>
                <w:szCs w:val="21"/>
              </w:rPr>
            </w:pPr>
            <w:bookmarkStart w:name="3、合并利润表" w:id="153"/>
            <w:bookmarkEnd w:id="15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tc>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主管会计工作负责人：张国平</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会计机构负责人：张国平</w:t>
            </w:r>
          </w:p>
        </w:tc>
      </w:tr>
      <w:tr>
        <w:trPr>
          <w:trHeight w:val="494"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宋体" w:hAnsi="宋体" w:cs="宋体" w:eastAsia="宋体" w:hint="default"/>
                <w:sz w:val="18"/>
                <w:szCs w:val="18"/>
              </w:rPr>
            </w:pPr>
            <w:r>
              <w:rPr>
                <w:rFonts w:ascii="宋体" w:hAnsi="宋体" w:cs="宋体" w:eastAsia="宋体" w:hint="default"/>
                <w:sz w:val="18"/>
                <w:szCs w:val="18"/>
              </w:rPr>
              <w:t>编制单位：山东丽鹏股份有限公司</w:t>
            </w:r>
          </w:p>
        </w:tc>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68"/>
              <w:jc w:val="right"/>
              <w:rPr>
                <w:rFonts w:ascii="宋体" w:hAnsi="宋体" w:cs="宋体" w:eastAsia="宋体" w:hint="default"/>
                <w:sz w:val="18"/>
                <w:szCs w:val="18"/>
              </w:rPr>
            </w:pPr>
            <w:r>
              <w:rPr>
                <w:rFonts w:ascii="宋体" w:hAnsi="宋体" w:cs="宋体" w:eastAsia="宋体" w:hint="default"/>
                <w:sz w:val="18"/>
                <w:szCs w:val="18"/>
              </w:rPr>
              <w:t>单位：元</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1,357,490,739.39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701,923,114.59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1,357,490,739.39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701,923,114.59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1,227,926,655.26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662,555,499.14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1,065,833,077.38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556,738,783.34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27,357,120.11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3,420,546.94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26,564,459.70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25,751,167.52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93,140,662.92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57,025,411.01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-5,577,932.53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15,935,423.96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20,609,267.68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3,684,166.37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2"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433,202.24</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6,764,749.29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127,053.44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136,762,035.66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39,494,668.89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5,975,625.38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9,702,450.02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110,369.15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44,334.81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1,354,659.99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1,683,290.62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0"/>
              <w:jc w:val="right"/>
              <w:rPr>
                <w:rFonts w:ascii="宋体" w:hAnsi="宋体" w:cs="宋体" w:eastAsia="宋体" w:hint="default"/>
                <w:sz w:val="18"/>
                <w:szCs w:val="18"/>
              </w:rPr>
            </w:pPr>
            <w:r>
              <w:rPr>
                <w:rFonts w:ascii="宋体" w:hAnsi="宋体" w:cs="宋体" w:eastAsia="宋体" w:hint="default"/>
                <w:spacing w:val="-2"/>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315,172.90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557,035.72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141,383,001.05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47,513,828.29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17,970,500.31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12,431,693.39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123,412,500.74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35,082,134.90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121,304,672.40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31,350,531.97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2,107,828.34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3,731,602.93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81"/>
        <w:gridCol w:w="3210"/>
        <w:gridCol w:w="3278"/>
      </w:tblGrid>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123,412,500.74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35,082,134.90</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121,304,672.40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31,350,531.97</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2,107,828.34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3,731,602.93</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0.16</w:t>
            </w:r>
          </w:p>
        </w:tc>
      </w:tr>
    </w:tbl>
    <w:p>
      <w:pPr>
        <w:pStyle w:val="BodyText"/>
        <w:spacing w:line="240" w:lineRule="auto" w:before="51"/>
        <w:ind w:left="154" w:right="0"/>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4"/>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095"/>
        <w:gridCol w:w="3758"/>
        <w:gridCol w:w="2758"/>
      </w:tblGrid>
      <w:tr>
        <w:trPr>
          <w:trHeight w:val="1122"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法定代表人：孙鲲鹏</w:t>
            </w: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21"/>
                <w:szCs w:val="21"/>
              </w:rPr>
            </w:pPr>
            <w:bookmarkStart w:name="4、母公司利润表" w:id="154"/>
            <w:bookmarkEnd w:id="15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tc>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主管会计工作负责人：张国平</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会计机构负责人：张国平</w:t>
            </w:r>
          </w:p>
        </w:tc>
      </w:tr>
      <w:tr>
        <w:trPr>
          <w:trHeight w:val="495"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5" w:right="0"/>
              <w:jc w:val="left"/>
              <w:rPr>
                <w:rFonts w:ascii="宋体" w:hAnsi="宋体" w:cs="宋体" w:eastAsia="宋体" w:hint="default"/>
                <w:sz w:val="18"/>
                <w:szCs w:val="18"/>
              </w:rPr>
            </w:pPr>
            <w:r>
              <w:rPr>
                <w:rFonts w:ascii="宋体" w:hAnsi="宋体" w:cs="宋体" w:eastAsia="宋体" w:hint="default"/>
                <w:sz w:val="18"/>
                <w:szCs w:val="18"/>
              </w:rPr>
              <w:t>编制单位：山东丽鹏股份有限公司</w:t>
            </w:r>
          </w:p>
        </w:tc>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68"/>
              <w:jc w:val="right"/>
              <w:rPr>
                <w:rFonts w:ascii="宋体" w:hAnsi="宋体" w:cs="宋体" w:eastAsia="宋体" w:hint="default"/>
                <w:sz w:val="18"/>
                <w:szCs w:val="18"/>
              </w:rPr>
            </w:pPr>
            <w:r>
              <w:rPr>
                <w:rFonts w:ascii="宋体" w:hAnsi="宋体" w:cs="宋体" w:eastAsia="宋体" w:hint="default"/>
                <w:sz w:val="18"/>
                <w:szCs w:val="18"/>
              </w:rPr>
              <w:t>单位：元</w:t>
            </w:r>
          </w:p>
        </w:tc>
      </w:tr>
    </w:tbl>
    <w:p>
      <w:pPr>
        <w:spacing w:line="240" w:lineRule="auto" w:before="6"/>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349,333,177.35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452,953,592.89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319,420,520.63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377,068,214.60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443,142.83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855,050.84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17,639,912.32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19,155,404.34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34,710,826.72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30,528,140.26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11,025,881.20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16,758,769.82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2,300,323.34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2,136,014.48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31,162,248.86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5,737,346.79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-5,045,180.83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12,189,345.34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2,662,976.97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4,969,168.61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102,364.64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313,330.64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821,823.08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663,644.22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255,148.35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463,205.12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-3,204,026.94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16,494,869.73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-8,855,613.71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2,167,662.10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5,651,586.77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14,327,207.63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 划净负债或净资产的变动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r>
        <w:rPr/>
        <w:pict>
          <v:shape style="position:absolute;margin-left:54.950001pt;margin-top:362.88562pt;width:480.6pt;height:80.8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95"/>
                    <w:gridCol w:w="3758"/>
                    <w:gridCol w:w="2758"/>
                  </w:tblGrid>
                  <w:tr>
                    <w:trPr>
                      <w:trHeight w:val="487"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法定代表人：孙鲲鹏</w:t>
                        </w:r>
                      </w:p>
                    </w:tc>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主管会计工作负责人：张国平</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会计机构负责人：张国平</w:t>
                        </w:r>
                      </w:p>
                    </w:tc>
                  </w:tr>
                  <w:tr>
                    <w:trPr>
                      <w:trHeight w:val="634"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tc>
                    <w:tc>
                      <w:tcPr>
                        <w:tcW w:w="3758" w:type="dxa"/>
                        <w:tcBorders>
                          <w:top w:val="nil" w:sz="6" w:space="0" w:color="auto"/>
                          <w:left w:val="nil" w:sz="6" w:space="0" w:color="auto"/>
                          <w:bottom w:val="nil" w:sz="6" w:space="0" w:color="auto"/>
                          <w:right w:val="nil" w:sz="6" w:space="0" w:color="auto"/>
                        </w:tcBorders>
                      </w:tcPr>
                      <w:p>
                        <w:pPr/>
                      </w:p>
                    </w:tc>
                    <w:tc>
                      <w:tcPr>
                        <w:tcW w:w="2758" w:type="dxa"/>
                        <w:tcBorders>
                          <w:top w:val="nil" w:sz="6" w:space="0" w:color="auto"/>
                          <w:left w:val="nil" w:sz="6" w:space="0" w:color="auto"/>
                          <w:bottom w:val="nil" w:sz="6" w:space="0" w:color="auto"/>
                          <w:right w:val="nil" w:sz="6" w:space="0" w:color="auto"/>
                        </w:tcBorders>
                      </w:tcPr>
                      <w:p>
                        <w:pPr/>
                      </w:p>
                    </w:tc>
                  </w:tr>
                  <w:tr>
                    <w:trPr>
                      <w:trHeight w:val="495"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5" w:right="0"/>
                          <w:jc w:val="left"/>
                          <w:rPr>
                            <w:rFonts w:ascii="宋体" w:hAnsi="宋体" w:cs="宋体" w:eastAsia="宋体" w:hint="default"/>
                            <w:sz w:val="18"/>
                            <w:szCs w:val="18"/>
                          </w:rPr>
                        </w:pPr>
                        <w:r>
                          <w:rPr>
                            <w:rFonts w:ascii="宋体" w:hAnsi="宋体" w:cs="宋体" w:eastAsia="宋体" w:hint="default"/>
                            <w:sz w:val="18"/>
                            <w:szCs w:val="18"/>
                          </w:rPr>
                          <w:t>编制单位：山东丽鹏股份有限公司</w:t>
                        </w:r>
                      </w:p>
                    </w:tc>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68"/>
                          <w:jc w:val="right"/>
                          <w:rPr>
                            <w:rFonts w:ascii="宋体" w:hAnsi="宋体" w:cs="宋体" w:eastAsia="宋体" w:hint="default"/>
                            <w:sz w:val="18"/>
                            <w:szCs w:val="18"/>
                          </w:rPr>
                        </w:pPr>
                        <w:r>
                          <w:rPr>
                            <w:rFonts w:ascii="宋体" w:hAnsi="宋体" w:cs="宋体" w:eastAsia="宋体" w:hint="default"/>
                            <w:sz w:val="18"/>
                            <w:szCs w:val="18"/>
                          </w:rPr>
                          <w:t>单位：元</w:t>
                        </w:r>
                      </w:p>
                    </w:tc>
                  </w:tr>
                </w:tbl>
                <w:p>
                  <w:pP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67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153"/>
              <w:jc w:val="left"/>
              <w:rPr>
                <w:rFonts w:ascii="宋体" w:hAnsi="宋体" w:cs="宋体" w:eastAsia="宋体" w:hint="default"/>
                <w:sz w:val="18"/>
                <w:szCs w:val="18"/>
              </w:rPr>
            </w:pPr>
            <w:r>
              <w:rPr>
                <w:rFonts w:ascii="宋体" w:hAnsi="宋体" w:cs="宋体" w:eastAsia="宋体" w:hint="default"/>
                <w:sz w:val="18"/>
                <w:szCs w:val="18"/>
              </w:rPr>
              <w:t>位以后将重分类进损益的其他综合 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5,651,586.77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3" w:right="0"/>
              <w:jc w:val="left"/>
              <w:rPr>
                <w:rFonts w:ascii="Times New Roman" w:hAnsi="Times New Roman" w:cs="Times New Roman" w:eastAsia="Times New Roman" w:hint="default"/>
                <w:sz w:val="18"/>
                <w:szCs w:val="18"/>
              </w:rPr>
            </w:pPr>
            <w:r>
              <w:rPr>
                <w:rFonts w:ascii="Times New Roman"/>
                <w:sz w:val="18"/>
              </w:rPr>
              <w:t>14,327,207.63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bookmarkStart w:name="5、合并现金流量表" w:id="155"/>
            <w:bookmarkEnd w:id="155"/>
            <w:r>
              <w:rPr/>
            </w: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33"/>
              <w:jc w:val="righ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64" w:right="0"/>
              <w:jc w:val="left"/>
              <w:rPr>
                <w:rFonts w:ascii="Times New Roman" w:hAnsi="Times New Roman" w:cs="Times New Roman" w:eastAsia="Times New Roman" w:hint="default"/>
                <w:sz w:val="18"/>
                <w:szCs w:val="18"/>
              </w:rPr>
            </w:pPr>
            <w:r>
              <w:rPr>
                <w:rFonts w:ascii="Times New Roman"/>
                <w:sz w:val="18"/>
              </w:rPr>
              <w:t>819,196,286.65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63" w:right="0"/>
              <w:jc w:val="left"/>
              <w:rPr>
                <w:rFonts w:ascii="Times New Roman" w:hAnsi="Times New Roman" w:cs="Times New Roman" w:eastAsia="Times New Roman" w:hint="default"/>
                <w:sz w:val="18"/>
                <w:szCs w:val="18"/>
              </w:rPr>
            </w:pPr>
            <w:r>
              <w:rPr>
                <w:rFonts w:ascii="Times New Roman"/>
                <w:sz w:val="18"/>
              </w:rPr>
              <w:t>794,666,047.74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33"/>
              <w:jc w:val="righ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12,208,559.14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14,800,494.27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20,855,338.14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27,430,275.32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852,260,183.93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836,896,817.33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759,919,089.33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536,514,029.55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143,691,979.94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124,473,941.10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60,464,737.73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35,744,448.82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173,050,311.16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42,172,485.97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1,137,126,118.16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738,904,905.44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-284,865,934.23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97,991,911.89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1,530,668.77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127,053.44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91,783.26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282,520.13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4,081,482.70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4,403,062.75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14,120,000.00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34,606,997.48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14,529,573.57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57,616,561.42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148,088,969.44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57,121,067.08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r>
        <w:rPr/>
        <w:pict>
          <v:shape style="position:absolute;margin-left:56.459999pt;margin-top:728.940002pt;width:479.2pt;height:40.7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188,178,133.79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114,737,628.50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337,767,103.23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-80,130,631.02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-323,237,529.66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267,522,714.94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872,100,000.00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306,287,936.48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999,100,000.00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573,810,651.42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341,787,936.48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37,549,638.56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32,206,600.00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1,266,691.90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1,923,894.40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84,611,067.49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645,160,706.05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373,994,536.48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353,939,293.95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199,816,114.94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3,463,426.72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521,583.14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-7,593,844.58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-24,907,919.69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145,865,705.05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170,773,624.74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138,271,860.47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145,865,705.05</w:t>
            </w:r>
          </w:p>
        </w:tc>
      </w:tr>
    </w:tbl>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3095"/>
        <w:gridCol w:w="3758"/>
        <w:gridCol w:w="2758"/>
      </w:tblGrid>
      <w:tr>
        <w:trPr>
          <w:trHeight w:val="1121"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法定代表人：孙鲲鹏</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5" w:right="0"/>
              <w:jc w:val="left"/>
              <w:rPr>
                <w:rFonts w:ascii="宋体" w:hAnsi="宋体" w:cs="宋体" w:eastAsia="宋体" w:hint="default"/>
                <w:sz w:val="21"/>
                <w:szCs w:val="21"/>
              </w:rPr>
            </w:pPr>
            <w:bookmarkStart w:name="6、母公司现金流量表" w:id="156"/>
            <w:bookmarkEnd w:id="15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tc>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主管会计工作负责人：张国平</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会计机构负责人：张国平</w:t>
            </w:r>
          </w:p>
        </w:tc>
      </w:tr>
      <w:tr>
        <w:trPr>
          <w:trHeight w:val="494"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宋体" w:hAnsi="宋体" w:cs="宋体" w:eastAsia="宋体" w:hint="default"/>
                <w:sz w:val="18"/>
                <w:szCs w:val="18"/>
              </w:rPr>
            </w:pPr>
            <w:r>
              <w:rPr>
                <w:rFonts w:ascii="宋体" w:hAnsi="宋体" w:cs="宋体" w:eastAsia="宋体" w:hint="default"/>
                <w:sz w:val="18"/>
                <w:szCs w:val="18"/>
              </w:rPr>
              <w:t>编制单位：山东丽鹏股份有限公司</w:t>
            </w:r>
          </w:p>
        </w:tc>
        <w:tc>
          <w:tcPr>
            <w:tcW w:w="3758"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68"/>
              <w:jc w:val="right"/>
              <w:rPr>
                <w:rFonts w:ascii="宋体" w:hAnsi="宋体" w:cs="宋体" w:eastAsia="宋体" w:hint="default"/>
                <w:sz w:val="18"/>
                <w:szCs w:val="18"/>
              </w:rPr>
            </w:pPr>
            <w:r>
              <w:rPr>
                <w:rFonts w:ascii="宋体" w:hAnsi="宋体" w:cs="宋体" w:eastAsia="宋体" w:hint="default"/>
                <w:sz w:val="18"/>
                <w:szCs w:val="18"/>
              </w:rPr>
              <w:t>单位：元</w:t>
            </w:r>
          </w:p>
        </w:tc>
      </w:tr>
    </w:tbl>
    <w:p>
      <w:pPr>
        <w:spacing w:after="0" w:line="240" w:lineRule="auto"/>
        <w:jc w:val="right"/>
        <w:rPr>
          <w:rFonts w:ascii="宋体" w:hAnsi="宋体" w:cs="宋体" w:eastAsia="宋体" w:hint="default"/>
          <w:sz w:val="18"/>
          <w:szCs w:val="18"/>
        </w:rPr>
        <w:sectPr>
          <w:pgSz w:w="11910" w:h="16840"/>
          <w:pgMar w:header="90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397,037,849.89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457,608,004.08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11,151,920.57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14,103,910.25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1,685,568.65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5,179,347.94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409,875,339.11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476,891,262.27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150,499,395.57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304,890,308.57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61,792,709.98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68,380,775.88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6,527,133.93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9,293,408.65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29,033,910.03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27,774,564.55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247,853,149.51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410,339,057.65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162,022,189.60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66,552,204.62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21,330,532.40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127,053.44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273,576.28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14,120,000.00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24,790,532.40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14,520,629.72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36,923,687.81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88,428,312.73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32,631,419.32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200,204,856.11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476,268,780.56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545,823,887.69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288,633,168.84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-521,033,355.29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-274,112,539.12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267,522,714.94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302,287,936.48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569,810,651.42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336,287,936.48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26,513,555.73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28,510,762.59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3,493,187.49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411,006,743.22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364,798,699.07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344,993,256.78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205,011,952.35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3,338,810.25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475,243.29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-10,679,098.66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-2,073,138.86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90,147,933.34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92,221,072.20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79,468,834.68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90,147,933.34</w:t>
            </w:r>
          </w:p>
        </w:tc>
      </w:tr>
    </w:tbl>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3095"/>
        <w:gridCol w:w="3601"/>
        <w:gridCol w:w="2915"/>
      </w:tblGrid>
      <w:tr>
        <w:trPr>
          <w:trHeight w:val="1122"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法定代表人：孙鲲鹏</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5" w:right="0"/>
              <w:jc w:val="left"/>
              <w:rPr>
                <w:rFonts w:ascii="宋体" w:hAnsi="宋体" w:cs="宋体" w:eastAsia="宋体" w:hint="default"/>
                <w:sz w:val="21"/>
                <w:szCs w:val="21"/>
              </w:rPr>
            </w:pPr>
            <w:bookmarkStart w:name="7、合并所有者权益变动表" w:id="157"/>
            <w:bookmarkEnd w:id="15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tc>
        <w:tc>
          <w:tcPr>
            <w:tcW w:w="36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主管会计工作负责人：张国平</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会计机构负责人：张国平</w:t>
            </w:r>
          </w:p>
        </w:tc>
      </w:tr>
      <w:tr>
        <w:trPr>
          <w:trHeight w:val="484"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宋体" w:hAnsi="宋体" w:cs="宋体" w:eastAsia="宋体" w:hint="default"/>
                <w:sz w:val="18"/>
                <w:szCs w:val="18"/>
              </w:rPr>
            </w:pPr>
            <w:r>
              <w:rPr>
                <w:rFonts w:ascii="宋体" w:hAnsi="宋体" w:cs="宋体" w:eastAsia="宋体" w:hint="default"/>
                <w:sz w:val="18"/>
                <w:szCs w:val="18"/>
              </w:rPr>
              <w:t>编制单位：山东丽鹏股份有限公司</w:t>
            </w:r>
          </w:p>
        </w:tc>
        <w:tc>
          <w:tcPr>
            <w:tcW w:w="3601" w:type="dxa"/>
            <w:tcBorders>
              <w:top w:val="nil" w:sz="6" w:space="0" w:color="auto"/>
              <w:left w:val="nil" w:sz="6" w:space="0" w:color="auto"/>
              <w:bottom w:val="nil" w:sz="6" w:space="0" w:color="auto"/>
              <w:right w:val="nil" w:sz="6" w:space="0" w:color="auto"/>
            </w:tcBorders>
          </w:tcPr>
          <w:p>
            <w:pP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23"/>
              <w:jc w:val="right"/>
              <w:rPr>
                <w:rFonts w:ascii="宋体" w:hAnsi="宋体" w:cs="宋体" w:eastAsia="宋体" w:hint="default"/>
                <w:sz w:val="18"/>
                <w:szCs w:val="18"/>
              </w:rPr>
            </w:pPr>
            <w:r>
              <w:rPr>
                <w:rFonts w:ascii="宋体" w:hAnsi="宋体" w:cs="宋体" w:eastAsia="宋体" w:hint="default"/>
                <w:sz w:val="18"/>
                <w:szCs w:val="18"/>
              </w:rPr>
              <w:t>单位：元</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329,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1,359</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,296,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207.7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14,65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5,398</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163,0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86,07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27,06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0,864</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1,893</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,751,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771.1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329,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1,359</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,296,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207.7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14,65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5,398</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163,0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86,07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9.58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27,06</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0,864</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1,893</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,751,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771.1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565,1</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58.68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120,7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39,51</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-3,40</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1,441</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117,9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03,23</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1.40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121,3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04,67</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2.40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2,107</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,828.</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123,4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12,50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0.74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8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8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565,1</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58.68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158.6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-4,59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5,991</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-4,59</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5,991</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.90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565,1</w:t>
            </w:r>
          </w:p>
          <w:p>
            <w:pPr>
              <w:pStyle w:val="TableParagraph"/>
              <w:spacing w:line="240" w:lineRule="auto" w:before="106"/>
              <w:ind w:left="146" w:right="0"/>
              <w:jc w:val="left"/>
              <w:rPr>
                <w:rFonts w:ascii="Times New Roman" w:hAnsi="Times New Roman" w:cs="Times New Roman" w:eastAsia="Times New Roman" w:hint="default"/>
                <w:sz w:val="18"/>
                <w:szCs w:val="18"/>
              </w:rPr>
            </w:pPr>
            <w:r>
              <w:rPr>
                <w:rFonts w:ascii="Times New Roman"/>
                <w:sz w:val="18"/>
              </w:rPr>
              <w:t>58.68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158.6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-4,59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5,991</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.90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-4,59</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5,991</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6"/>
                <w:sz w:val="18"/>
                <w:szCs w:val="18"/>
              </w:rPr>
              <w:t>（四）所有者权</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7" w:right="0"/>
              <w:jc w:val="left"/>
              <w:rPr>
                <w:rFonts w:ascii="Times New Roman" w:hAnsi="Times New Roman" w:cs="Times New Roman" w:eastAsia="Times New Roman" w:hint="default"/>
                <w:sz w:val="18"/>
                <w:szCs w:val="18"/>
              </w:rPr>
            </w:pPr>
            <w:r>
              <w:rPr>
                <w:rFonts w:ascii="Times New Roman"/>
                <w:sz w:val="18"/>
              </w:rPr>
              <w:t>3,329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1" w:right="0"/>
              <w:jc w:val="left"/>
              <w:rPr>
                <w:rFonts w:ascii="Times New Roman" w:hAnsi="Times New Roman" w:cs="Times New Roman" w:eastAsia="Times New Roman" w:hint="default"/>
                <w:sz w:val="18"/>
                <w:szCs w:val="18"/>
              </w:rPr>
            </w:pPr>
            <w:r>
              <w:rPr>
                <w:rFonts w:ascii="Times New Roman"/>
                <w:sz w:val="18"/>
              </w:rPr>
              <w:t>3,329</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9"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3,329</w:t>
            </w:r>
          </w:p>
          <w:p>
            <w:pPr>
              <w:pStyle w:val="TableParagraph"/>
              <w:spacing w:line="240" w:lineRule="auto" w:before="104"/>
              <w:ind w:left="89"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3,329</w:t>
            </w:r>
          </w:p>
          <w:p>
            <w:pPr>
              <w:pStyle w:val="TableParagraph"/>
              <w:spacing w:line="240" w:lineRule="auto" w:before="104"/>
              <w:ind w:left="83"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6"/>
              <w:ind w:left="262" w:right="0"/>
              <w:jc w:val="center"/>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2,577</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2,577</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.44</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329,</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1,359</w:t>
            </w:r>
          </w:p>
          <w:p>
            <w:pPr>
              <w:pStyle w:val="TableParagraph"/>
              <w:spacing w:line="240" w:lineRule="auto" w:before="104"/>
              <w:ind w:left="191" w:right="0"/>
              <w:jc w:val="left"/>
              <w:rPr>
                <w:rFonts w:ascii="Times New Roman" w:hAnsi="Times New Roman" w:cs="Times New Roman" w:eastAsia="Times New Roman" w:hint="default"/>
                <w:sz w:val="18"/>
                <w:szCs w:val="18"/>
              </w:rPr>
            </w:pPr>
            <w:r>
              <w:rPr>
                <w:rFonts w:ascii="Times New Roman"/>
                <w:sz w:val="18"/>
              </w:rPr>
              <w:t>,296,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207.7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283,8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25,59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23,65</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9,423</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104"/>
              <w:ind w:left="186" w:right="0"/>
              <w:jc w:val="left"/>
              <w:rPr>
                <w:rFonts w:ascii="Times New Roman" w:hAnsi="Times New Roman" w:cs="Times New Roman" w:eastAsia="Times New Roman" w:hint="default"/>
                <w:sz w:val="18"/>
                <w:szCs w:val="18"/>
              </w:rPr>
            </w:pPr>
            <w:r>
              <w:rPr>
                <w:rFonts w:ascii="Times New Roman"/>
                <w:sz w:val="18"/>
              </w:rPr>
              <w:t>,655,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tabs>
          <w:tab w:pos="3534" w:val="left" w:leader="none"/>
          <w:tab w:pos="7675" w:val="left" w:leader="none"/>
        </w:tabs>
        <w:spacing w:line="240" w:lineRule="auto"/>
        <w:ind w:right="0"/>
        <w:jc w:val="left"/>
      </w:pPr>
      <w:r>
        <w:rPr/>
        <w:t>法定代表人：孙鲲鹏</w:t>
        <w:tab/>
        <w:t>主管会计工作负责人：张国平</w:t>
        <w:tab/>
        <w:t>会计机构负责人：张国平</w:t>
      </w:r>
    </w:p>
    <w:p>
      <w:pPr>
        <w:spacing w:line="240" w:lineRule="auto" w:before="11"/>
        <w:rPr>
          <w:rFonts w:ascii="宋体" w:hAnsi="宋体" w:cs="宋体" w:eastAsia="宋体" w:hint="default"/>
          <w:sz w:val="26"/>
          <w:szCs w:val="26"/>
        </w:rPr>
      </w:pPr>
    </w:p>
    <w:p>
      <w:pPr>
        <w:pStyle w:val="Heading3"/>
        <w:spacing w:line="240" w:lineRule="auto"/>
        <w:ind w:left="113" w:right="0"/>
        <w:jc w:val="left"/>
        <w:rPr>
          <w:b w:val="0"/>
          <w:bCs w:val="0"/>
        </w:rPr>
      </w:pPr>
      <w:bookmarkStart w:name="7、合并所有者权益变动表（续）" w:id="158"/>
      <w:bookmarkEnd w:id="158"/>
      <w:r>
        <w:rPr>
          <w:b w:val="0"/>
          <w:bCs w:val="0"/>
        </w:rPr>
      </w:r>
      <w:r>
        <w:rPr>
          <w:rFonts w:ascii="Times New Roman" w:hAnsi="Times New Roman" w:cs="Times New Roman" w:eastAsia="Times New Roman" w:hint="default"/>
        </w:rPr>
        <w:t>7</w:t>
      </w:r>
      <w:r>
        <w:rPr/>
        <w:t>、合并所有者权益变动表（续）</w:t>
      </w:r>
      <w:r>
        <w:rPr>
          <w:b w:val="0"/>
          <w:bCs w:val="0"/>
        </w:rPr>
      </w:r>
    </w:p>
    <w:p>
      <w:pPr>
        <w:spacing w:line="240" w:lineRule="auto" w:before="8"/>
        <w:rPr>
          <w:rFonts w:ascii="宋体" w:hAnsi="宋体" w:cs="宋体" w:eastAsia="宋体" w:hint="default"/>
          <w:b/>
          <w:bCs/>
          <w:sz w:val="26"/>
          <w:szCs w:val="26"/>
        </w:rPr>
      </w:pPr>
    </w:p>
    <w:p>
      <w:pPr>
        <w:pStyle w:val="BodyText"/>
        <w:tabs>
          <w:tab w:pos="8845" w:val="left" w:leader="none"/>
        </w:tabs>
        <w:spacing w:line="240" w:lineRule="auto"/>
        <w:ind w:left="113" w:right="0"/>
        <w:jc w:val="left"/>
      </w:pPr>
      <w:r>
        <w:rPr/>
        <w:t>编制单位：山东丽鹏股份有限公司</w:t>
        <w:tab/>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409,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229.</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461,3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48,12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13,22</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2,677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142,7</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38,72</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9.82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25,46</w:t>
            </w:r>
          </w:p>
          <w:p>
            <w:pPr>
              <w:pStyle w:val="TableParagraph"/>
              <w:spacing w:line="240" w:lineRule="auto" w:before="104"/>
              <w:ind w:left="32" w:right="0"/>
              <w:jc w:val="center"/>
              <w:rPr>
                <w:rFonts w:ascii="Times New Roman" w:hAnsi="Times New Roman" w:cs="Times New Roman" w:eastAsia="Times New Roman" w:hint="default"/>
                <w:sz w:val="18"/>
                <w:szCs w:val="18"/>
              </w:rPr>
            </w:pPr>
            <w:r>
              <w:rPr>
                <w:rFonts w:ascii="Times New Roman"/>
                <w:sz w:val="18"/>
              </w:rPr>
              <w:t>6,921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834,1</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2.87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409,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229.</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461,3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48,12</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13,22</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2,677</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142,7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38,72</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9.82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25,46</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6,921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834,1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2.87</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138,</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897,9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48,08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1,432</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20,34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7,349.</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76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1,593</w:t>
            </w:r>
          </w:p>
          <w:p>
            <w:pPr>
              <w:pStyle w:val="TableParagraph"/>
              <w:spacing w:line="240" w:lineRule="auto" w:before="105"/>
              <w:ind w:left="75" w:right="0"/>
              <w:jc w:val="center"/>
              <w:rPr>
                <w:rFonts w:ascii="Times New Roman" w:hAnsi="Times New Roman" w:cs="Times New Roman" w:eastAsia="Times New Roman" w:hint="default"/>
                <w:sz w:val="18"/>
                <w:szCs w:val="18"/>
              </w:rPr>
            </w:pPr>
            <w:r>
              <w:rPr>
                <w:rFonts w:ascii="Times New Roman"/>
                <w:sz w:val="18"/>
              </w:rPr>
              <w:t>,942.</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1,059</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,566,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088.3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31,35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0,531.</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97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3,731</w:t>
            </w:r>
          </w:p>
          <w:p>
            <w:pPr>
              <w:pStyle w:val="TableParagraph"/>
              <w:spacing w:line="240" w:lineRule="auto" w:before="105"/>
              <w:ind w:left="75" w:right="0"/>
              <w:jc w:val="center"/>
              <w:rPr>
                <w:rFonts w:ascii="Times New Roman" w:hAnsi="Times New Roman" w:cs="Times New Roman" w:eastAsia="Times New Roman" w:hint="default"/>
                <w:sz w:val="18"/>
                <w:szCs w:val="18"/>
              </w:rPr>
            </w:pPr>
            <w:r>
              <w:rPr>
                <w:rFonts w:ascii="Times New Roman"/>
                <w:sz w:val="18"/>
              </w:rPr>
              <w:t>,602.</w:t>
            </w:r>
          </w:p>
          <w:p>
            <w:pPr>
              <w:pStyle w:val="TableParagraph"/>
              <w:spacing w:line="240" w:lineRule="auto" w:before="106"/>
              <w:ind w:left="255" w:right="0"/>
              <w:jc w:val="center"/>
              <w:rPr>
                <w:rFonts w:ascii="Times New Roman" w:hAnsi="Times New Roman" w:cs="Times New Roman" w:eastAsia="Times New Roman" w:hint="default"/>
                <w:sz w:val="18"/>
                <w:szCs w:val="18"/>
              </w:rPr>
            </w:pPr>
            <w:r>
              <w:rPr>
                <w:rFonts w:ascii="Times New Roman"/>
                <w:sz w:val="18"/>
              </w:rPr>
              <w:t>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35,08</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2,134</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.90</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138,</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897,9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48,08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1,036</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,192,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075.3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138,</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992.</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897,9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48,08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1,036</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,192,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075.3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1,432</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3,182.</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-2,13</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7,660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-11,7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08,12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1.90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1,432</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2,720.</w:t>
            </w:r>
          </w:p>
          <w:p>
            <w:pPr>
              <w:pStyle w:val="TableParagraph"/>
              <w:spacing w:line="240" w:lineRule="auto" w:before="106"/>
              <w:ind w:left="282" w:right="0"/>
              <w:jc w:val="center"/>
              <w:rPr>
                <w:rFonts w:ascii="Times New Roman" w:hAnsi="Times New Roman" w:cs="Times New Roman" w:eastAsia="Times New Roman" w:hint="default"/>
                <w:sz w:val="18"/>
                <w:szCs w:val="18"/>
              </w:rPr>
            </w:pPr>
            <w:r>
              <w:rPr>
                <w:rFonts w:ascii="Times New Roman"/>
                <w:sz w:val="18"/>
              </w:rPr>
              <w:t>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-9,57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0,461.</w:t>
            </w:r>
          </w:p>
          <w:p>
            <w:pPr>
              <w:pStyle w:val="TableParagraph"/>
              <w:spacing w:line="240" w:lineRule="auto" w:before="106"/>
              <w:ind w:left="282" w:right="0"/>
              <w:jc w:val="center"/>
              <w:rPr>
                <w:rFonts w:ascii="Times New Roman" w:hAnsi="Times New Roman" w:cs="Times New Roman" w:eastAsia="Times New Roman" w:hint="default"/>
                <w:sz w:val="18"/>
                <w:szCs w:val="18"/>
              </w:rPr>
            </w:pPr>
            <w:r>
              <w:rPr>
                <w:rFonts w:ascii="Times New Roman"/>
                <w:sz w:val="18"/>
              </w:rPr>
              <w:t>45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-2,13</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7,660</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-11,7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08,12</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329,</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221.</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1,359</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,296,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207.7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14,65</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5,398</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163,0</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86,07</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9.58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27,06</w:t>
            </w:r>
          </w:p>
          <w:p>
            <w:pPr>
              <w:pStyle w:val="TableParagraph"/>
              <w:spacing w:line="240" w:lineRule="auto" w:before="105"/>
              <w:ind w:left="32" w:right="0"/>
              <w:jc w:val="center"/>
              <w:rPr>
                <w:rFonts w:ascii="Times New Roman" w:hAnsi="Times New Roman" w:cs="Times New Roman" w:eastAsia="Times New Roman" w:hint="default"/>
                <w:sz w:val="18"/>
                <w:szCs w:val="18"/>
              </w:rPr>
            </w:pPr>
            <w:r>
              <w:rPr>
                <w:rFonts w:ascii="Times New Roman"/>
                <w:sz w:val="18"/>
              </w:rPr>
              <w:t>0,864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1,893</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,751,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771.1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3"/>
        <w:rPr>
          <w:rFonts w:ascii="Times New Roman" w:hAnsi="Times New Roman" w:cs="Times New Roman" w:eastAsia="Times New Roman"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3095"/>
        <w:gridCol w:w="3601"/>
        <w:gridCol w:w="2915"/>
      </w:tblGrid>
      <w:tr>
        <w:trPr>
          <w:trHeight w:val="1121"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法定代表人：孙鲲鹏</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5" w:right="0"/>
              <w:jc w:val="left"/>
              <w:rPr>
                <w:rFonts w:ascii="宋体" w:hAnsi="宋体" w:cs="宋体" w:eastAsia="宋体" w:hint="default"/>
                <w:sz w:val="21"/>
                <w:szCs w:val="21"/>
              </w:rPr>
            </w:pPr>
            <w:bookmarkStart w:name="8、母公司所有者权益变动表" w:id="159"/>
            <w:bookmarkEnd w:id="15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tc>
        <w:tc>
          <w:tcPr>
            <w:tcW w:w="36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主管会计工作负责人：张国平</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会计机构负责人：张国平</w:t>
            </w:r>
          </w:p>
        </w:tc>
      </w:tr>
      <w:tr>
        <w:trPr>
          <w:trHeight w:val="484"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宋体" w:hAnsi="宋体" w:cs="宋体" w:eastAsia="宋体" w:hint="default"/>
                <w:sz w:val="18"/>
                <w:szCs w:val="18"/>
              </w:rPr>
            </w:pPr>
            <w:r>
              <w:rPr>
                <w:rFonts w:ascii="宋体" w:hAnsi="宋体" w:cs="宋体" w:eastAsia="宋体" w:hint="default"/>
                <w:sz w:val="18"/>
                <w:szCs w:val="18"/>
              </w:rPr>
              <w:t>编制单位：山东丽鹏股份有限公司</w:t>
            </w:r>
          </w:p>
        </w:tc>
        <w:tc>
          <w:tcPr>
            <w:tcW w:w="3601" w:type="dxa"/>
            <w:tcBorders>
              <w:top w:val="nil" w:sz="6" w:space="0" w:color="auto"/>
              <w:left w:val="nil" w:sz="6" w:space="0" w:color="auto"/>
              <w:bottom w:val="nil" w:sz="6" w:space="0" w:color="auto"/>
              <w:right w:val="nil" w:sz="6" w:space="0" w:color="auto"/>
            </w:tcBorders>
          </w:tcPr>
          <w:p>
            <w:pP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23"/>
              <w:jc w:val="right"/>
              <w:rPr>
                <w:rFonts w:ascii="宋体" w:hAnsi="宋体" w:cs="宋体" w:eastAsia="宋体" w:hint="default"/>
                <w:sz w:val="18"/>
                <w:szCs w:val="18"/>
              </w:rPr>
            </w:pPr>
            <w:r>
              <w:rPr>
                <w:rFonts w:ascii="宋体" w:hAnsi="宋体" w:cs="宋体" w:eastAsia="宋体" w:hint="default"/>
                <w:sz w:val="18"/>
                <w:szCs w:val="18"/>
              </w:rPr>
              <w:t>单位：元</w:t>
            </w:r>
          </w:p>
        </w:tc>
      </w:tr>
    </w:tbl>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329,6</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53,22</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1,361,6</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66,639.</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14,655,</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398.57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76,51</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6,579.</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1,782,4</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91,839.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pacing w:val="-7"/>
                <w:sz w:val="18"/>
                <w:szCs w:val="18"/>
              </w:rPr>
              <w:t>加：会计政</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9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329,6</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53,22</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1,361,6</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66,639.</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14,655,</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398.57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76,51</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6,579.</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1,782,4</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91,839.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22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565,15</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8.68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5,086,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428.0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5,651,5</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86.77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5,651,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586.7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5,651,5</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86.77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565,15</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8.68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158.6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565,15</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8.68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158.6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3" w:right="246"/>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329,6</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53,22</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1,361,6</w:t>
            </w:r>
          </w:p>
          <w:p>
            <w:pPr>
              <w:pStyle w:val="TableParagraph"/>
              <w:spacing w:line="240" w:lineRule="auto" w:before="104"/>
              <w:ind w:left="143" w:right="0"/>
              <w:jc w:val="left"/>
              <w:rPr>
                <w:rFonts w:ascii="Times New Roman" w:hAnsi="Times New Roman" w:cs="Times New Roman" w:eastAsia="Times New Roman" w:hint="default"/>
                <w:sz w:val="18"/>
                <w:szCs w:val="18"/>
              </w:rPr>
            </w:pPr>
            <w:r>
              <w:rPr>
                <w:rFonts w:ascii="Times New Roman"/>
                <w:sz w:val="18"/>
              </w:rPr>
              <w:t>66,639.</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15,220,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557.25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81,60</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3,007.</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1,788,1</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43,425.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99</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tabs>
          <w:tab w:pos="3534" w:val="left" w:leader="none"/>
          <w:tab w:pos="7675" w:val="left" w:leader="none"/>
        </w:tabs>
        <w:spacing w:line="240" w:lineRule="auto"/>
        <w:ind w:right="0"/>
        <w:jc w:val="left"/>
      </w:pPr>
      <w:r>
        <w:rPr/>
        <w:t>法定代表人：孙鲲鹏</w:t>
        <w:tab/>
        <w:t>主管会计工作负责人：张国平</w:t>
        <w:tab/>
        <w:t>会计机构负责人：张国平</w:t>
      </w:r>
    </w:p>
    <w:p>
      <w:pPr>
        <w:spacing w:line="240" w:lineRule="auto" w:before="11"/>
        <w:rPr>
          <w:rFonts w:ascii="宋体" w:hAnsi="宋体" w:cs="宋体" w:eastAsia="宋体" w:hint="default"/>
          <w:sz w:val="26"/>
          <w:szCs w:val="26"/>
        </w:rPr>
      </w:pPr>
    </w:p>
    <w:p>
      <w:pPr>
        <w:pStyle w:val="Heading3"/>
        <w:spacing w:line="240" w:lineRule="auto"/>
        <w:ind w:left="113" w:right="0"/>
        <w:jc w:val="left"/>
        <w:rPr>
          <w:b w:val="0"/>
          <w:bCs w:val="0"/>
        </w:rPr>
      </w:pPr>
      <w:bookmarkStart w:name="8、母公司所有者权益变动表（续）" w:id="160"/>
      <w:bookmarkEnd w:id="160"/>
      <w:r>
        <w:rPr>
          <w:b w:val="0"/>
          <w:bCs w:val="0"/>
        </w:rPr>
      </w:r>
      <w:r>
        <w:rPr>
          <w:rFonts w:ascii="Times New Roman" w:hAnsi="Times New Roman" w:cs="Times New Roman" w:eastAsia="Times New Roman" w:hint="default"/>
        </w:rPr>
        <w:t>8</w:t>
      </w:r>
      <w:r>
        <w:rPr/>
        <w:t>、母公司所有者权益变动表（续）</w:t>
      </w:r>
      <w:r>
        <w:rPr>
          <w:b w:val="0"/>
          <w:bCs w:val="0"/>
        </w:rPr>
      </w:r>
    </w:p>
    <w:p>
      <w:pPr>
        <w:spacing w:line="240" w:lineRule="auto" w:before="8"/>
        <w:rPr>
          <w:rFonts w:ascii="宋体" w:hAnsi="宋体" w:cs="宋体" w:eastAsia="宋体" w:hint="default"/>
          <w:b/>
          <w:bCs/>
          <w:sz w:val="26"/>
          <w:szCs w:val="26"/>
        </w:rPr>
      </w:pPr>
    </w:p>
    <w:p>
      <w:pPr>
        <w:pStyle w:val="BodyText"/>
        <w:tabs>
          <w:tab w:pos="8845" w:val="left" w:leader="none"/>
        </w:tabs>
        <w:spacing w:line="240" w:lineRule="auto"/>
        <w:ind w:left="113" w:right="0"/>
        <w:jc w:val="left"/>
      </w:pPr>
      <w:r>
        <w:rPr/>
        <w:t>编制单位：山东丽鹏股份有限公司</w:t>
        <w:tab/>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191,4</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09,22</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463,71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8,556.4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13,222,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677.81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73,19</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2,554.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741,54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3,017.7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191,4</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09,22</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463,71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8,556.4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13,222,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677.81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73,19</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2,554.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741,54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3,017.7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43,99</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897,94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8,083.3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1,432,7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20.76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3,324,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025.4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1,040,9</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48,821.</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48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8" w:right="0"/>
              <w:jc w:val="left"/>
              <w:rPr>
                <w:rFonts w:ascii="Times New Roman" w:hAnsi="Times New Roman" w:cs="Times New Roman" w:eastAsia="Times New Roman" w:hint="default"/>
                <w:sz w:val="18"/>
                <w:szCs w:val="18"/>
              </w:rPr>
            </w:pPr>
            <w:r>
              <w:rPr>
                <w:rFonts w:ascii="Times New Roman"/>
                <w:sz w:val="18"/>
              </w:rPr>
              <w:t>14,32</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7,207.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14,327,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207.63</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Times New Roman"/>
                <w:sz w:val="18"/>
              </w:rPr>
              <w:t>63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43,99</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897,94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8,083.3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1,036,1</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92,075.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43,99</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897,94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8,083.3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1,036,1</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92,075.</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30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1,432,7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20.76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3,182.</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-9,570,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461.45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1,432,7</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20.76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2,720.</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76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-9,57</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0,461.</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-9,570,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461.45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329,6</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53,22</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1,361,6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66,639.</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14,655,</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398.57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76,51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6,579.</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1,782,4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91,839.</w:t>
            </w:r>
          </w:p>
          <w:p>
            <w:pPr>
              <w:pStyle w:val="TableParagraph"/>
              <w:spacing w:line="240" w:lineRule="auto" w:before="106"/>
              <w:ind w:left="488" w:right="0"/>
              <w:jc w:val="left"/>
              <w:rPr>
                <w:rFonts w:ascii="Times New Roman" w:hAnsi="Times New Roman" w:cs="Times New Roman" w:eastAsia="Times New Roman" w:hint="default"/>
                <w:sz w:val="18"/>
                <w:szCs w:val="18"/>
              </w:rPr>
            </w:pPr>
            <w:r>
              <w:rPr>
                <w:rFonts w:ascii="Times New Roman"/>
                <w:sz w:val="18"/>
              </w:rPr>
              <w:t>22</w:t>
            </w:r>
          </w:p>
        </w:tc>
      </w:tr>
    </w:tbl>
    <w:p>
      <w:pPr>
        <w:spacing w:line="240" w:lineRule="auto" w:before="3"/>
        <w:rPr>
          <w:rFonts w:ascii="Times New Roman" w:hAnsi="Times New Roman" w:cs="Times New Roman" w:eastAsia="Times New Roman" w:hint="default"/>
          <w:sz w:val="23"/>
          <w:szCs w:val="23"/>
        </w:rPr>
      </w:pPr>
    </w:p>
    <w:p>
      <w:pPr>
        <w:pStyle w:val="BodyText"/>
        <w:tabs>
          <w:tab w:pos="3534" w:val="left" w:leader="none"/>
          <w:tab w:pos="7675" w:val="left" w:leader="none"/>
        </w:tabs>
        <w:spacing w:line="240" w:lineRule="auto" w:before="44"/>
        <w:ind w:right="0"/>
        <w:jc w:val="left"/>
      </w:pPr>
      <w:r>
        <w:rPr/>
        <w:t>法定代表人：孙鲲鹏</w:t>
        <w:tab/>
        <w:t>主管会计工作负责人：张国平</w:t>
        <w:tab/>
        <w:t>会计机构负责人：张国平</w:t>
      </w:r>
    </w:p>
    <w:p>
      <w:pPr>
        <w:spacing w:line="240" w:lineRule="auto" w:before="1"/>
        <w:rPr>
          <w:rFonts w:ascii="宋体" w:hAnsi="宋体" w:cs="宋体" w:eastAsia="宋体" w:hint="default"/>
          <w:sz w:val="25"/>
          <w:szCs w:val="25"/>
        </w:rPr>
      </w:pPr>
    </w:p>
    <w:p>
      <w:pPr>
        <w:pStyle w:val="Heading2"/>
        <w:spacing w:line="240" w:lineRule="auto"/>
        <w:ind w:left="113" w:right="0"/>
        <w:jc w:val="left"/>
        <w:rPr>
          <w:b w:val="0"/>
          <w:bCs w:val="0"/>
        </w:rPr>
      </w:pPr>
      <w:bookmarkStart w:name="三、公司基本情况" w:id="161"/>
      <w:bookmarkEnd w:id="161"/>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6" w:right="0"/>
        <w:jc w:val="left"/>
        <w:rPr>
          <w:b w:val="0"/>
          <w:bCs w:val="0"/>
        </w:rPr>
      </w:pPr>
      <w:r>
        <w:rPr/>
        <w:t>（一）公司概况</w:t>
      </w:r>
      <w:r>
        <w:rPr>
          <w:b w:val="0"/>
          <w:bCs w:val="0"/>
        </w:rPr>
      </w:r>
    </w:p>
    <w:p>
      <w:pPr>
        <w:pStyle w:val="BodyText"/>
        <w:spacing w:line="357" w:lineRule="auto" w:before="103"/>
        <w:ind w:right="1032" w:firstLine="360"/>
        <w:jc w:val="left"/>
      </w:pPr>
      <w:r>
        <w:rPr/>
        <w:t>山东丽鹏股份有限公司（以下简称“本公司”或“公司”）是由山东丽鹏包装有限公司整体变更设立的股份有限公司。 山东丽鹏包装有限公司原名烟台市丽鹏包装有限责任公司，成立于</w:t>
      </w:r>
      <w:r>
        <w:rPr>
          <w:spacing w:val="-50"/>
        </w:rPr>
        <w:t> </w:t>
      </w:r>
      <w:r>
        <w:rPr>
          <w:rFonts w:ascii="Times New Roman" w:hAnsi="Times New Roman" w:cs="Times New Roman" w:eastAsia="Times New Roman" w:hint="default"/>
        </w:rPr>
        <w:t>1995</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月，设立时注册资本</w:t>
      </w:r>
      <w:r>
        <w:rPr>
          <w:spacing w:val="-51"/>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1998</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月注</w:t>
      </w:r>
    </w:p>
    <w:p>
      <w:pPr>
        <w:pStyle w:val="BodyText"/>
        <w:spacing w:line="216" w:lineRule="exact"/>
        <w:ind w:right="0"/>
        <w:jc w:val="left"/>
      </w:pPr>
      <w:r>
        <w:rPr/>
        <w:t>册资本变更为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p>
    <w:p>
      <w:pPr>
        <w:pStyle w:val="BodyText"/>
        <w:spacing w:line="240" w:lineRule="auto" w:before="101"/>
        <w:ind w:left="474" w:right="0"/>
        <w:jc w:val="left"/>
      </w:pP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月，烟台市丽鹏包装有限责任公司更名为山东丽鹏包装有限公司，</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月，经山东丽鹏包装有限公司第</w:t>
      </w:r>
    </w:p>
    <w:p>
      <w:pPr>
        <w:pStyle w:val="BodyText"/>
        <w:spacing w:line="240" w:lineRule="auto" w:before="64"/>
        <w:ind w:left="113" w:right="0"/>
        <w:jc w:val="left"/>
      </w:pPr>
      <w:r>
        <w:rPr/>
        <w:t>一次临时股东会决议通过，注册资本变更为</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w:t>
      </w:r>
    </w:p>
    <w:p>
      <w:pPr>
        <w:pStyle w:val="BodyText"/>
        <w:spacing w:line="240" w:lineRule="auto" w:before="102"/>
        <w:ind w:left="474"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月，经山东丽鹏包装有限公司</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年第二次临时股东会决议通过，山东丽鹏包装有限公司整体变更为山东</w:t>
      </w:r>
    </w:p>
    <w:p>
      <w:pPr>
        <w:pStyle w:val="BodyText"/>
        <w:spacing w:line="240" w:lineRule="auto" w:before="63"/>
        <w:ind w:right="0"/>
        <w:jc w:val="left"/>
      </w:pPr>
      <w:r>
        <w:rPr/>
        <w:t>丽鹏股份有限公司，变更后注册资本仍为</w:t>
      </w:r>
      <w:r>
        <w:rPr>
          <w:spacing w:val="-4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日，公司取得了山东省工商行政管理局换发的注册号</w:t>
      </w:r>
    </w:p>
    <w:p>
      <w:pPr>
        <w:pStyle w:val="BodyText"/>
        <w:spacing w:line="240" w:lineRule="auto" w:before="64"/>
        <w:ind w:right="0"/>
        <w:jc w:val="left"/>
      </w:pPr>
      <w:r>
        <w:rPr/>
        <w:t>为</w:t>
      </w:r>
      <w:r>
        <w:rPr>
          <w:spacing w:val="-46"/>
        </w:rPr>
        <w:t> </w:t>
      </w:r>
      <w:r>
        <w:rPr>
          <w:rFonts w:ascii="Times New Roman" w:hAnsi="Times New Roman" w:cs="Times New Roman" w:eastAsia="Times New Roman" w:hint="default"/>
        </w:rPr>
        <w:t>370600228099328</w:t>
      </w:r>
      <w:r>
        <w:rPr>
          <w:rFonts w:ascii="Times New Roman" w:hAnsi="Times New Roman" w:cs="Times New Roman" w:eastAsia="Times New Roman" w:hint="default"/>
          <w:spacing w:val="-1"/>
        </w:rPr>
        <w:t> </w:t>
      </w:r>
      <w:r>
        <w:rPr/>
        <w:t>的企业法人营业执照。</w:t>
      </w:r>
    </w:p>
    <w:p>
      <w:pPr>
        <w:pStyle w:val="BodyText"/>
        <w:spacing w:line="240" w:lineRule="auto" w:before="101"/>
        <w:ind w:left="474"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月，经中国证券监督管理委员会以证监许可</w:t>
      </w:r>
      <w:r>
        <w:rPr>
          <w:rFonts w:ascii="Times New Roman" w:hAnsi="Times New Roman" w:cs="Times New Roman" w:eastAsia="Times New Roman" w:hint="default"/>
        </w:rPr>
        <w:t>[2010]238</w:t>
      </w:r>
      <w:r>
        <w:rPr>
          <w:rFonts w:ascii="Times New Roman" w:hAnsi="Times New Roman" w:cs="Times New Roman" w:eastAsia="Times New Roman" w:hint="default"/>
          <w:spacing w:val="-7"/>
        </w:rPr>
        <w:t> </w:t>
      </w:r>
      <w:r>
        <w:rPr/>
        <w:t>号文《关于核准山东丽鹏股份有限公司首次公开发行股</w:t>
      </w:r>
    </w:p>
    <w:p>
      <w:pPr>
        <w:pStyle w:val="BodyText"/>
        <w:spacing w:line="240" w:lineRule="auto" w:before="63"/>
        <w:ind w:left="113" w:right="0"/>
        <w:jc w:val="left"/>
      </w:pPr>
      <w:r>
        <w:rPr/>
        <w:t>票的批复》的核准，丽鹏公司向社会公开发行人民币普通股</w:t>
      </w:r>
      <w:r>
        <w:rPr>
          <w:spacing w:val="-45"/>
        </w:rPr>
        <w:t> </w:t>
      </w:r>
      <w:r>
        <w:rPr>
          <w:rFonts w:ascii="Times New Roman" w:hAnsi="Times New Roman" w:cs="Times New Roman" w:eastAsia="Times New Roman" w:hint="default"/>
        </w:rPr>
        <w:t>1350</w:t>
      </w:r>
      <w:r>
        <w:rPr>
          <w:rFonts w:ascii="Times New Roman" w:hAnsi="Times New Roman" w:cs="Times New Roman" w:eastAsia="Times New Roman" w:hint="default"/>
          <w:spacing w:val="-1"/>
        </w:rPr>
        <w:t> </w:t>
      </w:r>
      <w:r>
        <w:rPr/>
        <w:t>万股，公司注册资本变更为</w:t>
      </w:r>
      <w:r>
        <w:rPr>
          <w:spacing w:val="-46"/>
        </w:rPr>
        <w:t> </w:t>
      </w:r>
      <w:r>
        <w:rPr>
          <w:rFonts w:ascii="Times New Roman" w:hAnsi="Times New Roman" w:cs="Times New Roman" w:eastAsia="Times New Roman" w:hint="default"/>
        </w:rPr>
        <w:t>5350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月在深</w:t>
      </w:r>
    </w:p>
    <w:p>
      <w:pPr>
        <w:pStyle w:val="BodyText"/>
        <w:spacing w:line="240" w:lineRule="auto" w:before="64"/>
        <w:ind w:right="0"/>
        <w:jc w:val="left"/>
      </w:pPr>
      <w:r>
        <w:rPr/>
        <w:t>圳证券交易所挂牌上市，上市后公司股本总额为人民币</w:t>
      </w:r>
      <w:r>
        <w:rPr>
          <w:spacing w:val="-45"/>
        </w:rPr>
        <w:t> </w:t>
      </w:r>
      <w:r>
        <w:rPr>
          <w:rFonts w:ascii="Times New Roman" w:hAnsi="Times New Roman" w:cs="Times New Roman" w:eastAsia="Times New Roman" w:hint="default"/>
        </w:rPr>
        <w:t>5350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日，公司完成了工商变更。</w:t>
      </w:r>
    </w:p>
    <w:p>
      <w:pPr>
        <w:pStyle w:val="BodyText"/>
        <w:spacing w:line="240" w:lineRule="auto" w:before="101"/>
        <w:ind w:left="474"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根据公司</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年股东大会通过《</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年利润分配预案》，公司按每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股的比例，以资本公积</w:t>
      </w:r>
    </w:p>
    <w:p>
      <w:pPr>
        <w:pStyle w:val="BodyText"/>
        <w:spacing w:line="240" w:lineRule="auto" w:before="63"/>
        <w:ind w:right="0"/>
        <w:jc w:val="left"/>
        <w:rPr>
          <w:rFonts w:ascii="Times New Roman" w:hAnsi="Times New Roman" w:cs="Times New Roman" w:eastAsia="Times New Roman" w:hint="default"/>
        </w:rPr>
      </w:pPr>
      <w:r>
        <w:rPr/>
        <w:t>向全体股东转增股份总额</w:t>
      </w:r>
      <w:r>
        <w:rPr>
          <w:spacing w:val="-44"/>
        </w:rPr>
        <w:t> </w:t>
      </w:r>
      <w:r>
        <w:rPr>
          <w:rFonts w:ascii="Times New Roman" w:hAnsi="Times New Roman" w:cs="Times New Roman" w:eastAsia="Times New Roman" w:hint="default"/>
        </w:rPr>
        <w:t>3210</w:t>
      </w:r>
      <w:r>
        <w:rPr>
          <w:rFonts w:ascii="Times New Roman" w:hAnsi="Times New Roman" w:cs="Times New Roman" w:eastAsia="Times New Roman" w:hint="default"/>
          <w:spacing w:val="1"/>
        </w:rPr>
        <w:t> </w:t>
      </w:r>
      <w:r>
        <w:rPr>
          <w:spacing w:val="-3"/>
        </w:rPr>
        <w:t>万股，增加股本</w:t>
      </w:r>
      <w:r>
        <w:rPr>
          <w:spacing w:val="-44"/>
        </w:rPr>
        <w:t> </w:t>
      </w:r>
      <w:r>
        <w:rPr>
          <w:rFonts w:ascii="Times New Roman" w:hAnsi="Times New Roman" w:cs="Times New Roman" w:eastAsia="Times New Roman" w:hint="default"/>
        </w:rPr>
        <w:t>3210</w:t>
      </w:r>
      <w:r>
        <w:rPr>
          <w:rFonts w:ascii="Times New Roman" w:hAnsi="Times New Roman" w:cs="Times New Roman" w:eastAsia="Times New Roman" w:hint="default"/>
          <w:spacing w:val="1"/>
        </w:rPr>
        <w:t> </w:t>
      </w:r>
      <w:r>
        <w:rPr>
          <w:spacing w:val="-4"/>
        </w:rPr>
        <w:t>万元。</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spacing w:val="-3"/>
        </w:rPr>
        <w:t>日，公司完成了工商变更，注册资本变更为</w:t>
      </w:r>
      <w:r>
        <w:rPr>
          <w:spacing w:val="-44"/>
        </w:rPr>
        <w:t> </w:t>
      </w:r>
      <w:r>
        <w:rPr>
          <w:rFonts w:ascii="Times New Roman" w:hAnsi="Times New Roman" w:cs="Times New Roman" w:eastAsia="Times New Roman" w:hint="default"/>
        </w:rPr>
        <w:t>8560</w:t>
      </w:r>
    </w:p>
    <w:p>
      <w:pPr>
        <w:pStyle w:val="BodyText"/>
        <w:spacing w:line="240" w:lineRule="auto" w:before="64"/>
        <w:ind w:right="0"/>
        <w:jc w:val="left"/>
      </w:pPr>
      <w:r>
        <w:rPr/>
        <w:t>万元。</w:t>
      </w:r>
    </w:p>
    <w:p>
      <w:pPr>
        <w:pStyle w:val="BodyText"/>
        <w:spacing w:line="240" w:lineRule="auto" w:before="116"/>
        <w:ind w:left="474"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w:t>
      </w:r>
      <w:r>
        <w:rPr/>
        <w:t>经中国证券监督管理委员会以证监许可</w:t>
      </w:r>
      <w:r>
        <w:rPr>
          <w:rFonts w:ascii="Times New Roman" w:hAnsi="Times New Roman" w:cs="Times New Roman" w:eastAsia="Times New Roman" w:hint="default"/>
        </w:rPr>
        <w:t>[2012]1328</w:t>
      </w:r>
      <w:r>
        <w:rPr>
          <w:rFonts w:ascii="Times New Roman" w:hAnsi="Times New Roman" w:cs="Times New Roman" w:eastAsia="Times New Roman" w:hint="default"/>
          <w:spacing w:val="-1"/>
        </w:rPr>
        <w:t> </w:t>
      </w:r>
      <w:r>
        <w:rPr>
          <w:spacing w:val="-3"/>
        </w:rPr>
        <w:t>号文《关于核准山东丽鹏股份有限公司非公开发行股票</w:t>
      </w:r>
    </w:p>
    <w:p>
      <w:pPr>
        <w:pStyle w:val="BodyText"/>
        <w:spacing w:line="240" w:lineRule="auto" w:before="63"/>
        <w:ind w:right="0"/>
        <w:jc w:val="left"/>
      </w:pPr>
      <w:r>
        <w:rPr/>
        <w:t>的批复》核准，公司向特定对象非公开发行人民币普通股</w:t>
      </w:r>
      <w:r>
        <w:rPr>
          <w:spacing w:val="-51"/>
        </w:rPr>
        <w:t> </w:t>
      </w:r>
      <w:r>
        <w:rPr>
          <w:rFonts w:ascii="Times New Roman" w:hAnsi="Times New Roman" w:cs="Times New Roman" w:eastAsia="Times New Roman" w:hint="default"/>
        </w:rPr>
        <w:t>20,738,461</w:t>
      </w:r>
      <w:r>
        <w:rPr>
          <w:rFonts w:ascii="Times New Roman" w:hAnsi="Times New Roman" w:cs="Times New Roman" w:eastAsia="Times New Roman" w:hint="default"/>
          <w:spacing w:val="-7"/>
        </w:rPr>
        <w:t> </w:t>
      </w:r>
      <w:r>
        <w:rPr/>
        <w:t>股。</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日，公司完成了工商变更，注册资</w:t>
      </w:r>
    </w:p>
    <w:p>
      <w:pPr>
        <w:pStyle w:val="BodyText"/>
        <w:spacing w:line="240" w:lineRule="auto" w:before="64"/>
        <w:ind w:right="0"/>
        <w:jc w:val="left"/>
      </w:pPr>
      <w:r>
        <w:rPr/>
        <w:t>本变更为</w:t>
      </w:r>
      <w:r>
        <w:rPr>
          <w:spacing w:val="-46"/>
        </w:rPr>
        <w:t> </w:t>
      </w:r>
      <w:r>
        <w:rPr>
          <w:rFonts w:ascii="Times New Roman" w:hAnsi="Times New Roman" w:cs="Times New Roman" w:eastAsia="Times New Roman" w:hint="default"/>
        </w:rPr>
        <w:t>106,338,461</w:t>
      </w:r>
      <w:r>
        <w:rPr>
          <w:rFonts w:ascii="Times New Roman" w:hAnsi="Times New Roman" w:cs="Times New Roman" w:eastAsia="Times New Roman" w:hint="default"/>
          <w:spacing w:val="-1"/>
        </w:rPr>
        <w:t> </w:t>
      </w:r>
      <w:r>
        <w:rPr/>
        <w:t>元。</w:t>
      </w:r>
    </w:p>
    <w:p>
      <w:pPr>
        <w:pStyle w:val="BodyText"/>
        <w:spacing w:line="240" w:lineRule="auto" w:before="101"/>
        <w:ind w:left="474"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6"/>
        </w:rPr>
        <w:t>月，依据公司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spacing w:val="-3"/>
        </w:rPr>
        <w:t>年年度股东大会决议通过的《公司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spacing w:val="-6"/>
        </w:rPr>
        <w:t>年度利润分配预案》，按每</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股的比例，</w:t>
      </w:r>
    </w:p>
    <w:p>
      <w:pPr>
        <w:pStyle w:val="BodyText"/>
        <w:spacing w:line="302" w:lineRule="auto" w:before="63"/>
        <w:ind w:right="1133"/>
        <w:jc w:val="left"/>
      </w:pPr>
      <w:r>
        <w:rPr/>
        <w:t>以资本公积向全体股东转增股份</w:t>
      </w:r>
      <w:r>
        <w:rPr>
          <w:rFonts w:ascii="Times New Roman" w:hAnsi="Times New Roman" w:cs="Times New Roman" w:eastAsia="Times New Roman" w:hint="default"/>
        </w:rPr>
        <w:t>,</w:t>
      </w:r>
      <w:r>
        <w:rPr/>
        <w:t>增加股本</w:t>
      </w:r>
      <w:r>
        <w:rPr>
          <w:spacing w:val="-47"/>
        </w:rPr>
        <w:t> </w:t>
      </w:r>
      <w:r>
        <w:rPr>
          <w:rFonts w:ascii="Times New Roman" w:hAnsi="Times New Roman" w:cs="Times New Roman" w:eastAsia="Times New Roman" w:hint="default"/>
        </w:rPr>
        <w:t>85,070,768.00</w:t>
      </w:r>
      <w:r>
        <w:rPr>
          <w:rFonts w:ascii="Times New Roman" w:hAnsi="Times New Roman" w:cs="Times New Roman" w:eastAsia="Times New Roman" w:hint="default"/>
          <w:spacing w:val="-1"/>
        </w:rPr>
        <w:t> </w:t>
      </w:r>
      <w:r>
        <w:rPr/>
        <w:t>元，变更后的注册资本人民币</w:t>
      </w:r>
      <w:r>
        <w:rPr>
          <w:spacing w:val="-47"/>
        </w:rPr>
        <w:t> </w:t>
      </w:r>
      <w:r>
        <w:rPr>
          <w:rFonts w:ascii="Times New Roman" w:hAnsi="Times New Roman" w:cs="Times New Roman" w:eastAsia="Times New Roman" w:hint="default"/>
        </w:rPr>
        <w:t>191,409,229.00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月，公 司完成了工商变更。</w:t>
      </w:r>
    </w:p>
    <w:p>
      <w:pPr>
        <w:pStyle w:val="BodyText"/>
        <w:spacing w:line="240" w:lineRule="auto" w:before="68"/>
        <w:ind w:left="47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1"/>
        </w:rPr>
        <w:t> </w:t>
      </w:r>
      <w:r>
        <w:rPr/>
        <w:t>月，经中国证券监督管理委员会文《关于核准山东丽鹏股份有限公司向汤于等发行股份购买资产并募集配套</w:t>
      </w:r>
    </w:p>
    <w:p>
      <w:pPr>
        <w:pStyle w:val="BodyText"/>
        <w:spacing w:line="240" w:lineRule="auto" w:before="63"/>
        <w:ind w:right="0"/>
        <w:jc w:val="left"/>
      </w:pPr>
      <w:r>
        <w:rPr/>
        <w:t>资金的批复》（证监许可</w:t>
      </w:r>
      <w:r>
        <w:rPr>
          <w:rFonts w:ascii="Times New Roman" w:hAnsi="Times New Roman" w:cs="Times New Roman" w:eastAsia="Times New Roman" w:hint="default"/>
        </w:rPr>
        <w:t>[2014]1256</w:t>
      </w:r>
      <w:r>
        <w:rPr>
          <w:rFonts w:ascii="Times New Roman" w:hAnsi="Times New Roman" w:cs="Times New Roman" w:eastAsia="Times New Roman" w:hint="default"/>
          <w:spacing w:val="-2"/>
        </w:rPr>
        <w:t> </w:t>
      </w:r>
      <w:r>
        <w:rPr/>
        <w:t>号）核准，公司向汤于等</w:t>
      </w:r>
      <w:r>
        <w:rPr>
          <w:spacing w:val="-47"/>
        </w:rPr>
        <w:t> </w:t>
      </w:r>
      <w:r>
        <w:rPr>
          <w:rFonts w:ascii="Times New Roman" w:hAnsi="Times New Roman" w:cs="Times New Roman" w:eastAsia="Times New Roman" w:hint="default"/>
        </w:rPr>
        <w:t>58</w:t>
      </w:r>
      <w:r>
        <w:rPr>
          <w:rFonts w:ascii="Times New Roman" w:hAnsi="Times New Roman" w:cs="Times New Roman" w:eastAsia="Times New Roman" w:hint="default"/>
          <w:spacing w:val="-2"/>
        </w:rPr>
        <w:t> </w:t>
      </w:r>
      <w:r>
        <w:rPr/>
        <w:t>名交易对象发行人民币普通股</w:t>
      </w:r>
      <w:r>
        <w:rPr>
          <w:spacing w:val="-47"/>
        </w:rPr>
        <w:t> </w:t>
      </w:r>
      <w:r>
        <w:rPr>
          <w:rFonts w:ascii="Times New Roman" w:hAnsi="Times New Roman" w:cs="Times New Roman" w:eastAsia="Times New Roman" w:hint="default"/>
        </w:rPr>
        <w:t>101,553,992.00</w:t>
      </w:r>
      <w:r>
        <w:rPr>
          <w:rFonts w:ascii="Times New Roman" w:hAnsi="Times New Roman" w:cs="Times New Roman" w:eastAsia="Times New Roman" w:hint="default"/>
          <w:spacing w:val="-1"/>
        </w:rPr>
        <w:t> </w:t>
      </w:r>
      <w:r>
        <w:rPr/>
        <w:t>股；向孙世</w:t>
      </w:r>
    </w:p>
    <w:p>
      <w:pPr>
        <w:pStyle w:val="BodyText"/>
        <w:spacing w:line="240" w:lineRule="auto" w:before="63"/>
        <w:ind w:right="0"/>
        <w:jc w:val="left"/>
      </w:pPr>
      <w:r>
        <w:rPr/>
        <w:t>尧等</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名特定对象非公开发行人民币普通股</w:t>
      </w:r>
      <w:r>
        <w:rPr>
          <w:spacing w:val="-46"/>
        </w:rPr>
        <w:t> </w:t>
      </w:r>
      <w:r>
        <w:rPr>
          <w:rFonts w:ascii="Times New Roman" w:hAnsi="Times New Roman" w:cs="Times New Roman" w:eastAsia="Times New Roman" w:hint="default"/>
        </w:rPr>
        <w:t>36,690,000.00 </w:t>
      </w:r>
      <w:r>
        <w:rPr/>
        <w:t>股。</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日，公司完成了工商变更，注册资本变更为</w:t>
      </w:r>
    </w:p>
    <w:p>
      <w:pPr>
        <w:pStyle w:val="BodyText"/>
        <w:spacing w:line="240" w:lineRule="auto" w:before="64"/>
        <w:ind w:right="0"/>
        <w:jc w:val="left"/>
      </w:pPr>
      <w:r>
        <w:rPr>
          <w:rFonts w:ascii="Times New Roman" w:hAnsi="Times New Roman" w:cs="Times New Roman" w:eastAsia="Times New Roman" w:hint="default"/>
        </w:rPr>
        <w:t>329,653,221.00</w:t>
      </w:r>
      <w:r>
        <w:rPr>
          <w:rFonts w:ascii="Times New Roman" w:hAnsi="Times New Roman" w:cs="Times New Roman" w:eastAsia="Times New Roman" w:hint="default"/>
          <w:spacing w:val="42"/>
        </w:rPr>
        <w:t> </w:t>
      </w:r>
      <w:r>
        <w:rPr/>
        <w:t>元。</w:t>
      </w:r>
    </w:p>
    <w:p>
      <w:pPr>
        <w:pStyle w:val="BodyText"/>
        <w:spacing w:line="338" w:lineRule="auto" w:before="103"/>
        <w:ind w:left="474" w:right="3912"/>
        <w:jc w:val="left"/>
      </w:pPr>
      <w:r>
        <w:rPr/>
        <w:t>公司住所为烟台市牟平区姜格街道办事处丽鹏路</w:t>
      </w:r>
      <w:r>
        <w:rPr>
          <w:spacing w:val="-45"/>
        </w:rPr>
        <w:t> </w:t>
      </w:r>
      <w:r>
        <w:rPr>
          <w:rFonts w:ascii="Times New Roman" w:hAnsi="Times New Roman" w:cs="Times New Roman" w:eastAsia="Times New Roman" w:hint="default"/>
        </w:rPr>
        <w:t>1 </w:t>
      </w:r>
      <w:r>
        <w:rPr/>
        <w:t>号，公司法定代表人为孙鲲鹏。 公司经营范围：</w:t>
      </w:r>
    </w:p>
    <w:p>
      <w:pPr>
        <w:pStyle w:val="BodyText"/>
        <w:spacing w:line="319" w:lineRule="auto" w:before="41"/>
        <w:ind w:left="113" w:right="1130" w:firstLine="360"/>
        <w:jc w:val="both"/>
      </w:pPr>
      <w:r>
        <w:rPr>
          <w:spacing w:val="-2"/>
        </w:rPr>
        <w:t>铝板轧制、印铁、涂料、瓶盖加工、模具制作、橡胶塑料制品、机械设备、针纺织品、服装鞋帽的加工、销售；五金交</w:t>
      </w:r>
      <w:r>
        <w:rPr/>
        <w:t> </w:t>
      </w:r>
      <w:r>
        <w:rPr>
          <w:spacing w:val="-2"/>
        </w:rPr>
        <w:t>电、建筑装饰材料、机电产品（不含小轿车）、日用百货、农副产品销售（以上均不含专营专控）；经营本企业自产产品及</w:t>
      </w:r>
      <w:r>
        <w:rPr>
          <w:spacing w:val="-69"/>
        </w:rPr>
        <w:t> </w:t>
      </w:r>
      <w:r>
        <w:rPr>
          <w:spacing w:val="-69"/>
        </w:rPr>
      </w:r>
      <w:r>
        <w:rPr>
          <w:spacing w:val="-2"/>
        </w:rPr>
        <w:t>相关技术的出口业务，本企业生产、科研所需的原辅材料、机械设备、仪器仪表、零配件及相关技术的进口业务；本企业的</w:t>
      </w:r>
      <w:r>
        <w:rPr>
          <w:spacing w:val="-67"/>
        </w:rPr>
        <w:t> </w:t>
      </w:r>
      <w:r>
        <w:rPr>
          <w:spacing w:val="-67"/>
        </w:rPr>
      </w:r>
      <w:r>
        <w:rPr/>
        <w:t>进料加工和“三来一补”业务（国家法律法规禁止项目除外，需经许可经营的，须凭许可证经营）。</w:t>
      </w:r>
    </w:p>
    <w:p>
      <w:pPr>
        <w:pStyle w:val="BodyText"/>
        <w:spacing w:line="319" w:lineRule="auto" w:before="56"/>
        <w:ind w:right="1118" w:firstLine="360"/>
        <w:jc w:val="left"/>
      </w:pPr>
      <w:r>
        <w:rPr>
          <w:spacing w:val="-2"/>
        </w:rPr>
        <w:t>公司主营业务：铝板复合型防伪印刷和防伪瓶盖的生产、销售及相关业务；园林规划设计、施工、养护，苗木养殖、销</w:t>
      </w:r>
      <w:r>
        <w:rPr/>
        <w:t> 售。</w:t>
      </w:r>
    </w:p>
    <w:p>
      <w:pPr>
        <w:pStyle w:val="BodyText"/>
        <w:spacing w:line="240" w:lineRule="auto" w:before="56"/>
        <w:ind w:left="474" w:right="0"/>
        <w:jc w:val="left"/>
      </w:pPr>
      <w:r>
        <w:rPr/>
        <w:t>公司所属行业：瓶盖包装制品制造业；园林工程施工、专业技术服务、园林景观规划设计、苗木种植销售、园林养护。</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38" w:lineRule="auto" w:before="44"/>
        <w:ind w:left="474" w:right="5473"/>
        <w:jc w:val="left"/>
      </w:pPr>
      <w:r>
        <w:rPr/>
        <w:t>本公司实际控制人为孙世尧家族，持有本公司</w:t>
      </w:r>
      <w:r>
        <w:rPr>
          <w:spacing w:val="-46"/>
        </w:rPr>
        <w:t> </w:t>
      </w:r>
      <w:r>
        <w:rPr>
          <w:rFonts w:ascii="Times New Roman" w:hAnsi="Times New Roman" w:cs="Times New Roman" w:eastAsia="Times New Roman" w:hint="default"/>
        </w:rPr>
        <w:t>28.66%</w:t>
      </w:r>
      <w:r>
        <w:rPr/>
        <w:t>的股权。 本财务报表由公司董事会决议批准于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15 </w:t>
      </w:r>
      <w:r>
        <w:rPr/>
        <w:t>日报出。</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536" w:right="0"/>
        <w:jc w:val="left"/>
        <w:rPr>
          <w:b w:val="0"/>
          <w:bCs w:val="0"/>
        </w:rPr>
      </w:pPr>
      <w:r>
        <w:rPr/>
        <w:t>（二）合并报表范围</w:t>
      </w:r>
      <w:r>
        <w:rPr>
          <w:b w:val="0"/>
          <w:bCs w:val="0"/>
        </w:rPr>
      </w:r>
    </w:p>
    <w:p>
      <w:pPr>
        <w:pStyle w:val="BodyText"/>
        <w:spacing w:line="316" w:lineRule="auto" w:before="103"/>
        <w:ind w:right="0" w:firstLine="360"/>
        <w:jc w:val="left"/>
      </w:pPr>
      <w:r>
        <w:rPr>
          <w:spacing w:val="-2"/>
        </w:rPr>
        <w:t>本公司合并财务报表的合并范围以控制为基础确定，包括本公司及全部子公司的财务报表。子公司，是指被本公司控制</w:t>
      </w:r>
      <w:r>
        <w:rPr/>
        <w:t> 的企业或主体。</w:t>
      </w:r>
    </w:p>
    <w:p>
      <w:pPr>
        <w:pStyle w:val="BodyText"/>
        <w:spacing w:line="240" w:lineRule="auto" w:before="58"/>
        <w:ind w:left="474" w:right="0"/>
        <w:jc w:val="left"/>
      </w:pPr>
      <w:r>
        <w:rPr/>
        <w:t>本报告期纳入合并范围的子公司如下：</w:t>
      </w:r>
    </w:p>
    <w:p>
      <w:pPr>
        <w:spacing w:line="240" w:lineRule="auto" w:before="3"/>
        <w:rPr>
          <w:rFonts w:ascii="宋体" w:hAnsi="宋体" w:cs="宋体" w:eastAsia="宋体" w:hint="default"/>
          <w:sz w:val="9"/>
          <w:szCs w:val="9"/>
        </w:rPr>
      </w:pPr>
    </w:p>
    <w:p>
      <w:pPr>
        <w:spacing w:line="5895" w:lineRule="exact"/>
        <w:ind w:left="114" w:right="0" w:firstLine="0"/>
        <w:rPr>
          <w:rFonts w:ascii="宋体" w:hAnsi="宋体" w:cs="宋体" w:eastAsia="宋体" w:hint="default"/>
          <w:sz w:val="20"/>
          <w:szCs w:val="20"/>
        </w:rPr>
      </w:pPr>
      <w:r>
        <w:rPr>
          <w:rFonts w:ascii="宋体" w:hAnsi="宋体" w:cs="宋体" w:eastAsia="宋体" w:hint="default"/>
          <w:position w:val="-117"/>
          <w:sz w:val="20"/>
          <w:szCs w:val="20"/>
        </w:rPr>
        <w:drawing>
          <wp:inline distT="0" distB="0" distL="0" distR="0">
            <wp:extent cx="5847358" cy="3743325"/>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25" cstate="print"/>
                    <a:stretch>
                      <a:fillRect/>
                    </a:stretch>
                  </pic:blipFill>
                  <pic:spPr>
                    <a:xfrm>
                      <a:off x="0" y="0"/>
                      <a:ext cx="5847358" cy="3743325"/>
                    </a:xfrm>
                    <a:prstGeom prst="rect">
                      <a:avLst/>
                    </a:prstGeom>
                  </pic:spPr>
                </pic:pic>
              </a:graphicData>
            </a:graphic>
          </wp:inline>
        </w:drawing>
      </w:r>
      <w:r>
        <w:rPr>
          <w:rFonts w:ascii="宋体" w:hAnsi="宋体" w:cs="宋体" w:eastAsia="宋体" w:hint="default"/>
          <w:position w:val="-117"/>
          <w:sz w:val="20"/>
          <w:szCs w:val="20"/>
        </w:rPr>
      </w:r>
    </w:p>
    <w:p>
      <w:pPr>
        <w:spacing w:line="240" w:lineRule="auto" w:before="0"/>
        <w:rPr>
          <w:rFonts w:ascii="宋体" w:hAnsi="宋体" w:cs="宋体" w:eastAsia="宋体" w:hint="default"/>
          <w:sz w:val="18"/>
          <w:szCs w:val="18"/>
        </w:rPr>
      </w:pPr>
    </w:p>
    <w:p>
      <w:pPr>
        <w:pStyle w:val="BodyText"/>
        <w:spacing w:line="240" w:lineRule="auto" w:before="146"/>
        <w:ind w:left="113" w:right="0"/>
        <w:jc w:val="left"/>
      </w:pPr>
      <w:r>
        <w:rPr/>
        <w:t>本期合并财务报表范围变化情况详见“附注六、合并范围的变更”及“附注七、在其他主体中的权益”。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2"/>
        <w:spacing w:line="240" w:lineRule="auto"/>
        <w:ind w:left="113" w:right="0"/>
        <w:jc w:val="left"/>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编制基础" w:id="163"/>
      <w:bookmarkEnd w:id="16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13" w:right="1024" w:firstLine="360"/>
        <w:jc w:val="left"/>
      </w:pPr>
      <w:r>
        <w:rPr/>
        <w:t>本公司财务报表以持续经营为基础，根据实际发生的交易和事项，按照财政部颁布的《企业会计准则</w:t>
      </w:r>
      <w:r>
        <w:rPr>
          <w:rFonts w:ascii="Times New Roman" w:hAnsi="Times New Roman" w:cs="Times New Roman" w:eastAsia="Times New Roman" w:hint="default"/>
        </w:rPr>
        <w:t>-</w:t>
      </w:r>
      <w:r>
        <w:rPr/>
        <w:t>基本准则》、具 </w:t>
      </w:r>
      <w:r>
        <w:rPr>
          <w:spacing w:val="-2"/>
        </w:rPr>
        <w:t>体会计准则和其后颁布的企业会计准则应用指南、企业会计准则解释及其他相关规定（以下简称“企业会计准则”）以及中</w:t>
      </w:r>
      <w:r>
        <w:rPr>
          <w:spacing w:val="-66"/>
        </w:rPr>
        <w:t> </w:t>
      </w:r>
      <w:r>
        <w:rPr>
          <w:spacing w:val="-66"/>
        </w:rPr>
      </w:r>
      <w:r>
        <w:rPr/>
        <w:t>国证券监督管理委员会《公开发行证券的公司信息披露编报规则第</w:t>
      </w:r>
      <w:r>
        <w:rPr>
          <w:spacing w:val="-67"/>
        </w:rPr>
        <w:t> </w:t>
      </w:r>
      <w:r>
        <w:rPr>
          <w:rFonts w:ascii="Times New Roman" w:hAnsi="Times New Roman" w:cs="Times New Roman" w:eastAsia="Times New Roman" w:hint="default"/>
        </w:rPr>
        <w:t>15</w:t>
      </w:r>
      <w:r>
        <w:rPr>
          <w:rFonts w:ascii="Times New Roman" w:hAnsi="Times New Roman" w:cs="Times New Roman" w:eastAsia="Times New Roman" w:hint="default"/>
          <w:spacing w:val="-22"/>
        </w:rPr>
        <w:t> </w:t>
      </w:r>
      <w:r>
        <w:rPr/>
        <w:t>号—财务报告的一般规定》</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年修订</w:t>
      </w:r>
      <w:r>
        <w:rPr>
          <w:rFonts w:ascii="Times New Roman" w:hAnsi="Times New Roman" w:cs="Times New Roman" w:eastAsia="Times New Roman" w:hint="default"/>
        </w:rPr>
        <w:t>)</w:t>
      </w:r>
      <w:r>
        <w:rPr/>
        <w:t>的披露规定， 并基于以下所述重要会计政策、会计估计进行编制。</w:t>
      </w: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bookmarkStart w:name="2、持续经营" w:id="164"/>
      <w:bookmarkEnd w:id="16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报告期内及报告期末起至少十二个月，公司生产经营稳定，资产负债结构合理，具备持续经营能力，不存在影响持续经</w:t>
      </w:r>
      <w:r>
        <w:rPr/>
        <w:t> 营能力的重大不利风险。</w:t>
      </w:r>
    </w:p>
    <w:p>
      <w:pPr>
        <w:spacing w:after="0" w:line="319"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 w:right="3913"/>
        <w:jc w:val="left"/>
      </w:pPr>
      <w:r>
        <w:rPr/>
        <w:t>具体会计政策和会计估计提示： 公司根据现行的会计制度规定结合实际生产经营特点制定本公司的会计政策和会计估计</w:t>
      </w:r>
    </w:p>
    <w:p>
      <w:pPr>
        <w:spacing w:line="240" w:lineRule="auto" w:before="3"/>
        <w:rPr>
          <w:rFonts w:ascii="宋体" w:hAnsi="宋体" w:cs="宋体" w:eastAsia="宋体" w:hint="default"/>
          <w:sz w:val="20"/>
          <w:szCs w:val="20"/>
        </w:rPr>
      </w:pPr>
    </w:p>
    <w:p>
      <w:pPr>
        <w:pStyle w:val="Heading3"/>
        <w:spacing w:line="240" w:lineRule="auto"/>
        <w:ind w:left="113" w:right="0"/>
        <w:jc w:val="left"/>
        <w:rPr>
          <w:b w:val="0"/>
          <w:bCs w:val="0"/>
        </w:rPr>
      </w:pPr>
      <w:bookmarkStart w:name="1、遵循企业会计准则的声明" w:id="166"/>
      <w:bookmarkEnd w:id="16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公司基于上述基础编制的财务报表符合《企业会计准则》的要求，真实、完整地反映了公司的财务状况、经营成果和现</w:t>
      </w:r>
      <w:r>
        <w:rPr/>
        <w:t> 金流量等有关信息。</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会计期间" w:id="167"/>
      <w:bookmarkEnd w:id="16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会计年度为公历</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9"/>
        <w:rPr>
          <w:rFonts w:ascii="宋体" w:hAnsi="宋体" w:cs="宋体" w:eastAsia="宋体" w:hint="default"/>
          <w:sz w:val="25"/>
          <w:szCs w:val="25"/>
        </w:rPr>
      </w:pPr>
    </w:p>
    <w:p>
      <w:pPr>
        <w:pStyle w:val="Heading3"/>
        <w:spacing w:line="240" w:lineRule="auto"/>
        <w:ind w:left="113" w:right="0"/>
        <w:jc w:val="left"/>
        <w:rPr>
          <w:b w:val="0"/>
          <w:bCs w:val="0"/>
        </w:rPr>
      </w:pPr>
      <w:bookmarkStart w:name="3、营业周期" w:id="168"/>
      <w:bookmarkEnd w:id="16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13" w:right="1113" w:firstLine="360"/>
        <w:jc w:val="left"/>
      </w:pPr>
      <w:r>
        <w:rPr/>
        <w:t>正常营业周期，是指企业从购买用于加工的资产起至实现现金或现金等价物的期间。本公司以</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个月作为正常营业周 期，并以其作为资产与负债流动性划分的标准。</w:t>
      </w:r>
    </w:p>
    <w:p>
      <w:pPr>
        <w:spacing w:line="240" w:lineRule="auto" w:before="2"/>
        <w:rPr>
          <w:rFonts w:ascii="宋体" w:hAnsi="宋体" w:cs="宋体" w:eastAsia="宋体" w:hint="default"/>
          <w:sz w:val="23"/>
          <w:szCs w:val="23"/>
        </w:rPr>
      </w:pPr>
    </w:p>
    <w:p>
      <w:pPr>
        <w:pStyle w:val="Heading3"/>
        <w:spacing w:line="240" w:lineRule="auto"/>
        <w:ind w:left="113" w:right="0"/>
        <w:jc w:val="left"/>
        <w:rPr>
          <w:b w:val="0"/>
          <w:bCs w:val="0"/>
        </w:rPr>
      </w:pPr>
      <w:bookmarkStart w:name="4、记账本位币" w:id="169"/>
      <w:bookmarkEnd w:id="16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4" w:right="0"/>
        <w:jc w:val="left"/>
      </w:pPr>
      <w:r>
        <w:rPr/>
        <w:t>以人民币作为记账本位币。</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同一控制下和非同一控制下企业合并的会计处理方法" w:id="170"/>
      <w:bookmarkEnd w:id="17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firstLine="360"/>
        <w:jc w:val="left"/>
      </w:pPr>
      <w:r>
        <w:rPr>
          <w:spacing w:val="-2"/>
        </w:rPr>
        <w:t>企业合并，是指将两个或两个以上单独的企业合并形成一个报告主体的交易或事项。企业合并分为同一控制下企业合并</w:t>
      </w:r>
      <w:r>
        <w:rPr/>
        <w:t> 和非同一控制下企业合并。</w:t>
      </w:r>
    </w:p>
    <w:p>
      <w:pPr>
        <w:pStyle w:val="Heading3"/>
        <w:spacing w:line="240" w:lineRule="auto" w:before="110"/>
        <w:ind w:left="551" w:right="0"/>
        <w:jc w:val="left"/>
        <w:rPr>
          <w:b w:val="0"/>
          <w:bCs w:val="0"/>
        </w:rPr>
      </w:pPr>
      <w:r>
        <w:rPr>
          <w:rFonts w:ascii="宋体" w:hAnsi="宋体" w:cs="宋体" w:eastAsia="宋体" w:hint="default"/>
        </w:rPr>
        <w:t>1</w:t>
      </w:r>
      <w:r>
        <w:rPr/>
        <w:t>）同一控制下企业合并</w:t>
      </w:r>
      <w:r>
        <w:rPr>
          <w:b w:val="0"/>
          <w:bCs w:val="0"/>
        </w:rPr>
      </w:r>
    </w:p>
    <w:p>
      <w:pPr>
        <w:pStyle w:val="BodyText"/>
        <w:spacing w:line="316" w:lineRule="auto" w:before="103"/>
        <w:ind w:right="1032" w:firstLine="360"/>
        <w:jc w:val="left"/>
      </w:pPr>
      <w:r>
        <w:rPr>
          <w:spacing w:val="-2"/>
        </w:rPr>
        <w:t>参与合并的企业在合并前后均受同一方或相同的多方最终控制且该控制并非暂时性的，为同一控制下的企业合并。同一</w:t>
      </w:r>
      <w:r>
        <w:rPr/>
        <w:t> 控制下的企业合并，在合并日取得对其他参与合并企业控制权的一方为合并方，参与合并的其他企业为被合并方。合并日， 是指合并方实际取得对被合并方控制权的日期。</w:t>
      </w:r>
    </w:p>
    <w:p>
      <w:pPr>
        <w:pStyle w:val="BodyText"/>
        <w:spacing w:line="319" w:lineRule="auto" w:before="57"/>
        <w:ind w:left="113" w:right="0" w:firstLine="360"/>
        <w:jc w:val="left"/>
      </w:pPr>
      <w:r>
        <w:rPr>
          <w:spacing w:val="-2"/>
        </w:rPr>
        <w:t>同一控制下企业合并形成的长期股权投资合并方以支付现金、转让非现金资产或承担债务方式作为合并对价的，本公司</w:t>
      </w:r>
      <w:r>
        <w:rPr/>
        <w:t> 在合并日按照所取得的被合并方在最终控制方合并财务报表中的净资产的账面价值的份额作为长期股权投资的初始投资成 </w:t>
      </w:r>
      <w:r>
        <w:rPr>
          <w:spacing w:val="-2"/>
        </w:rPr>
        <w:t>本。被合并方在合并日的净资产账面价值为负数的，长期股权投资成本按零确定。如果被合并方在被合并以前，是最终控制</w:t>
      </w:r>
      <w:r>
        <w:rPr>
          <w:spacing w:val="-66"/>
        </w:rPr>
        <w:t> </w:t>
      </w:r>
      <w:r>
        <w:rPr>
          <w:spacing w:val="-66"/>
        </w:rPr>
      </w:r>
      <w:r>
        <w:rPr>
          <w:spacing w:val="-2"/>
        </w:rPr>
        <w:t>方通过非同一控制下的企业合并所控制的，则合并方长期股权投资的初始投资成本包含了相关的商誉金额。长期股权投资的</w:t>
      </w:r>
      <w:r>
        <w:rPr>
          <w:spacing w:val="-64"/>
        </w:rPr>
        <w:t> </w:t>
      </w:r>
      <w:r>
        <w:rPr>
          <w:spacing w:val="-64"/>
        </w:rPr>
      </w:r>
      <w:r>
        <w:rPr>
          <w:spacing w:val="-2"/>
        </w:rPr>
        <w:t>初始投资成本与支付的现金、转让的非现金资产及所承担债务账面价值之间的差额，应当调整资本公积（资本溢价或股本溢</w:t>
      </w:r>
      <w:r>
        <w:rPr>
          <w:spacing w:val="-65"/>
        </w:rPr>
        <w:t> </w:t>
      </w:r>
      <w:r>
        <w:rPr>
          <w:spacing w:val="-65"/>
        </w:rPr>
      </w:r>
      <w:r>
        <w:rPr>
          <w:spacing w:val="-2"/>
        </w:rPr>
        <w:t>价）；资本公积（资本溢价或股本溢价）的余额不足冲减的，依次冲减盈余公积和未分配利润。合并方以发行权益性工具作</w:t>
      </w:r>
      <w:r>
        <w:rPr>
          <w:spacing w:val="-68"/>
        </w:rPr>
        <w:t> </w:t>
      </w:r>
      <w:r>
        <w:rPr>
          <w:spacing w:val="-68"/>
        </w:rPr>
      </w:r>
      <w:r>
        <w:rPr>
          <w:spacing w:val="-2"/>
        </w:rPr>
        <w:t>为合并对价的，按发行股份的面值总额作为股本，长期股权投资的初始投资成本与所发行股份面值总额之间的差额，调整资</w:t>
      </w:r>
      <w:r>
        <w:rPr>
          <w:spacing w:val="-66"/>
        </w:rPr>
        <w:t> </w:t>
      </w:r>
      <w:r>
        <w:rPr>
          <w:spacing w:val="-66"/>
        </w:rPr>
      </w:r>
      <w:r>
        <w:rPr/>
        <w:t>本公积（资本溢价或股本溢价）；资本公积（资本溢价或股本溢价）不足冲减的，依次冲减盈余公积和未分配利润。</w:t>
      </w:r>
    </w:p>
    <w:p>
      <w:pPr>
        <w:pStyle w:val="BodyText"/>
        <w:spacing w:line="319" w:lineRule="auto" w:before="56"/>
        <w:ind w:right="1131" w:firstLine="360"/>
        <w:jc w:val="both"/>
      </w:pPr>
      <w:r>
        <w:rPr>
          <w:spacing w:val="-2"/>
        </w:rPr>
        <w:t>合并方发生的审计、法律服务、评估咨询等中介费用以及其他相关管理费用，于发生时计人当期损益。与发行权益性工</w:t>
      </w:r>
      <w:r>
        <w:rPr/>
        <w:t> </w:t>
      </w:r>
      <w:r>
        <w:rPr>
          <w:spacing w:val="-2"/>
        </w:rPr>
        <w:t>具作为合并对价直接相关的交易费用，冲减资本公积（股本溢价），资本公积（股本溢价）不足冲减的，依次冲减盈余公积</w:t>
      </w:r>
      <w:r>
        <w:rPr>
          <w:spacing w:val="-72"/>
        </w:rPr>
        <w:t> </w:t>
      </w:r>
      <w:r>
        <w:rPr>
          <w:spacing w:val="-72"/>
        </w:rPr>
      </w:r>
      <w:r>
        <w:rPr/>
        <w:t>和未分配利润。与发行债务性工具作为合并对价直接相关的交易费用，计入债务性工具的初始确认金额。</w:t>
      </w:r>
    </w:p>
    <w:p>
      <w:pPr>
        <w:pStyle w:val="BodyText"/>
        <w:spacing w:line="316" w:lineRule="auto" w:before="55"/>
        <w:ind w:right="0" w:firstLine="360"/>
        <w:jc w:val="left"/>
      </w:pPr>
      <w:r>
        <w:rPr>
          <w:spacing w:val="-2"/>
        </w:rPr>
        <w:t>通过多次交易分步实现同一控制下企业合并，属于一揽子交易的，合并方应当将各项交易作为一项取得控制权的交易进</w:t>
      </w:r>
      <w:r>
        <w:rPr/>
        <w:t> </w:t>
      </w:r>
      <w:r>
        <w:rPr>
          <w:spacing w:val="-2"/>
        </w:rPr>
        <w:t>行会计处理。不属于“一揽子交易”的，在母公司财务报表中，以合并日持股比例计算的合并日应享有被合并方账面所有者</w:t>
      </w:r>
    </w:p>
    <w:p>
      <w:pPr>
        <w:spacing w:after="0" w:line="316"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9" w:lineRule="auto" w:before="44"/>
        <w:ind w:right="0"/>
        <w:jc w:val="left"/>
      </w:pPr>
      <w:r>
        <w:rPr>
          <w:spacing w:val="-2"/>
        </w:rPr>
        <w:t>权益份额作为该项投资的初始投资成本，初始投资成本与其原长期股权投资账面价值加上合并日取得进一步股份新支付对价</w:t>
      </w:r>
      <w:r>
        <w:rPr>
          <w:spacing w:val="-64"/>
        </w:rPr>
        <w:t> </w:t>
      </w:r>
      <w:r>
        <w:rPr>
          <w:spacing w:val="-64"/>
        </w:rPr>
      </w:r>
      <w:r>
        <w:rPr/>
        <w:t>的账面价值之和的差额，调整资本公积（股本溢价），资本公积不足冲减的，冲减留存收益。</w:t>
      </w:r>
    </w:p>
    <w:p>
      <w:pPr>
        <w:pStyle w:val="BodyText"/>
        <w:spacing w:line="319" w:lineRule="auto" w:before="55"/>
        <w:ind w:right="1132" w:firstLine="360"/>
        <w:jc w:val="both"/>
      </w:pPr>
      <w:r>
        <w:rPr>
          <w:spacing w:val="-2"/>
        </w:rPr>
        <w:t>在合并财务报表中，合并方在达到合并之前持有的长期股权投资，在取得日与合并方与被合并方向处于同一最终控制之</w:t>
      </w:r>
      <w:r>
        <w:rPr/>
        <w:t> </w:t>
      </w:r>
      <w:r>
        <w:rPr>
          <w:spacing w:val="-2"/>
        </w:rPr>
        <w:t>日孰晚日与合并日之间已确认有关损益、其他综合收益和其他所有者权益变动，应分别冲减比较报表期间的期初留存收益或</w:t>
      </w:r>
      <w:r>
        <w:rPr>
          <w:spacing w:val="-64"/>
        </w:rPr>
        <w:t> </w:t>
      </w:r>
      <w:r>
        <w:rPr>
          <w:spacing w:val="-64"/>
        </w:rPr>
      </w:r>
      <w:r>
        <w:rPr/>
        <w:t>当期损益。</w:t>
      </w:r>
    </w:p>
    <w:p>
      <w:pPr>
        <w:pStyle w:val="Heading3"/>
        <w:spacing w:line="240" w:lineRule="auto" w:before="111"/>
        <w:ind w:left="536" w:right="0"/>
        <w:jc w:val="left"/>
        <w:rPr>
          <w:b w:val="0"/>
          <w:bCs w:val="0"/>
        </w:rPr>
      </w:pPr>
      <w:r>
        <w:rPr>
          <w:rFonts w:ascii="宋体" w:hAnsi="宋体" w:cs="宋体" w:eastAsia="宋体" w:hint="default"/>
        </w:rPr>
        <w:t>2</w:t>
      </w:r>
      <w:r>
        <w:rPr/>
        <w:t>）非同一控制下的企业合并</w:t>
      </w:r>
      <w:r>
        <w:rPr>
          <w:b w:val="0"/>
          <w:bCs w:val="0"/>
        </w:rPr>
      </w:r>
    </w:p>
    <w:p>
      <w:pPr>
        <w:pStyle w:val="BodyText"/>
        <w:spacing w:line="319" w:lineRule="auto" w:before="102"/>
        <w:ind w:left="113" w:right="1130" w:firstLine="360"/>
        <w:jc w:val="both"/>
      </w:pPr>
      <w:r>
        <w:rPr>
          <w:spacing w:val="-2"/>
        </w:rPr>
        <w:t>参与合并的各方在合并前后不受同一方或相同的多方最终控制的，为非同一控制下的企业合并。非同一控制下的企业合</w:t>
      </w:r>
      <w:r>
        <w:rPr/>
        <w:t> </w:t>
      </w:r>
      <w:r>
        <w:rPr>
          <w:spacing w:val="-2"/>
        </w:rPr>
        <w:t>并，在购买日取得对其他参与合并企业控制权的一方为购买方，参与合并的其他企业为被购买方。购买日，是指购买方实际</w:t>
      </w:r>
      <w:r>
        <w:rPr>
          <w:spacing w:val="-65"/>
        </w:rPr>
        <w:t> </w:t>
      </w:r>
      <w:r>
        <w:rPr>
          <w:spacing w:val="-65"/>
        </w:rPr>
      </w:r>
      <w:r>
        <w:rPr/>
        <w:t>取得对被购买方控制权的日期。</w:t>
      </w:r>
    </w:p>
    <w:p>
      <w:pPr>
        <w:pStyle w:val="BodyText"/>
        <w:spacing w:line="314" w:lineRule="auto" w:before="55"/>
        <w:ind w:left="113" w:right="1130" w:firstLine="360"/>
        <w:jc w:val="both"/>
      </w:pPr>
      <w:r>
        <w:rPr>
          <w:spacing w:val="-2"/>
        </w:rPr>
        <w:t>对于非同一控制下的企业合并，合并成本为购买方在购买日为取得对被购买方的控制权而付出的资产、发生或承担的负</w:t>
      </w:r>
      <w:r>
        <w:rPr/>
        <w:t> </w:t>
      </w:r>
      <w:r>
        <w:rPr>
          <w:spacing w:val="-2"/>
        </w:rPr>
        <w:t>债以及发行的权益性证券的公允价值之和。购买方为企业合并发生的审计、法律服务、评估咨询等中介费用以及其他相关管</w:t>
      </w:r>
      <w:r>
        <w:rPr>
          <w:spacing w:val="-66"/>
        </w:rPr>
        <w:t> </w:t>
      </w:r>
      <w:r>
        <w:rPr>
          <w:spacing w:val="-66"/>
        </w:rPr>
      </w:r>
      <w:r>
        <w:rPr>
          <w:spacing w:val="-2"/>
        </w:rPr>
        <w:t>理费用，应于发生时计入当期损益。购买方作为合并对价发行的权益性工具或债务性工具的交易费用，应当计人权益性工具</w:t>
      </w:r>
      <w:r>
        <w:rPr>
          <w:spacing w:val="-66"/>
        </w:rPr>
        <w:t> </w:t>
      </w:r>
      <w:r>
        <w:rPr>
          <w:spacing w:val="-66"/>
        </w:rPr>
      </w:r>
      <w:r>
        <w:rPr/>
        <w:t>或债务性工具的初始确认金额。所涉及的或有对价按其在购买日的公允价值计入合并成本，购买日后</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个月内出现对购买 日已存在情况的新的或进一步证据而需要调整或有对价的，相应调整合并商誉。</w:t>
      </w:r>
    </w:p>
    <w:p>
      <w:pPr>
        <w:pStyle w:val="BodyText"/>
        <w:spacing w:line="319" w:lineRule="auto" w:before="59"/>
        <w:ind w:right="1131" w:firstLine="360"/>
        <w:jc w:val="both"/>
      </w:pPr>
      <w:r>
        <w:rPr>
          <w:spacing w:val="-2"/>
        </w:rPr>
        <w:t>购买方发生的合并成本及在合并中取得的可辨认净资产按购买日的公允价值计量。合并成本大于合并中取得的被购买方</w:t>
      </w:r>
      <w:r>
        <w:rPr/>
        <w:t> </w:t>
      </w:r>
      <w:r>
        <w:rPr>
          <w:spacing w:val="-2"/>
        </w:rPr>
        <w:t>于购买日可辨认净资产公允价值份额的差额，确认为商誉。合并成本小于合并中取得的被购买方可辨认净资产公允价值份额</w:t>
      </w:r>
      <w:r>
        <w:rPr>
          <w:spacing w:val="-64"/>
        </w:rPr>
        <w:t> </w:t>
      </w:r>
      <w:r>
        <w:rPr>
          <w:spacing w:val="-64"/>
        </w:rPr>
      </w:r>
      <w:r>
        <w:rPr>
          <w:spacing w:val="-2"/>
        </w:rPr>
        <w:t>的，首先对取得的被购买方各项可辨认资产、负债及或有负债的公允价值以及合并成本的计量进行复核，复核后合并成本仍</w:t>
      </w:r>
      <w:r>
        <w:rPr>
          <w:spacing w:val="-66"/>
        </w:rPr>
        <w:t> </w:t>
      </w:r>
      <w:r>
        <w:rPr>
          <w:spacing w:val="-66"/>
        </w:rPr>
      </w:r>
      <w:r>
        <w:rPr/>
        <w:t>小于合并中取得的被购买方可辨认净资产该公允价值份额的，其差额计入当期损益。</w:t>
      </w:r>
    </w:p>
    <w:p>
      <w:pPr>
        <w:pStyle w:val="BodyText"/>
        <w:spacing w:line="319" w:lineRule="auto" w:before="56"/>
        <w:ind w:left="113" w:right="1131" w:firstLine="360"/>
        <w:jc w:val="both"/>
      </w:pPr>
      <w:r>
        <w:rPr>
          <w:spacing w:val="-2"/>
        </w:rPr>
        <w:t>通过多次交易分步实现非同一控制下企业合并的，在母公司财务报表中，以购买日之前所持被购买方的股权投资的账面</w:t>
      </w:r>
      <w:r>
        <w:rPr/>
        <w:t> 价值与购买日新增投资成本之和，作为项投资的初始投资成本。</w:t>
      </w:r>
    </w:p>
    <w:p>
      <w:pPr>
        <w:pStyle w:val="BodyText"/>
        <w:spacing w:line="319" w:lineRule="auto" w:before="55"/>
        <w:ind w:right="0" w:firstLine="360"/>
        <w:jc w:val="left"/>
      </w:pPr>
      <w:r>
        <w:rPr>
          <w:spacing w:val="-2"/>
        </w:rPr>
        <w:t>在合并应当转为购买日所属当期投资收益，不能重分类计入当期损益的其他综合收益除外。财务报表中，对于购买日之</w:t>
      </w:r>
      <w:r>
        <w:rPr/>
        <w:t> </w:t>
      </w:r>
      <w:r>
        <w:rPr>
          <w:spacing w:val="-4"/>
        </w:rPr>
        <w:t>前持有的被购买方的股权，按照该股权在购买日的公允价值进行重新计量，公允价值与其账面价值的差额计入当期投资收益；</w:t>
      </w:r>
      <w:r>
        <w:rPr>
          <w:spacing w:val="-44"/>
        </w:rPr>
        <w:t> </w:t>
      </w:r>
      <w:r>
        <w:rPr>
          <w:spacing w:val="-44"/>
        </w:rPr>
      </w:r>
      <w:r>
        <w:rPr/>
        <w:t>购买日之前持有的被购买方的股权涉及其他综合收益的，与其相关的其他综合收益。</w:t>
      </w:r>
    </w:p>
    <w:p>
      <w:pPr>
        <w:pStyle w:val="BodyText"/>
        <w:spacing w:line="319" w:lineRule="auto" w:before="55"/>
        <w:ind w:left="113" w:right="0" w:firstLine="360"/>
        <w:jc w:val="left"/>
      </w:pPr>
      <w:r>
        <w:rPr/>
        <w:t>本公司以购买日之前所持被购买方的股权于购买日的公允价值与与购买日新购入股权所支付对价的公允价值之和作为 </w:t>
      </w:r>
      <w:r>
        <w:rPr>
          <w:spacing w:val="-2"/>
        </w:rPr>
        <w:t>合并成本，与购买方取得的按购买日持股比例计算应享有的被购买方可辨认净资产于购买日的公允价值的份额比较，确定购</w:t>
      </w:r>
      <w:r>
        <w:rPr>
          <w:spacing w:val="-64"/>
        </w:rPr>
        <w:t> </w:t>
      </w:r>
      <w:r>
        <w:rPr>
          <w:spacing w:val="-64"/>
        </w:rPr>
      </w:r>
      <w:r>
        <w:rPr/>
        <w:t>买日应予确认的商誉或应计入合并当期损益的金额。</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1"/>
      <w:bookmarkEnd w:id="17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6" w:right="0"/>
        <w:jc w:val="left"/>
        <w:rPr>
          <w:b w:val="0"/>
          <w:bCs w:val="0"/>
        </w:rPr>
      </w:pPr>
      <w:r>
        <w:rPr>
          <w:rFonts w:ascii="宋体" w:hAnsi="宋体" w:cs="宋体" w:eastAsia="宋体" w:hint="default"/>
        </w:rPr>
        <w:t>1</w:t>
      </w:r>
      <w:r>
        <w:rPr/>
        <w:t>）合并财务报表范围</w:t>
      </w:r>
      <w:r>
        <w:rPr>
          <w:b w:val="0"/>
          <w:bCs w:val="0"/>
        </w:rPr>
      </w:r>
    </w:p>
    <w:p>
      <w:pPr>
        <w:pStyle w:val="BodyText"/>
        <w:spacing w:line="240" w:lineRule="auto" w:before="103"/>
        <w:ind w:left="474" w:right="0"/>
        <w:jc w:val="left"/>
      </w:pPr>
      <w:r>
        <w:rPr/>
        <w:t>公司对合并财务报表的合并范围以控制为基础予以确定。本公司将全部子公司纳入合并财务报表范围。</w:t>
      </w:r>
    </w:p>
    <w:p>
      <w:pPr>
        <w:spacing w:line="240" w:lineRule="auto" w:before="1"/>
        <w:rPr>
          <w:rFonts w:ascii="宋体" w:hAnsi="宋体" w:cs="宋体" w:eastAsia="宋体" w:hint="default"/>
          <w:sz w:val="13"/>
          <w:szCs w:val="13"/>
        </w:rPr>
      </w:pPr>
    </w:p>
    <w:p>
      <w:pPr>
        <w:pStyle w:val="Heading3"/>
        <w:spacing w:line="240" w:lineRule="auto"/>
        <w:ind w:left="536" w:right="0"/>
        <w:jc w:val="left"/>
        <w:rPr>
          <w:b w:val="0"/>
          <w:bCs w:val="0"/>
        </w:rPr>
      </w:pPr>
      <w:r>
        <w:rPr>
          <w:rFonts w:ascii="宋体" w:hAnsi="宋体" w:cs="宋体" w:eastAsia="宋体" w:hint="default"/>
        </w:rPr>
        <w:t>2</w:t>
      </w:r>
      <w:r>
        <w:rPr/>
        <w:t>）统一母子公司的会计政策、统一母子公司的资产负债表日及会计期间</w:t>
      </w:r>
      <w:r>
        <w:rPr>
          <w:b w:val="0"/>
          <w:bCs w:val="0"/>
        </w:rPr>
      </w:r>
    </w:p>
    <w:p>
      <w:pPr>
        <w:pStyle w:val="BodyText"/>
        <w:spacing w:line="316" w:lineRule="auto" w:before="103"/>
        <w:ind w:right="1132" w:firstLine="360"/>
        <w:jc w:val="both"/>
      </w:pPr>
      <w:r>
        <w:rPr>
          <w:spacing w:val="-2"/>
        </w:rPr>
        <w:t>子公司与本公司采用的会计政策或会计期间不一致的，在编制合并财务报表时，按照本公司的会计政策或会计期间对子</w:t>
      </w:r>
      <w:r>
        <w:rPr/>
        <w:t> </w:t>
      </w:r>
      <w:r>
        <w:rPr>
          <w:spacing w:val="-2"/>
        </w:rPr>
        <w:t>公司财务报表进行必要的调整。对非同一控制下企业合并取得的子公司，已按照购买日该子公司可辨认的资产、负债及或有</w:t>
      </w:r>
      <w:r>
        <w:rPr>
          <w:spacing w:val="-66"/>
        </w:rPr>
        <w:t> </w:t>
      </w:r>
      <w:r>
        <w:rPr>
          <w:spacing w:val="-66"/>
        </w:rPr>
      </w:r>
      <w:r>
        <w:rPr/>
        <w:t>负债的公允价值对子公司财务报表进行了相应的调整。</w:t>
      </w:r>
    </w:p>
    <w:p>
      <w:pPr>
        <w:pStyle w:val="Heading3"/>
        <w:spacing w:line="240" w:lineRule="auto" w:before="112"/>
        <w:ind w:left="536" w:right="0"/>
        <w:jc w:val="left"/>
        <w:rPr>
          <w:b w:val="0"/>
          <w:bCs w:val="0"/>
        </w:rPr>
      </w:pPr>
      <w:r>
        <w:rPr>
          <w:rFonts w:ascii="宋体" w:hAnsi="宋体" w:cs="宋体" w:eastAsia="宋体" w:hint="default"/>
        </w:rPr>
        <w:t>3</w:t>
      </w:r>
      <w:r>
        <w:rPr/>
        <w:t>）合并财务报表抵销事项</w:t>
      </w:r>
      <w:r>
        <w:rPr>
          <w:b w:val="0"/>
          <w:bCs w:val="0"/>
        </w:rPr>
      </w:r>
    </w:p>
    <w:p>
      <w:pPr>
        <w:pStyle w:val="BodyText"/>
        <w:spacing w:line="319" w:lineRule="auto" w:before="103"/>
        <w:ind w:right="1131" w:firstLine="360"/>
        <w:jc w:val="both"/>
      </w:pPr>
      <w:r>
        <w:rPr>
          <w:spacing w:val="-2"/>
        </w:rPr>
        <w:t>合并财务报表以母公司和子公司的资产负债表为基础，已抵销了母公司与子公司、子公司相互之间发生的内部交易。子</w:t>
      </w:r>
      <w:r>
        <w:rPr/>
        <w:t> </w:t>
      </w:r>
      <w:r>
        <w:rPr>
          <w:spacing w:val="-2"/>
        </w:rPr>
        <w:t>公司所有者权益中不属于母公司的份额，作为少数股东权益，在合并资产负债表中所有者权益项目下以“少数股东权益”项</w:t>
      </w:r>
      <w:r>
        <w:rPr>
          <w:spacing w:val="-66"/>
        </w:rPr>
        <w:t> </w:t>
      </w:r>
      <w:r>
        <w:rPr>
          <w:spacing w:val="-66"/>
        </w:rPr>
      </w:r>
      <w:r>
        <w:rPr/>
        <w:t>目列示。</w:t>
      </w:r>
    </w:p>
    <w:p>
      <w:pPr>
        <w:pStyle w:val="BodyText"/>
        <w:spacing w:line="319" w:lineRule="auto" w:before="56"/>
        <w:ind w:right="1133" w:firstLine="360"/>
        <w:jc w:val="both"/>
      </w:pPr>
      <w:r>
        <w:rPr>
          <w:spacing w:val="-2"/>
        </w:rPr>
        <w:t>子公司持有母公司的长期股权投资，视为企业集团的库存股，作为所有者权益的减项，在合并资产负债表中所有者权益</w:t>
      </w:r>
      <w:r>
        <w:rPr/>
        <w:t> 项目下以“减：库存股”项目列示。</w:t>
      </w:r>
    </w:p>
    <w:p>
      <w:pPr>
        <w:spacing w:after="0" w:line="319"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left="536" w:right="0"/>
        <w:jc w:val="left"/>
        <w:rPr>
          <w:b w:val="0"/>
          <w:bCs w:val="0"/>
        </w:rPr>
      </w:pPr>
      <w:r>
        <w:rPr>
          <w:rFonts w:ascii="宋体" w:hAnsi="宋体" w:cs="宋体" w:eastAsia="宋体" w:hint="default"/>
        </w:rPr>
        <w:t>4</w:t>
      </w:r>
      <w:r>
        <w:rPr/>
        <w:t>）合并取得子公司会计处理</w:t>
      </w:r>
      <w:r>
        <w:rPr>
          <w:b w:val="0"/>
          <w:bCs w:val="0"/>
        </w:rPr>
      </w:r>
    </w:p>
    <w:p>
      <w:pPr>
        <w:pStyle w:val="BodyText"/>
        <w:spacing w:line="316" w:lineRule="auto" w:before="103"/>
        <w:ind w:right="1131" w:firstLine="360"/>
        <w:jc w:val="both"/>
      </w:pPr>
      <w:r>
        <w:rPr>
          <w:spacing w:val="-2"/>
        </w:rPr>
        <w:t>对于同一控制下企业合并取得的子公司，视同该企业合并于自最终控制方开始实际控制时已经发生，从合并当期的期初</w:t>
      </w:r>
      <w:r>
        <w:rPr/>
        <w:t> </w:t>
      </w:r>
      <w:r>
        <w:rPr>
          <w:spacing w:val="-2"/>
        </w:rPr>
        <w:t>起将其资产、负债、经营成果和现金流量纳入合并财务报表；对于非同一控制下企业合并取得的子公司，在编制合并财务报</w:t>
      </w:r>
      <w:r>
        <w:rPr>
          <w:spacing w:val="-66"/>
        </w:rPr>
        <w:t> </w:t>
      </w:r>
      <w:r>
        <w:rPr>
          <w:spacing w:val="-66"/>
        </w:rPr>
      </w:r>
      <w:r>
        <w:rPr/>
        <w:t>表时，以购买日可辨认净资产公允价值为基础对其个别财务报表进行调整。</w:t>
      </w:r>
    </w:p>
    <w:p>
      <w:pPr>
        <w:pStyle w:val="BodyText"/>
        <w:spacing w:line="319" w:lineRule="auto" w:before="59"/>
        <w:ind w:right="0" w:firstLine="360"/>
        <w:jc w:val="left"/>
      </w:pPr>
      <w:r>
        <w:rPr>
          <w:spacing w:val="-2"/>
        </w:rPr>
        <w:t>对于因非同一控制企业合并形成的子公司，合并成本大于合并中取得的子公司可辨认净资产公允价值份额的差额，不调</w:t>
      </w:r>
      <w:r>
        <w:rPr/>
        <w:t> 整投资成本，在合并财务报表中列作商誉。</w:t>
      </w:r>
    </w:p>
    <w:p>
      <w:pPr>
        <w:pStyle w:val="BodyText"/>
        <w:spacing w:line="319" w:lineRule="auto" w:before="55"/>
        <w:ind w:left="113" w:right="0" w:firstLine="360"/>
        <w:jc w:val="left"/>
      </w:pPr>
      <w:r>
        <w:rPr>
          <w:spacing w:val="-2"/>
        </w:rPr>
        <w:t>对于报告期内增加的子公司，若属于同一控制下企业合并的，调整合并资产负债表的期初数，并将该子公司当期期初至</w:t>
      </w:r>
      <w:r>
        <w:rPr/>
        <w:t> </w:t>
      </w:r>
      <w:r>
        <w:rPr>
          <w:spacing w:val="-4"/>
        </w:rPr>
        <w:t>报告期末的收入、费用、利润纳入合并利润表，将同期的现金流量纳入合并现金流量表；若属于非同一控制下的企业合并的，</w:t>
      </w:r>
      <w:r>
        <w:rPr>
          <w:spacing w:val="-46"/>
        </w:rPr>
        <w:t> </w:t>
      </w:r>
      <w:r>
        <w:rPr>
          <w:spacing w:val="-46"/>
        </w:rPr>
      </w:r>
      <w:r>
        <w:rPr>
          <w:spacing w:val="-2"/>
        </w:rPr>
        <w:t>则不调整合并资产负债表的期初数，并将该子公司购买日至报告期末的收入、费用、利润纳入合并利润表，将同期的现金流</w:t>
      </w:r>
      <w:r>
        <w:rPr>
          <w:spacing w:val="-66"/>
        </w:rPr>
        <w:t> </w:t>
      </w:r>
      <w:r>
        <w:rPr>
          <w:spacing w:val="-66"/>
        </w:rPr>
      </w:r>
      <w:r>
        <w:rPr>
          <w:spacing w:val="-2"/>
        </w:rPr>
        <w:t>量纳入合并现金流量表。对于报告期内处置的子公司，不论属于同一控制抑或非同一控制企业合并，均不调整合并资产负债</w:t>
      </w:r>
      <w:r>
        <w:rPr>
          <w:spacing w:val="-66"/>
        </w:rPr>
        <w:t> </w:t>
      </w:r>
      <w:r>
        <w:rPr>
          <w:spacing w:val="-66"/>
        </w:rPr>
      </w:r>
      <w:r>
        <w:rPr/>
        <w:t>表的期初数，并将该子公司期初至处置日收入、费用、利润纳入合并利润表，及同期的现金流量纳入合并现金流量表。</w:t>
      </w:r>
    </w:p>
    <w:p>
      <w:pPr>
        <w:pStyle w:val="Heading3"/>
        <w:spacing w:line="240" w:lineRule="auto" w:before="110"/>
        <w:ind w:left="536" w:right="0"/>
        <w:jc w:val="left"/>
        <w:rPr>
          <w:b w:val="0"/>
          <w:bCs w:val="0"/>
        </w:rPr>
      </w:pPr>
      <w:r>
        <w:rPr>
          <w:rFonts w:ascii="宋体" w:hAnsi="宋体" w:cs="宋体" w:eastAsia="宋体" w:hint="default"/>
        </w:rPr>
        <w:t>5</w:t>
      </w:r>
      <w:r>
        <w:rPr/>
        <w:t>）分步处置子公司股权至丧失控制权的会计处理方法</w:t>
      </w:r>
      <w:r>
        <w:rPr>
          <w:b w:val="0"/>
          <w:bCs w:val="0"/>
        </w:rPr>
      </w:r>
    </w:p>
    <w:p>
      <w:pPr>
        <w:pStyle w:val="BodyText"/>
        <w:spacing w:line="338" w:lineRule="auto" w:before="103"/>
        <w:ind w:right="1132" w:firstLine="360"/>
        <w:jc w:val="both"/>
      </w:pPr>
      <w:r>
        <w:rPr>
          <w:spacing w:val="-2"/>
        </w:rPr>
        <w:t>①不属于“一揽子交易”的分步处置股权至丧失控制权的各项交易在母公司财务报表和合并财务报表中的会计处理方法</w:t>
      </w:r>
      <w:r>
        <w:rPr/>
        <w:t> </w:t>
      </w:r>
      <w:r>
        <w:rPr>
          <w:spacing w:val="-2"/>
        </w:rPr>
        <w:t>对丧失控制权之前的各项交易，母公司财务报表中，出售所得价款与处置长期股权投资账面价值之间的差额计入当期投资收</w:t>
      </w:r>
      <w:r>
        <w:rPr>
          <w:spacing w:val="-64"/>
        </w:rPr>
        <w:t> </w:t>
      </w:r>
      <w:r>
        <w:rPr>
          <w:spacing w:val="-64"/>
        </w:rPr>
      </w:r>
      <w:r>
        <w:rPr>
          <w:spacing w:val="-2"/>
        </w:rPr>
        <w:t>益。在合并报表层面，处置价款与处置长期投资相对应享有子公司自购买日或者合并日开始持续计算的净资产份额之间的差</w:t>
      </w:r>
    </w:p>
    <w:p>
      <w:pPr>
        <w:pStyle w:val="BodyText"/>
        <w:spacing w:line="357" w:lineRule="auto" w:before="4"/>
        <w:ind w:left="474" w:right="0" w:hanging="360"/>
        <w:jc w:val="left"/>
      </w:pPr>
      <w:r>
        <w:rPr/>
        <w:t>额，调整资本公积（股本溢价），不足冲减的，调整留存收益。 </w:t>
      </w:r>
      <w:r>
        <w:rPr>
          <w:spacing w:val="-2"/>
        </w:rPr>
        <w:t>对于失去控制权时的交易，不能再对被投资单位实施控制的、共同控制或重大影响的，母公司财务报表中，对于剩余股</w:t>
      </w:r>
    </w:p>
    <w:p>
      <w:pPr>
        <w:pStyle w:val="BodyText"/>
        <w:spacing w:line="338" w:lineRule="auto"/>
        <w:ind w:left="113" w:right="0"/>
        <w:jc w:val="left"/>
      </w:pPr>
      <w:r>
        <w:rPr/>
        <w:t>权，改按金融工具确认和计量准则进行会计处理，在丧失控制之日的公允价值与账面价值之间的差额计入当期投资收益。 </w:t>
      </w:r>
      <w:r>
        <w:rPr>
          <w:spacing w:val="-2"/>
        </w:rPr>
        <w:t>对于失去控制权时的交易，处置后的剩余股权能够对原有子公司实施共同控制或重大影响的，母公司财务报表中，按有关成</w:t>
      </w:r>
      <w:r>
        <w:rPr>
          <w:spacing w:val="-66"/>
        </w:rPr>
        <w:t> </w:t>
      </w:r>
      <w:r>
        <w:rPr>
          <w:spacing w:val="-66"/>
        </w:rPr>
      </w:r>
      <w:r>
        <w:rPr>
          <w:spacing w:val="-2"/>
        </w:rPr>
        <w:t>本法转为权益法的相关规定进行会计处理。在合并财务报表中，对于剩余股权，按照其在丧失控制权日的公允价值进行重新</w:t>
      </w:r>
    </w:p>
    <w:p>
      <w:pPr>
        <w:pStyle w:val="BodyText"/>
        <w:spacing w:line="319" w:lineRule="auto" w:before="2"/>
        <w:ind w:left="113" w:right="1132"/>
        <w:jc w:val="both"/>
      </w:pPr>
      <w:r>
        <w:rPr>
          <w:spacing w:val="-2"/>
        </w:rPr>
        <w:t>计量。处置股权取得的对价与剩余股权公允价值之和，减去按原持股比例计算应享有原有子公司自购买日开始持续计算的净</w:t>
      </w:r>
      <w:r>
        <w:rPr>
          <w:spacing w:val="-64"/>
        </w:rPr>
        <w:t> </w:t>
      </w:r>
      <w:r>
        <w:rPr>
          <w:spacing w:val="-64"/>
        </w:rPr>
      </w:r>
      <w:r>
        <w:rPr>
          <w:spacing w:val="-2"/>
        </w:rPr>
        <w:t>资产的份额之间的差额，计入丧失控制权当期的投资收益。与原有子公司股权投资相关的其他综合收益，在丧失控制权时转</w:t>
      </w:r>
      <w:r>
        <w:rPr>
          <w:spacing w:val="-66"/>
        </w:rPr>
        <w:t> </w:t>
      </w:r>
      <w:r>
        <w:rPr>
          <w:spacing w:val="-66"/>
        </w:rPr>
      </w:r>
      <w:r>
        <w:rPr/>
        <w:t>为当期投资收益。</w:t>
      </w:r>
    </w:p>
    <w:p>
      <w:pPr>
        <w:pStyle w:val="BodyText"/>
        <w:spacing w:line="338" w:lineRule="auto" w:before="58"/>
        <w:ind w:left="113" w:right="0" w:firstLine="360"/>
        <w:jc w:val="left"/>
      </w:pPr>
      <w:r>
        <w:rPr/>
        <w:t>②属于“一揽子交易”的分步处置股权至丧失控制权的各项交易在母公司财务报表和合并财务报表中的会计处理方法 </w:t>
      </w:r>
      <w:r>
        <w:rPr>
          <w:spacing w:val="-2"/>
        </w:rPr>
        <w:t>对于属于“一揽子交易”的，将各项交易作为一项处置子公司并丧失控制权的交易进行会计处理。在母公司财务报表中将每</w:t>
      </w:r>
      <w:r>
        <w:rPr>
          <w:spacing w:val="-66"/>
        </w:rPr>
        <w:t> </w:t>
      </w:r>
      <w:r>
        <w:rPr>
          <w:spacing w:val="-66"/>
        </w:rPr>
      </w:r>
      <w:r>
        <w:rPr>
          <w:spacing w:val="-2"/>
        </w:rPr>
        <w:t>一次处置价款与处置投资对应的账面价值的差额确认为当期投资收益。在合并财务报表中，对于失去控制权之前的每一次交</w:t>
      </w:r>
    </w:p>
    <w:p>
      <w:pPr>
        <w:pStyle w:val="BodyText"/>
        <w:spacing w:line="319" w:lineRule="auto" w:before="2"/>
        <w:ind w:left="113" w:right="0"/>
        <w:jc w:val="left"/>
      </w:pPr>
      <w:r>
        <w:rPr>
          <w:spacing w:val="-2"/>
        </w:rPr>
        <w:t>易，将处置价款与处置投资对应的享有该子公司自购买日开始持续计算的净资产账面价值份额之间的差额确认为其他综合收</w:t>
      </w:r>
      <w:r>
        <w:rPr>
          <w:spacing w:val="-63"/>
        </w:rPr>
        <w:t> </w:t>
      </w:r>
      <w:r>
        <w:rPr>
          <w:spacing w:val="-63"/>
        </w:rPr>
      </w:r>
      <w:r>
        <w:rPr/>
        <w:t>益，在丧失控制权时一并转入丧失控制权当期的损益。</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7、合营安排分类及共同经营会计处理方法" w:id="172"/>
      <w:bookmarkEnd w:id="17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2" w:firstLine="360"/>
        <w:jc w:val="left"/>
      </w:pPr>
      <w:r>
        <w:rPr/>
        <w:t>合营安排，是指一项由两个或两个以上的参与方共同控制的安排。本公司根据在合营安排中享有的权利和承担的义务， 将合营安排分为共同经营和合营企业。</w:t>
      </w:r>
    </w:p>
    <w:p>
      <w:pPr>
        <w:pStyle w:val="BodyText"/>
        <w:spacing w:line="360" w:lineRule="auto" w:before="56"/>
        <w:ind w:left="474" w:right="2472"/>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26"/>
        <w:ind w:left="474" w:right="0"/>
        <w:jc w:val="left"/>
      </w:pPr>
      <w:r>
        <w:rPr/>
        <w:t>①确认本公司单独所持有的资产，以及按本公司份额确认共同持有的资产；</w:t>
      </w:r>
    </w:p>
    <w:p>
      <w:pPr>
        <w:pStyle w:val="BodyText"/>
        <w:spacing w:line="240" w:lineRule="auto" w:before="116"/>
        <w:ind w:left="474" w:right="0"/>
        <w:jc w:val="left"/>
      </w:pPr>
      <w:r>
        <w:rPr/>
        <w:t>②确认本公司单独所承担的负债，以及按本公司份额确认共同承担的负债；</w:t>
      </w:r>
    </w:p>
    <w:p>
      <w:pPr>
        <w:pStyle w:val="BodyText"/>
        <w:spacing w:line="240" w:lineRule="auto" w:before="117"/>
        <w:ind w:left="474" w:right="0"/>
        <w:jc w:val="left"/>
      </w:pPr>
      <w:r>
        <w:rPr/>
        <w:t>③确认出售本公司享有的共同经营产出份额所产生的收入；</w:t>
      </w:r>
    </w:p>
    <w:p>
      <w:pPr>
        <w:pStyle w:val="BodyText"/>
        <w:spacing w:line="240" w:lineRule="auto" w:before="116"/>
        <w:ind w:left="474" w:right="0"/>
        <w:jc w:val="left"/>
      </w:pPr>
      <w:r>
        <w:rPr/>
        <w:t>④按本公司份额确认共同经营因出售产出所产生的收入；</w:t>
      </w:r>
    </w:p>
    <w:p>
      <w:pPr>
        <w:pStyle w:val="BodyText"/>
        <w:spacing w:line="357" w:lineRule="auto" w:before="116"/>
        <w:ind w:left="474" w:right="0"/>
        <w:jc w:val="left"/>
      </w:pPr>
      <w:r>
        <w:rPr/>
        <w:t>⑤确认单独所发生的费用，以及按本公司份额确认共同经营发生的费用。 </w:t>
      </w:r>
      <w:r>
        <w:rPr>
          <w:spacing w:val="-2"/>
        </w:rPr>
        <w:t>合营企业，是指本公司仅对该安排的净资产享有权利的合营安排。本公司对合营企业的投资采用权益法核算，相关会计</w:t>
      </w:r>
    </w:p>
    <w:p>
      <w:pPr>
        <w:pStyle w:val="BodyText"/>
        <w:spacing w:line="225" w:lineRule="exact"/>
        <w:ind w:right="0"/>
        <w:jc w:val="left"/>
      </w:pPr>
      <w:r>
        <w:rPr/>
        <w:t>政策见本附注“三、（十四）长期股权投资”。</w:t>
      </w:r>
    </w:p>
    <w:p>
      <w:pPr>
        <w:spacing w:after="0" w:line="225" w:lineRule="exact"/>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8、现金及现金等价物的确定标准" w:id="173"/>
      <w:bookmarkEnd w:id="17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32" w:firstLine="360"/>
        <w:jc w:val="left"/>
      </w:pPr>
      <w:r>
        <w:rPr/>
        <w:t>列示于现金流量表中的现金是指库存现金及可以随时用于支付的存款；现金等价物是指公司持有的期限短、流动性强、 易于转换为已知金额现金、价值变动风险很小的投资。</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36" w:right="0"/>
        <w:jc w:val="left"/>
        <w:rPr>
          <w:b w:val="0"/>
          <w:bCs w:val="0"/>
        </w:rPr>
      </w:pPr>
      <w:r>
        <w:rPr>
          <w:rFonts w:ascii="宋体" w:hAnsi="宋体" w:cs="宋体" w:eastAsia="宋体" w:hint="default"/>
        </w:rPr>
        <w:t>1</w:t>
      </w:r>
      <w:r>
        <w:rPr/>
        <w:t>）外币业务折算</w:t>
      </w:r>
      <w:r>
        <w:rPr>
          <w:b w:val="0"/>
          <w:bCs w:val="0"/>
        </w:rPr>
      </w:r>
    </w:p>
    <w:p>
      <w:pPr>
        <w:pStyle w:val="BodyText"/>
        <w:spacing w:line="357" w:lineRule="auto" w:before="103"/>
        <w:ind w:left="474" w:right="0"/>
        <w:jc w:val="left"/>
      </w:pPr>
      <w:r>
        <w:rPr/>
        <w:t>本公司对发生的外币交易，采用交易发生日的即期汇率折算人民币入账。 </w:t>
      </w:r>
      <w:r>
        <w:rPr>
          <w:spacing w:val="-2"/>
        </w:rPr>
        <w:t>资产负债表日外币货币性项目按资产负债表日即期汇率折算，因该日的即期汇率与初始确认时或者前一资产负债表日即</w:t>
      </w:r>
    </w:p>
    <w:p>
      <w:pPr>
        <w:pStyle w:val="BodyText"/>
        <w:spacing w:line="224" w:lineRule="exact"/>
        <w:ind w:right="0"/>
        <w:jc w:val="left"/>
      </w:pPr>
      <w:r>
        <w:rPr/>
        <w:t>期汇率不同而产生的汇兑差额</w:t>
      </w:r>
      <w:r>
        <w:rPr>
          <w:spacing w:val="-82"/>
        </w:rPr>
        <w:t>，</w:t>
      </w:r>
      <w:r>
        <w:rPr/>
        <w:t>除符合资本化条件的外币专门借款的汇兑差额在资本化期间予以资本化计入相关资产的成本</w:t>
      </w:r>
    </w:p>
    <w:p>
      <w:pPr>
        <w:pStyle w:val="BodyText"/>
        <w:spacing w:line="357" w:lineRule="auto" w:before="77"/>
        <w:ind w:left="474" w:right="0" w:hanging="360"/>
        <w:jc w:val="left"/>
      </w:pPr>
      <w:r>
        <w:rPr/>
        <w:t>外，均计入当期损益。 </w:t>
      </w:r>
      <w:r>
        <w:rPr>
          <w:spacing w:val="-2"/>
        </w:rPr>
        <w:t>以历史成本计量的外币非货币性项目，仍采用交易发生日的即期汇率折算，不改变其记账本位币金额。以公允价值计量</w:t>
      </w:r>
    </w:p>
    <w:p>
      <w:pPr>
        <w:pStyle w:val="BodyText"/>
        <w:spacing w:line="224" w:lineRule="exact"/>
        <w:ind w:left="113" w:right="0"/>
        <w:jc w:val="left"/>
      </w:pPr>
      <w:r>
        <w:rPr/>
        <w:t>的外币非货币性项目，采用公允价值确定日的即期汇率折算，折算后的记账本位币金额与原记账本位币金额的差额，作为公</w:t>
      </w:r>
    </w:p>
    <w:p>
      <w:pPr>
        <w:pStyle w:val="BodyText"/>
        <w:spacing w:line="240" w:lineRule="auto" w:before="77"/>
        <w:ind w:left="113" w:right="0"/>
        <w:jc w:val="left"/>
      </w:pPr>
      <w:r>
        <w:rPr/>
        <w:t>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处理，计入当期损益或确认为其他综合收益。</w:t>
      </w:r>
    </w:p>
    <w:p>
      <w:pPr>
        <w:pStyle w:val="Heading3"/>
        <w:spacing w:line="240" w:lineRule="auto" w:before="156"/>
        <w:ind w:left="536" w:right="0"/>
        <w:jc w:val="left"/>
        <w:rPr>
          <w:b w:val="0"/>
          <w:bCs w:val="0"/>
        </w:rPr>
      </w:pPr>
      <w:r>
        <w:rPr>
          <w:rFonts w:ascii="宋体" w:hAnsi="宋体" w:cs="宋体" w:eastAsia="宋体" w:hint="default"/>
        </w:rPr>
        <w:t>2</w:t>
      </w:r>
      <w:r>
        <w:rPr/>
        <w:t>）外币财务报表折算</w:t>
      </w:r>
      <w:r>
        <w:rPr>
          <w:b w:val="0"/>
          <w:bCs w:val="0"/>
        </w:rPr>
      </w:r>
    </w:p>
    <w:p>
      <w:pPr>
        <w:pStyle w:val="BodyText"/>
        <w:spacing w:line="316" w:lineRule="auto" w:before="103"/>
        <w:ind w:right="0" w:firstLine="360"/>
        <w:jc w:val="left"/>
      </w:pPr>
      <w:r>
        <w:rPr>
          <w:spacing w:val="-2"/>
        </w:rPr>
        <w:t>本公司的控股子公司、合营企业、联营企业等，若采用与本公司不同的记账本位币，需对其外币财务报表折算后，再进</w:t>
      </w:r>
      <w:r>
        <w:rPr/>
        <w:t> 行会计核算及合并财务报表的编报。</w:t>
      </w:r>
    </w:p>
    <w:p>
      <w:pPr>
        <w:pStyle w:val="BodyText"/>
        <w:spacing w:line="319" w:lineRule="auto" w:before="58"/>
        <w:ind w:left="113" w:right="1132" w:firstLine="360"/>
        <w:jc w:val="both"/>
      </w:pPr>
      <w:r>
        <w:rPr>
          <w:spacing w:val="-2"/>
        </w:rPr>
        <w:t>资产负债表中的资产和负债项目，采用资产负债表日的即期汇率折算，所有者权益项目除“未分配利润”项目外，其他</w:t>
      </w:r>
      <w:r>
        <w:rPr/>
        <w:t> </w:t>
      </w:r>
      <w:r>
        <w:rPr>
          <w:spacing w:val="-2"/>
        </w:rPr>
        <w:t>项目采用发生时的即期汇率折算。利润表中的收入和费用项目，采用交易发生日的即期汇率折算。折算产生的外币财务报表</w:t>
      </w:r>
      <w:r>
        <w:rPr>
          <w:spacing w:val="-66"/>
        </w:rPr>
        <w:t> </w:t>
      </w:r>
      <w:r>
        <w:rPr>
          <w:spacing w:val="-66"/>
        </w:rPr>
      </w:r>
      <w:r>
        <w:rPr/>
        <w:t>折算差额，在资产负债表中所有者权益项目其他综合收益下列示。</w:t>
      </w:r>
    </w:p>
    <w:p>
      <w:pPr>
        <w:pStyle w:val="BodyText"/>
        <w:spacing w:line="319" w:lineRule="auto" w:before="56"/>
        <w:ind w:right="1118" w:firstLine="360"/>
        <w:jc w:val="left"/>
      </w:pPr>
      <w:r>
        <w:rPr>
          <w:spacing w:val="-2"/>
        </w:rPr>
        <w:t>外币现金流量按照系统合理方法确定的，采用交易发生日的即期汇率折算。汇率变动对现金的影响额，在现金流量表中</w:t>
      </w:r>
      <w:r>
        <w:rPr/>
        <w:t> 单独列示。</w:t>
      </w:r>
    </w:p>
    <w:p>
      <w:pPr>
        <w:pStyle w:val="BodyText"/>
        <w:spacing w:line="240" w:lineRule="auto" w:before="56"/>
        <w:ind w:left="474" w:right="0"/>
        <w:jc w:val="left"/>
      </w:pPr>
      <w:r>
        <w:rPr/>
        <w:t>处置境外经营时，与该境外经营有关的外币报表折算差额，全部或按处置该境外经营的比例转入处置当期损益。</w:t>
      </w:r>
    </w:p>
    <w:p>
      <w:pPr>
        <w:spacing w:line="240" w:lineRule="auto" w:before="11"/>
        <w:rPr>
          <w:rFonts w:ascii="宋体" w:hAnsi="宋体" w:cs="宋体" w:eastAsia="宋体" w:hint="default"/>
          <w:sz w:val="26"/>
          <w:szCs w:val="26"/>
        </w:rPr>
      </w:pPr>
    </w:p>
    <w:p>
      <w:pPr>
        <w:pStyle w:val="Heading3"/>
        <w:spacing w:line="240" w:lineRule="auto"/>
        <w:ind w:left="113" w:right="0"/>
        <w:jc w:val="left"/>
        <w:rPr>
          <w:b w:val="0"/>
          <w:bCs w:val="0"/>
        </w:rPr>
      </w:pPr>
      <w:bookmarkStart w:name="10、金融工具" w:id="175"/>
      <w:bookmarkEnd w:id="17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36" w:right="0"/>
        <w:jc w:val="left"/>
        <w:rPr>
          <w:b w:val="0"/>
          <w:bCs w:val="0"/>
        </w:rPr>
      </w:pPr>
      <w:r>
        <w:rPr>
          <w:rFonts w:ascii="宋体" w:hAnsi="宋体" w:cs="宋体" w:eastAsia="宋体" w:hint="default"/>
        </w:rPr>
        <w:t>1</w:t>
      </w:r>
      <w:r>
        <w:rPr/>
        <w:t>）金融工具的分类、确认和计量</w:t>
      </w:r>
      <w:r>
        <w:rPr>
          <w:b w:val="0"/>
          <w:bCs w:val="0"/>
        </w:rPr>
      </w:r>
    </w:p>
    <w:p>
      <w:pPr>
        <w:pStyle w:val="BodyText"/>
        <w:spacing w:line="316" w:lineRule="auto" w:before="103"/>
        <w:ind w:left="113" w:right="0" w:firstLine="360"/>
        <w:jc w:val="left"/>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19" w:lineRule="auto" w:before="57"/>
        <w:ind w:right="1050" w:firstLine="360"/>
        <w:jc w:val="both"/>
      </w:pPr>
      <w:r>
        <w:rPr>
          <w:spacing w:val="-2"/>
        </w:rPr>
        <w:t>本公司对金融资产和金融负债的公允价值的确定方法：公允价值，指在公平交易中，熟悉情况的交易双方自愿进行资产</w:t>
      </w:r>
      <w:r>
        <w:rPr/>
        <w:t> </w:t>
      </w:r>
      <w:r>
        <w:rPr>
          <w:spacing w:val="-2"/>
        </w:rPr>
        <w:t>交换或债务清偿的金额。对于存在活跃市场的金融工具，本公司采用活跃市场中的报价确定其公允价值，活跃市场中的报价</w:t>
      </w:r>
      <w:r>
        <w:rPr>
          <w:spacing w:val="-66"/>
        </w:rPr>
        <w:t> </w:t>
      </w:r>
      <w:r>
        <w:rPr>
          <w:spacing w:val="-66"/>
        </w:rPr>
      </w:r>
      <w:r>
        <w:rPr>
          <w:spacing w:val="-2"/>
        </w:rPr>
        <w:t>是指易于定期从交易所、经纪商、行业协会、定价服务机构等获得的价格，且代表了在公平交易中实际发生的市场交易的价</w:t>
      </w:r>
      <w:r>
        <w:rPr>
          <w:spacing w:val="-66"/>
        </w:rPr>
        <w:t> </w:t>
      </w:r>
      <w:r>
        <w:rPr>
          <w:spacing w:val="-66"/>
        </w:rPr>
      </w:r>
      <w:r>
        <w:rPr>
          <w:spacing w:val="-2"/>
        </w:rPr>
        <w:t>格；对于不存在活跃市场的金融工具，本公司采用估值技术确定其公允价值。估值技术包括参考熟悉情况并自愿交易的各方</w:t>
      </w:r>
      <w:r>
        <w:rPr>
          <w:spacing w:val="-66"/>
        </w:rPr>
        <w:t> </w:t>
      </w:r>
      <w:r>
        <w:rPr>
          <w:spacing w:val="-66"/>
        </w:rPr>
      </w:r>
      <w:r>
        <w:rPr/>
        <w:t>最近进行的市场交易中使用的价格、参照实质上相同的其他金融工具当前的公允价值、现金流量折现法和期权定价模型等。</w:t>
      </w:r>
    </w:p>
    <w:p>
      <w:pPr>
        <w:pStyle w:val="BodyText"/>
        <w:spacing w:line="316" w:lineRule="auto" w:before="56"/>
        <w:ind w:right="0" w:firstLine="360"/>
        <w:jc w:val="left"/>
      </w:pPr>
      <w:r>
        <w:rPr>
          <w:spacing w:val="-4"/>
        </w:rPr>
        <w:t>金融资产于初始确认时分类为：以公允价值计量且其变动计入当期损益的金融资产、持有至到期投资、贷款和应收款项、</w:t>
      </w:r>
      <w:r>
        <w:rPr/>
        <w:t> </w:t>
      </w:r>
      <w:r>
        <w:rPr>
          <w:spacing w:val="-2"/>
        </w:rPr>
        <w:t>可供出售金融资产。除应收款项以外的金融资产的分类取决于本公司及其子公司对金融资产的持有意图和持有能力等。金融</w:t>
      </w:r>
      <w:r>
        <w:rPr>
          <w:spacing w:val="-64"/>
        </w:rPr>
        <w:t> </w:t>
      </w:r>
      <w:r>
        <w:rPr>
          <w:spacing w:val="-64"/>
        </w:rPr>
      </w:r>
      <w:r>
        <w:rPr/>
        <w:t>负债于初始确认时分类为：以公允价值计量且其变动计入当期损益的金融负债以及其他金融负债。</w:t>
      </w:r>
    </w:p>
    <w:p>
      <w:pPr>
        <w:pStyle w:val="BodyText"/>
        <w:spacing w:line="307" w:lineRule="auto" w:before="59"/>
        <w:ind w:right="0" w:firstLine="360"/>
        <w:jc w:val="left"/>
      </w:pPr>
      <w:r>
        <w:rPr/>
        <w:t>以公允价值计量且其变动计入当期损益的金融资产包括交易性金融资产和指定为以公允价值计量且其变动计入当期损 </w:t>
      </w:r>
      <w:r>
        <w:rPr>
          <w:spacing w:val="-1"/>
        </w:rPr>
        <w:t>益的金融资产。满足下列条件之一的金融资产划分为交易性金融资产：</w:t>
      </w:r>
      <w:r>
        <w:rPr>
          <w:rFonts w:ascii="Times New Roman" w:hAnsi="Times New Roman" w:cs="Times New Roman" w:eastAsia="Times New Roman" w:hint="default"/>
          <w:spacing w:val="-1"/>
        </w:rPr>
        <w:t>(1)</w:t>
      </w:r>
      <w:r>
        <w:rPr>
          <w:spacing w:val="-1"/>
        </w:rPr>
        <w:t>取得该金融资产的目的，主要是为了近期内出售；</w:t>
      </w:r>
      <w:r>
        <w:rPr>
          <w:spacing w:val="-57"/>
        </w:rPr>
        <w:t> </w:t>
      </w:r>
      <w:r>
        <w:rPr>
          <w:spacing w:val="-57"/>
        </w:rPr>
      </w:r>
      <w:r>
        <w:rPr>
          <w:rFonts w:ascii="Times New Roman" w:hAnsi="Times New Roman" w:cs="Times New Roman" w:eastAsia="Times New Roman" w:hint="default"/>
        </w:rPr>
        <w:t>(2)</w:t>
      </w:r>
      <w:r>
        <w:rPr/>
        <w:t>初始确认时即属于进行集中管理的可辨认金融工具组合的一部分，且有客观证据表明本公司近期采用短期获利方式对该 组合进行管理；</w:t>
      </w:r>
      <w:r>
        <w:rPr>
          <w:rFonts w:ascii="Times New Roman" w:hAnsi="Times New Roman" w:cs="Times New Roman" w:eastAsia="Times New Roman" w:hint="default"/>
        </w:rPr>
        <w:t>(3)</w:t>
      </w:r>
      <w:r>
        <w:rPr/>
        <w:t>属于衍生工具，但是被指定且为有效套期工具的衍生工具、属于财务担保合同的衍生工具、与在活跃市</w:t>
      </w:r>
    </w:p>
    <w:p>
      <w:pPr>
        <w:spacing w:after="0" w:line="307" w:lineRule="auto"/>
        <w:jc w:val="left"/>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2" w:lineRule="auto" w:before="44"/>
        <w:ind w:left="113" w:right="1033"/>
        <w:jc w:val="left"/>
      </w:pPr>
      <w:r>
        <w:rPr>
          <w:spacing w:val="-2"/>
        </w:rPr>
        <w:t>场中没有报价且其公允价值不能可靠计量的权益工具投资挂钩并须通过交付该权益工具结算的衍生工具除外。符合下述条件</w:t>
      </w:r>
      <w:r>
        <w:rPr>
          <w:spacing w:val="-64"/>
        </w:rPr>
        <w:t> </w:t>
      </w:r>
      <w:r>
        <w:rPr>
          <w:spacing w:val="-64"/>
        </w:rPr>
      </w:r>
      <w:r>
        <w:rPr/>
        <w:t>之一的金融资产，在初始确认时可指定为以公允价值计量且其变动计入当期损益的金融资产：</w:t>
      </w:r>
      <w:r>
        <w:rPr>
          <w:rFonts w:ascii="Times New Roman" w:hAnsi="Times New Roman" w:cs="Times New Roman" w:eastAsia="Times New Roman" w:hint="default"/>
        </w:rPr>
        <w:t>(1)</w:t>
      </w:r>
      <w:r>
        <w:rPr/>
        <w:t>该指定可以消除或明显减 少由于该金融资产的计量基础不同所导致的相关利得或损失在确认或计量方面不一致的情况；</w:t>
      </w:r>
      <w:r>
        <w:rPr>
          <w:rFonts w:ascii="Times New Roman" w:hAnsi="Times New Roman" w:cs="Times New Roman" w:eastAsia="Times New Roman" w:hint="default"/>
        </w:rPr>
        <w:t>(2)</w:t>
      </w:r>
      <w:r>
        <w:rPr/>
        <w:t>本公司风险管理或投资策 </w:t>
      </w:r>
      <w:r>
        <w:rPr>
          <w:spacing w:val="-2"/>
        </w:rPr>
        <w:t>略的正式书面文件已载明，该金融资产所在的金融资产组合或金融资产和金融负债组合以公允价值为基础进行管理、评价并</w:t>
      </w:r>
      <w:r>
        <w:rPr>
          <w:spacing w:val="-64"/>
        </w:rPr>
        <w:t> </w:t>
      </w:r>
      <w:r>
        <w:rPr>
          <w:spacing w:val="-64"/>
        </w:rPr>
      </w:r>
      <w:r>
        <w:rPr/>
        <w:t>向关键管理人员报告；</w:t>
      </w:r>
      <w:r>
        <w:rPr>
          <w:rFonts w:ascii="Times New Roman" w:hAnsi="Times New Roman" w:cs="Times New Roman" w:eastAsia="Times New Roman" w:hint="default"/>
        </w:rPr>
        <w:t>(3)</w:t>
      </w:r>
      <w:r>
        <w:rPr/>
        <w:t>《企业会计准则第</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t>号—金融工具确认和计量》允许指定为以公允价值计量且其变动计入当期损 益的金融资产的与嵌入衍生工具相关的混合工具。以公允价值计量且变动计入当期损益的金融资产，除与套期保值有关外， </w:t>
      </w:r>
      <w:r>
        <w:rPr>
          <w:spacing w:val="-2"/>
        </w:rPr>
        <w:t>采用公允价值进行后续计量，公允价值变动形成的利得或损失，计入公允价值变动损益；在资产持有期间所取得的利息或现</w:t>
      </w:r>
      <w:r>
        <w:rPr>
          <w:spacing w:val="-66"/>
        </w:rPr>
        <w:t> </w:t>
      </w:r>
      <w:r>
        <w:rPr>
          <w:spacing w:val="-66"/>
        </w:rPr>
      </w:r>
      <w:r>
        <w:rPr>
          <w:spacing w:val="-2"/>
        </w:rPr>
        <w:t>金股利，确认为投资收益；处置时，将实际收到的金额与初始入账金额之间的差额确认为投资收益，同时调整公允价值变动</w:t>
      </w:r>
      <w:r>
        <w:rPr>
          <w:spacing w:val="-66"/>
        </w:rPr>
        <w:t> </w:t>
      </w:r>
      <w:r>
        <w:rPr>
          <w:spacing w:val="-66"/>
        </w:rPr>
      </w:r>
      <w:r>
        <w:rPr/>
        <w:t>损益。</w:t>
      </w:r>
    </w:p>
    <w:p>
      <w:pPr>
        <w:pStyle w:val="BodyText"/>
        <w:spacing w:line="319" w:lineRule="auto" w:before="61"/>
        <w:ind w:left="113" w:right="1034" w:firstLine="360"/>
        <w:jc w:val="left"/>
      </w:pPr>
      <w:r>
        <w:rPr>
          <w:spacing w:val="-4"/>
        </w:rPr>
        <w:t>持有至到期投资是指：到期日固定、回收金额固定或可确定，且本公司有明确意图和能力持有至到期的非衍生金融资产。</w:t>
      </w:r>
      <w:r>
        <w:rPr/>
        <w:t> </w:t>
      </w:r>
      <w:r>
        <w:rPr>
          <w:spacing w:val="-2"/>
        </w:rPr>
        <w:t>持有至到期投资采用实际利率法，按摊余成本进行后续计量，在终止确认、发生减值或摊销时产生的利得或损失，计入当期</w:t>
      </w:r>
      <w:r>
        <w:rPr>
          <w:spacing w:val="-66"/>
        </w:rPr>
        <w:t> </w:t>
      </w:r>
      <w:r>
        <w:rPr>
          <w:spacing w:val="-66"/>
        </w:rPr>
      </w:r>
      <w:r>
        <w:rPr/>
        <w:t>损益。</w:t>
      </w:r>
    </w:p>
    <w:p>
      <w:pPr>
        <w:pStyle w:val="BodyText"/>
        <w:spacing w:line="309" w:lineRule="auto" w:before="56"/>
        <w:ind w:left="113" w:right="1131" w:firstLine="360"/>
        <w:jc w:val="both"/>
      </w:pPr>
      <w:r>
        <w:rPr>
          <w:spacing w:val="-1"/>
        </w:rPr>
        <w:t>实际利率法：是指按照金融资产或金融负债</w:t>
      </w:r>
      <w:r>
        <w:rPr>
          <w:rFonts w:ascii="Times New Roman" w:hAnsi="Times New Roman" w:cs="Times New Roman" w:eastAsia="Times New Roman" w:hint="default"/>
          <w:spacing w:val="-1"/>
        </w:rPr>
        <w:t>(</w:t>
      </w:r>
      <w:r>
        <w:rPr>
          <w:spacing w:val="-1"/>
        </w:rPr>
        <w:t>含一组金融资产或金融负债</w:t>
      </w:r>
      <w:r>
        <w:rPr>
          <w:rFonts w:ascii="Times New Roman" w:hAnsi="Times New Roman" w:cs="Times New Roman" w:eastAsia="Times New Roman" w:hint="default"/>
          <w:spacing w:val="-1"/>
        </w:rPr>
        <w:t>)</w:t>
      </w:r>
      <w:r>
        <w:rPr>
          <w:spacing w:val="-1"/>
        </w:rPr>
        <w:t>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spacing w:val="-2"/>
        </w:rPr>
        <w:t>或金融负债当前账面价值所使用的利率。在计算实际利率时，本公司在考虑金融资产或金融负债所有合同条款的基础上预计</w:t>
      </w:r>
      <w:r>
        <w:rPr>
          <w:spacing w:val="-64"/>
        </w:rPr>
        <w:t> </w:t>
      </w:r>
      <w:r>
        <w:rPr>
          <w:spacing w:val="-64"/>
        </w:rPr>
      </w:r>
      <w:r>
        <w:rPr>
          <w:spacing w:val="-1"/>
        </w:rPr>
        <w:t>未来现金流量</w:t>
      </w:r>
      <w:r>
        <w:rPr>
          <w:rFonts w:ascii="Times New Roman" w:hAnsi="Times New Roman" w:cs="Times New Roman" w:eastAsia="Times New Roman" w:hint="default"/>
          <w:spacing w:val="-1"/>
        </w:rPr>
        <w:t>(</w:t>
      </w:r>
      <w:r>
        <w:rPr>
          <w:spacing w:val="-1"/>
        </w:rPr>
        <w:t>不考虑未来的信用损失</w:t>
      </w:r>
      <w:r>
        <w:rPr>
          <w:rFonts w:ascii="Times New Roman" w:hAnsi="Times New Roman" w:cs="Times New Roman" w:eastAsia="Times New Roman" w:hint="default"/>
          <w:spacing w:val="-1"/>
        </w:rPr>
        <w:t>)</w:t>
      </w:r>
      <w:r>
        <w:rPr>
          <w:spacing w:val="-1"/>
        </w:rPr>
        <w:t>，同时还考虑金融资产或金融负债合同各方之间支付或收取的、属于实际利率组成部</w:t>
      </w:r>
      <w:r>
        <w:rPr>
          <w:spacing w:val="-57"/>
        </w:rPr>
        <w:t> </w:t>
      </w:r>
      <w:r>
        <w:rPr>
          <w:spacing w:val="-57"/>
        </w:rPr>
      </w:r>
      <w:r>
        <w:rPr/>
        <w:t>分的各项收费、交易费用及折价或溢价等。</w:t>
      </w:r>
    </w:p>
    <w:p>
      <w:pPr>
        <w:pStyle w:val="BodyText"/>
        <w:spacing w:line="319" w:lineRule="auto" w:before="62"/>
        <w:ind w:left="113" w:right="1131" w:firstLine="360"/>
        <w:jc w:val="both"/>
      </w:pPr>
      <w:r>
        <w:rPr>
          <w:spacing w:val="-2"/>
        </w:rPr>
        <w:t>贷款和应收款项是指：在活跃市场中没有报价、回收金额固定或可确定的非衍生金融资产。本公司划分为贷款和应收款</w:t>
      </w:r>
      <w:r>
        <w:rPr/>
        <w:t> </w:t>
      </w:r>
      <w:r>
        <w:rPr>
          <w:spacing w:val="-2"/>
        </w:rPr>
        <w:t>的金融资产包括应收票据、应收账款、其他应收款及长期应收款等。贷款和应收款项采用实际利率法，按摊余成本进行后续</w:t>
      </w:r>
      <w:r>
        <w:rPr>
          <w:spacing w:val="-66"/>
        </w:rPr>
        <w:t> </w:t>
      </w:r>
      <w:r>
        <w:rPr>
          <w:spacing w:val="-66"/>
        </w:rPr>
      </w:r>
      <w:r>
        <w:rPr/>
        <w:t>计量。在终止确认、发生减值或摊销时产生的利得或损失，计入当期损益。</w:t>
      </w:r>
    </w:p>
    <w:p>
      <w:pPr>
        <w:pStyle w:val="BodyText"/>
        <w:spacing w:line="319" w:lineRule="auto" w:before="55"/>
        <w:ind w:left="113" w:right="1131" w:firstLine="360"/>
        <w:jc w:val="both"/>
      </w:pPr>
      <w:r>
        <w:rPr>
          <w:spacing w:val="-2"/>
        </w:rPr>
        <w:t>可供出售金融资产包括：初始确认时即被指定为可供出售的非衍生金融资产，以及除了以公允价值计量且其变动计入当</w:t>
      </w:r>
      <w:r>
        <w:rPr/>
        <w:t> </w:t>
      </w:r>
      <w:r>
        <w:rPr>
          <w:spacing w:val="-2"/>
        </w:rPr>
        <w:t>期损益的金融资产、贷款和应收款项、持有至到期投资以外的金融资产。可供出售金融资产采用公允价值进行后续计量，公</w:t>
      </w:r>
      <w:r>
        <w:rPr>
          <w:spacing w:val="-66"/>
        </w:rPr>
        <w:t> </w:t>
      </w:r>
      <w:r>
        <w:rPr>
          <w:spacing w:val="-66"/>
        </w:rPr>
      </w:r>
      <w:r>
        <w:rPr>
          <w:spacing w:val="-2"/>
        </w:rPr>
        <w:t>允价值变动形成的利得或损失，除减值损失和外币货币性金融资产与摊余成本相关的汇兑差额计入当期损益外，确认为其他</w:t>
      </w:r>
      <w:r>
        <w:rPr>
          <w:spacing w:val="-64"/>
        </w:rPr>
        <w:t> </w:t>
      </w:r>
      <w:r>
        <w:rPr>
          <w:spacing w:val="-64"/>
        </w:rPr>
      </w:r>
      <w:r>
        <w:rPr>
          <w:spacing w:val="-2"/>
        </w:rPr>
        <w:t>综合收益并计入其他综合收益，在该金融资产终止确认时转出，计入当期损益。可供出售金融资产持有期间按实际利率法计</w:t>
      </w:r>
      <w:r>
        <w:rPr>
          <w:spacing w:val="-66"/>
        </w:rPr>
        <w:t> </w:t>
      </w:r>
      <w:r>
        <w:rPr>
          <w:spacing w:val="-66"/>
        </w:rPr>
      </w:r>
      <w:r>
        <w:rPr>
          <w:spacing w:val="-2"/>
        </w:rPr>
        <w:t>算的利息及被投资单位宣告发放的现金股利，计入投资收益。处置时，将实际收到的金额与账面价值扣除原直接计入其他综</w:t>
      </w:r>
      <w:r>
        <w:rPr>
          <w:spacing w:val="-66"/>
        </w:rPr>
        <w:t> </w:t>
      </w:r>
      <w:r>
        <w:rPr>
          <w:spacing w:val="-66"/>
        </w:rPr>
      </w:r>
      <w:r>
        <w:rPr>
          <w:spacing w:val="-2"/>
        </w:rPr>
        <w:t>合收益的公允价值变动累计额之后的差额确认为投资收益。在活跃市场中没有报价且其公允价值不能可靠计量的权益工具投</w:t>
      </w:r>
      <w:r>
        <w:rPr>
          <w:spacing w:val="-64"/>
        </w:rPr>
        <w:t> </w:t>
      </w:r>
      <w:r>
        <w:rPr>
          <w:spacing w:val="-64"/>
        </w:rPr>
      </w:r>
      <w:r>
        <w:rPr/>
        <w:t>资，以及与该权益工具挂钩并须通过交付该权益工具结算的衍生金融资产（或衍生金融负债），按照成本计量。</w:t>
      </w:r>
    </w:p>
    <w:p>
      <w:pPr>
        <w:pStyle w:val="BodyText"/>
        <w:spacing w:line="319" w:lineRule="auto" w:before="56"/>
        <w:ind w:left="113" w:right="1132" w:firstLine="360"/>
        <w:jc w:val="both"/>
      </w:pPr>
      <w:r>
        <w:rPr>
          <w:spacing w:val="-2"/>
        </w:rPr>
        <w:t>衍生金融工具，包括远期外汇合约和利率互换合同等。衍生工具于相关合同签署日以公允价值进行初始计量，并以公允</w:t>
      </w:r>
      <w:r>
        <w:rPr/>
        <w:t> </w:t>
      </w:r>
      <w:r>
        <w:rPr>
          <w:spacing w:val="-2"/>
        </w:rPr>
        <w:t>价值进行后续计量。除指定为套期工具且套期高度有效的衍生工具，其公允价值变动形成的利得或损失将根据套期关系的性</w:t>
      </w:r>
      <w:r>
        <w:rPr>
          <w:spacing w:val="-64"/>
        </w:rPr>
        <w:t> </w:t>
      </w:r>
      <w:r>
        <w:rPr>
          <w:spacing w:val="-64"/>
        </w:rPr>
      </w:r>
      <w:r>
        <w:rPr/>
        <w:t>质按照套期会计的要求确定计入损益的期间外，其余衍生工具的公允价值变动计入当期损益。</w:t>
      </w:r>
    </w:p>
    <w:p>
      <w:pPr>
        <w:pStyle w:val="BodyText"/>
        <w:spacing w:line="319" w:lineRule="auto" w:before="55"/>
        <w:ind w:left="113" w:right="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3"/>
        </w:rPr>
        <w:t> </w:t>
      </w:r>
      <w:r>
        <w:rPr>
          <w:spacing w:val="-43"/>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09" w:lineRule="auto" w:before="55"/>
        <w:ind w:left="113" w:right="1131" w:firstLine="360"/>
        <w:jc w:val="both"/>
      </w:pPr>
      <w:r>
        <w:rPr>
          <w:spacing w:val="-2"/>
        </w:rPr>
        <w:t>权益工具：指能证明拥有本公司在扣除所有负债后的资产中的剩余权益的合同。发行权益工具时收到的对价扣除交易费</w:t>
      </w:r>
      <w:r>
        <w:rPr/>
        <w:t> </w:t>
      </w:r>
      <w:r>
        <w:rPr>
          <w:spacing w:val="-1"/>
        </w:rPr>
        <w:t>用后增加股东权益。本公司对权益工具持有方的各种分配</w:t>
      </w:r>
      <w:r>
        <w:rPr>
          <w:rFonts w:ascii="Times New Roman" w:hAnsi="Times New Roman" w:cs="Times New Roman" w:eastAsia="Times New Roman" w:hint="default"/>
          <w:spacing w:val="-1"/>
        </w:rPr>
        <w:t>(</w:t>
      </w:r>
      <w:r>
        <w:rPr>
          <w:spacing w:val="-1"/>
        </w:rPr>
        <w:t>不包括股票股利</w:t>
      </w:r>
      <w:r>
        <w:rPr>
          <w:rFonts w:ascii="Times New Roman" w:hAnsi="Times New Roman" w:cs="Times New Roman" w:eastAsia="Times New Roman" w:hint="default"/>
          <w:spacing w:val="-1"/>
        </w:rPr>
        <w:t>)</w:t>
      </w:r>
      <w:r>
        <w:rPr>
          <w:spacing w:val="-1"/>
        </w:rPr>
        <w:t>，减少股东权益。本公司不确认权益工具的公允</w:t>
      </w:r>
      <w:r>
        <w:rPr>
          <w:spacing w:val="-59"/>
        </w:rPr>
        <w:t> </w:t>
      </w:r>
      <w:r>
        <w:rPr>
          <w:spacing w:val="-59"/>
        </w:rPr>
      </w:r>
      <w:r>
        <w:rPr/>
        <w:t>价值变动额。</w:t>
      </w:r>
    </w:p>
    <w:p>
      <w:pPr>
        <w:pStyle w:val="Heading3"/>
        <w:spacing w:line="240" w:lineRule="auto" w:before="119"/>
        <w:ind w:left="536" w:right="0"/>
        <w:jc w:val="left"/>
        <w:rPr>
          <w:b w:val="0"/>
          <w:bCs w:val="0"/>
        </w:rPr>
      </w:pPr>
      <w:r>
        <w:rPr>
          <w:rFonts w:ascii="宋体" w:hAnsi="宋体" w:cs="宋体" w:eastAsia="宋体" w:hint="default"/>
        </w:rPr>
        <w:t>2)</w:t>
      </w:r>
      <w:r>
        <w:rPr/>
        <w:t>金融资产转移的确认依据和计量方法</w:t>
      </w:r>
      <w:r>
        <w:rPr>
          <w:b w:val="0"/>
          <w:bCs w:val="0"/>
        </w:rPr>
      </w:r>
    </w:p>
    <w:p>
      <w:pPr>
        <w:pStyle w:val="BodyText"/>
        <w:spacing w:line="302" w:lineRule="auto" w:before="102"/>
        <w:ind w:left="113" w:right="1169" w:firstLine="360"/>
        <w:jc w:val="both"/>
      </w:pPr>
      <w:r>
        <w:rPr/>
        <w:t>满足下列条件之一的金融资产，予以终止确认：</w:t>
      </w:r>
      <w:r>
        <w:rPr>
          <w:rFonts w:ascii="Times New Roman" w:hAnsi="Times New Roman" w:cs="Times New Roman" w:eastAsia="Times New Roman" w:hint="default"/>
        </w:rPr>
        <w:t>(1)</w:t>
      </w:r>
      <w:r>
        <w:rPr/>
        <w:t>收取该金融资产现金流量的合同权利终止；</w:t>
      </w:r>
      <w:r>
        <w:rPr>
          <w:rFonts w:ascii="Times New Roman" w:hAnsi="Times New Roman" w:cs="Times New Roman" w:eastAsia="Times New Roman" w:hint="default"/>
        </w:rPr>
        <w:t>(2)</w:t>
      </w:r>
      <w:r>
        <w:rPr/>
        <w:t>该金融资产已转移， 且将金融资产所有权上几乎所有的风险和报酬转移给转入方；</w:t>
      </w:r>
      <w:r>
        <w:rPr>
          <w:rFonts w:ascii="Times New Roman" w:hAnsi="Times New Roman" w:cs="Times New Roman" w:eastAsia="Times New Roman" w:hint="default"/>
        </w:rPr>
        <w:t>(3)</w:t>
      </w:r>
      <w:r>
        <w:rPr/>
        <w:t>该金融资产已转移，虽然本集团既没有转移也没有保留金 融资产所有权上几乎所有的风险和报酬，但是放弃了对该金融资产控制。</w:t>
      </w:r>
    </w:p>
    <w:p>
      <w:pPr>
        <w:pStyle w:val="BodyText"/>
        <w:spacing w:line="316" w:lineRule="auto" w:before="68"/>
        <w:ind w:left="113" w:right="1132" w:firstLine="360"/>
        <w:jc w:val="both"/>
      </w:pPr>
      <w:r>
        <w:rPr>
          <w:spacing w:val="-2"/>
        </w:rPr>
        <w:t>若本集团既没有转移也没有保留金融资产所有权上几乎所有的风险和报酬，且未放弃对该金融资产的控制的，则按照继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p>
    <w:p>
      <w:pPr>
        <w:spacing w:after="0" w:line="316" w:lineRule="auto"/>
        <w:jc w:val="both"/>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left="474" w:right="0" w:hanging="360"/>
        <w:jc w:val="left"/>
      </w:pPr>
      <w:r>
        <w:rPr/>
        <w:t>价值变动使企业面临的风险水平。 </w:t>
      </w:r>
      <w:r>
        <w:rPr>
          <w:spacing w:val="-2"/>
        </w:rPr>
        <w:t>本公司金融资产整体转移满足终止确认条件的，将所转移金融资产的账面价值与因转移而收到的对价和原直接计入资本</w:t>
      </w:r>
    </w:p>
    <w:p>
      <w:pPr>
        <w:pStyle w:val="BodyText"/>
        <w:spacing w:line="224" w:lineRule="exact"/>
        <w:ind w:right="0"/>
        <w:jc w:val="left"/>
      </w:pPr>
      <w:r>
        <w:rPr/>
        <w:t>公积的公允价值变动累计额之和的差额部分，计入当期损益。金融资产部分转移满足终止确认条件的，将所转移金融资产整</w:t>
      </w:r>
    </w:p>
    <w:p>
      <w:pPr>
        <w:pStyle w:val="BodyText"/>
        <w:spacing w:line="319" w:lineRule="auto" w:before="76"/>
        <w:ind w:right="0"/>
        <w:jc w:val="left"/>
      </w:pPr>
      <w:r>
        <w:rPr>
          <w:spacing w:val="-2"/>
        </w:rPr>
        <w:t>体的账面价值，在终止确认部分和未终止确认部分之间，按照各自的相对公允价值进行分摊，并将终止确认部分的账面价值</w:t>
      </w:r>
      <w:r>
        <w:rPr>
          <w:spacing w:val="-66"/>
        </w:rPr>
        <w:t> </w:t>
      </w:r>
      <w:r>
        <w:rPr>
          <w:spacing w:val="-66"/>
        </w:rPr>
      </w:r>
      <w:r>
        <w:rPr/>
        <w:t>与终止确认部分的收到对价和原直接计入资本公积的公允价值变动累计额之和的差额部分，计入当期损益。</w:t>
      </w:r>
    </w:p>
    <w:p>
      <w:pPr>
        <w:pStyle w:val="BodyText"/>
        <w:spacing w:line="319" w:lineRule="auto" w:before="56"/>
        <w:ind w:right="1132" w:firstLine="360"/>
        <w:jc w:val="both"/>
      </w:pPr>
      <w:r>
        <w:rPr>
          <w:spacing w:val="-2"/>
        </w:rPr>
        <w:t>当本公司具有抵销已确认金融资产和金融负债的法定权利，且目前可执行该种法定权利，同时本公司计划以净额结算或</w:t>
      </w:r>
      <w:r>
        <w:rPr/>
        <w:t> </w:t>
      </w: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Heading3"/>
        <w:spacing w:line="240" w:lineRule="auto" w:before="110"/>
        <w:ind w:left="536" w:right="0"/>
        <w:jc w:val="left"/>
        <w:rPr>
          <w:b w:val="0"/>
          <w:bCs w:val="0"/>
        </w:rPr>
      </w:pPr>
      <w:r>
        <w:rPr>
          <w:rFonts w:ascii="宋体" w:hAnsi="宋体" w:cs="宋体" w:eastAsia="宋体" w:hint="default"/>
        </w:rPr>
        <w:t>3)</w:t>
      </w:r>
      <w:r>
        <w:rPr/>
        <w:t>金融负债的分类、确认和计量</w:t>
      </w:r>
      <w:r>
        <w:rPr>
          <w:b w:val="0"/>
          <w:bCs w:val="0"/>
        </w:rPr>
      </w:r>
    </w:p>
    <w:p>
      <w:pPr>
        <w:pStyle w:val="BodyText"/>
        <w:spacing w:line="316" w:lineRule="auto" w:before="103"/>
        <w:ind w:left="113" w:right="1033" w:firstLine="360"/>
        <w:jc w:val="left"/>
      </w:pPr>
      <w:r>
        <w:rPr/>
        <w:t>本公司将发行的金融工具根据该金融工具合同安排的实质以及金融负债和权益工具的定义确认为金融负债或权益工具。 金融负债在初始确认时划分为以公允价值计量且其变动计入当期损益的金融负债和其他金融负债。</w:t>
      </w:r>
    </w:p>
    <w:p>
      <w:pPr>
        <w:pStyle w:val="BodyText"/>
        <w:spacing w:line="319" w:lineRule="auto" w:before="57"/>
        <w:ind w:left="113" w:right="0" w:firstLine="360"/>
        <w:jc w:val="left"/>
      </w:pPr>
      <w:r>
        <w:rPr>
          <w:spacing w:val="-2"/>
        </w:rPr>
        <w:t>以公允价值计量且其变动计入当期损益的金融负债，包括交易性金融负债和指定为以公允价值计量且其变动计入当期损</w:t>
      </w:r>
      <w:r>
        <w:rPr/>
        <w:t> 益的金融负债。</w:t>
      </w:r>
    </w:p>
    <w:p>
      <w:pPr>
        <w:pStyle w:val="BodyText"/>
        <w:spacing w:line="307" w:lineRule="auto" w:before="56"/>
        <w:ind w:left="113" w:right="0" w:firstLine="360"/>
        <w:jc w:val="left"/>
      </w:pPr>
      <w:r>
        <w:rPr/>
        <w:t>满足下列条件之一的金融负债划分为交易性金融负债：</w:t>
      </w:r>
      <w:r>
        <w:rPr>
          <w:rFonts w:ascii="Times New Roman" w:hAnsi="Times New Roman" w:cs="Times New Roman" w:eastAsia="Times New Roman" w:hint="default"/>
        </w:rPr>
        <w:t>(1)</w:t>
      </w:r>
      <w:r>
        <w:rPr/>
        <w:t>承担该金融负债的目的，主要是为了近期内回购；</w:t>
      </w:r>
      <w:r>
        <w:rPr>
          <w:rFonts w:ascii="Times New Roman" w:hAnsi="Times New Roman" w:cs="Times New Roman" w:eastAsia="Times New Roman" w:hint="default"/>
        </w:rPr>
        <w:t>(2)</w:t>
      </w:r>
      <w:r>
        <w:rPr/>
        <w:t>初始确 </w:t>
      </w:r>
      <w:r>
        <w:rPr>
          <w:spacing w:val="-2"/>
        </w:rPr>
        <w:t>认时即属于进行集中管理的可辨认金融工具组合的一部分，且有客观证据表明本集团近期采用短期获利方式对该组合进行管</w:t>
      </w:r>
      <w:r>
        <w:rPr>
          <w:spacing w:val="-64"/>
        </w:rPr>
        <w:t> </w:t>
      </w:r>
      <w:r>
        <w:rPr>
          <w:spacing w:val="-64"/>
        </w:rPr>
      </w:r>
      <w:r>
        <w:rPr/>
        <w:t>理；</w:t>
      </w:r>
      <w:r>
        <w:rPr>
          <w:rFonts w:ascii="Times New Roman" w:hAnsi="Times New Roman" w:cs="Times New Roman" w:eastAsia="Times New Roman" w:hint="default"/>
        </w:rPr>
        <w:t>(3)</w:t>
      </w:r>
      <w:r>
        <w:rPr/>
        <w:t>属于衍生工具，但是被指定且为有效套期工具的衍生工具、属于财务担保合同的衍生工具、与在活跃市场中没有报 价且其公允价值不能可靠计量的权益工具投资挂钩并须通过交付该权益工具结算的衍生工具除外。</w:t>
      </w:r>
    </w:p>
    <w:p>
      <w:pPr>
        <w:pStyle w:val="BodyText"/>
        <w:spacing w:line="304" w:lineRule="auto" w:before="64"/>
        <w:ind w:left="113" w:right="1117" w:firstLine="360"/>
        <w:jc w:val="left"/>
      </w:pPr>
      <w:r>
        <w:rPr/>
        <w:t>符合下列条件之一的金融负债，在初始确认时可以指定为以公允价值计量且其变动计入当期损益的金融负债：</w:t>
      </w:r>
      <w:r>
        <w:rPr>
          <w:rFonts w:ascii="Times New Roman" w:hAnsi="Times New Roman" w:cs="Times New Roman" w:eastAsia="Times New Roman" w:hint="default"/>
        </w:rPr>
        <w:t>(1)</w:t>
      </w:r>
      <w:r>
        <w:rPr/>
        <w:t>该指 定可以消除或明显减少由于该金融负债的计量基础不同所导致的相关利得或损失在确认和计量方面不一致的情况；</w:t>
      </w:r>
      <w:r>
        <w:rPr>
          <w:rFonts w:ascii="Times New Roman" w:hAnsi="Times New Roman" w:cs="Times New Roman" w:eastAsia="Times New Roman" w:hint="default"/>
        </w:rPr>
        <w:t>(2)</w:t>
      </w:r>
      <w:r>
        <w:rPr/>
        <w:t>本集 </w:t>
      </w:r>
      <w:r>
        <w:rPr>
          <w:spacing w:val="-2"/>
        </w:rPr>
        <w:t>团风险管理或投资策略的正式书面文件已载明，该金融负债所在的金融负债组合或金融资产和金融负债组合以公允价值为基</w:t>
      </w:r>
      <w:r>
        <w:rPr>
          <w:spacing w:val="-64"/>
        </w:rPr>
        <w:t> </w:t>
      </w:r>
      <w:r>
        <w:rPr>
          <w:spacing w:val="-64"/>
        </w:rPr>
      </w:r>
      <w:r>
        <w:rPr/>
        <w:t>础进行管理、评价并向关键管理人员报告；</w:t>
      </w:r>
      <w:r>
        <w:rPr>
          <w:rFonts w:ascii="Times New Roman" w:hAnsi="Times New Roman" w:cs="Times New Roman" w:eastAsia="Times New Roman" w:hint="default"/>
        </w:rPr>
        <w:t>(3)</w:t>
      </w:r>
      <w:r>
        <w:rPr/>
        <w:t>《企业会计准则第</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12"/>
        </w:rPr>
        <w:t> </w:t>
      </w:r>
      <w:r>
        <w:rPr/>
        <w:t>号—金融工具确认和计量》允许指定为以公允价值计量 且其变动计入当期损益的金融负债的与嵌入衍生工具相关的混合工具。</w:t>
      </w:r>
    </w:p>
    <w:p>
      <w:pPr>
        <w:pStyle w:val="BodyText"/>
        <w:spacing w:line="319" w:lineRule="auto" w:before="66"/>
        <w:ind w:left="113" w:right="0" w:firstLine="360"/>
        <w:jc w:val="left"/>
      </w:pPr>
      <w:r>
        <w:rPr>
          <w:spacing w:val="-2"/>
        </w:rPr>
        <w:t>以公允价值计量且其变动计入当期损益的金融负债采用公允价值进行后续计量，公允价值变动形成的利得或损失以及与</w:t>
      </w:r>
      <w:r>
        <w:rPr/>
        <w:t> 该等金融负债相关的股利和利息支出计入当期损益。</w:t>
      </w:r>
    </w:p>
    <w:p>
      <w:pPr>
        <w:pStyle w:val="BodyText"/>
        <w:spacing w:line="319" w:lineRule="auto" w:before="56"/>
        <w:ind w:right="1131" w:firstLine="360"/>
        <w:jc w:val="both"/>
      </w:pPr>
      <w:r>
        <w:rPr>
          <w:spacing w:val="-2"/>
        </w:rPr>
        <w:t>其他金融负债：与在活跃市场中没有报价、公允价值不能可靠计量的权益工具挂钩并须通过交付该权益工具结算的衍生</w:t>
      </w:r>
      <w:r>
        <w:rPr/>
        <w:t> </w:t>
      </w:r>
      <w:r>
        <w:rPr>
          <w:spacing w:val="-2"/>
        </w:rPr>
        <w:t>金融负债，按照成本进行后续计量。除财务担保合同负债外的其他金融负债采用实际利率法，按摊余成本进行后续计量，终</w:t>
      </w:r>
      <w:r>
        <w:rPr>
          <w:spacing w:val="-66"/>
        </w:rPr>
        <w:t> </w:t>
      </w:r>
      <w:r>
        <w:rPr>
          <w:spacing w:val="-66"/>
        </w:rPr>
      </w:r>
      <w:r>
        <w:rPr/>
        <w:t>止确认或摊销产生的利得或损失计入当期损益。</w:t>
      </w:r>
    </w:p>
    <w:p>
      <w:pPr>
        <w:pStyle w:val="BodyText"/>
        <w:spacing w:line="314" w:lineRule="auto" w:before="55"/>
        <w:ind w:left="113" w:right="1131" w:firstLine="360"/>
        <w:jc w:val="both"/>
      </w:pPr>
      <w:r>
        <w:rPr>
          <w:spacing w:val="-2"/>
        </w:rPr>
        <w:t>财务担保合同：指保证人和债权人约定，当债务人不履行债务时，保证人按照约定履行债务或者承担责任的合同。不属</w:t>
      </w:r>
      <w:r>
        <w:rPr/>
        <w:t> </w:t>
      </w:r>
      <w:r>
        <w:rPr>
          <w:spacing w:val="-2"/>
        </w:rPr>
        <w:t>于指定为以公允价值计量且其变动计入当期损益的金融负债的财务担保合同，或没有指定为以公允价值计量且其变动计入当</w:t>
      </w:r>
      <w:r>
        <w:rPr>
          <w:spacing w:val="-64"/>
        </w:rPr>
        <w:t> </w:t>
      </w:r>
      <w:r>
        <w:rPr>
          <w:spacing w:val="-64"/>
        </w:rPr>
      </w:r>
      <w:r>
        <w:rPr>
          <w:spacing w:val="-2"/>
        </w:rPr>
        <w:t>期损益并将以低于市场利率贷款的贷款承诺，以公允价值减直接归属的交易费用进行初始确认，在初始确认后按照《企业会</w:t>
      </w:r>
      <w:r>
        <w:rPr>
          <w:spacing w:val="-66"/>
        </w:rPr>
        <w:t> </w:t>
      </w:r>
      <w:r>
        <w:rPr>
          <w:spacing w:val="-66"/>
        </w:rPr>
      </w:r>
      <w:r>
        <w:rPr/>
        <w:t>计准则第</w:t>
      </w:r>
      <w:r>
        <w:rPr>
          <w:spacing w:val="-66"/>
        </w:rPr>
        <w:t> </w:t>
      </w:r>
      <w:r>
        <w:rPr>
          <w:rFonts w:ascii="Times New Roman" w:hAnsi="Times New Roman" w:cs="Times New Roman" w:eastAsia="Times New Roman" w:hint="default"/>
        </w:rPr>
        <w:t>13</w:t>
      </w:r>
      <w:r>
        <w:rPr>
          <w:rFonts w:ascii="Times New Roman" w:hAnsi="Times New Roman" w:cs="Times New Roman" w:eastAsia="Times New Roman" w:hint="default"/>
          <w:spacing w:val="-21"/>
        </w:rPr>
        <w:t> </w:t>
      </w:r>
      <w:r>
        <w:rPr/>
        <w:t>号—或有事项》确定的金额和初始确认金额扣除按照《企业会计准则第</w:t>
      </w:r>
      <w:r>
        <w:rPr>
          <w:spacing w:val="-66"/>
        </w:rPr>
        <w:t> </w:t>
      </w:r>
      <w:r>
        <w:rPr>
          <w:rFonts w:ascii="Times New Roman" w:hAnsi="Times New Roman" w:cs="Times New Roman" w:eastAsia="Times New Roman" w:hint="default"/>
        </w:rPr>
        <w:t>14</w:t>
      </w:r>
      <w:r>
        <w:rPr>
          <w:rFonts w:ascii="Times New Roman" w:hAnsi="Times New Roman" w:cs="Times New Roman" w:eastAsia="Times New Roman" w:hint="default"/>
          <w:spacing w:val="-21"/>
        </w:rPr>
        <w:t> </w:t>
      </w:r>
      <w:r>
        <w:rPr/>
        <w:t>号—收入》的原则确定的累计摊销额 后的余额之中的较高者进行后续计量。</w:t>
      </w:r>
    </w:p>
    <w:p>
      <w:pPr>
        <w:pStyle w:val="BodyText"/>
        <w:spacing w:line="312" w:lineRule="auto" w:before="59"/>
        <w:ind w:left="113" w:right="0" w:firstLine="360"/>
        <w:jc w:val="left"/>
      </w:pPr>
      <w:r>
        <w:rPr/>
        <w:t>金融负债的终止确认：金融负债的现时义务全部或部分已经解除的，终止确认该金融负债或其一部分。本公司</w:t>
      </w:r>
      <w:r>
        <w:rPr>
          <w:rFonts w:ascii="Times New Roman" w:hAnsi="Times New Roman" w:cs="Times New Roman" w:eastAsia="Times New Roman" w:hint="default"/>
        </w:rPr>
        <w:t>(</w:t>
      </w:r>
      <w:r>
        <w:rPr/>
        <w:t>债务人</w:t>
      </w:r>
      <w:r>
        <w:rPr>
          <w:rFonts w:ascii="Times New Roman" w:hAnsi="Times New Roman" w:cs="Times New Roman" w:eastAsia="Times New Roman" w:hint="default"/>
        </w:rPr>
        <w:t>) </w:t>
      </w:r>
      <w:r>
        <w:rPr>
          <w:spacing w:val="-4"/>
        </w:rPr>
        <w:t>与债权人之间签订协议，以承担新金融负债方式替换现存金融负债，且新金融负债与现存金融负债的合同条款实质上不同的，</w:t>
      </w:r>
      <w:r>
        <w:rPr>
          <w:spacing w:val="-44"/>
        </w:rPr>
        <w:t> </w:t>
      </w:r>
      <w:r>
        <w:rPr>
          <w:spacing w:val="-44"/>
        </w:rPr>
      </w:r>
      <w:r>
        <w:rPr>
          <w:spacing w:val="-2"/>
        </w:rPr>
        <w:t>终止确认现存金融负债，并同时确认新金融负债。金融负债全部或部分终止确认的，将终止确认部分的账面价值与支付的对</w:t>
      </w:r>
      <w:r>
        <w:rPr>
          <w:spacing w:val="-66"/>
        </w:rPr>
        <w:t> </w:t>
      </w:r>
      <w:r>
        <w:rPr>
          <w:spacing w:val="-66"/>
        </w:rPr>
      </w:r>
      <w:r>
        <w:rPr/>
        <w:t>价</w:t>
      </w:r>
      <w:r>
        <w:rPr>
          <w:rFonts w:ascii="Times New Roman" w:hAnsi="Times New Roman" w:cs="Times New Roman" w:eastAsia="Times New Roman" w:hint="default"/>
        </w:rPr>
        <w:t>(</w:t>
      </w:r>
      <w:r>
        <w:rPr/>
        <w:t>包括转出的非现金资产或承担的新金融负债</w:t>
      </w:r>
      <w:r>
        <w:rPr>
          <w:rFonts w:ascii="Times New Roman" w:hAnsi="Times New Roman" w:cs="Times New Roman" w:eastAsia="Times New Roman" w:hint="default"/>
        </w:rPr>
        <w:t>)</w:t>
      </w:r>
      <w:r>
        <w:rPr/>
        <w:t>之间的差额，计入当期损益。</w:t>
      </w:r>
    </w:p>
    <w:p>
      <w:pPr>
        <w:pStyle w:val="Heading3"/>
        <w:spacing w:line="240" w:lineRule="auto" w:before="97"/>
        <w:ind w:left="536" w:right="0"/>
        <w:jc w:val="left"/>
        <w:rPr>
          <w:b w:val="0"/>
          <w:bCs w:val="0"/>
        </w:rPr>
      </w:pPr>
      <w:r>
        <w:rPr>
          <w:rFonts w:ascii="宋体" w:hAnsi="宋体" w:cs="宋体" w:eastAsia="宋体" w:hint="default"/>
        </w:rPr>
        <w:t>4)</w:t>
      </w:r>
      <w:r>
        <w:rPr/>
        <w:t>金融资产减值</w:t>
      </w:r>
      <w:r>
        <w:rPr>
          <w:b w:val="0"/>
          <w:bCs w:val="0"/>
        </w:rPr>
      </w:r>
    </w:p>
    <w:p>
      <w:pPr>
        <w:pStyle w:val="BodyText"/>
        <w:spacing w:line="319" w:lineRule="auto" w:before="102"/>
        <w:ind w:left="113" w:right="0" w:firstLine="360"/>
        <w:jc w:val="left"/>
      </w:pPr>
      <w:r>
        <w:rPr>
          <w:spacing w:val="-2"/>
        </w:rPr>
        <w:t>本公司在资产负债日对除以公允价值计量且变动计入当期损益的金融资产以外的金融资产的账面价值进行减值检查，当</w:t>
      </w:r>
      <w:r>
        <w:rPr/>
        <w:t> 客观证据表明金融资产发生减值，则应当对该金融资产进行减值测试，以根据测试结果计提减值准备。</w:t>
      </w:r>
    </w:p>
    <w:p>
      <w:pPr>
        <w:pStyle w:val="BodyText"/>
        <w:spacing w:line="240" w:lineRule="auto" w:before="56"/>
        <w:ind w:left="473" w:right="0"/>
        <w:jc w:val="left"/>
      </w:pPr>
      <w:r>
        <w:rPr/>
        <w:t>金融资产发生减值的客观证据，包括下列可观察到的各项事项：</w:t>
      </w:r>
    </w:p>
    <w:p>
      <w:pPr>
        <w:pStyle w:val="BodyText"/>
        <w:spacing w:line="240" w:lineRule="auto" w:before="116"/>
        <w:ind w:left="474" w:right="0"/>
        <w:jc w:val="left"/>
      </w:pPr>
      <w:r>
        <w:rPr/>
        <w:t>①发行方或债务人发生严重财务困难；</w:t>
      </w:r>
    </w:p>
    <w:p>
      <w:pPr>
        <w:pStyle w:val="BodyText"/>
        <w:spacing w:line="240" w:lineRule="auto" w:before="117"/>
        <w:ind w:left="474" w:right="0"/>
        <w:jc w:val="left"/>
      </w:pPr>
      <w:r>
        <w:rPr/>
        <w:t>②债务人违反了合同条款，如偿付利息或本金发生违约或逾期等；</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474" w:right="0"/>
        <w:jc w:val="left"/>
      </w:pPr>
      <w:r>
        <w:rPr/>
        <w:t>③本公司出于经济或法律等方面因素的考虑，对发生财务困难的债务人作出让步；</w:t>
      </w:r>
    </w:p>
    <w:p>
      <w:pPr>
        <w:pStyle w:val="BodyText"/>
        <w:spacing w:line="240" w:lineRule="auto" w:before="116"/>
        <w:ind w:left="473" w:right="0"/>
        <w:jc w:val="left"/>
      </w:pPr>
      <w:r>
        <w:rPr/>
        <w:t>④债务人很可能倒闭或进行其他财务重组；</w:t>
      </w:r>
    </w:p>
    <w:p>
      <w:pPr>
        <w:pStyle w:val="BodyText"/>
        <w:spacing w:line="240" w:lineRule="auto" w:before="117"/>
        <w:ind w:left="473" w:right="0"/>
        <w:jc w:val="left"/>
      </w:pPr>
      <w:r>
        <w:rPr/>
        <w:t>⑤因发行方发生重大财务困难，该金融资产无法在活跃市场继续交易；</w:t>
      </w:r>
    </w:p>
    <w:p>
      <w:pPr>
        <w:pStyle w:val="BodyText"/>
        <w:spacing w:line="319" w:lineRule="auto" w:before="115"/>
        <w:ind w:left="113" w:right="1132" w:firstLine="360"/>
        <w:jc w:val="both"/>
      </w:pPr>
      <w:r>
        <w:rPr>
          <w:spacing w:val="-2"/>
        </w:rPr>
        <w:t>⑥无法辨认一组金融资产中的某项资产的现金流量是否已经减少，但根据公开的数据对其进行总体评价后发现，该组金</w:t>
      </w:r>
      <w:r>
        <w:rPr/>
        <w:t> </w:t>
      </w:r>
      <w:r>
        <w:rPr>
          <w:spacing w:val="-2"/>
        </w:rPr>
        <w:t>融资产自初始确认以来的预计未来现金流量确已减少且可计量，如该组金融资产的债务人支付能力逐步恶化，或债务人所在</w:t>
      </w:r>
      <w:r>
        <w:rPr>
          <w:spacing w:val="-64"/>
        </w:rPr>
        <w:t> </w:t>
      </w:r>
      <w:r>
        <w:rPr>
          <w:spacing w:val="-64"/>
        </w:rPr>
      </w:r>
      <w:r>
        <w:rPr/>
        <w:t>国家或地区失业率提高、担保物在其所在地区的价格明显下降、所处行业不景气等；</w:t>
      </w:r>
    </w:p>
    <w:p>
      <w:pPr>
        <w:pStyle w:val="BodyText"/>
        <w:spacing w:line="319" w:lineRule="auto" w:before="55"/>
        <w:ind w:left="113" w:right="1118" w:firstLine="360"/>
        <w:jc w:val="left"/>
      </w:pPr>
      <w:r>
        <w:rPr>
          <w:spacing w:val="-2"/>
        </w:rPr>
        <w:t>⑦权益工具发行方经营所处的技术、市场、经济或法律环境等发生重大不利变化，使权益工具投资人可能无法收回投资</w:t>
      </w:r>
      <w:r>
        <w:rPr/>
        <w:t> 成本；</w:t>
      </w:r>
    </w:p>
    <w:p>
      <w:pPr>
        <w:pStyle w:val="BodyText"/>
        <w:spacing w:line="240" w:lineRule="auto" w:before="58"/>
        <w:ind w:left="473" w:right="0"/>
        <w:jc w:val="left"/>
      </w:pPr>
      <w:r>
        <w:rPr/>
        <w:t>⑧权益工具投资的公允价值发生严重或非暂时性下跌；</w:t>
      </w:r>
    </w:p>
    <w:p>
      <w:pPr>
        <w:pStyle w:val="BodyText"/>
        <w:spacing w:line="357" w:lineRule="auto" w:before="116"/>
        <w:ind w:left="474" w:right="0"/>
        <w:jc w:val="left"/>
      </w:pPr>
      <w:r>
        <w:rPr/>
        <w:t>⑨其他表明金融资产发生减值的客观证据。 </w:t>
      </w:r>
      <w:r>
        <w:rPr>
          <w:spacing w:val="-2"/>
        </w:rPr>
        <w:t>本公司对单项金额重大的金融资产单独进行减值测试；对单项金额不重大的金融资产，单独进行减值测试或包括在具有</w:t>
      </w:r>
    </w:p>
    <w:p>
      <w:pPr>
        <w:pStyle w:val="BodyText"/>
        <w:spacing w:line="237" w:lineRule="exact"/>
        <w:ind w:left="113" w:right="0"/>
        <w:jc w:val="left"/>
      </w:pPr>
      <w:r>
        <w:rPr/>
        <w:t>类似信用风险特征的金融资产组合中进行减值测试。单独测试未发生减值的金融资产</w:t>
      </w:r>
      <w:r>
        <w:rPr>
          <w:rFonts w:ascii="Times New Roman" w:hAnsi="Times New Roman" w:cs="Times New Roman" w:eastAsia="Times New Roman" w:hint="default"/>
        </w:rPr>
        <w:t>(</w:t>
      </w:r>
      <w:r>
        <w:rPr/>
        <w:t>包括单项金额重大和不重大的金融资</w:t>
      </w:r>
    </w:p>
    <w:p>
      <w:pPr>
        <w:pStyle w:val="BodyText"/>
        <w:spacing w:line="302" w:lineRule="auto" w:before="63"/>
        <w:ind w:right="1152"/>
        <w:jc w:val="left"/>
      </w:pPr>
      <w:r>
        <w:rPr/>
        <w:t>产</w:t>
      </w:r>
      <w:r>
        <w:rPr>
          <w:rFonts w:ascii="Times New Roman" w:hAnsi="Times New Roman" w:cs="Times New Roman" w:eastAsia="Times New Roman" w:hint="default"/>
        </w:rPr>
        <w:t>)</w:t>
      </w:r>
      <w:r>
        <w:rPr/>
        <w:t>，包括在具有类似信用风险特征的金融资产组合中再进行减值测试。已单项确认减值损失的金融资产，不包括在具有类 似信用风险特征的金融资产组合中进行减值测试。</w:t>
      </w:r>
    </w:p>
    <w:p>
      <w:pPr>
        <w:pStyle w:val="BodyText"/>
        <w:spacing w:line="319" w:lineRule="auto" w:before="69"/>
        <w:ind w:right="1131" w:firstLine="360"/>
        <w:jc w:val="both"/>
      </w:pPr>
      <w:r>
        <w:rPr>
          <w:spacing w:val="-2"/>
        </w:rPr>
        <w:t>持有至到期投资、贷款和应收款项发生减值时，将其账面价值减记至按照该金融资产的原实际利率折现确定的预计未来</w:t>
      </w:r>
      <w:r>
        <w:rPr/>
        <w:t> </w:t>
      </w:r>
      <w:r>
        <w:rPr>
          <w:spacing w:val="-2"/>
        </w:rPr>
        <w:t>现金流量现值，减记金额确认为减值损失，计入当期损益。该等以摊余成本计量的金融资产确认减值损失后，如有客观证据</w:t>
      </w:r>
      <w:r>
        <w:rPr>
          <w:spacing w:val="-66"/>
        </w:rPr>
        <w:t> </w:t>
      </w:r>
      <w:r>
        <w:rPr>
          <w:spacing w:val="-66"/>
        </w:rPr>
      </w:r>
      <w:r>
        <w:rPr>
          <w:spacing w:val="-2"/>
        </w:rPr>
        <w:t>表明该金融资产价值已恢复，且客观上与确认该损失后发生的事项有关，原确认的减值损失予以转回，但金融资产转回减值</w:t>
      </w:r>
      <w:r>
        <w:rPr>
          <w:spacing w:val="-66"/>
        </w:rPr>
        <w:t> </w:t>
      </w:r>
      <w:r>
        <w:rPr>
          <w:spacing w:val="-66"/>
        </w:rPr>
      </w:r>
      <w:r>
        <w:rPr/>
        <w:t>损失后的账面价值不超过假定不计提减值准备情况下该金融资产在转回日的摊余成本。</w:t>
      </w:r>
    </w:p>
    <w:p>
      <w:pPr>
        <w:pStyle w:val="BodyText"/>
        <w:spacing w:line="319" w:lineRule="auto" w:before="55"/>
        <w:ind w:left="113" w:right="0" w:firstLine="360"/>
        <w:jc w:val="left"/>
      </w:pPr>
      <w:r>
        <w:rPr/>
        <w:t>可供出售金融资产发生减值时，将原直接计入其他综合收益的因公允价值下降形成的累计损失予以转出并计入当期损 </w:t>
      </w:r>
      <w:r>
        <w:rPr>
          <w:spacing w:val="-2"/>
        </w:rPr>
        <w:t>益，该转出的累计损失为该资产初始取得成本扣除已收回本金和已摊销金额、当前公允价值和原已计入损益的减值损失后的</w:t>
      </w:r>
      <w:r>
        <w:rPr>
          <w:spacing w:val="-64"/>
        </w:rPr>
        <w:t> </w:t>
      </w:r>
      <w:r>
        <w:rPr>
          <w:spacing w:val="-64"/>
        </w:rPr>
      </w:r>
      <w:r>
        <w:rPr>
          <w:spacing w:val="-2"/>
        </w:rPr>
        <w:t>余额。在确认可供出售金融资产减值损失后，期后如有客观证据表明该金融资产价值已恢复，且客观上与确认该损失后发生</w:t>
      </w:r>
      <w:r>
        <w:rPr>
          <w:spacing w:val="-66"/>
        </w:rPr>
        <w:t> </w:t>
      </w:r>
      <w:r>
        <w:rPr>
          <w:spacing w:val="-66"/>
        </w:rPr>
      </w:r>
      <w:r>
        <w:rPr>
          <w:spacing w:val="-2"/>
        </w:rPr>
        <w:t>的事项有关，原确认的减值损失予以转回，可供出售权益工具投资的减值损失转回确认为其他综合收益，可供出售债务工具</w:t>
      </w:r>
      <w:r>
        <w:rPr>
          <w:spacing w:val="-66"/>
        </w:rPr>
        <w:t> </w:t>
      </w:r>
      <w:r>
        <w:rPr>
          <w:spacing w:val="-66"/>
        </w:rPr>
      </w:r>
      <w:r>
        <w:rPr/>
        <w:t>的减值损失转回计入当期损益。</w:t>
      </w:r>
    </w:p>
    <w:p>
      <w:pPr>
        <w:pStyle w:val="BodyText"/>
        <w:spacing w:line="319" w:lineRule="auto" w:before="55"/>
        <w:ind w:left="113" w:right="1131" w:firstLine="360"/>
        <w:jc w:val="both"/>
      </w:pPr>
      <w:r>
        <w:rPr>
          <w:spacing w:val="-2"/>
        </w:rPr>
        <w:t>以成本计量的在活跃市场中没有报价且其公允价值不能可靠计量的权益工具投资，或与该权益工具挂钩并须通过交付该</w:t>
      </w:r>
      <w:r>
        <w:rPr/>
        <w:t> </w:t>
      </w:r>
      <w:r>
        <w:rPr>
          <w:spacing w:val="-2"/>
        </w:rPr>
        <w:t>权益工具结算的衍生金融资产发生减值时，将其账面价值减记至按照类似金融资产当时市场收益率对未来现金流量折现确定</w:t>
      </w:r>
      <w:r>
        <w:rPr>
          <w:spacing w:val="-64"/>
        </w:rPr>
        <w:t> </w:t>
      </w:r>
      <w:r>
        <w:rPr>
          <w:spacing w:val="-64"/>
        </w:rPr>
      </w:r>
      <w:r>
        <w:rPr/>
        <w:t>的现值，减记金额确认为减值损失，计入当期损益，该金融资产的减值损失一经确认不予转回。</w:t>
      </w:r>
    </w:p>
    <w:p>
      <w:pPr>
        <w:pStyle w:val="BodyText"/>
        <w:spacing w:line="319" w:lineRule="auto" w:before="56"/>
        <w:ind w:left="113" w:right="0" w:firstLine="360"/>
        <w:jc w:val="left"/>
      </w:pPr>
      <w:r>
        <w:rPr>
          <w:spacing w:val="-2"/>
        </w:rPr>
        <w:t>对于权益工具投资，本公司判断其公允价值发生“严重”或“非暂时性”下跌的具体量化标准、成本的计算方法、期末</w:t>
      </w:r>
      <w:r>
        <w:rPr/>
        <w:t> 公允价值的确定方法，以及持续下跌期间的确定依据为：</w:t>
      </w:r>
    </w:p>
    <w:p>
      <w:pPr>
        <w:pStyle w:val="BodyText"/>
        <w:spacing w:line="240" w:lineRule="auto" w:before="56"/>
        <w:ind w:left="474" w:right="0"/>
        <w:jc w:val="left"/>
        <w:rPr>
          <w:rFonts w:ascii="Times New Roman" w:hAnsi="Times New Roman" w:cs="Times New Roman" w:eastAsia="Times New Roman" w:hint="default"/>
        </w:rPr>
      </w:pPr>
      <w:r>
        <w:rPr/>
        <w:t>①公司对可供出售金融资产的公允价值下跌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w:t>
      </w:r>
      <w:r>
        <w:rPr>
          <w:rFonts w:ascii="Times New Roman" w:hAnsi="Times New Roman" w:cs="Times New Roman" w:eastAsia="Times New Roman" w:hint="default"/>
        </w:rPr>
        <w:t>:</w:t>
      </w:r>
      <w:r>
        <w:rPr/>
        <w:t>期末公允价值相对于成本的下跌幅度已达到或超过</w:t>
      </w:r>
      <w:r>
        <w:rPr>
          <w:spacing w:val="-47"/>
        </w:rPr>
        <w:t> </w:t>
      </w:r>
      <w:r>
        <w:rPr>
          <w:rFonts w:ascii="Times New Roman" w:hAnsi="Times New Roman" w:cs="Times New Roman" w:eastAsia="Times New Roman" w:hint="default"/>
        </w:rPr>
        <w:t>50%;</w:t>
      </w:r>
    </w:p>
    <w:p>
      <w:pPr>
        <w:pStyle w:val="BodyText"/>
        <w:spacing w:line="240" w:lineRule="auto" w:before="102"/>
        <w:ind w:left="473" w:right="0"/>
        <w:jc w:val="left"/>
        <w:rPr>
          <w:rFonts w:ascii="Times New Roman" w:hAnsi="Times New Roman" w:cs="Times New Roman" w:eastAsia="Times New Roman" w:hint="default"/>
        </w:rPr>
      </w:pPr>
      <w:r>
        <w:rPr/>
        <w:t>②公允价值下跌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w:t>
      </w:r>
      <w:r>
        <w:rPr>
          <w:rFonts w:ascii="Times New Roman" w:hAnsi="Times New Roman" w:cs="Times New Roman" w:eastAsia="Times New Roman" w:hint="default"/>
        </w:rPr>
        <w:t>:</w:t>
      </w:r>
      <w:r>
        <w:rPr/>
        <w:t>连续</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个月出现下跌</w:t>
      </w:r>
      <w:r>
        <w:rPr>
          <w:rFonts w:ascii="Times New Roman" w:hAnsi="Times New Roman" w:cs="Times New Roman" w:eastAsia="Times New Roman" w:hint="default"/>
        </w:rPr>
        <w:t>;</w:t>
      </w:r>
    </w:p>
    <w:p>
      <w:pPr>
        <w:pStyle w:val="BodyText"/>
        <w:spacing w:line="302" w:lineRule="auto" w:before="102"/>
        <w:ind w:left="113" w:right="1223" w:firstLine="360"/>
        <w:jc w:val="left"/>
        <w:rPr>
          <w:rFonts w:ascii="Times New Roman" w:hAnsi="Times New Roman" w:cs="Times New Roman" w:eastAsia="Times New Roman" w:hint="default"/>
        </w:rPr>
      </w:pPr>
      <w:r>
        <w:rPr/>
        <w:t>③投资成本的计算方法为</w:t>
      </w:r>
      <w:r>
        <w:rPr>
          <w:rFonts w:ascii="Times New Roman" w:hAnsi="Times New Roman" w:cs="Times New Roman" w:eastAsia="Times New Roman" w:hint="default"/>
        </w:rPr>
        <w:t>:</w:t>
      </w:r>
      <w:r>
        <w:rPr/>
        <w:t>取得时交易价格</w:t>
      </w:r>
      <w:r>
        <w:rPr>
          <w:rFonts w:ascii="Times New Roman" w:hAnsi="Times New Roman" w:cs="Times New Roman" w:eastAsia="Times New Roman" w:hint="default"/>
        </w:rPr>
        <w:t>(</w:t>
      </w:r>
      <w:r>
        <w:rPr/>
        <w:t>扣除已宣告但尚未发放的现金股利或已到付息期但尚未领取的债券利息</w:t>
      </w:r>
      <w:r>
        <w:rPr>
          <w:rFonts w:ascii="Times New Roman" w:hAnsi="Times New Roman" w:cs="Times New Roman" w:eastAsia="Times New Roman" w:hint="default"/>
        </w:rPr>
        <w:t>)</w:t>
      </w:r>
      <w:r>
        <w:rPr/>
        <w:t>和 相关交易费用之和作为投资成本</w:t>
      </w:r>
      <w:r>
        <w:rPr>
          <w:rFonts w:ascii="Times New Roman" w:hAnsi="Times New Roman" w:cs="Times New Roman" w:eastAsia="Times New Roman" w:hint="default"/>
        </w:rPr>
        <w:t>;</w:t>
      </w:r>
    </w:p>
    <w:p>
      <w:pPr>
        <w:pStyle w:val="BodyText"/>
        <w:spacing w:line="302" w:lineRule="auto" w:before="49"/>
        <w:ind w:left="113" w:right="1120" w:firstLine="360"/>
        <w:jc w:val="left"/>
      </w:pPr>
      <w:r>
        <w:rPr/>
        <w:t>④持续下跌期间的确定依据为</w:t>
      </w:r>
      <w:r>
        <w:rPr>
          <w:rFonts w:ascii="Times New Roman" w:hAnsi="Times New Roman" w:cs="Times New Roman" w:eastAsia="Times New Roman" w:hint="default"/>
        </w:rPr>
        <w:t>:</w:t>
      </w:r>
      <w:r>
        <w:rPr/>
        <w:t>连续下跌或在下跌趋势持续期间反弹上扬幅度低于</w:t>
      </w:r>
      <w:r>
        <w:rPr>
          <w:spacing w:val="-50"/>
        </w:rPr>
        <w:t> </w:t>
      </w:r>
      <w:r>
        <w:rPr>
          <w:rFonts w:ascii="Times New Roman" w:hAnsi="Times New Roman" w:cs="Times New Roman" w:eastAsia="Times New Roman" w:hint="default"/>
        </w:rPr>
        <w:t>30%,</w:t>
      </w:r>
      <w:r>
        <w:rPr/>
        <w:t>反弹持续时间未超过</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个月的均 作为持续下跌期间。</w:t>
      </w:r>
    </w:p>
    <w:p>
      <w:pPr>
        <w:spacing w:line="240" w:lineRule="auto" w:before="2"/>
        <w:rPr>
          <w:rFonts w:ascii="宋体" w:hAnsi="宋体" w:cs="宋体" w:eastAsia="宋体" w:hint="default"/>
          <w:sz w:val="23"/>
          <w:szCs w:val="23"/>
        </w:rPr>
      </w:pPr>
    </w:p>
    <w:p>
      <w:pPr>
        <w:pStyle w:val="Heading3"/>
        <w:spacing w:line="240" w:lineRule="auto"/>
        <w:ind w:left="113" w:right="0"/>
        <w:jc w:val="left"/>
        <w:rPr>
          <w:b w:val="0"/>
          <w:bCs w:val="0"/>
        </w:rPr>
      </w:pPr>
      <w:bookmarkStart w:name="11、应收款项" w:id="176"/>
      <w:bookmarkEnd w:id="17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77"/>
      <w:bookmarkEnd w:id="177"/>
      <w:r>
        <w:rPr>
          <w:b w:val="0"/>
          <w:bCs w:val="0"/>
        </w:rPr>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14"/>
              <w:jc w:val="left"/>
              <w:rPr>
                <w:rFonts w:ascii="宋体" w:hAnsi="宋体" w:cs="宋体" w:eastAsia="宋体" w:hint="default"/>
                <w:sz w:val="18"/>
                <w:szCs w:val="18"/>
              </w:rPr>
            </w:pPr>
            <w:r>
              <w:rPr>
                <w:rFonts w:ascii="宋体" w:hAnsi="宋体" w:cs="宋体" w:eastAsia="宋体" w:hint="default"/>
                <w:sz w:val="18"/>
                <w:szCs w:val="18"/>
              </w:rPr>
              <w:t>本公司单笔金额占应收款项余额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以上且单笔金额在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万元以上的应收款项，确定为单项金额重大的应收款 项。</w:t>
            </w:r>
          </w:p>
        </w:tc>
      </w:tr>
    </w:tbl>
    <w:p>
      <w:pPr>
        <w:spacing w:after="0" w:line="30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 进行减值测试，经测试发生了减值的，按其未来现金流量 现值低于其账面价值的差额，确定减值损失，计提坏账准 备；对单项测试未减值的应收款项，汇同对单项金额非重 大的应收款项，按类似的信用风险特征划分为若干组合， 再按这些应收款项组合在资产负债表日余额的一定比例计 算确定减值损失，计提坏账准备。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78"/>
      <w:bookmarkEnd w:id="178"/>
      <w:r>
        <w:rPr>
          <w:b w:val="0"/>
          <w:bCs w:val="0"/>
        </w:rPr>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帐龄分析法计提坏帐准备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57" w:lineRule="auto" w:before="117"/>
        <w:ind w:right="7512"/>
        <w:jc w:val="left"/>
      </w:pPr>
      <w:r>
        <w:rPr/>
        <w:t>□ 适用 √ 不适用 组合中，采用其他方法计提坏账准备的：</w:t>
      </w:r>
    </w:p>
    <w:p>
      <w:pPr>
        <w:pStyle w:val="BodyText"/>
        <w:spacing w:line="240" w:lineRule="auto" w:before="28"/>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单项金额不重大但单独计提坏账准备的应收款项" w:id="179"/>
      <w:bookmarkEnd w:id="179"/>
      <w:r>
        <w:rPr>
          <w:b w:val="0"/>
          <w:bCs w:val="0"/>
        </w:rPr>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102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8"/>
              <w:jc w:val="both"/>
              <w:rPr>
                <w:rFonts w:ascii="宋体" w:hAnsi="宋体" w:cs="宋体" w:eastAsia="宋体" w:hint="default"/>
                <w:sz w:val="18"/>
                <w:szCs w:val="18"/>
              </w:rPr>
            </w:pPr>
            <w:r>
              <w:rPr>
                <w:rFonts w:ascii="宋体" w:hAnsi="宋体" w:cs="宋体" w:eastAsia="宋体" w:hint="default"/>
                <w:sz w:val="18"/>
                <w:szCs w:val="18"/>
              </w:rPr>
              <w:t>如果有迹象表明某项应收款项的可收回性与该账龄段其它 应收款项存在明显差别，导致该项应收款项如果按照既定 比例计提坏账准备，无法真实反映其可收回金额的。</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采用个别认定法计提坏账准备。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0"/>
      <w:bookmarkEnd w:id="180"/>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spacing w:line="331" w:lineRule="auto" w:before="0"/>
        <w:ind w:left="474" w:right="4272" w:firstLine="6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b/>
          <w:bCs/>
          <w:w w:val="99"/>
          <w:sz w:val="21"/>
          <w:szCs w:val="21"/>
        </w:rPr>
        <w:t> </w:t>
      </w:r>
      <w:r>
        <w:rPr>
          <w:rFonts w:ascii="宋体" w:hAnsi="宋体" w:cs="宋体" w:eastAsia="宋体" w:hint="default"/>
          <w:sz w:val="18"/>
          <w:szCs w:val="18"/>
        </w:rPr>
        <w:t>公司存货包括生产经营过程中为销售或耗用而持有的原材料、低值易耗品等。 </w:t>
      </w:r>
      <w:r>
        <w:rPr>
          <w:rFonts w:ascii="宋体" w:hAnsi="宋体" w:cs="宋体" w:eastAsia="宋体" w:hint="default"/>
          <w:b/>
          <w:bCs/>
          <w:sz w:val="21"/>
          <w:szCs w:val="21"/>
        </w:rPr>
        <w:t>2</w:t>
      </w:r>
      <w:r>
        <w:rPr>
          <w:rFonts w:ascii="宋体" w:hAnsi="宋体" w:cs="宋体" w:eastAsia="宋体" w:hint="default"/>
          <w:b/>
          <w:bCs/>
          <w:sz w:val="21"/>
          <w:szCs w:val="21"/>
        </w:rPr>
        <w:t>）存货取得和发出的计价方法</w:t>
      </w:r>
      <w:r>
        <w:rPr>
          <w:rFonts w:ascii="宋体" w:hAnsi="宋体" w:cs="宋体" w:eastAsia="宋体" w:hint="default"/>
          <w:sz w:val="21"/>
          <w:szCs w:val="21"/>
        </w:rPr>
      </w:r>
    </w:p>
    <w:p>
      <w:pPr>
        <w:pStyle w:val="BodyText"/>
        <w:spacing w:line="240" w:lineRule="auto" w:before="23"/>
        <w:ind w:left="474" w:right="0"/>
        <w:jc w:val="left"/>
      </w:pPr>
      <w:r>
        <w:rPr/>
        <w:t>（</w:t>
      </w:r>
      <w:r>
        <w:rPr>
          <w:rFonts w:ascii="Times New Roman" w:hAnsi="Times New Roman" w:cs="Times New Roman" w:eastAsia="Times New Roman" w:hint="default"/>
        </w:rPr>
        <w:t>1</w:t>
      </w:r>
      <w:r>
        <w:rPr/>
        <w:t>）原材料中主要材料入库时按实际成本记账，发出时采用加权平均法核算。</w:t>
      </w:r>
    </w:p>
    <w:p>
      <w:pPr>
        <w:pStyle w:val="BodyText"/>
        <w:spacing w:line="240" w:lineRule="auto" w:before="102"/>
        <w:ind w:left="474" w:right="0"/>
        <w:jc w:val="left"/>
      </w:pPr>
      <w:r>
        <w:rPr/>
        <w:t>（</w:t>
      </w:r>
      <w:r>
        <w:rPr>
          <w:rFonts w:ascii="Times New Roman" w:hAnsi="Times New Roman" w:cs="Times New Roman" w:eastAsia="Times New Roman" w:hint="default"/>
        </w:rPr>
        <w:t>2</w:t>
      </w:r>
      <w:r>
        <w:rPr/>
        <w:t>）低值易耗品采用一次摊销法核算。</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spacing w:line="331" w:lineRule="auto" w:before="35"/>
        <w:ind w:left="474" w:right="6972" w:firstLine="6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）存货数量的盘存方法</w:t>
      </w:r>
      <w:r>
        <w:rPr>
          <w:rFonts w:ascii="宋体" w:hAnsi="宋体" w:cs="宋体" w:eastAsia="宋体" w:hint="default"/>
          <w:b/>
          <w:bCs/>
          <w:w w:val="99"/>
          <w:sz w:val="21"/>
          <w:szCs w:val="21"/>
        </w:rPr>
        <w:t> </w:t>
      </w:r>
      <w:r>
        <w:rPr>
          <w:rFonts w:ascii="宋体" w:hAnsi="宋体" w:cs="宋体" w:eastAsia="宋体" w:hint="default"/>
          <w:sz w:val="18"/>
          <w:szCs w:val="18"/>
        </w:rPr>
        <w:t>公司存货数量的盘存方法采用永续盘存制。 </w:t>
      </w:r>
      <w:r>
        <w:rPr>
          <w:rFonts w:ascii="宋体" w:hAnsi="宋体" w:cs="宋体" w:eastAsia="宋体" w:hint="default"/>
          <w:b/>
          <w:bCs/>
          <w:sz w:val="21"/>
          <w:szCs w:val="21"/>
        </w:rPr>
        <w:t>4</w:t>
      </w:r>
      <w:r>
        <w:rPr>
          <w:rFonts w:ascii="宋体" w:hAnsi="宋体" w:cs="宋体" w:eastAsia="宋体" w:hint="default"/>
          <w:b/>
          <w:bCs/>
          <w:sz w:val="21"/>
          <w:szCs w:val="21"/>
        </w:rPr>
        <w:t>）存货跌价准备</w:t>
      </w:r>
      <w:r>
        <w:rPr>
          <w:rFonts w:ascii="宋体" w:hAnsi="宋体" w:cs="宋体" w:eastAsia="宋体" w:hint="default"/>
          <w:sz w:val="21"/>
          <w:szCs w:val="21"/>
        </w:rPr>
      </w:r>
    </w:p>
    <w:p>
      <w:pPr>
        <w:pStyle w:val="BodyText"/>
        <w:spacing w:line="319" w:lineRule="auto" w:before="23"/>
        <w:ind w:right="1131" w:firstLine="360"/>
        <w:jc w:val="both"/>
      </w:pPr>
      <w:r>
        <w:rPr>
          <w:spacing w:val="-2"/>
        </w:rPr>
        <w:t>资产负债表日，公司存货按照成本与可变现净值孰低计量，并按单个存货项目的可变现净值低于存货成本的差额，计提</w:t>
      </w:r>
      <w:r>
        <w:rPr/>
        <w:t> </w:t>
      </w:r>
      <w:r>
        <w:rPr>
          <w:spacing w:val="-2"/>
        </w:rPr>
        <w:t>存货跌价准备，计入当期损益；以前减记存货价值的影响因素已经消失的，减记的金额予以恢复，并在原已计提的存货跌价</w:t>
      </w:r>
      <w:r>
        <w:rPr>
          <w:spacing w:val="-66"/>
        </w:rPr>
        <w:t> </w:t>
      </w:r>
      <w:r>
        <w:rPr>
          <w:spacing w:val="-66"/>
        </w:rPr>
      </w:r>
      <w:r>
        <w:rPr/>
        <w:t>准备金额内转回，转回的金额计入当期损益。</w:t>
      </w:r>
    </w:p>
    <w:p>
      <w:pPr>
        <w:pStyle w:val="BodyText"/>
        <w:spacing w:line="319" w:lineRule="auto" w:before="55"/>
        <w:ind w:right="1118" w:firstLine="360"/>
        <w:jc w:val="left"/>
      </w:pPr>
      <w:r>
        <w:rPr>
          <w:spacing w:val="-2"/>
        </w:rPr>
        <w:t>存货可变现净值是指在日常活动中，存货的估计售价减去至完工时估计将要发生的成本、估计的销售费用以及相关税费</w:t>
      </w:r>
      <w:r>
        <w:rPr/>
        <w:t> 后的金额。</w:t>
      </w:r>
    </w:p>
    <w:p>
      <w:pPr>
        <w:spacing w:line="240" w:lineRule="auto" w:before="4"/>
        <w:rPr>
          <w:rFonts w:ascii="宋体" w:hAnsi="宋体" w:cs="宋体" w:eastAsia="宋体" w:hint="default"/>
          <w:sz w:val="22"/>
          <w:szCs w:val="22"/>
        </w:rPr>
      </w:pPr>
    </w:p>
    <w:p>
      <w:pPr>
        <w:pStyle w:val="Heading3"/>
        <w:spacing w:line="240" w:lineRule="auto"/>
        <w:ind w:left="113" w:right="0"/>
        <w:jc w:val="left"/>
        <w:rPr>
          <w:b w:val="0"/>
          <w:bCs w:val="0"/>
        </w:rPr>
      </w:pPr>
      <w:bookmarkStart w:name="13、划分为持有待售资产" w:id="181"/>
      <w:bookmarkEnd w:id="181"/>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6" w:right="0"/>
        <w:jc w:val="left"/>
        <w:rPr>
          <w:b w:val="0"/>
          <w:bCs w:val="0"/>
        </w:rPr>
      </w:pPr>
      <w:r>
        <w:rPr>
          <w:rFonts w:ascii="宋体" w:hAnsi="宋体" w:cs="宋体" w:eastAsia="宋体" w:hint="default"/>
        </w:rPr>
        <w:t>1</w:t>
      </w:r>
      <w:r>
        <w:rPr/>
        <w:t>）划分为持有待售的资产确认标准</w:t>
      </w:r>
      <w:r>
        <w:rPr>
          <w:b w:val="0"/>
          <w:bCs w:val="0"/>
        </w:rPr>
      </w:r>
    </w:p>
    <w:p>
      <w:pPr>
        <w:pStyle w:val="BodyText"/>
        <w:spacing w:line="302" w:lineRule="auto" w:before="103"/>
        <w:ind w:right="1162" w:firstLine="360"/>
        <w:jc w:val="left"/>
      </w:pPr>
      <w:r>
        <w:rPr/>
        <w:t>同时满足下列条件</w:t>
      </w:r>
      <w:r>
        <w:rPr>
          <w:rFonts w:ascii="Times New Roman" w:hAnsi="Times New Roman" w:cs="Times New Roman" w:eastAsia="Times New Roman" w:hint="default"/>
        </w:rPr>
        <w:t>:</w:t>
      </w:r>
      <w:r>
        <w:rPr/>
        <w:t>公司已经就处置该资产作出决议；公司已经与受让方签订了不可撤消的转让协议；该项资产转让将 在一年内完成。</w:t>
      </w:r>
    </w:p>
    <w:p>
      <w:pPr>
        <w:pStyle w:val="Heading3"/>
        <w:spacing w:line="240" w:lineRule="auto" w:before="42"/>
        <w:ind w:left="536" w:right="0"/>
        <w:jc w:val="left"/>
        <w:rPr>
          <w:b w:val="0"/>
          <w:bCs w:val="0"/>
        </w:rPr>
      </w:pPr>
      <w:r>
        <w:rPr>
          <w:rFonts w:ascii="宋体" w:hAnsi="宋体" w:cs="宋体" w:eastAsia="宋体" w:hint="default"/>
        </w:rPr>
        <w:t>2</w:t>
      </w:r>
      <w:r>
        <w:rPr/>
        <w:t>）划分为持有待售的资产会计处理</w:t>
      </w:r>
      <w:r>
        <w:rPr>
          <w:b w:val="0"/>
          <w:bCs w:val="0"/>
        </w:rPr>
      </w:r>
    </w:p>
    <w:p>
      <w:pPr>
        <w:pStyle w:val="BodyText"/>
        <w:spacing w:line="316" w:lineRule="auto" w:before="103"/>
        <w:ind w:right="0" w:firstLine="360"/>
        <w:jc w:val="left"/>
      </w:pPr>
      <w:r>
        <w:rPr>
          <w:spacing w:val="-2"/>
        </w:rPr>
        <w:t>对于持有待售的非流动资产，自划分为持有待售之日起不计提折旧或进行摊销，按照账面价值与公允价值减去处置费用</w:t>
      </w:r>
      <w:r>
        <w:rPr/>
        <w:t> 后的净额孰低计量。</w:t>
      </w:r>
    </w:p>
    <w:p>
      <w:pPr>
        <w:pStyle w:val="BodyText"/>
        <w:spacing w:line="319" w:lineRule="auto" w:before="58"/>
        <w:ind w:right="0" w:firstLine="360"/>
        <w:jc w:val="left"/>
      </w:pPr>
      <w:r>
        <w:rPr>
          <w:spacing w:val="-2"/>
        </w:rPr>
        <w:t>持有待售的非流动资产包括单项资产和处置组。被划分为持有待售的单项非流动资产和处置组中的资产，在资产负债表</w:t>
      </w:r>
      <w:r>
        <w:rPr/>
        <w:t> </w:t>
      </w:r>
      <w:r>
        <w:rPr>
          <w:spacing w:val="-4"/>
        </w:rPr>
        <w:t>的流动资产部分单独列报；被划分为持有待售的处置组中的与转让资产相关的负债，在资产负债表的流动负债部分单独列报。</w:t>
      </w:r>
    </w:p>
    <w:p>
      <w:pPr>
        <w:pStyle w:val="BodyText"/>
        <w:spacing w:line="309" w:lineRule="auto" w:before="55"/>
        <w:ind w:left="113" w:right="0"/>
        <w:jc w:val="left"/>
      </w:pPr>
      <w:r>
        <w:rPr>
          <w:spacing w:val="-4"/>
        </w:rPr>
        <w:t>某项资产或处置组被划归为持有待售，但后来不再满足持有待售的非流动资产的确认条件，本公司停止将其划归为持有待售，</w:t>
      </w:r>
      <w:r>
        <w:rPr>
          <w:spacing w:val="-43"/>
        </w:rPr>
        <w:t> </w:t>
      </w:r>
      <w:r>
        <w:rPr>
          <w:spacing w:val="-43"/>
        </w:rPr>
      </w:r>
      <w:r>
        <w:rPr/>
        <w:t>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）该资产或处置组被划归为持有待售之前的账面价值，按照其假定在没有被划 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4"/>
        <w:rPr>
          <w:rFonts w:ascii="宋体" w:hAnsi="宋体" w:cs="宋体" w:eastAsia="宋体" w:hint="default"/>
          <w:sz w:val="21"/>
          <w:szCs w:val="21"/>
        </w:rPr>
      </w:pPr>
    </w:p>
    <w:p>
      <w:pPr>
        <w:pStyle w:val="Heading3"/>
        <w:spacing w:line="240" w:lineRule="auto"/>
        <w:ind w:left="113" w:right="0"/>
        <w:jc w:val="left"/>
        <w:rPr>
          <w:b w:val="0"/>
          <w:bCs w:val="0"/>
        </w:rPr>
      </w:pPr>
      <w:bookmarkStart w:name="14、长期股权投资" w:id="182"/>
      <w:bookmarkEnd w:id="18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firstLine="360"/>
        <w:jc w:val="left"/>
      </w:pPr>
      <w:r>
        <w:rPr>
          <w:spacing w:val="-2"/>
        </w:rPr>
        <w:t>本部分所指的长期股权投资是指本公司对被投资单位具有控制、共同控制或重大影响的长期股权投资。本公司对被投资</w:t>
      </w:r>
      <w:r>
        <w:rPr/>
        <w:t> 单位不具有控制、共同控制或重大影响的长期股权投资，作为可供出售金融资产核算。</w:t>
      </w:r>
    </w:p>
    <w:p>
      <w:pPr>
        <w:pStyle w:val="Heading3"/>
        <w:spacing w:line="240" w:lineRule="auto" w:before="30"/>
        <w:ind w:left="536" w:right="0"/>
        <w:jc w:val="left"/>
        <w:rPr>
          <w:b w:val="0"/>
          <w:bCs w:val="0"/>
        </w:rPr>
      </w:pPr>
      <w:r>
        <w:rPr>
          <w:rFonts w:ascii="宋体" w:hAnsi="宋体" w:cs="宋体" w:eastAsia="宋体" w:hint="default"/>
        </w:rPr>
        <w:t>1</w:t>
      </w:r>
      <w:r>
        <w:rPr/>
        <w:t>）初始投资成本确定</w:t>
      </w:r>
      <w:r>
        <w:rPr>
          <w:b w:val="0"/>
          <w:bCs w:val="0"/>
        </w:rPr>
      </w:r>
    </w:p>
    <w:p>
      <w:pPr>
        <w:pStyle w:val="BodyText"/>
        <w:spacing w:line="302" w:lineRule="auto" w:before="103"/>
        <w:ind w:right="1122"/>
        <w:jc w:val="left"/>
      </w:pPr>
      <w:r>
        <w:rPr/>
        <w:t>（</w:t>
      </w:r>
      <w:r>
        <w:rPr>
          <w:rFonts w:ascii="Times New Roman" w:hAnsi="Times New Roman" w:cs="Times New Roman" w:eastAsia="Times New Roman" w:hint="default"/>
        </w:rPr>
        <w:t>1</w:t>
      </w:r>
      <w:r>
        <w:rPr/>
        <w:t>）对于企业合并取得的长期股权投资，如为同一控制下的企业合并，应当按照取得被合并方所有者权益账面价值的份额 确认为初始成本；非同一控制下的企业合并，应当按购买日确定的合并成本确认为初始成本；</w:t>
      </w:r>
    </w:p>
    <w:p>
      <w:pPr>
        <w:pStyle w:val="BodyText"/>
        <w:spacing w:line="307" w:lineRule="auto" w:before="68"/>
        <w:ind w:right="1133"/>
        <w:jc w:val="both"/>
      </w:pPr>
      <w:r>
        <w:rPr/>
        <w:t>（</w:t>
      </w:r>
      <w:r>
        <w:rPr>
          <w:rFonts w:ascii="Times New Roman" w:hAnsi="Times New Roman" w:cs="Times New Roman" w:eastAsia="Times New Roman" w:hint="default"/>
        </w:rPr>
        <w:t>2</w:t>
      </w:r>
      <w:r>
        <w:rPr/>
        <w:t>）除企业合并形成的长期股权投资外的其他股权投资，以支付现金取得的长期股权投资，初始投资成本为实际支付的购 </w:t>
      </w:r>
      <w:r>
        <w:rPr>
          <w:spacing w:val="-2"/>
        </w:rPr>
        <w:t>买价款；以发行权益性证券取得的长期股权投资，初始投资成本为发行权益性证券的公允价值；通过债务重组取得的长期股</w:t>
      </w:r>
      <w:r>
        <w:rPr>
          <w:spacing w:val="-66"/>
        </w:rPr>
        <w:t> </w:t>
      </w:r>
      <w:r>
        <w:rPr>
          <w:spacing w:val="-66"/>
        </w:rPr>
      </w:r>
      <w:r>
        <w:rPr/>
        <w:t>权投资，其初始投资成本应当按照《企业会计准则第</w:t>
      </w:r>
      <w:r>
        <w:rPr>
          <w:spacing w:val="-45"/>
        </w:rPr>
        <w:t> </w:t>
      </w:r>
      <w:r>
        <w:rPr>
          <w:rFonts w:ascii="Times New Roman" w:hAnsi="Times New Roman" w:cs="Times New Roman" w:eastAsia="Times New Roman" w:hint="default"/>
        </w:rPr>
        <w:t>12 </w:t>
      </w:r>
      <w:r>
        <w:rPr/>
        <w:t>号——债务重组》的有关规定确定；非货币性资产交换取得，初始 投资成本根据准则相关规定确定。</w:t>
      </w:r>
    </w:p>
    <w:p>
      <w:pPr>
        <w:pStyle w:val="Heading3"/>
        <w:spacing w:line="240" w:lineRule="auto" w:before="39"/>
        <w:ind w:left="534" w:right="0"/>
        <w:jc w:val="left"/>
        <w:rPr>
          <w:b w:val="0"/>
          <w:bCs w:val="0"/>
        </w:rPr>
      </w:pPr>
      <w:r>
        <w:rPr>
          <w:rFonts w:ascii="宋体" w:hAnsi="宋体" w:cs="宋体" w:eastAsia="宋体" w:hint="default"/>
        </w:rPr>
        <w:t>2</w:t>
      </w:r>
      <w:r>
        <w:rPr/>
        <w:t>）后续计量及损益确认方法</w:t>
      </w:r>
      <w:r>
        <w:rPr>
          <w:b w:val="0"/>
          <w:bCs w:val="0"/>
        </w:rPr>
      </w:r>
    </w:p>
    <w:p>
      <w:pPr>
        <w:pStyle w:val="BodyText"/>
        <w:spacing w:line="338" w:lineRule="auto" w:before="103"/>
        <w:ind w:left="474" w:right="0"/>
        <w:jc w:val="left"/>
      </w:pPr>
      <w:r>
        <w:rPr/>
        <w:t>（</w:t>
      </w:r>
      <w:r>
        <w:rPr>
          <w:rFonts w:ascii="Times New Roman" w:hAnsi="Times New Roman" w:cs="Times New Roman" w:eastAsia="Times New Roman" w:hint="default"/>
        </w:rPr>
        <w:t>1</w:t>
      </w:r>
      <w:r>
        <w:rPr/>
        <w:t>）成本法核算 </w:t>
      </w:r>
      <w:r>
        <w:rPr>
          <w:spacing w:val="-2"/>
        </w:rPr>
        <w:t>投资方能够对被投资单位实施控制的长期股权投资应当采用成本法核算。采用成本法核算的长期股权投资，除追加或收</w:t>
      </w:r>
    </w:p>
    <w:p>
      <w:pPr>
        <w:pStyle w:val="BodyText"/>
        <w:spacing w:line="240" w:lineRule="auto" w:before="4"/>
        <w:ind w:right="0"/>
        <w:jc w:val="left"/>
      </w:pPr>
      <w:r>
        <w:rPr/>
        <w:t>回投资外，账面价值一般不变。当宣告分派的利润或现金股利计算应分得的部分，确认投资收益。</w:t>
      </w:r>
    </w:p>
    <w:p>
      <w:pPr>
        <w:pStyle w:val="BodyText"/>
        <w:spacing w:line="338" w:lineRule="auto" w:before="116"/>
        <w:ind w:left="474" w:right="0"/>
        <w:jc w:val="left"/>
      </w:pPr>
      <w:r>
        <w:rPr/>
        <w:t>（</w:t>
      </w:r>
      <w:r>
        <w:rPr>
          <w:rFonts w:ascii="Times New Roman" w:hAnsi="Times New Roman" w:cs="Times New Roman" w:eastAsia="Times New Roman" w:hint="default"/>
        </w:rPr>
        <w:t>2</w:t>
      </w:r>
      <w:r>
        <w:rPr/>
        <w:t>）权益法核算 </w:t>
      </w:r>
      <w:r>
        <w:rPr>
          <w:spacing w:val="-2"/>
        </w:rPr>
        <w:t>投资方对联营企业和合营企业的长期股权投资采用权益法核算。投资方对联营企业的权益性投资，其中一部分通过风险</w:t>
      </w:r>
    </w:p>
    <w:p>
      <w:pPr>
        <w:pStyle w:val="BodyText"/>
        <w:spacing w:line="316" w:lineRule="auto" w:before="2"/>
        <w:ind w:right="1124"/>
        <w:jc w:val="left"/>
      </w:pPr>
      <w:r>
        <w:rPr>
          <w:spacing w:val="-2"/>
        </w:rPr>
        <w:t>投资机构、共同基金、信托公司或包括投连险基金在内的类似主体间接持有的，无论以上主体是否对这部分投资具有重大影</w:t>
      </w:r>
      <w:r>
        <w:rPr>
          <w:spacing w:val="-66"/>
        </w:rPr>
        <w:t> </w:t>
      </w:r>
      <w:r>
        <w:rPr>
          <w:spacing w:val="-66"/>
        </w:rPr>
      </w:r>
      <w:r>
        <w:rPr/>
        <w:t>响，投资方都可以按照《企业会计准则第</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号——金融工具确认和计量》的有关规定，对间接持有的该部分投资选择以公</w:t>
      </w:r>
    </w:p>
    <w:p>
      <w:pPr>
        <w:spacing w:after="0" w:line="316"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left="474" w:right="0" w:hanging="360"/>
        <w:jc w:val="left"/>
      </w:pPr>
      <w:r>
        <w:rPr/>
        <w:t>允价值计量且其变动计入损益，并对其余部分采用权益法核算。 </w:t>
      </w:r>
      <w:r>
        <w:rPr>
          <w:spacing w:val="-2"/>
        </w:rPr>
        <w:t>采用权益法核算时，长期股权投资的初始投资成本大于投资时应享有被投资单位可辨认净资产公允价值份额的，不调整</w:t>
      </w:r>
    </w:p>
    <w:p>
      <w:pPr>
        <w:pStyle w:val="BodyText"/>
        <w:spacing w:line="224" w:lineRule="exact"/>
        <w:ind w:right="0"/>
        <w:jc w:val="left"/>
      </w:pPr>
      <w:r>
        <w:rPr/>
        <w:t>长期股权投资的初始投资成本；初始投资成本小于投资时应享有被投资单位可辨认净资产公允价值份额的，其差额计入当期</w:t>
      </w:r>
    </w:p>
    <w:p>
      <w:pPr>
        <w:pStyle w:val="BodyText"/>
        <w:spacing w:line="357" w:lineRule="auto" w:before="77"/>
        <w:ind w:left="474" w:right="0" w:hanging="360"/>
        <w:jc w:val="left"/>
      </w:pPr>
      <w:r>
        <w:rPr/>
        <w:t>损益，同时调整长期股权投资的成本。 </w:t>
      </w:r>
      <w:r>
        <w:rPr>
          <w:spacing w:val="-2"/>
        </w:rPr>
        <w:t>采用权益法核算时，按照应享有或应分担的被投资单位实现的净损益和其他综合收益的份额，分别确认投资收益和其他</w:t>
      </w:r>
    </w:p>
    <w:p>
      <w:pPr>
        <w:pStyle w:val="BodyText"/>
        <w:spacing w:line="224" w:lineRule="exact"/>
        <w:ind w:right="0"/>
        <w:jc w:val="left"/>
      </w:pPr>
      <w:r>
        <w:rPr/>
        <w:t>综合收益，同时调整长期股权投资的账面价值；按照被投资单位宣告分派的利润或现金股利计算应享有的部分，相应减少长</w:t>
      </w:r>
    </w:p>
    <w:p>
      <w:pPr>
        <w:pStyle w:val="BodyText"/>
        <w:spacing w:line="319" w:lineRule="auto" w:before="76"/>
        <w:ind w:right="1132"/>
        <w:jc w:val="both"/>
      </w:pP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t>公司的会计政策及会计期间对被投资单位的财务报表进行调整，并据以确认投资收益和其他综合收益。</w:t>
      </w:r>
    </w:p>
    <w:p>
      <w:pPr>
        <w:pStyle w:val="BodyText"/>
        <w:spacing w:line="319" w:lineRule="auto" w:before="55"/>
        <w:ind w:left="113"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Heading3"/>
        <w:spacing w:line="240" w:lineRule="auto" w:before="30"/>
        <w:ind w:left="533" w:right="0"/>
        <w:jc w:val="left"/>
        <w:rPr>
          <w:b w:val="0"/>
          <w:bCs w:val="0"/>
        </w:rPr>
      </w:pPr>
      <w:r>
        <w:rPr>
          <w:rFonts w:ascii="宋体" w:hAnsi="宋体" w:cs="宋体" w:eastAsia="宋体" w:hint="default"/>
        </w:rPr>
        <w:t>3</w:t>
      </w:r>
      <w:r>
        <w:rPr/>
        <w:t>）长期股权投资核算方法的转换</w:t>
      </w:r>
      <w:r>
        <w:rPr>
          <w:b w:val="0"/>
          <w:bCs w:val="0"/>
        </w:rPr>
      </w:r>
    </w:p>
    <w:p>
      <w:pPr>
        <w:pStyle w:val="BodyText"/>
        <w:spacing w:line="312" w:lineRule="auto" w:before="103"/>
        <w:ind w:right="1131" w:firstLine="360"/>
        <w:jc w:val="both"/>
      </w:pPr>
      <w:r>
        <w:rPr/>
        <w:t>（</w:t>
      </w:r>
      <w:r>
        <w:rPr>
          <w:rFonts w:ascii="Times New Roman" w:hAnsi="Times New Roman" w:cs="Times New Roman" w:eastAsia="Times New Roman" w:hint="default"/>
        </w:rPr>
        <w:t>1</w:t>
      </w:r>
      <w:r>
        <w:rPr/>
        <w:t>）公允价值计量转权益法核算：原持有的对被投资单位的股权投资（不具有控制、共同控制或重大影响的），按照 </w:t>
      </w:r>
      <w:r>
        <w:rPr>
          <w:spacing w:val="-2"/>
        </w:rPr>
        <w:t>金融工具确认和计量准则进行会计处理的，因追加投资等原因导致持股比例上升，能够对被投资单位施加共同控制或重大影</w:t>
      </w:r>
      <w:r>
        <w:rPr>
          <w:spacing w:val="-64"/>
        </w:rPr>
        <w:t> </w:t>
      </w:r>
      <w:r>
        <w:rPr>
          <w:spacing w:val="-64"/>
        </w:rPr>
      </w:r>
      <w:r>
        <w:rPr>
          <w:spacing w:val="-2"/>
        </w:rPr>
        <w:t>响的，在转按权益法核算时，投资方应当按照金融工具确认和计量准则确定的原股权投资的公允价值加上为取得新增投资而</w:t>
      </w:r>
      <w:r>
        <w:rPr>
          <w:spacing w:val="-64"/>
        </w:rPr>
        <w:t> </w:t>
      </w:r>
      <w:r>
        <w:rPr>
          <w:spacing w:val="-64"/>
        </w:rPr>
      </w:r>
      <w:r>
        <w:rPr/>
        <w:t>应支付对价的公允价值，作为改按权益法核算的初始投资成本。</w:t>
      </w:r>
    </w:p>
    <w:p>
      <w:pPr>
        <w:pStyle w:val="BodyText"/>
        <w:spacing w:line="309" w:lineRule="auto" w:before="61"/>
        <w:ind w:right="1133" w:firstLine="360"/>
        <w:jc w:val="both"/>
      </w:pPr>
      <w:r>
        <w:rPr/>
        <w:t>（</w:t>
      </w:r>
      <w:r>
        <w:rPr>
          <w:rFonts w:ascii="Times New Roman" w:hAnsi="Times New Roman" w:cs="Times New Roman" w:eastAsia="Times New Roman" w:hint="default"/>
        </w:rPr>
        <w:t>2</w:t>
      </w:r>
      <w:r>
        <w:rPr/>
        <w:t>）公允价值计量或权益法核算转成本法核算：投资方原持有的对被投资单位不具有控制、共同控制或重大影响的按 </w:t>
      </w:r>
      <w:r>
        <w:rPr>
          <w:spacing w:val="-2"/>
        </w:rPr>
        <w:t>照金融工具确认和计量准则进行会计处理的权益性投资，或者原持有对联营企业、合营企业的长期股权投资，因追加投资等</w:t>
      </w:r>
      <w:r>
        <w:rPr>
          <w:spacing w:val="-66"/>
        </w:rPr>
        <w:t> </w:t>
      </w:r>
      <w:r>
        <w:rPr>
          <w:spacing w:val="-66"/>
        </w:rPr>
      </w:r>
      <w:r>
        <w:rPr/>
        <w:t>原因，能够对被投资单位实施控制的，按有关企业合并形成的长期股权投资进行会计处理。</w:t>
      </w:r>
    </w:p>
    <w:p>
      <w:pPr>
        <w:pStyle w:val="BodyText"/>
        <w:spacing w:line="309" w:lineRule="auto" w:before="63"/>
        <w:ind w:right="1132" w:firstLine="360"/>
        <w:jc w:val="both"/>
      </w:pPr>
      <w:r>
        <w:rPr/>
        <w:t>（</w:t>
      </w:r>
      <w:r>
        <w:rPr>
          <w:rFonts w:ascii="Times New Roman" w:hAnsi="Times New Roman" w:cs="Times New Roman" w:eastAsia="Times New Roman" w:hint="default"/>
        </w:rPr>
        <w:t>3</w:t>
      </w:r>
      <w:r>
        <w:rPr/>
        <w:t>）权益法核算转公允价值计量：原持有的对被投资单位具有共同控制或重大影响的长期股权投资，因部分处置等原 </w:t>
      </w:r>
      <w:r>
        <w:rPr>
          <w:spacing w:val="-2"/>
        </w:rPr>
        <w:t>因导致持股比例下降，不能再对被投资单位实施共同控制或重大影响的，应改按金融工具确认和计量准则对剩余股权投资进</w:t>
      </w:r>
      <w:r>
        <w:rPr>
          <w:spacing w:val="-64"/>
        </w:rPr>
        <w:t> </w:t>
      </w:r>
      <w:r>
        <w:rPr>
          <w:spacing w:val="-64"/>
        </w:rPr>
      </w:r>
      <w:r>
        <w:rPr/>
        <w:t>行会计处理，其在丧失共同控制或重大影响之目的公允价值与账面价值之间的差额计入当期损益。</w:t>
      </w:r>
    </w:p>
    <w:p>
      <w:pPr>
        <w:pStyle w:val="BodyText"/>
        <w:spacing w:line="312" w:lineRule="auto" w:before="64"/>
        <w:ind w:right="1132" w:firstLine="360"/>
        <w:jc w:val="both"/>
      </w:pPr>
      <w:r>
        <w:rPr/>
        <w:t>（</w:t>
      </w:r>
      <w:r>
        <w:rPr>
          <w:rFonts w:ascii="Times New Roman" w:hAnsi="Times New Roman" w:cs="Times New Roman" w:eastAsia="Times New Roman" w:hint="default"/>
        </w:rPr>
        <w:t>4</w:t>
      </w:r>
      <w:r>
        <w:rPr/>
        <w:t>）成本法转权益法：因处置投资等原因导致对被投资单位由能够实施控制转为具有重大影响或者与其他投资方一起 </w:t>
      </w:r>
      <w:r>
        <w:rPr>
          <w:spacing w:val="-2"/>
        </w:rPr>
        <w:t>实施共同控制的，首先应按处置投资的比例结转应终止确认的长期股权投资成本。然后比较剩余长期股权投资的成本与按照</w:t>
      </w:r>
      <w:r>
        <w:rPr>
          <w:spacing w:val="-64"/>
        </w:rPr>
        <w:t> </w:t>
      </w:r>
      <w:r>
        <w:rPr>
          <w:spacing w:val="-64"/>
        </w:rPr>
      </w:r>
      <w:r>
        <w:rPr>
          <w:spacing w:val="-2"/>
        </w:rPr>
        <w:t>剩余持股比例计算原投资时应享有被投资单位可辨认净资产公允价值的份额，前者大于后者的，属于投资作价中体现的商誉</w:t>
      </w:r>
      <w:r>
        <w:rPr>
          <w:spacing w:val="-64"/>
        </w:rPr>
        <w:t> </w:t>
      </w:r>
      <w:r>
        <w:rPr>
          <w:spacing w:val="-64"/>
        </w:rPr>
      </w:r>
      <w:r>
        <w:rPr/>
        <w:t>部分，不调整长期股权投资的账面价值；前者小于后者的，在调整长期股权投资成本的同时，调整留存收益。</w:t>
      </w:r>
    </w:p>
    <w:p>
      <w:pPr>
        <w:pStyle w:val="Heading3"/>
        <w:spacing w:line="240" w:lineRule="auto" w:before="35"/>
        <w:ind w:left="533" w:right="0"/>
        <w:jc w:val="left"/>
        <w:rPr>
          <w:b w:val="0"/>
          <w:bCs w:val="0"/>
        </w:rPr>
      </w:pPr>
      <w:r>
        <w:rPr>
          <w:rFonts w:ascii="宋体" w:hAnsi="宋体" w:cs="宋体" w:eastAsia="宋体" w:hint="default"/>
        </w:rPr>
        <w:t>4</w:t>
      </w:r>
      <w:r>
        <w:rPr/>
        <w:t>）确定对被投资单位具有共同控制、重大影响的依据</w:t>
      </w:r>
      <w:r>
        <w:rPr>
          <w:b w:val="0"/>
          <w:bCs w:val="0"/>
        </w:rPr>
      </w:r>
    </w:p>
    <w:p>
      <w:pPr>
        <w:pStyle w:val="BodyText"/>
        <w:spacing w:line="309" w:lineRule="auto" w:before="103"/>
        <w:ind w:right="1131" w:firstLine="360"/>
        <w:jc w:val="both"/>
      </w:pPr>
      <w:r>
        <w:rPr/>
        <w:t>（</w:t>
      </w:r>
      <w:r>
        <w:rPr>
          <w:rFonts w:ascii="Times New Roman" w:hAnsi="Times New Roman" w:cs="Times New Roman" w:eastAsia="Times New Roman" w:hint="default"/>
        </w:rPr>
        <w:t>1</w:t>
      </w:r>
      <w:r>
        <w:rPr/>
        <w:t>）确定对被投资单位具有共同控制的依据：是指对某项安排的回报产生重大影响的活动必须经过分享控制权的参与 </w:t>
      </w:r>
      <w:r>
        <w:rPr>
          <w:spacing w:val="-2"/>
        </w:rPr>
        <w:t>方一致同意后才能决策。包括商品或劳务的销售和购买、金融资产的管理、资产的购买和处置、研究与开发活动以及融资活</w:t>
      </w:r>
      <w:r>
        <w:rPr>
          <w:spacing w:val="-66"/>
        </w:rPr>
        <w:t> </w:t>
      </w:r>
      <w:r>
        <w:rPr>
          <w:spacing w:val="-66"/>
        </w:rPr>
      </w:r>
      <w:r>
        <w:rPr/>
        <w:t>动等。</w:t>
      </w:r>
    </w:p>
    <w:p>
      <w:pPr>
        <w:pStyle w:val="BodyText"/>
        <w:spacing w:line="302" w:lineRule="auto" w:before="64"/>
        <w:ind w:right="1132" w:firstLine="360"/>
        <w:jc w:val="both"/>
      </w:pPr>
      <w:r>
        <w:rPr/>
        <w:t>（</w:t>
      </w:r>
      <w:r>
        <w:rPr>
          <w:rFonts w:ascii="Times New Roman" w:hAnsi="Times New Roman" w:cs="Times New Roman" w:eastAsia="Times New Roman" w:hint="default"/>
        </w:rPr>
        <w:t>2</w:t>
      </w:r>
      <w:r>
        <w:rPr/>
        <w:t>）确定对被投资单位具有重大影响的依据：当持有被投资单位</w:t>
      </w:r>
      <w:r>
        <w:rPr>
          <w:spacing w:val="-57"/>
        </w:rPr>
        <w:t> </w:t>
      </w:r>
      <w:r>
        <w:rPr>
          <w:rFonts w:ascii="Times New Roman" w:hAnsi="Times New Roman" w:cs="Times New Roman" w:eastAsia="Times New Roman" w:hint="default"/>
        </w:rPr>
        <w:t>20%</w:t>
      </w:r>
      <w:r>
        <w:rPr/>
        <w:t>以上至</w:t>
      </w:r>
      <w:r>
        <w:rPr>
          <w:spacing w:val="-57"/>
        </w:rPr>
        <w:t> </w:t>
      </w:r>
      <w:r>
        <w:rPr>
          <w:rFonts w:ascii="Times New Roman" w:hAnsi="Times New Roman" w:cs="Times New Roman" w:eastAsia="Times New Roman" w:hint="default"/>
        </w:rPr>
        <w:t>50%</w:t>
      </w:r>
      <w:r>
        <w:rPr/>
        <w:t>的表决权资本时，具有重大影响。或 虽不足</w:t>
      </w:r>
      <w:r>
        <w:rPr>
          <w:spacing w:val="-46"/>
        </w:rPr>
        <w:t> </w:t>
      </w:r>
      <w:r>
        <w:rPr>
          <w:rFonts w:ascii="Times New Roman" w:hAnsi="Times New Roman" w:cs="Times New Roman" w:eastAsia="Times New Roman" w:hint="default"/>
        </w:rPr>
        <w:t>20%</w:t>
      </w:r>
      <w:r>
        <w:rPr/>
        <w:t>，但符合下列条件之一时，具有重大影响：</w:t>
      </w:r>
    </w:p>
    <w:p>
      <w:pPr>
        <w:pStyle w:val="BodyText"/>
        <w:spacing w:line="240" w:lineRule="auto" w:before="50"/>
        <w:ind w:left="474" w:right="0"/>
        <w:jc w:val="left"/>
      </w:pPr>
      <w:r>
        <w:rPr/>
        <w:t>①在被投资单位的董事会或类似的权力机构中派有代表；</w:t>
      </w:r>
    </w:p>
    <w:p>
      <w:pPr>
        <w:pStyle w:val="BodyText"/>
        <w:spacing w:line="240" w:lineRule="auto" w:before="116"/>
        <w:ind w:left="474" w:right="0"/>
        <w:jc w:val="left"/>
      </w:pPr>
      <w:r>
        <w:rPr/>
        <w:t>②参与被投资单位的政策制定过程；</w:t>
      </w:r>
    </w:p>
    <w:p>
      <w:pPr>
        <w:pStyle w:val="BodyText"/>
        <w:spacing w:line="240" w:lineRule="auto" w:before="117"/>
        <w:ind w:left="474" w:right="0"/>
        <w:jc w:val="left"/>
      </w:pPr>
      <w:r>
        <w:rPr/>
        <w:t>③向被投资单位派出管理人员；</w:t>
      </w:r>
    </w:p>
    <w:p>
      <w:pPr>
        <w:pStyle w:val="BodyText"/>
        <w:spacing w:line="240" w:lineRule="auto" w:before="116"/>
        <w:ind w:left="474" w:right="0"/>
        <w:jc w:val="left"/>
      </w:pPr>
      <w:r>
        <w:rPr/>
        <w:t>④被投资单位依赖投资公司的技术或技术资料；</w:t>
      </w:r>
    </w:p>
    <w:p>
      <w:pPr>
        <w:pStyle w:val="BodyText"/>
        <w:spacing w:line="240" w:lineRule="auto" w:before="116"/>
        <w:ind w:left="474" w:right="0"/>
        <w:jc w:val="left"/>
      </w:pPr>
      <w:r>
        <w:rPr/>
        <w:t>⑤与被投资单位之间发生重要交易。</w:t>
      </w:r>
    </w:p>
    <w:p>
      <w:pPr>
        <w:pStyle w:val="Heading3"/>
        <w:spacing w:line="240" w:lineRule="auto" w:before="90"/>
        <w:ind w:left="534" w:right="0"/>
        <w:jc w:val="left"/>
        <w:rPr>
          <w:b w:val="0"/>
          <w:bCs w:val="0"/>
        </w:rPr>
      </w:pPr>
      <w:r>
        <w:rPr>
          <w:rFonts w:ascii="宋体" w:hAnsi="宋体" w:cs="宋体" w:eastAsia="宋体" w:hint="default"/>
        </w:rPr>
        <w:t>5</w:t>
      </w:r>
      <w:r>
        <w:rPr/>
        <w:t>）减值测试方法及减值准备计提方法</w:t>
      </w:r>
      <w:r>
        <w:rPr>
          <w:b w:val="0"/>
          <w:bCs w:val="0"/>
        </w:rPr>
      </w:r>
    </w:p>
    <w:p>
      <w:pPr>
        <w:pStyle w:val="BodyText"/>
        <w:spacing w:line="316" w:lineRule="auto" w:before="103"/>
        <w:ind w:right="1132" w:firstLine="360"/>
        <w:jc w:val="both"/>
      </w:pPr>
      <w:r>
        <w:rPr>
          <w:spacing w:val="-2"/>
        </w:rPr>
        <w:t>资产负债表日，本公司对长期股权投资检查是否存在可能发生减值的迹象，当存在减值迹象时应进行减值测试确认其可</w:t>
      </w:r>
      <w:r>
        <w:rPr/>
        <w:t> 收回金额，按可收回金额低于账面价值部分计提减值准备，减值损失一经计提，在以后会计期间不再转回。</w:t>
      </w:r>
    </w:p>
    <w:p>
      <w:pPr>
        <w:spacing w:after="0" w:line="316" w:lineRule="auto"/>
        <w:jc w:val="both"/>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31" w:lineRule="auto" w:before="44"/>
        <w:ind w:left="474" w:right="1032"/>
        <w:jc w:val="left"/>
      </w:pPr>
      <w:r>
        <w:rPr/>
        <w:t>可收回金额按照长期股权投资出售的公允价值净额与预计未来现金流量的现值之间孰高确定。 </w:t>
      </w:r>
      <w:r>
        <w:rPr>
          <w:rFonts w:ascii="宋体" w:hAnsi="宋体" w:cs="宋体" w:eastAsia="宋体" w:hint="default"/>
          <w:b/>
          <w:bCs/>
          <w:sz w:val="21"/>
          <w:szCs w:val="21"/>
        </w:rPr>
        <w:t>6</w:t>
      </w:r>
      <w:r>
        <w:rPr>
          <w:rFonts w:ascii="宋体" w:hAnsi="宋体" w:cs="宋体" w:eastAsia="宋体" w:hint="default"/>
          <w:b/>
          <w:bCs/>
          <w:sz w:val="21"/>
          <w:szCs w:val="21"/>
        </w:rPr>
        <w:t>）长期股权投资处置</w:t>
      </w:r>
      <w:r>
        <w:rPr>
          <w:rFonts w:ascii="宋体" w:hAnsi="宋体" w:cs="宋体" w:eastAsia="宋体" w:hint="default"/>
          <w:b/>
          <w:bCs/>
          <w:w w:val="99"/>
          <w:sz w:val="21"/>
          <w:szCs w:val="21"/>
        </w:rPr>
        <w:t> </w:t>
      </w:r>
      <w:r>
        <w:rPr/>
        <w:t>处置长期股权投资时，其账面价值与实际取得价款之间的差额，应当计入当期损益。采用权益法核算的长期股权投资，</w:t>
      </w:r>
    </w:p>
    <w:p>
      <w:pPr>
        <w:pStyle w:val="BodyText"/>
        <w:spacing w:line="319" w:lineRule="auto" w:before="8"/>
        <w:ind w:right="1118"/>
        <w:jc w:val="left"/>
      </w:pPr>
      <w:r>
        <w:rPr>
          <w:spacing w:val="-2"/>
        </w:rPr>
        <w:t>在处置该项投资时，采用与被投资单位直接处置相关资产或负债相同的基础，按相应比例对原计入其他综合收益的部分进行</w:t>
      </w:r>
      <w:r>
        <w:rPr>
          <w:spacing w:val="-64"/>
        </w:rPr>
        <w:t> </w:t>
      </w:r>
      <w:r>
        <w:rPr>
          <w:spacing w:val="-64"/>
        </w:rPr>
      </w:r>
      <w:r>
        <w:rPr/>
        <w:t>会计处理。</w:t>
      </w:r>
    </w:p>
    <w:p>
      <w:pPr>
        <w:spacing w:line="240" w:lineRule="auto" w:before="3"/>
        <w:rPr>
          <w:rFonts w:ascii="宋体" w:hAnsi="宋体" w:cs="宋体" w:eastAsia="宋体" w:hint="default"/>
          <w:sz w:val="22"/>
          <w:szCs w:val="22"/>
        </w:rPr>
      </w:pPr>
    </w:p>
    <w:p>
      <w:pPr>
        <w:pStyle w:val="Heading3"/>
        <w:spacing w:line="240" w:lineRule="auto"/>
        <w:ind w:left="113" w:right="0"/>
        <w:jc w:val="left"/>
        <w:rPr>
          <w:b w:val="0"/>
          <w:bCs w:val="0"/>
        </w:rPr>
      </w:pPr>
      <w:bookmarkStart w:name="15、投资性房地产" w:id="183"/>
      <w:bookmarkEnd w:id="18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952"/>
        <w:jc w:val="left"/>
      </w:pPr>
      <w:r>
        <w:rPr/>
        <w:t>投资性房地产计量模式 成本法计量 折旧或摊销方法</w:t>
      </w:r>
    </w:p>
    <w:p>
      <w:pPr>
        <w:pStyle w:val="BodyText"/>
        <w:spacing w:line="302" w:lineRule="auto" w:before="28"/>
        <w:ind w:left="113" w:right="1123" w:firstLine="360"/>
        <w:jc w:val="left"/>
      </w:pPr>
      <w:r>
        <w:rPr>
          <w:rFonts w:ascii="Times New Roman" w:hAnsi="Times New Roman" w:cs="Times New Roman" w:eastAsia="Times New Roman" w:hint="default"/>
        </w:rPr>
        <w:t>1</w:t>
      </w:r>
      <w:r>
        <w:rPr/>
        <w:t>）公司是为赚取租金或资本增值，或两者兼有而持有的房地产，包括已出租的土地使用权、持有并准备增值后转让的 土地使用权和已出租的建筑物。</w:t>
      </w:r>
    </w:p>
    <w:p>
      <w:pPr>
        <w:pStyle w:val="BodyText"/>
        <w:spacing w:line="302" w:lineRule="auto" w:before="68"/>
        <w:ind w:right="1122" w:firstLine="360"/>
        <w:jc w:val="left"/>
      </w:pPr>
      <w:r>
        <w:rPr>
          <w:rFonts w:ascii="Times New Roman" w:hAnsi="Times New Roman" w:cs="Times New Roman" w:eastAsia="Times New Roman" w:hint="default"/>
        </w:rPr>
        <w:t>2</w:t>
      </w:r>
      <w:r>
        <w:rPr/>
        <w:t>）投资性房地产按其取得时的成本进行初始计量，与投资性房地产有关的后续支出，如果与该资产有关的经济利益很 可能流入且其成本能够可靠地计量的，则计入投资性房地产成本。其他后续支出，在发生时计入当期损益。</w:t>
      </w:r>
    </w:p>
    <w:p>
      <w:pPr>
        <w:pStyle w:val="BodyText"/>
        <w:spacing w:line="302" w:lineRule="auto" w:before="68"/>
        <w:ind w:left="113" w:right="0" w:firstLine="360"/>
        <w:jc w:val="left"/>
      </w:pPr>
      <w:r>
        <w:rPr>
          <w:rFonts w:ascii="Times New Roman" w:hAnsi="Times New Roman" w:cs="Times New Roman" w:eastAsia="Times New Roman" w:hint="default"/>
          <w:spacing w:val="-1"/>
        </w:rPr>
        <w:t>3</w:t>
      </w:r>
      <w:r>
        <w:rPr>
          <w:spacing w:val="-1"/>
        </w:rPr>
        <w:t>）公司采用成本模式对投资性房地产进行后续计量，采用成本模式计量的建筑物，采用直线法平均计算折旧</w:t>
      </w:r>
      <w:r>
        <w:rPr>
          <w:rFonts w:ascii="Times New Roman" w:hAnsi="Times New Roman" w:cs="Times New Roman" w:eastAsia="Times New Roman" w:hint="default"/>
          <w:spacing w:val="-1"/>
        </w:rPr>
        <w:t>,</w:t>
      </w:r>
      <w:r>
        <w:rPr>
          <w:spacing w:val="-1"/>
        </w:rPr>
        <w:t>按估计的</w:t>
      </w:r>
      <w:r>
        <w:rPr/>
        <w:t> 使用年限和估计净残值率（原值的</w:t>
      </w:r>
      <w:r>
        <w:rPr>
          <w:spacing w:val="-48"/>
        </w:rPr>
        <w:t> </w:t>
      </w:r>
      <w:r>
        <w:rPr>
          <w:rFonts w:ascii="Times New Roman" w:hAnsi="Times New Roman" w:cs="Times New Roman" w:eastAsia="Times New Roman" w:hint="default"/>
        </w:rPr>
        <w:t>5%</w:t>
      </w:r>
      <w:r>
        <w:rPr/>
        <w:t>）确定其折旧率</w:t>
      </w:r>
      <w:r>
        <w:rPr>
          <w:rFonts w:ascii="Times New Roman" w:hAnsi="Times New Roman" w:cs="Times New Roman" w:eastAsia="Times New Roman" w:hint="default"/>
        </w:rPr>
        <w:t>,</w:t>
      </w:r>
      <w:r>
        <w:rPr/>
        <w:t>明细列示如下：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945" w:lineRule="exact"/>
        <w:ind w:left="114"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5962650" cy="600075"/>
            <wp:effectExtent l="0" t="0" r="0" b="0"/>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26" cstate="print"/>
                    <a:stretch>
                      <a:fillRect/>
                    </a:stretch>
                  </pic:blipFill>
                  <pic:spPr>
                    <a:xfrm>
                      <a:off x="0" y="0"/>
                      <a:ext cx="5962650" cy="600075"/>
                    </a:xfrm>
                    <a:prstGeom prst="rect">
                      <a:avLst/>
                    </a:prstGeom>
                  </pic:spPr>
                </pic:pic>
              </a:graphicData>
            </a:graphic>
          </wp:inline>
        </w:drawing>
      </w:r>
      <w:r>
        <w:rPr>
          <w:rFonts w:ascii="宋体" w:hAnsi="宋体" w:cs="宋体" w:eastAsia="宋体" w:hint="default"/>
          <w:position w:val="-18"/>
          <w:sz w:val="20"/>
          <w:szCs w:val="20"/>
        </w:rPr>
      </w:r>
    </w:p>
    <w:p>
      <w:pPr>
        <w:spacing w:line="240" w:lineRule="auto" w:before="3"/>
        <w:rPr>
          <w:rFonts w:ascii="宋体" w:hAnsi="宋体" w:cs="宋体" w:eastAsia="宋体" w:hint="default"/>
          <w:sz w:val="12"/>
          <w:szCs w:val="12"/>
        </w:rPr>
      </w:pPr>
    </w:p>
    <w:p>
      <w:pPr>
        <w:pStyle w:val="BodyText"/>
        <w:spacing w:line="240" w:lineRule="auto" w:before="44"/>
        <w:ind w:left="519" w:right="0"/>
        <w:jc w:val="left"/>
      </w:pPr>
      <w:r>
        <w:rPr/>
        <w:t>采用成本模式计量的土地使用权，采用直线法，按土地使用权的使用年限进行摊销。</w:t>
      </w:r>
    </w:p>
    <w:p>
      <w:pPr>
        <w:pStyle w:val="BodyText"/>
        <w:spacing w:line="338" w:lineRule="auto" w:before="117"/>
        <w:ind w:left="474" w:right="0"/>
        <w:jc w:val="left"/>
      </w:pPr>
      <w:r>
        <w:rPr>
          <w:rFonts w:ascii="Times New Roman" w:hAnsi="Times New Roman" w:cs="Times New Roman" w:eastAsia="Times New Roman" w:hint="default"/>
        </w:rPr>
        <w:t>4</w:t>
      </w:r>
      <w:r>
        <w:rPr/>
        <w:t>）投资性房地产的减值准备 </w:t>
      </w:r>
      <w:r>
        <w:rPr>
          <w:spacing w:val="-4"/>
        </w:rPr>
        <w:t>投资性房地产减值准备的计提按照资产减值核算方法处理。投资性房地产减值损失一经确认，在以后会计期间不再转回，</w:t>
      </w:r>
    </w:p>
    <w:p>
      <w:pPr>
        <w:pStyle w:val="BodyText"/>
        <w:spacing w:line="240" w:lineRule="auto" w:before="4"/>
        <w:ind w:right="0"/>
        <w:jc w:val="left"/>
      </w:pPr>
      <w:r>
        <w:rPr/>
        <w:t>当该项资产处置时予以转回。</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6、固定资产" w:id="184"/>
      <w:bookmarkEnd w:id="18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30" w:right="0"/>
        <w:jc w:val="left"/>
        <w:rPr>
          <w:b w:val="0"/>
          <w:bCs w:val="0"/>
        </w:rPr>
      </w:pPr>
      <w:bookmarkStart w:name="1）确认条件" w:id="185"/>
      <w:bookmarkEnd w:id="185"/>
      <w:r>
        <w:rPr>
          <w:b w:val="0"/>
          <w:bCs w:val="0"/>
        </w:rPr>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 w:right="1573" w:firstLine="360"/>
        <w:jc w:val="left"/>
      </w:pPr>
      <w:r>
        <w:rPr/>
        <w:t>公司的固定资产是指为生产商品、提供劳务、出租或经营管理而持有且使用寿命超过一个会计年度的有形资产。 同时满足下列条件的，确认为固定资产：</w:t>
      </w:r>
    </w:p>
    <w:p>
      <w:pPr>
        <w:pStyle w:val="BodyText"/>
        <w:spacing w:line="240" w:lineRule="auto" w:before="26"/>
        <w:ind w:left="384" w:right="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2"/>
        <w:ind w:left="384" w:right="0"/>
        <w:jc w:val="left"/>
      </w:pPr>
      <w:r>
        <w:rPr/>
        <w:t>（</w:t>
      </w:r>
      <w:r>
        <w:rPr>
          <w:rFonts w:ascii="Times New Roman" w:hAnsi="Times New Roman" w:cs="Times New Roman" w:eastAsia="Times New Roman" w:hint="default"/>
        </w:rPr>
        <w:t>2</w:t>
      </w:r>
      <w:r>
        <w:rPr/>
        <w:t>）该固定资产的成本能够可靠计量。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left="113" w:right="0"/>
        <w:jc w:val="left"/>
        <w:rPr>
          <w:b w:val="0"/>
          <w:bCs w:val="0"/>
        </w:rPr>
      </w:pPr>
      <w:bookmarkStart w:name="2）折旧方法" w:id="186"/>
      <w:bookmarkEnd w:id="186"/>
      <w:r>
        <w:rPr>
          <w:b w:val="0"/>
          <w:bCs w:val="0"/>
        </w:rPr>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9.50-7.92</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11.88-7.92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19.00-9.50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7、在建工程" w:id="187"/>
      <w:bookmarkEnd w:id="18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74" w:right="0"/>
        <w:jc w:val="left"/>
      </w:pPr>
      <w:r>
        <w:rPr>
          <w:rFonts w:ascii="Times New Roman" w:hAnsi="Times New Roman" w:cs="Times New Roman" w:eastAsia="Times New Roman" w:hint="default"/>
        </w:rPr>
        <w:t>1</w:t>
      </w:r>
      <w:r>
        <w:rPr/>
        <w:t>）在建工程是指正在施工中尚未完工或虽已完工但尚未达到预定可使用状态的工程。</w:t>
      </w:r>
    </w:p>
    <w:p>
      <w:pPr>
        <w:pStyle w:val="BodyText"/>
        <w:spacing w:line="240" w:lineRule="auto" w:before="103"/>
        <w:ind w:left="473" w:right="0"/>
        <w:jc w:val="left"/>
      </w:pPr>
      <w:r>
        <w:rPr>
          <w:rFonts w:ascii="Times New Roman" w:hAnsi="Times New Roman" w:cs="Times New Roman" w:eastAsia="Times New Roman" w:hint="default"/>
        </w:rPr>
        <w:t>2</w:t>
      </w:r>
      <w:r>
        <w:rPr/>
        <w:t>）在建工程按实际发生的支出确定其工程成本。</w:t>
      </w:r>
    </w:p>
    <w:p>
      <w:pPr>
        <w:pStyle w:val="BodyText"/>
        <w:spacing w:line="309" w:lineRule="auto" w:before="101"/>
        <w:ind w:right="0" w:firstLine="360"/>
        <w:jc w:val="left"/>
      </w:pPr>
      <w:r>
        <w:rPr>
          <w:rFonts w:ascii="Times New Roman" w:hAnsi="Times New Roman" w:cs="Times New Roman" w:eastAsia="Times New Roman" w:hint="default"/>
          <w:spacing w:val="-2"/>
        </w:rPr>
        <w:t>3</w:t>
      </w:r>
      <w:r>
        <w:rPr>
          <w:spacing w:val="-2"/>
        </w:rPr>
        <w:t>）所建造的固定资产已达到预定可使用状态，但尚未办理竣工决算的，自达到预定可使用状态之日起，根据工程预算、</w:t>
      </w:r>
      <w:r>
        <w:rPr/>
        <w:t> </w:t>
      </w:r>
      <w:r>
        <w:rPr>
          <w:spacing w:val="-2"/>
        </w:rPr>
        <w:t>造价或者工程实际成本等，按估计的价值转入固定资产，并按有关计提固定资产折旧的规定计提折旧，待办理竣工决算后再</w:t>
      </w:r>
      <w:r>
        <w:rPr>
          <w:spacing w:val="-66"/>
        </w:rPr>
        <w:t> </w:t>
      </w:r>
      <w:r>
        <w:rPr>
          <w:spacing w:val="-66"/>
        </w:rPr>
      </w:r>
      <w:r>
        <w:rPr/>
        <w:t>按实际成本调整原暂估价值，但不再调整原已计提的折旧。</w:t>
      </w:r>
    </w:p>
    <w:p>
      <w:pPr>
        <w:pStyle w:val="BodyText"/>
        <w:spacing w:line="302" w:lineRule="auto" w:before="62"/>
        <w:ind w:right="1115" w:firstLine="360"/>
        <w:jc w:val="left"/>
      </w:pPr>
      <w:r>
        <w:rPr>
          <w:rFonts w:ascii="Times New Roman" w:hAnsi="Times New Roman" w:cs="Times New Roman" w:eastAsia="Times New Roman" w:hint="default"/>
          <w:spacing w:val="-1"/>
        </w:rPr>
        <w:t>4)</w:t>
      </w:r>
      <w:r>
        <w:rPr>
          <w:spacing w:val="-1"/>
        </w:rPr>
        <w:t>在建工程减值准备的计提按照资产减值核算方法处理。在建工程减值损失一经确认，在以后会计期间不再转回，当该</w:t>
      </w:r>
      <w:r>
        <w:rPr/>
        <w:t> 项资产处置时予以转出。</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18、借款费用" w:id="188"/>
      <w:bookmarkEnd w:id="18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6" w:right="0"/>
        <w:jc w:val="left"/>
        <w:rPr>
          <w:b w:val="0"/>
          <w:bCs w:val="0"/>
        </w:rPr>
      </w:pPr>
      <w:r>
        <w:rPr>
          <w:rFonts w:ascii="宋体" w:hAnsi="宋体" w:cs="宋体" w:eastAsia="宋体" w:hint="default"/>
        </w:rPr>
        <w:t>1)</w:t>
      </w:r>
      <w:r>
        <w:rPr/>
        <w:t>借款费用资本化的原则</w:t>
      </w:r>
      <w:r>
        <w:rPr>
          <w:b w:val="0"/>
          <w:bCs w:val="0"/>
        </w:rPr>
      </w:r>
    </w:p>
    <w:p>
      <w:pPr>
        <w:pStyle w:val="BodyText"/>
        <w:spacing w:line="319" w:lineRule="auto" w:before="103"/>
        <w:ind w:left="113" w:right="1033" w:firstLine="360"/>
        <w:jc w:val="left"/>
      </w:pPr>
      <w:r>
        <w:rPr/>
        <w:t>借款费用包括借款利息、折价或者溢价的摊销、辅助费用以及因外币借款而发生的汇兑差额等。公司发生的借款费用， </w:t>
      </w:r>
      <w:r>
        <w:rPr>
          <w:spacing w:val="-2"/>
        </w:rPr>
        <w:t>可直接归属于符合资本化条件的资产的购建，予以资本化，计入相关资产成本；其他借款费用，在发生时根据其发生额确认</w:t>
      </w:r>
      <w:r>
        <w:rPr>
          <w:spacing w:val="-66"/>
        </w:rPr>
        <w:t> </w:t>
      </w:r>
      <w:r>
        <w:rPr>
          <w:spacing w:val="-66"/>
        </w:rPr>
      </w:r>
      <w:r>
        <w:rPr/>
        <w:t>为费用，计入当期损益。</w:t>
      </w:r>
    </w:p>
    <w:p>
      <w:pPr>
        <w:pStyle w:val="BodyText"/>
        <w:spacing w:line="240" w:lineRule="auto" w:before="56"/>
        <w:ind w:left="473" w:right="0"/>
        <w:jc w:val="left"/>
      </w:pPr>
      <w:r>
        <w:rPr/>
        <w:t>借款费用同时满足下列条件的，才能开始资本化：</w:t>
      </w:r>
    </w:p>
    <w:p>
      <w:pPr>
        <w:pStyle w:val="BodyText"/>
        <w:spacing w:line="302" w:lineRule="auto" w:before="115"/>
        <w:ind w:right="1122" w:firstLine="360"/>
        <w:jc w:val="left"/>
      </w:pPr>
      <w:r>
        <w:rPr/>
        <w:t>（</w:t>
      </w:r>
      <w:r>
        <w:rPr>
          <w:rFonts w:ascii="Times New Roman" w:hAnsi="Times New Roman" w:cs="Times New Roman" w:eastAsia="Times New Roman" w:hint="default"/>
        </w:rPr>
        <w:t>1</w:t>
      </w:r>
      <w:r>
        <w:rPr/>
        <w:t>）资产支出已经发生，资产支出包括为购建符合资本化条件的资产而以支付现金、转移非现金资产或者承担带息债 务形式发生的支出；</w:t>
      </w:r>
    </w:p>
    <w:p>
      <w:pPr>
        <w:pStyle w:val="BodyText"/>
        <w:spacing w:line="240" w:lineRule="auto" w:before="70"/>
        <w:ind w:left="473"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02"/>
        <w:ind w:left="474" w:right="0"/>
        <w:jc w:val="left"/>
      </w:pPr>
      <w:r>
        <w:rPr/>
        <w:t>（</w:t>
      </w:r>
      <w:r>
        <w:rPr>
          <w:rFonts w:ascii="Times New Roman" w:hAnsi="Times New Roman" w:cs="Times New Roman" w:eastAsia="Times New Roman" w:hint="default"/>
        </w:rPr>
        <w:t>3</w:t>
      </w:r>
      <w:r>
        <w:rPr/>
        <w:t>）为使资产达到预定可使用状态所必要的购建活动已经开始。</w:t>
      </w:r>
    </w:p>
    <w:p>
      <w:pPr>
        <w:pStyle w:val="Heading3"/>
        <w:spacing w:line="240" w:lineRule="auto" w:before="75"/>
        <w:ind w:left="536" w:right="0"/>
        <w:jc w:val="left"/>
        <w:rPr>
          <w:b w:val="0"/>
          <w:bCs w:val="0"/>
        </w:rPr>
      </w:pPr>
      <w:r>
        <w:rPr>
          <w:rFonts w:ascii="宋体" w:hAnsi="宋体" w:cs="宋体" w:eastAsia="宋体" w:hint="default"/>
        </w:rPr>
        <w:t>2)</w:t>
      </w:r>
      <w:r>
        <w:rPr/>
        <w:t>资本化金额的计算方法</w:t>
      </w:r>
      <w:r>
        <w:rPr>
          <w:b w:val="0"/>
          <w:bCs w:val="0"/>
        </w:rPr>
      </w:r>
    </w:p>
    <w:p>
      <w:pPr>
        <w:pStyle w:val="BodyText"/>
        <w:spacing w:line="319" w:lineRule="auto" w:before="103"/>
        <w:ind w:right="0" w:firstLine="360"/>
        <w:jc w:val="left"/>
      </w:pPr>
      <w:r>
        <w:rPr>
          <w:spacing w:val="-2"/>
        </w:rPr>
        <w:t>为购建符合资本化条件的资产而借入专门借款的，以专门借款当期实际发生的利息费用，减去将尚未动用的借款资金存</w:t>
      </w:r>
      <w:r>
        <w:rPr/>
        <w:t> 入银行取得的利息收入或进行暂时性投资取得的投资收益后的金额确定。</w:t>
      </w:r>
    </w:p>
    <w:p>
      <w:pPr>
        <w:pStyle w:val="BodyText"/>
        <w:spacing w:line="319" w:lineRule="auto" w:before="55"/>
        <w:ind w:left="113" w:right="0" w:firstLine="360"/>
        <w:jc w:val="left"/>
      </w:pPr>
      <w:r>
        <w:rPr>
          <w:spacing w:val="-2"/>
        </w:rPr>
        <w:t>为购建符合资本化条件的资产而占用了一般借款的，根据累计资产支出超过专门借款部分的资产支出加权平均数乘以所</w:t>
      </w:r>
      <w:r>
        <w:rPr/>
        <w:t> 占用一般借款的资本化率，计算确定一般借款应予资本化的利息金额。资本化率根据一般借款加权平均利率计算确认。</w:t>
      </w:r>
    </w:p>
    <w:p>
      <w:pPr>
        <w:pStyle w:val="BodyText"/>
        <w:spacing w:line="302" w:lineRule="auto" w:before="55"/>
        <w:ind w:left="113" w:right="1117" w:firstLine="360"/>
        <w:jc w:val="left"/>
      </w:pPr>
      <w:r>
        <w:rPr/>
        <w:t>符合资本化条件的资产在购建过程中发生非正常中断、且中断时间连续超过</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4"/>
        </w:rPr>
        <w:t>个月的，暂停借款费用的资本化，在中断</w:t>
      </w:r>
      <w:r>
        <w:rPr/>
        <w:t> 期间发生的借款费用，计入当期损益。</w:t>
      </w:r>
    </w:p>
    <w:p>
      <w:pPr>
        <w:pStyle w:val="BodyText"/>
        <w:spacing w:line="240" w:lineRule="auto" w:before="70"/>
        <w:ind w:left="473" w:right="0"/>
        <w:jc w:val="left"/>
      </w:pPr>
      <w:r>
        <w:rPr/>
        <w:t>购建符合资本化条件的资产达到预定可使用状态之后所发生的借款费用，根据其发生额确认为费用，计入当期损益。</w:t>
      </w:r>
    </w:p>
    <w:p>
      <w:pPr>
        <w:spacing w:after="0" w:line="240" w:lineRule="auto"/>
        <w:jc w:val="left"/>
        <w:sectPr>
          <w:footerReference w:type="default" r:id="rId27"/>
          <w:pgSz w:w="11910" w:h="16840"/>
          <w:pgMar w:footer="1019" w:header="907"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19、生物资产" w:id="189"/>
      <w:bookmarkEnd w:id="189"/>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0、油气资产" w:id="190"/>
      <w:bookmarkEnd w:id="190"/>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1、无形资产" w:id="191"/>
      <w:bookmarkEnd w:id="191"/>
      <w:r>
        <w:rPr>
          <w:b w:val="0"/>
          <w:bCs w:val="0"/>
        </w:rPr>
      </w:r>
      <w:r>
        <w:rPr>
          <w:rFonts w:ascii="Times New Roman" w:hAnsi="Times New Roman" w:cs="Times New Roman" w:eastAsia="Times New Roman" w:hint="default"/>
        </w:rPr>
        <w:t>21</w:t>
      </w:r>
      <w:r>
        <w:rPr/>
        <w:t>、无形资产</w:t>
      </w:r>
      <w:r>
        <w:rPr>
          <w:b w:val="0"/>
          <w:bCs w:val="0"/>
        </w:rPr>
      </w:r>
    </w:p>
    <w:p>
      <w:pPr>
        <w:pStyle w:val="Heading3"/>
        <w:spacing w:line="590" w:lineRule="atLeast" w:before="23"/>
        <w:ind w:left="536" w:right="7486" w:hanging="423"/>
        <w:jc w:val="left"/>
        <w:rPr>
          <w:b w:val="0"/>
          <w:bCs w:val="0"/>
        </w:rPr>
      </w:pPr>
      <w:bookmarkStart w:name="1）计价方法、使用寿命、减值测试" w:id="192"/>
      <w:bookmarkEnd w:id="192"/>
      <w:r>
        <w:rPr>
          <w:b w:val="0"/>
          <w:bCs w:val="0"/>
        </w:rPr>
      </w:r>
      <w:r>
        <w:rPr>
          <w:rFonts w:ascii="Times New Roman" w:hAnsi="Times New Roman" w:cs="Times New Roman" w:eastAsia="Times New Roman" w:hint="default"/>
        </w:rPr>
        <w:t>1</w:t>
      </w:r>
      <w:r>
        <w:rPr/>
        <w:t>）计价方法、使用寿命、减值测试</w:t>
      </w:r>
      <w:r>
        <w:rPr>
          <w:w w:val="99"/>
        </w:rPr>
        <w:t> </w:t>
      </w:r>
      <w:r>
        <w:rPr>
          <w:rFonts w:ascii="宋体" w:hAnsi="宋体" w:cs="宋体" w:eastAsia="宋体" w:hint="default"/>
        </w:rPr>
        <w:t>(1)</w:t>
      </w:r>
      <w:r>
        <w:rPr/>
        <w:t>无形资产的计价方法</w:t>
      </w:r>
      <w:r>
        <w:rPr>
          <w:b w:val="0"/>
          <w:bCs w:val="0"/>
        </w:rPr>
      </w:r>
    </w:p>
    <w:p>
      <w:pPr>
        <w:pStyle w:val="BodyText"/>
        <w:spacing w:line="319" w:lineRule="auto" w:before="103"/>
        <w:ind w:right="1131" w:firstLine="360"/>
        <w:jc w:val="both"/>
      </w:pPr>
      <w:r>
        <w:rPr>
          <w:spacing w:val="-2"/>
        </w:rPr>
        <w:t>本公司无形资产按照成本进行初始计量。购入的无形资产，按实际支付的价款和相关支出作为实际成本。投资者投入的</w:t>
      </w:r>
      <w:r>
        <w:rPr/>
        <w:t> </w:t>
      </w:r>
      <w:r>
        <w:rPr>
          <w:spacing w:val="-2"/>
        </w:rPr>
        <w:t>无形资产，按投资合同或协议约定的价值确定实际成本，但合同或协议约定价值不公允的，按公允价值确定实际成本。自行</w:t>
      </w:r>
      <w:r>
        <w:rPr>
          <w:spacing w:val="-66"/>
        </w:rPr>
        <w:t> </w:t>
      </w:r>
      <w:r>
        <w:rPr>
          <w:spacing w:val="-66"/>
        </w:rPr>
      </w:r>
      <w:r>
        <w:rPr/>
        <w:t>开发的无形资产，其成本为达到预定用途前所发生的支出总额。</w:t>
      </w:r>
    </w:p>
    <w:p>
      <w:pPr>
        <w:pStyle w:val="BodyText"/>
        <w:spacing w:line="319" w:lineRule="auto" w:before="55"/>
        <w:ind w:right="0" w:firstLine="360"/>
        <w:jc w:val="left"/>
      </w:pPr>
      <w:r>
        <w:rPr>
          <w:spacing w:val="-2"/>
        </w:rPr>
        <w:t>本公司无形资产后续计量，分别为：①使用寿命有限无形资产采用直线法摊销，并在年度终了，对无形资产的使用寿命</w:t>
      </w:r>
      <w:r>
        <w:rPr/>
        <w:t> </w:t>
      </w:r>
      <w:r>
        <w:rPr>
          <w:spacing w:val="-4"/>
        </w:rPr>
        <w:t>和摊销方法进行复核，如与原先估计数存在差异的，进行相应的调整。②使用寿命不确定的无形资产不摊销，但在年度终了，</w:t>
      </w:r>
      <w:r>
        <w:rPr>
          <w:spacing w:val="-45"/>
        </w:rPr>
        <w:t> </w:t>
      </w:r>
      <w:r>
        <w:rPr>
          <w:spacing w:val="-45"/>
        </w:rPr>
      </w:r>
      <w:r>
        <w:rPr/>
        <w:t>对使用寿命进行复核，当有确凿证据表明其使用寿命是有限的，则估计其使用寿命，按直线法进行摊销。</w:t>
      </w:r>
    </w:p>
    <w:p>
      <w:pPr>
        <w:pStyle w:val="Heading3"/>
        <w:spacing w:line="240" w:lineRule="auto" w:before="30"/>
        <w:ind w:left="536" w:right="0"/>
        <w:jc w:val="left"/>
        <w:rPr>
          <w:b w:val="0"/>
          <w:bCs w:val="0"/>
        </w:rPr>
      </w:pPr>
      <w:r>
        <w:rPr>
          <w:rFonts w:ascii="宋体" w:hAnsi="宋体" w:cs="宋体" w:eastAsia="宋体" w:hint="default"/>
        </w:rPr>
        <w:t>(2)</w:t>
      </w:r>
      <w:r>
        <w:rPr/>
        <w:t>无形资产使用寿命的确定及复核</w:t>
      </w:r>
      <w:r>
        <w:rPr>
          <w:b w:val="0"/>
          <w:bCs w:val="0"/>
        </w:rPr>
      </w:r>
    </w:p>
    <w:p>
      <w:pPr>
        <w:pStyle w:val="BodyText"/>
        <w:spacing w:line="302" w:lineRule="auto" w:before="103"/>
        <w:ind w:left="113" w:right="1121" w:firstLine="36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19"/>
        </w:rPr>
        <w:t> </w:t>
      </w:r>
      <w:r>
        <w:rPr>
          <w:spacing w:val="-2"/>
        </w:rPr>
        <w:t>公司无形资产源自合同性权利或其他法定权利，且合同规定或法律规定有明确的使用年限，其使用寿命按照合同性权</w:t>
      </w:r>
      <w:r>
        <w:rPr/>
        <w:t> 利或其他法定权利的期限确定。</w:t>
      </w:r>
    </w:p>
    <w:p>
      <w:pPr>
        <w:pStyle w:val="BodyText"/>
        <w:spacing w:line="240" w:lineRule="auto" w:before="69"/>
        <w:ind w:left="473"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
        </w:rPr>
        <w:t> </w:t>
      </w:r>
      <w:r>
        <w:rPr/>
        <w:t>没有明确的合同或法律规定的无形资产</w:t>
      </w:r>
      <w:r>
        <w:rPr>
          <w:rFonts w:ascii="Times New Roman" w:hAnsi="Times New Roman" w:cs="Times New Roman" w:eastAsia="Times New Roman" w:hint="default"/>
        </w:rPr>
        <w:t>,</w:t>
      </w:r>
      <w:r>
        <w:rPr/>
        <w:t>公司综合以下各方面情况</w:t>
      </w:r>
      <w:r>
        <w:rPr>
          <w:rFonts w:ascii="Times New Roman" w:hAnsi="Times New Roman" w:cs="Times New Roman" w:eastAsia="Times New Roman" w:hint="default"/>
        </w:rPr>
        <w:t>,</w:t>
      </w:r>
      <w:r>
        <w:rPr/>
        <w:t>来确定无形资产为公司带来未来经济利益的期限。</w:t>
      </w:r>
    </w:p>
    <w:p>
      <w:pPr>
        <w:pStyle w:val="BodyText"/>
        <w:spacing w:line="240" w:lineRule="auto" w:before="102"/>
        <w:ind w:left="473" w:right="0"/>
        <w:jc w:val="left"/>
      </w:pPr>
      <w:r>
        <w:rPr/>
        <w:t>①运用该资产生产的产品通常的寿命周期、可获得的类似资产使用寿命的信息；</w:t>
      </w:r>
    </w:p>
    <w:p>
      <w:pPr>
        <w:pStyle w:val="BodyText"/>
        <w:spacing w:line="240" w:lineRule="auto" w:before="117"/>
        <w:ind w:left="473" w:right="0"/>
        <w:jc w:val="left"/>
      </w:pPr>
      <w:r>
        <w:rPr/>
        <w:t>②技术、工艺等方面的现阶段情况及对未来发展趋势的估计；</w:t>
      </w:r>
    </w:p>
    <w:p>
      <w:pPr>
        <w:pStyle w:val="BodyText"/>
        <w:spacing w:line="240" w:lineRule="auto" w:before="116"/>
        <w:ind w:left="473" w:right="0"/>
        <w:jc w:val="left"/>
      </w:pPr>
      <w:r>
        <w:rPr/>
        <w:t>③以该资产生产的产品或提供劳务的市场需求情况；</w:t>
      </w:r>
    </w:p>
    <w:p>
      <w:pPr>
        <w:pStyle w:val="BodyText"/>
        <w:spacing w:line="240" w:lineRule="auto" w:before="116"/>
        <w:ind w:left="473" w:right="0"/>
        <w:jc w:val="left"/>
      </w:pPr>
      <w:r>
        <w:rPr/>
        <w:t>④现在或潜在的竞争者预期采取的行动；</w:t>
      </w:r>
    </w:p>
    <w:p>
      <w:pPr>
        <w:pStyle w:val="BodyText"/>
        <w:spacing w:line="240" w:lineRule="auto" w:before="117"/>
        <w:ind w:left="473" w:right="0"/>
        <w:jc w:val="left"/>
      </w:pPr>
      <w:r>
        <w:rPr/>
        <w:t>⑤为维持该资产带来经济利益能力的预期维护支出，以及公司预计支付有关支出的能力；</w:t>
      </w:r>
    </w:p>
    <w:p>
      <w:pPr>
        <w:pStyle w:val="BodyText"/>
        <w:spacing w:line="357" w:lineRule="auto" w:before="116"/>
        <w:ind w:left="473" w:right="1348"/>
        <w:jc w:val="left"/>
      </w:pPr>
      <w:r>
        <w:rPr/>
        <w:t>⑥与公司持有其他资产使用寿命的关联性等。 如果经过上述努力确实无法合理确定无形资产为公司带来经济利益的期限</w:t>
      </w:r>
      <w:r>
        <w:rPr>
          <w:rFonts w:ascii="Times New Roman" w:hAnsi="Times New Roman" w:cs="Times New Roman" w:eastAsia="Times New Roman" w:hint="default"/>
        </w:rPr>
        <w:t>,</w:t>
      </w:r>
      <w:r>
        <w:rPr/>
        <w:t>则将其作为使用寿命不确定的无形资产。</w:t>
      </w:r>
    </w:p>
    <w:p>
      <w:pPr>
        <w:pStyle w:val="BodyText"/>
        <w:spacing w:line="300" w:lineRule="auto" w:before="4"/>
        <w:ind w:left="113" w:right="1140" w:firstLine="360"/>
        <w:jc w:val="both"/>
      </w:pPr>
      <w:r>
        <w:rPr>
          <w:rFonts w:ascii="Times New Roman" w:hAnsi="Times New Roman" w:cs="Times New Roman" w:eastAsia="Times New Roman" w:hint="default"/>
        </w:rPr>
        <w:t>C</w:t>
      </w:r>
      <w:r>
        <w:rPr>
          <w:rFonts w:ascii="Times New Roman" w:hAnsi="Times New Roman" w:cs="Times New Roman" w:eastAsia="Times New Roman" w:hint="default"/>
          <w:spacing w:val="-3"/>
        </w:rPr>
        <w:t> </w:t>
      </w:r>
      <w:r>
        <w:rPr/>
        <w:t>根据可获得的情况判断</w:t>
      </w:r>
      <w:r>
        <w:rPr>
          <w:rFonts w:ascii="Times New Roman" w:hAnsi="Times New Roman" w:cs="Times New Roman" w:eastAsia="Times New Roman" w:hint="default"/>
        </w:rPr>
        <w:t>,</w:t>
      </w:r>
      <w:r>
        <w:rPr/>
        <w:t>有确凿证据表明无法合理估计其使用寿命的无形资产</w:t>
      </w:r>
      <w:r>
        <w:rPr>
          <w:rFonts w:ascii="Times New Roman" w:hAnsi="Times New Roman" w:cs="Times New Roman" w:eastAsia="Times New Roman" w:hint="default"/>
        </w:rPr>
        <w:t>,</w:t>
      </w:r>
      <w:r>
        <w:rPr/>
        <w:t>作为使用寿命不确定的无形资产。如果 期末重新复核后仍为不确定的</w:t>
      </w:r>
      <w:r>
        <w:rPr>
          <w:rFonts w:ascii="Times New Roman" w:hAnsi="Times New Roman" w:cs="Times New Roman" w:eastAsia="Times New Roman" w:hint="default"/>
        </w:rPr>
        <w:t>,</w:t>
      </w:r>
      <w:r>
        <w:rPr/>
        <w:t>公司在每个会计期间进行减值测试，严格按照计提资产减值核算方法的规定处理</w:t>
      </w:r>
      <w:r>
        <w:rPr>
          <w:rFonts w:ascii="Times New Roman" w:hAnsi="Times New Roman" w:cs="Times New Roman" w:eastAsia="Times New Roman" w:hint="default"/>
        </w:rPr>
        <w:t>,</w:t>
      </w:r>
      <w:r>
        <w:rPr/>
        <w:t>需要计提减 值准备的</w:t>
      </w:r>
      <w:r>
        <w:rPr>
          <w:rFonts w:ascii="Times New Roman" w:hAnsi="Times New Roman" w:cs="Times New Roman" w:eastAsia="Times New Roman" w:hint="default"/>
        </w:rPr>
        <w:t>,</w:t>
      </w:r>
      <w:r>
        <w:rPr/>
        <w:t>相应计提有关的减值准备。</w:t>
      </w:r>
    </w:p>
    <w:p>
      <w:pPr>
        <w:pStyle w:val="BodyText"/>
        <w:spacing w:line="302" w:lineRule="auto" w:before="51"/>
        <w:ind w:left="113" w:right="1121" w:firstLine="36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19"/>
        </w:rPr>
        <w:t> </w:t>
      </w:r>
      <w:r>
        <w:rPr>
          <w:spacing w:val="-2"/>
        </w:rPr>
        <w:t>公司于每年年度终了，对使用寿命有限的无形资产的使用寿命及未来经济利益消耗方式进行复核。无形资产的预计使</w:t>
      </w:r>
      <w:r>
        <w:rPr/>
        <w:t> 用寿命及未来经济利益的预期消耗方式与以前估计不同的，相应改变摊销期限和摊销方法。</w:t>
      </w:r>
    </w:p>
    <w:p>
      <w:pPr>
        <w:pStyle w:val="BodyText"/>
        <w:spacing w:line="319" w:lineRule="auto" w:before="68"/>
        <w:ind w:left="113" w:right="1213" w:firstLine="360"/>
        <w:jc w:val="left"/>
      </w:pPr>
      <w:r>
        <w:rPr/>
        <w:t>公司在每个会计期间对使用寿命不确定的无形资产的使用寿命进行复核。如果有证据表明无形资产的使用寿命是有限 的，估计其使用寿命，并按其估计使用寿命进行摊销。</w:t>
      </w:r>
    </w:p>
    <w:p>
      <w:pPr>
        <w:pStyle w:val="Heading3"/>
        <w:spacing w:line="240" w:lineRule="auto" w:before="31"/>
        <w:ind w:left="536" w:right="0"/>
        <w:jc w:val="left"/>
        <w:rPr>
          <w:b w:val="0"/>
          <w:bCs w:val="0"/>
        </w:rPr>
      </w:pPr>
      <w:r>
        <w:rPr>
          <w:rFonts w:ascii="宋体" w:hAnsi="宋体" w:cs="宋体" w:eastAsia="宋体" w:hint="default"/>
        </w:rPr>
        <w:t>(3)</w:t>
      </w:r>
      <w:r>
        <w:rPr/>
        <w:t>无形资产的减值测试方法及减值准备计提方法</w:t>
      </w:r>
      <w:r>
        <w:rPr>
          <w:b w:val="0"/>
          <w:bCs w:val="0"/>
        </w:rPr>
      </w:r>
    </w:p>
    <w:p>
      <w:pPr>
        <w:pStyle w:val="BodyText"/>
        <w:spacing w:line="316" w:lineRule="auto" w:before="103"/>
        <w:ind w:left="113" w:right="0" w:firstLine="360"/>
        <w:jc w:val="left"/>
      </w:pPr>
      <w:r>
        <w:rPr>
          <w:spacing w:val="-2"/>
        </w:rPr>
        <w:t>资产负债表日，本公司对无形资产检查是否存在可能发生减值的迹象，当存在减值迹象时应进行减值测试确认其可收回</w:t>
      </w:r>
      <w:r>
        <w:rPr/>
        <w:t> 金额，按可收回金额低于账面价值部分计提减值准备，减值损失一经计提，在以后会计期间不再转回。</w:t>
      </w:r>
    </w:p>
    <w:p>
      <w:pPr>
        <w:pStyle w:val="BodyText"/>
        <w:spacing w:line="357" w:lineRule="auto" w:before="58"/>
        <w:ind w:left="473" w:right="0"/>
        <w:jc w:val="left"/>
      </w:pPr>
      <w:r>
        <w:rPr/>
        <w:t>无形资产可收回金额根据资产公允价值减去处置费用后的净额与资产预计未来现金流量的现值两者孰高确定。 </w:t>
      </w:r>
      <w:r>
        <w:rPr>
          <w:spacing w:val="-2"/>
        </w:rPr>
        <w:t>无形资产减值准备的计提按照资产减值核算方法处理。无形资产减值损失一经确认在以后会计期间不再转回，当该项资</w:t>
      </w:r>
    </w:p>
    <w:p>
      <w:pPr>
        <w:pStyle w:val="BodyText"/>
        <w:spacing w:line="225" w:lineRule="exact"/>
        <w:ind w:left="113" w:right="0"/>
        <w:jc w:val="left"/>
      </w:pPr>
      <w:r>
        <w:rPr/>
        <w:t>产处置时予以转出。</w:t>
      </w:r>
    </w:p>
    <w:p>
      <w:pPr>
        <w:spacing w:after="0" w:line="225" w:lineRule="exact"/>
        <w:jc w:val="left"/>
        <w:sectPr>
          <w:footerReference w:type="default" r:id="rId28"/>
          <w:pgSz w:w="11910" w:h="16840"/>
          <w:pgMar w:footer="1019" w:header="907" w:top="1100" w:bottom="1200" w:left="1020" w:right="0"/>
          <w:pgNumType w:start="101"/>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内部研究开发支出会计政策" w:id="193"/>
      <w:bookmarkEnd w:id="193"/>
      <w:r>
        <w:rPr>
          <w:b w:val="0"/>
          <w:bCs w:val="0"/>
        </w:rPr>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0" w:firstLine="360"/>
        <w:jc w:val="both"/>
      </w:pPr>
      <w:r>
        <w:rPr>
          <w:spacing w:val="-2"/>
        </w:rPr>
        <w:t>公司将研究开发项目区分为研究阶段与开发阶段。公司划分内部研究开发项目研究阶段支出和开发阶段支出的具体标准</w:t>
      </w:r>
      <w:r>
        <w:rPr/>
        <w:t> </w:t>
      </w:r>
      <w:r>
        <w:rPr>
          <w:spacing w:val="-2"/>
        </w:rPr>
        <w:t>为：为获取新的技术和知识等进行的有计划的调查阶段，确定为研究阶段，该阶段具有计划性和探索性等特点；在进行商业</w:t>
      </w:r>
      <w:r>
        <w:rPr>
          <w:spacing w:val="-66"/>
        </w:rPr>
        <w:t> </w:t>
      </w:r>
      <w:r>
        <w:rPr>
          <w:spacing w:val="-66"/>
        </w:rPr>
      </w:r>
      <w:r>
        <w:rPr>
          <w:spacing w:val="-2"/>
        </w:rPr>
        <w:t>性生产或使用前，将研究成果或其他知识应用于某项计划或设计，以生产出新的或具有实质性改进的材料、装置、产品等阶</w:t>
      </w:r>
      <w:r>
        <w:rPr>
          <w:spacing w:val="-66"/>
        </w:rPr>
        <w:t> </w:t>
      </w:r>
      <w:r>
        <w:rPr>
          <w:spacing w:val="-66"/>
        </w:rPr>
      </w:r>
      <w:r>
        <w:rPr/>
        <w:t>段，确定为开发阶段，该阶段具有针对性和形成成果的可能性较大等特点。</w:t>
      </w:r>
    </w:p>
    <w:p>
      <w:pPr>
        <w:pStyle w:val="BodyText"/>
        <w:spacing w:line="319" w:lineRule="auto" w:before="55"/>
        <w:ind w:left="113" w:right="1043" w:firstLine="360"/>
        <w:jc w:val="both"/>
      </w:pPr>
      <w:r>
        <w:rPr>
          <w:spacing w:val="-4"/>
        </w:rPr>
        <w:t>公司自行研究开发的无形资产，其研究阶段的支出，于发生时计入当期损益；其开发阶段的支出，同时满足下列条件的，</w:t>
      </w:r>
      <w:r>
        <w:rPr/>
        <w:t> 确认为无形资产（专利技术和非专利技术）：</w:t>
      </w:r>
    </w:p>
    <w:p>
      <w:pPr>
        <w:pStyle w:val="BodyText"/>
        <w:spacing w:line="240" w:lineRule="auto" w:before="58"/>
        <w:ind w:left="47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2"/>
        <w:ind w:left="473"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2" w:lineRule="auto" w:before="101"/>
        <w:ind w:right="1141" w:firstLine="360"/>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形资产将在内部使用的，证明其有用性；</w:t>
      </w:r>
    </w:p>
    <w:p>
      <w:pPr>
        <w:pStyle w:val="BodyText"/>
        <w:spacing w:line="240" w:lineRule="auto" w:before="70"/>
        <w:ind w:left="474"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38" w:lineRule="auto" w:before="102"/>
        <w:ind w:left="474" w:right="3912"/>
        <w:jc w:val="left"/>
      </w:pPr>
      <w:r>
        <w:rPr/>
        <w:t>（</w:t>
      </w:r>
      <w:r>
        <w:rPr>
          <w:rFonts w:ascii="Times New Roman" w:hAnsi="Times New Roman" w:cs="Times New Roman" w:eastAsia="Times New Roman" w:hint="default"/>
        </w:rPr>
        <w:t>5</w:t>
      </w:r>
      <w:r>
        <w:rPr/>
        <w:t>）归属于该无形资产开发阶段的支出能够可靠地计量； 无法区分研究阶段支出和开发阶段支出的，将发生的研发支出全部计入当期损益。</w:t>
      </w:r>
    </w:p>
    <w:p>
      <w:pPr>
        <w:spacing w:line="240" w:lineRule="auto" w:before="2"/>
        <w:rPr>
          <w:rFonts w:ascii="宋体" w:hAnsi="宋体" w:cs="宋体" w:eastAsia="宋体" w:hint="default"/>
          <w:sz w:val="21"/>
          <w:szCs w:val="21"/>
        </w:rPr>
      </w:pPr>
    </w:p>
    <w:p>
      <w:pPr>
        <w:pStyle w:val="Heading3"/>
        <w:spacing w:line="240" w:lineRule="auto"/>
        <w:ind w:left="113" w:right="0"/>
        <w:jc w:val="left"/>
        <w:rPr>
          <w:b w:val="0"/>
          <w:bCs w:val="0"/>
        </w:rPr>
      </w:pPr>
      <w:bookmarkStart w:name="22、长期资产减值" w:id="194"/>
      <w:bookmarkEnd w:id="194"/>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360"/>
        <w:jc w:val="both"/>
      </w:pPr>
      <w:r>
        <w:rPr>
          <w:spacing w:val="-2"/>
        </w:rPr>
        <w:t>长期股权投资、采用成本模式计量的投资性房地产、固定资产、在建工程、无形资产等长期资产，于资产负债表日存在</w:t>
      </w:r>
      <w:r>
        <w:rPr/>
        <w:t> </w:t>
      </w:r>
      <w:r>
        <w:rPr>
          <w:spacing w:val="-2"/>
        </w:rPr>
        <w:t>减值迹象的，进行减值测试。减值测试结果表明资产的可收回金额低于其账面价值的，按其差额计提减值准备并计入减值损</w:t>
      </w:r>
      <w:r>
        <w:rPr>
          <w:spacing w:val="-66"/>
        </w:rPr>
        <w:t> </w:t>
      </w:r>
      <w:r>
        <w:rPr>
          <w:spacing w:val="-66"/>
        </w:rPr>
      </w:r>
      <w:r>
        <w:rPr>
          <w:spacing w:val="-2"/>
        </w:rPr>
        <w:t>失。可收回金额为资产的公允价值减去处置费用后的净额与资产预计未来现金流量的现值两者之间的较高者。资产减值准备</w:t>
      </w:r>
      <w:r>
        <w:rPr>
          <w:spacing w:val="-64"/>
        </w:rPr>
        <w:t> </w:t>
      </w:r>
      <w:r>
        <w:rPr>
          <w:spacing w:val="-64"/>
        </w:rPr>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57" w:lineRule="auto" w:before="58"/>
        <w:ind w:left="474" w:right="1032"/>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224" w:lineRule="exact"/>
        <w:ind w:right="0"/>
        <w:jc w:val="left"/>
      </w:pPr>
      <w:r>
        <w:rPr/>
        <w:t>难以分摊至相关的资产组的，将其分摊至相关的资产组组合。在将商誉的账面价值分摊至相关的资产组或者资产组组合时，</w:t>
      </w:r>
    </w:p>
    <w:p>
      <w:pPr>
        <w:pStyle w:val="BodyText"/>
        <w:spacing w:line="319" w:lineRule="auto" w:before="76"/>
        <w:ind w:right="0"/>
        <w:jc w:val="left"/>
      </w:pP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9" w:lineRule="auto" w:before="55"/>
        <w:ind w:left="113" w:right="1033"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3、长期待摊费用" w:id="195"/>
      <w:bookmarkEnd w:id="19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3" w:firstLine="360"/>
        <w:jc w:val="both"/>
      </w:pPr>
      <w:r>
        <w:rPr>
          <w:spacing w:val="-2"/>
        </w:rPr>
        <w:t>长期待摊费用按实际发生额核算，在项目受益期内平均摊销。如果长期摊销的费用项目不能使以后会计期间受益的，应</w:t>
      </w:r>
      <w:r>
        <w:rPr/>
        <w:t> 当将尚未摊销的该项目的摊余价值全部转入当期损益。</w:t>
      </w:r>
    </w:p>
    <w:p>
      <w:pPr>
        <w:spacing w:after="0" w:line="319"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4、职工薪酬" w:id="196"/>
      <w:bookmarkEnd w:id="196"/>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7"/>
      <w:bookmarkEnd w:id="197"/>
      <w:r>
        <w:rPr>
          <w:b w:val="0"/>
          <w:bCs w:val="0"/>
        </w:rPr>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360"/>
        <w:jc w:val="both"/>
      </w:pPr>
      <w:r>
        <w:rPr>
          <w:spacing w:val="-2"/>
        </w:rPr>
        <w:t>短期薪酬包括短期工资、奖金、津贴、补贴、职工福利费、住房公积金、工会经费和职工教育经费、医疗保险费、工伤</w:t>
      </w:r>
      <w:r>
        <w:rPr/>
        <w:t> </w:t>
      </w:r>
      <w:r>
        <w:rPr>
          <w:spacing w:val="-2"/>
        </w:rPr>
        <w:t>保险费、生育保险费、短期带薪缺勤、短期利润分享计划等。在职工提供服务的会计期间，将实际发生的应付的短期薪酬确</w:t>
      </w:r>
      <w:r>
        <w:rPr>
          <w:spacing w:val="-66"/>
        </w:rPr>
        <w:t> </w:t>
      </w:r>
      <w:r>
        <w:rPr>
          <w:spacing w:val="-66"/>
        </w:rPr>
      </w:r>
      <w:r>
        <w:rPr/>
        <w:t>认为负债，并按照受益对象按照权责发生制原则计入当期损益或相关资产成本。</w:t>
      </w:r>
    </w:p>
    <w:p>
      <w:pPr>
        <w:spacing w:line="240" w:lineRule="auto" w:before="3"/>
        <w:rPr>
          <w:rFonts w:ascii="宋体" w:hAnsi="宋体" w:cs="宋体" w:eastAsia="宋体" w:hint="default"/>
          <w:sz w:val="22"/>
          <w:szCs w:val="22"/>
        </w:rPr>
      </w:pPr>
    </w:p>
    <w:p>
      <w:pPr>
        <w:pStyle w:val="Heading3"/>
        <w:spacing w:line="240" w:lineRule="auto"/>
        <w:ind w:left="113" w:right="0"/>
        <w:jc w:val="left"/>
        <w:rPr>
          <w:b w:val="0"/>
          <w:bCs w:val="0"/>
        </w:rPr>
      </w:pPr>
      <w:bookmarkStart w:name="2）离职后福利的会计处理方法" w:id="198"/>
      <w:bookmarkEnd w:id="198"/>
      <w:r>
        <w:rPr>
          <w:b w:val="0"/>
          <w:bCs w:val="0"/>
        </w:rPr>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left="113" w:right="0" w:firstLine="360"/>
        <w:jc w:val="left"/>
      </w:pPr>
      <w:r>
        <w:rPr>
          <w:spacing w:val="-4"/>
        </w:rPr>
        <w:t>离职后福利主要包括基本养老保险费、企业年金等，按照公司承担的风险和义务，分类为设定提存计划、设定受益计划。</w:t>
      </w:r>
      <w:r>
        <w:rPr/>
        <w:t> </w:t>
      </w:r>
      <w:r>
        <w:rPr>
          <w:spacing w:val="-2"/>
        </w:rPr>
        <w:t>设定提存计划：在根据在资产负债表日为换取职工在会计期间提供的服务而向单独主体缴存的提存金确认为负债，并按照受</w:t>
      </w:r>
      <w:r>
        <w:rPr>
          <w:spacing w:val="-64"/>
        </w:rPr>
        <w:t> </w:t>
      </w:r>
      <w:r>
        <w:rPr>
          <w:spacing w:val="-64"/>
        </w:rPr>
      </w:r>
      <w:r>
        <w:rPr>
          <w:spacing w:val="-2"/>
        </w:rPr>
        <w:t>益对象计入当期损益或相关资产成本。设定受益计划：在半年和年度资产负债表日由独立精算师进行精算估值，以预期累积</w:t>
      </w:r>
      <w:r>
        <w:rPr>
          <w:spacing w:val="-66"/>
        </w:rPr>
        <w:t> </w:t>
      </w:r>
      <w:r>
        <w:rPr>
          <w:spacing w:val="-66"/>
        </w:rPr>
      </w:r>
      <w:r>
        <w:rPr/>
        <w:t>福利单位法确定提供福利的成本。本集团设定受益计划导致的职工薪酬成本包括下列组成部分：（</w:t>
      </w:r>
      <w:r>
        <w:rPr>
          <w:rFonts w:ascii="Times New Roman" w:hAnsi="Times New Roman" w:cs="Times New Roman" w:eastAsia="Times New Roman" w:hint="default"/>
        </w:rPr>
        <w:t>1</w:t>
      </w:r>
      <w:r>
        <w:rPr/>
        <w:t>）服务成本，包括当期 </w:t>
      </w:r>
      <w:r>
        <w:rPr>
          <w:spacing w:val="-2"/>
        </w:rPr>
        <w:t>服务成本、过去服务成本和结算利得或损失。其中，当期服务成本是指，职工当期提供服务所导致的设定受益义务现值的增</w:t>
      </w:r>
      <w:r>
        <w:rPr>
          <w:spacing w:val="-66"/>
        </w:rPr>
        <w:t> </w:t>
      </w:r>
      <w:r>
        <w:rPr>
          <w:spacing w:val="-66"/>
        </w:rPr>
      </w:r>
      <w:r>
        <w:rPr/>
        <w:t>加额；过去服务成本是指，设定受益计划修改所导致的与以前期间职工服务相关的设定受益义务现值的增加或减少；（</w:t>
      </w:r>
      <w:r>
        <w:rPr>
          <w:rFonts w:ascii="Times New Roman" w:hAnsi="Times New Roman" w:cs="Times New Roman" w:eastAsia="Times New Roman" w:hint="default"/>
        </w:rPr>
        <w:t>2</w:t>
      </w:r>
      <w:r>
        <w:rPr/>
        <w:t>） 设定受益义务的利息费用；（</w:t>
      </w:r>
      <w:r>
        <w:rPr>
          <w:rFonts w:ascii="Times New Roman" w:hAnsi="Times New Roman" w:cs="Times New Roman" w:eastAsia="Times New Roman" w:hint="default"/>
        </w:rPr>
        <w:t>3</w:t>
      </w:r>
      <w:r>
        <w:rPr/>
        <w:t>）重新计量设定受益计划负债导致的变动。除非其他会计准则要求或允许职工福利成本计入 资产成本，本公司将上述第</w:t>
      </w:r>
      <w:r>
        <w:rPr>
          <w:rFonts w:ascii="Times New Roman" w:hAnsi="Times New Roman" w:cs="Times New Roman" w:eastAsia="Times New Roman" w:hint="default"/>
        </w:rPr>
        <w:t>(1)</w:t>
      </w:r>
      <w:r>
        <w:rPr/>
        <w:t>和</w:t>
      </w:r>
      <w:r>
        <w:rPr>
          <w:rFonts w:ascii="Times New Roman" w:hAnsi="Times New Roman" w:cs="Times New Roman" w:eastAsia="Times New Roman" w:hint="default"/>
        </w:rPr>
        <w:t>(2)</w:t>
      </w:r>
      <w:r>
        <w:rPr/>
        <w:t>项计入当期损益；第</w:t>
      </w:r>
      <w:r>
        <w:rPr>
          <w:rFonts w:ascii="Times New Roman" w:hAnsi="Times New Roman" w:cs="Times New Roman" w:eastAsia="Times New Roman" w:hint="default"/>
        </w:rPr>
        <w:t>(3)</w:t>
      </w:r>
      <w:r>
        <w:rPr/>
        <w:t>项计入其他综合收益且不会在后续会计期间转回至损益。</w:t>
      </w:r>
    </w:p>
    <w:p>
      <w:pPr>
        <w:spacing w:line="240" w:lineRule="auto" w:before="5"/>
        <w:rPr>
          <w:rFonts w:ascii="宋体" w:hAnsi="宋体" w:cs="宋体" w:eastAsia="宋体" w:hint="default"/>
          <w:sz w:val="21"/>
          <w:szCs w:val="21"/>
        </w:rPr>
      </w:pPr>
    </w:p>
    <w:p>
      <w:pPr>
        <w:pStyle w:val="Heading3"/>
        <w:spacing w:line="240" w:lineRule="auto"/>
        <w:ind w:left="113" w:right="0"/>
        <w:jc w:val="left"/>
        <w:rPr>
          <w:b w:val="0"/>
          <w:bCs w:val="0"/>
        </w:rPr>
      </w:pPr>
      <w:bookmarkStart w:name="3）辞退福利的会计处理方法" w:id="199"/>
      <w:bookmarkEnd w:id="199"/>
      <w:r>
        <w:rPr>
          <w:b w:val="0"/>
          <w:bCs w:val="0"/>
        </w:rPr>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 w:right="1131" w:firstLine="360"/>
        <w:jc w:val="both"/>
      </w:pPr>
      <w:r>
        <w:rPr>
          <w:spacing w:val="-2"/>
        </w:rPr>
        <w:t>本公司在职工劳动合同到期之前解除与职工的劳动关系，或者为鼓励职工自愿接受裁减而提出给予补偿的建议，在同时</w:t>
      </w:r>
      <w:r>
        <w:rPr/>
        <w:t> </w:t>
      </w:r>
      <w:r>
        <w:rPr>
          <w:spacing w:val="-2"/>
        </w:rPr>
        <w:t>满足下列条件时，确认因解除与职工的劳动关系给予补偿而产生的预计负债，同时计入当期损益：本公司已经制定正式的解</w:t>
      </w:r>
      <w:r>
        <w:rPr>
          <w:spacing w:val="-66"/>
        </w:rPr>
        <w:t> </w:t>
      </w:r>
      <w:r>
        <w:rPr>
          <w:spacing w:val="-66"/>
        </w:rPr>
      </w:r>
      <w:r>
        <w:rPr>
          <w:spacing w:val="-2"/>
        </w:rPr>
        <w:t>除劳动关系计划或提出自愿裁减建议，并即将实施；本公司不能单方面撤回解除劳动关系计划或裁减建议。职工内部退休计</w:t>
      </w:r>
      <w:r>
        <w:rPr>
          <w:spacing w:val="-66"/>
        </w:rPr>
        <w:t> </w:t>
      </w:r>
      <w:r>
        <w:rPr>
          <w:spacing w:val="-66"/>
        </w:rPr>
      </w:r>
      <w:r>
        <w:rPr>
          <w:spacing w:val="-2"/>
        </w:rPr>
        <w:t>划采用上述辞退福利相同的原则处理。本公司将自职工停止提供服务日至正常退休日的期间拟支付的内退人员工资和缴纳的</w:t>
      </w:r>
      <w:r>
        <w:rPr>
          <w:spacing w:val="-64"/>
        </w:rPr>
        <w:t> </w:t>
      </w:r>
      <w:r>
        <w:rPr>
          <w:spacing w:val="-64"/>
        </w:rPr>
      </w:r>
      <w:r>
        <w:rPr/>
        <w:t>社会保险费等，在符合预计负债确认条件时，计入当期损益。</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5、预计负债" w:id="200"/>
      <w:bookmarkEnd w:id="20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6" w:right="0"/>
        <w:jc w:val="left"/>
        <w:rPr>
          <w:b w:val="0"/>
          <w:bCs w:val="0"/>
        </w:rPr>
      </w:pPr>
      <w:r>
        <w:rPr>
          <w:rFonts w:ascii="宋体" w:hAnsi="宋体" w:cs="宋体" w:eastAsia="宋体" w:hint="default"/>
        </w:rPr>
        <w:t>1)</w:t>
      </w:r>
      <w:r>
        <w:rPr/>
        <w:t>预计负债的确认原则</w:t>
      </w:r>
      <w:r>
        <w:rPr>
          <w:b w:val="0"/>
          <w:bCs w:val="0"/>
        </w:rPr>
      </w:r>
    </w:p>
    <w:p>
      <w:pPr>
        <w:pStyle w:val="BodyText"/>
        <w:spacing w:line="319" w:lineRule="auto" w:before="103"/>
        <w:ind w:left="113" w:right="1133" w:firstLine="360"/>
        <w:jc w:val="both"/>
      </w:pPr>
      <w:r>
        <w:rPr>
          <w:spacing w:val="-2"/>
        </w:rPr>
        <w:t>当与对外担保、未决诉讼或仲裁、产品质量保证、裁员计划、亏损合同、重组义务等或有事项相关的业务同时符合以下</w:t>
      </w:r>
      <w:r>
        <w:rPr/>
        <w:t> 条件时，确认为预计负债：</w:t>
      </w:r>
    </w:p>
    <w:p>
      <w:pPr>
        <w:pStyle w:val="BodyText"/>
        <w:spacing w:line="240" w:lineRule="auto" w:before="56"/>
        <w:ind w:left="473" w:right="0"/>
        <w:jc w:val="left"/>
      </w:pPr>
      <w:r>
        <w:rPr/>
        <w:t>（</w:t>
      </w:r>
      <w:r>
        <w:rPr>
          <w:rFonts w:ascii="Times New Roman" w:hAnsi="Times New Roman" w:cs="Times New Roman" w:eastAsia="Times New Roman" w:hint="default"/>
        </w:rPr>
        <w:t>1</w:t>
      </w:r>
      <w:r>
        <w:rPr/>
        <w:t>）该义务是企业承担的现时义务；</w:t>
      </w:r>
    </w:p>
    <w:p>
      <w:pPr>
        <w:pStyle w:val="BodyText"/>
        <w:spacing w:line="240" w:lineRule="auto" w:before="102"/>
        <w:ind w:left="473" w:right="0"/>
        <w:jc w:val="left"/>
      </w:pPr>
      <w:r>
        <w:rPr/>
        <w:t>（</w:t>
      </w:r>
      <w:r>
        <w:rPr>
          <w:rFonts w:ascii="Times New Roman" w:hAnsi="Times New Roman" w:cs="Times New Roman" w:eastAsia="Times New Roman" w:hint="default"/>
        </w:rPr>
        <w:t>2</w:t>
      </w:r>
      <w:r>
        <w:rPr/>
        <w:t>）履行该义务很可能导致经济利益流出企业；</w:t>
      </w:r>
    </w:p>
    <w:p>
      <w:pPr>
        <w:pStyle w:val="BodyText"/>
        <w:spacing w:line="240" w:lineRule="auto" w:before="103"/>
        <w:ind w:left="474" w:right="0"/>
        <w:jc w:val="left"/>
      </w:pPr>
      <w:r>
        <w:rPr/>
        <w:t>（</w:t>
      </w:r>
      <w:r>
        <w:rPr>
          <w:rFonts w:ascii="Times New Roman" w:hAnsi="Times New Roman" w:cs="Times New Roman" w:eastAsia="Times New Roman" w:hint="default"/>
        </w:rPr>
        <w:t>3</w:t>
      </w:r>
      <w:r>
        <w:rPr/>
        <w:t>）该义务的金额能够可靠地计量。</w:t>
      </w:r>
    </w:p>
    <w:p>
      <w:pPr>
        <w:pStyle w:val="Heading3"/>
        <w:spacing w:line="240" w:lineRule="auto" w:before="75"/>
        <w:ind w:left="536" w:right="0"/>
        <w:jc w:val="left"/>
        <w:rPr>
          <w:b w:val="0"/>
          <w:bCs w:val="0"/>
        </w:rPr>
      </w:pPr>
      <w:r>
        <w:rPr>
          <w:rFonts w:ascii="宋体" w:hAnsi="宋体" w:cs="宋体" w:eastAsia="宋体" w:hint="default"/>
        </w:rPr>
        <w:t>2)</w:t>
      </w:r>
      <w:r>
        <w:rPr/>
        <w:t>预计负债的计量方法</w:t>
      </w:r>
      <w:r>
        <w:rPr>
          <w:b w:val="0"/>
          <w:bCs w:val="0"/>
        </w:rPr>
      </w:r>
    </w:p>
    <w:p>
      <w:pPr>
        <w:pStyle w:val="BodyText"/>
        <w:spacing w:line="316" w:lineRule="auto" w:before="103"/>
        <w:ind w:left="113" w:right="1131" w:firstLine="360"/>
        <w:jc w:val="both"/>
      </w:pPr>
      <w:r>
        <w:rPr>
          <w:spacing w:val="-2"/>
        </w:rPr>
        <w:t>按照履行相关现时义务所需支出的最佳估计数进行初始计量，如所需支出存在一个连续范围，且该范围内各种结果发生</w:t>
      </w:r>
      <w:r>
        <w:rPr/>
        <w:t> </w:t>
      </w:r>
      <w:r>
        <w:rPr>
          <w:spacing w:val="-2"/>
        </w:rPr>
        <w:t>的可能性相同，最佳估计数按照该范围内的中间值确定；如涉及多个项目，按照各种可能结果及相关概率计算确定最佳估计</w:t>
      </w:r>
      <w:r>
        <w:rPr>
          <w:spacing w:val="-66"/>
        </w:rPr>
        <w:t> </w:t>
      </w:r>
      <w:r>
        <w:rPr>
          <w:spacing w:val="-66"/>
        </w:rPr>
      </w:r>
      <w:r>
        <w:rPr/>
        <w:t>数。</w:t>
      </w:r>
    </w:p>
    <w:p>
      <w:pPr>
        <w:pStyle w:val="BodyText"/>
        <w:spacing w:line="319" w:lineRule="auto" w:before="59"/>
        <w:ind w:right="1132" w:firstLine="360"/>
        <w:jc w:val="both"/>
      </w:pPr>
      <w:r>
        <w:rPr>
          <w:spacing w:val="-2"/>
        </w:rPr>
        <w:t>资产负债表日应当对预计负债账面价值进行复核，有确凿证据表明该账面价值不能真实反映当前最佳估计数，应当按照</w:t>
      </w:r>
      <w:r>
        <w:rPr/>
        <w:t> 当前最佳估计数对该账面价值进行调整。</w:t>
      </w:r>
    </w:p>
    <w:p>
      <w:pPr>
        <w:spacing w:after="0" w:line="319" w:lineRule="auto"/>
        <w:jc w:val="both"/>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6、股份支付" w:id="201"/>
      <w:bookmarkEnd w:id="20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4" w:right="0"/>
        <w:jc w:val="left"/>
      </w:pPr>
      <w:r>
        <w:rPr/>
        <w:t>公司的股份支付分为以权益结算的股份支付和以现金结算的股份支付。</w:t>
      </w:r>
    </w:p>
    <w:p>
      <w:pPr>
        <w:pStyle w:val="Heading3"/>
        <w:spacing w:line="240" w:lineRule="auto" w:before="89"/>
        <w:ind w:left="536" w:right="0"/>
        <w:jc w:val="left"/>
        <w:rPr>
          <w:b w:val="0"/>
          <w:bCs w:val="0"/>
        </w:rPr>
      </w:pPr>
      <w:r>
        <w:rPr>
          <w:rFonts w:ascii="宋体" w:hAnsi="宋体" w:cs="宋体" w:eastAsia="宋体" w:hint="default"/>
        </w:rPr>
        <w:t>1)</w:t>
      </w:r>
      <w:r>
        <w:rPr/>
        <w:t>权益工具公允价值的确定</w:t>
      </w:r>
      <w:r>
        <w:rPr>
          <w:b w:val="0"/>
          <w:bCs w:val="0"/>
        </w:rPr>
      </w:r>
    </w:p>
    <w:p>
      <w:pPr>
        <w:pStyle w:val="BodyText"/>
        <w:spacing w:line="319" w:lineRule="auto" w:before="104"/>
        <w:ind w:left="113" w:right="0" w:firstLine="360"/>
        <w:jc w:val="left"/>
      </w:pPr>
      <w:r>
        <w:rPr>
          <w:spacing w:val="-2"/>
        </w:rPr>
        <w:t>以权益结算的股份支付，以授予职工权益工具的公允价值计量。以现金结算的股份支付，按照公司承担的以股份或其他</w:t>
      </w:r>
      <w:r>
        <w:rPr/>
        <w:t> 权益工具为基础计算确定的负债的公允价值计量。</w:t>
      </w:r>
    </w:p>
    <w:p>
      <w:pPr>
        <w:pStyle w:val="BodyText"/>
        <w:spacing w:line="319" w:lineRule="auto" w:before="55"/>
        <w:ind w:left="113" w:right="0" w:firstLine="360"/>
        <w:jc w:val="left"/>
      </w:pPr>
      <w:r>
        <w:rPr>
          <w:spacing w:val="-2"/>
        </w:rPr>
        <w:t>对于授予的存在活跃市场的期权等权益工具，按照活跃市场中的报价确定其公允价值。对于授予的不存在活跃市场的期</w:t>
      </w:r>
      <w:r>
        <w:rPr/>
        <w:t> 权等权益工具，采用期权定价模型等确定其公允价值，选用的期权定价模型考虑以下因素：</w:t>
      </w:r>
    </w:p>
    <w:p>
      <w:pPr>
        <w:pStyle w:val="BodyText"/>
        <w:spacing w:line="319" w:lineRule="auto" w:before="55"/>
        <w:ind w:left="113" w:right="1118" w:firstLine="360"/>
        <w:jc w:val="left"/>
      </w:pPr>
      <w:r>
        <w:rPr>
          <w:spacing w:val="-2"/>
        </w:rPr>
        <w:t>期权的行权价格、期权的有效期、标的股份的现行价格、股价预计波动率、股份的预计股利、期权有效期内的无风险利</w:t>
      </w:r>
      <w:r>
        <w:rPr/>
        <w:t> 率。</w:t>
      </w:r>
    </w:p>
    <w:p>
      <w:pPr>
        <w:pStyle w:val="Heading3"/>
        <w:spacing w:line="240" w:lineRule="auto" w:before="31"/>
        <w:ind w:left="536" w:right="0"/>
        <w:jc w:val="left"/>
        <w:rPr>
          <w:b w:val="0"/>
          <w:bCs w:val="0"/>
        </w:rPr>
      </w:pPr>
      <w:r>
        <w:rPr>
          <w:rFonts w:ascii="宋体" w:hAnsi="宋体" w:cs="宋体" w:eastAsia="宋体" w:hint="default"/>
        </w:rPr>
        <w:t>2)</w:t>
      </w:r>
      <w:r>
        <w:rPr/>
        <w:t>以权益工具结算的股份支付会计处理</w:t>
      </w:r>
      <w:r>
        <w:rPr>
          <w:b w:val="0"/>
          <w:bCs w:val="0"/>
        </w:rPr>
      </w:r>
    </w:p>
    <w:p>
      <w:pPr>
        <w:pStyle w:val="BodyText"/>
        <w:spacing w:line="300" w:lineRule="auto" w:before="103"/>
        <w:ind w:right="1139" w:firstLine="360"/>
        <w:jc w:val="both"/>
      </w:pPr>
      <w:r>
        <w:rPr/>
        <w:t>（</w:t>
      </w:r>
      <w:r>
        <w:rPr>
          <w:rFonts w:ascii="Times New Roman" w:hAnsi="Times New Roman" w:cs="Times New Roman" w:eastAsia="Times New Roman" w:hint="default"/>
        </w:rPr>
        <w:t>1</w:t>
      </w:r>
      <w:r>
        <w:rPr/>
        <w:t>）授予后立即可行权的以权益结算的股份支付，在授予日以权益工具的公允价值计入相关成本或费用，相应增加资 本公积。</w:t>
      </w:r>
    </w:p>
    <w:p>
      <w:pPr>
        <w:pStyle w:val="BodyText"/>
        <w:spacing w:line="240" w:lineRule="auto" w:before="71"/>
        <w:ind w:left="474" w:right="0"/>
        <w:jc w:val="left"/>
      </w:pPr>
      <w:r>
        <w:rPr/>
        <w:t>授予日，是指股份支付协议获得批准的日期。</w:t>
      </w:r>
    </w:p>
    <w:p>
      <w:pPr>
        <w:pStyle w:val="BodyText"/>
        <w:spacing w:line="309" w:lineRule="auto" w:before="116"/>
        <w:ind w:right="1133" w:firstLine="360"/>
        <w:jc w:val="both"/>
      </w:pPr>
      <w:r>
        <w:rPr/>
        <w:t>（</w:t>
      </w:r>
      <w:r>
        <w:rPr>
          <w:rFonts w:ascii="Times New Roman" w:hAnsi="Times New Roman" w:cs="Times New Roman" w:eastAsia="Times New Roman" w:hint="default"/>
        </w:rPr>
        <w:t>2</w:t>
      </w:r>
      <w:r>
        <w:rPr/>
        <w:t>）完成等待期内的服务或达到规定业绩条件才可行权的换取职工服务的以权益结算的股份支付，在等待期内的每个 </w:t>
      </w:r>
      <w:r>
        <w:rPr>
          <w:spacing w:val="-2"/>
        </w:rPr>
        <w:t>资产负债表日，以对可行权权益工具数量的最佳估计为基础，按照权益工具授予日的公允价值，将当期取得的服务计入相关</w:t>
      </w:r>
      <w:r>
        <w:rPr>
          <w:spacing w:val="-66"/>
        </w:rPr>
        <w:t> </w:t>
      </w:r>
      <w:r>
        <w:rPr>
          <w:spacing w:val="-66"/>
        </w:rPr>
      </w:r>
      <w:r>
        <w:rPr/>
        <w:t>成本或费用和资本公积，不确认后续公允价值变动。</w:t>
      </w:r>
    </w:p>
    <w:p>
      <w:pPr>
        <w:pStyle w:val="BodyText"/>
        <w:spacing w:line="319" w:lineRule="auto" w:before="62"/>
        <w:ind w:right="1132" w:firstLine="360"/>
        <w:jc w:val="both"/>
      </w:pPr>
      <w:r>
        <w:rPr>
          <w:spacing w:val="-2"/>
        </w:rPr>
        <w:t>等待期内每个资产负债表日，公司根据最新取得的可行权职工人数变动等后续信息作出最佳估计，修正预计可行权的权</w:t>
      </w:r>
      <w:r>
        <w:rPr/>
        <w:t> 益工具数量。在可行权日，最终预计可行权权益工具的数量与实际可行权工具的数量一致。</w:t>
      </w:r>
    </w:p>
    <w:p>
      <w:pPr>
        <w:pStyle w:val="BodyText"/>
        <w:spacing w:line="302" w:lineRule="auto" w:before="55"/>
        <w:ind w:right="1141" w:firstLine="360"/>
        <w:jc w:val="both"/>
      </w:pPr>
      <w:r>
        <w:rPr/>
        <w:t>（</w:t>
      </w:r>
      <w:r>
        <w:rPr>
          <w:rFonts w:ascii="Times New Roman" w:hAnsi="Times New Roman" w:cs="Times New Roman" w:eastAsia="Times New Roman" w:hint="default"/>
        </w:rPr>
        <w:t>3</w:t>
      </w:r>
      <w:r>
        <w:rPr/>
        <w:t>）对于权益结算的股份支付，在可行权日之后不再对已确认的成本费用和所有者权益总额进行调整。公司在行权日 根据行权情况，确认股本和股本溢价，同时结转等待期内确认的资本公积。</w:t>
      </w:r>
    </w:p>
    <w:p>
      <w:pPr>
        <w:pStyle w:val="Heading3"/>
        <w:spacing w:line="240" w:lineRule="auto" w:before="44"/>
        <w:ind w:left="536" w:right="0"/>
        <w:jc w:val="left"/>
        <w:rPr>
          <w:b w:val="0"/>
          <w:bCs w:val="0"/>
        </w:rPr>
      </w:pPr>
      <w:r>
        <w:rPr>
          <w:rFonts w:ascii="宋体" w:hAnsi="宋体" w:cs="宋体" w:eastAsia="宋体" w:hint="default"/>
        </w:rPr>
        <w:t>3)</w:t>
      </w:r>
      <w:r>
        <w:rPr/>
        <w:t>以现金结算的股份支付的会计处理</w:t>
      </w:r>
      <w:r>
        <w:rPr>
          <w:b w:val="0"/>
          <w:bCs w:val="0"/>
        </w:rPr>
      </w:r>
    </w:p>
    <w:p>
      <w:pPr>
        <w:pStyle w:val="BodyText"/>
        <w:spacing w:line="300" w:lineRule="auto" w:before="103"/>
        <w:ind w:right="1141" w:firstLine="360"/>
        <w:jc w:val="both"/>
      </w:pPr>
      <w:r>
        <w:rPr/>
        <w:t>（</w:t>
      </w:r>
      <w:r>
        <w:rPr>
          <w:rFonts w:ascii="Times New Roman" w:hAnsi="Times New Roman" w:cs="Times New Roman" w:eastAsia="Times New Roman" w:hint="default"/>
        </w:rPr>
        <w:t>1</w:t>
      </w:r>
      <w:r>
        <w:rPr/>
        <w:t>）授予后立即可行权的以现金结算的股份支付，在授予日以本公司承担负债的公允价值计入相关成本或费用，相应 增加应付职工薪酬。</w:t>
      </w:r>
    </w:p>
    <w:p>
      <w:pPr>
        <w:pStyle w:val="BodyText"/>
        <w:spacing w:line="309" w:lineRule="auto" w:before="70"/>
        <w:ind w:right="1132" w:firstLine="360"/>
        <w:jc w:val="both"/>
      </w:pPr>
      <w:r>
        <w:rPr/>
        <w:t>（</w:t>
      </w:r>
      <w:r>
        <w:rPr>
          <w:rFonts w:ascii="Times New Roman" w:hAnsi="Times New Roman" w:cs="Times New Roman" w:eastAsia="Times New Roman" w:hint="default"/>
        </w:rPr>
        <w:t>2</w:t>
      </w:r>
      <w:r>
        <w:rPr/>
        <w:t>）完成等待期内的服务或达到规定业绩条件以后才可行权的以现金结算的股份支付，在等待期内的每个资产负债表 </w:t>
      </w:r>
      <w:r>
        <w:rPr>
          <w:spacing w:val="-2"/>
        </w:rPr>
        <w:t>日，以对可行权情况的最佳估计为基础，按照公司承担负债的公允价值金额，将当期取得的服务计入成本或费用和相应的负</w:t>
      </w:r>
      <w:r>
        <w:rPr>
          <w:spacing w:val="-66"/>
        </w:rPr>
        <w:t> </w:t>
      </w:r>
      <w:r>
        <w:rPr>
          <w:spacing w:val="-66"/>
        </w:rPr>
      </w:r>
      <w:r>
        <w:rPr/>
        <w:t>债。</w:t>
      </w:r>
    </w:p>
    <w:p>
      <w:pPr>
        <w:pStyle w:val="BodyText"/>
        <w:spacing w:line="302" w:lineRule="auto" w:before="64"/>
        <w:ind w:left="113" w:right="1199" w:firstLine="360"/>
        <w:jc w:val="both"/>
      </w:pPr>
      <w:r>
        <w:rPr/>
        <w:t>（</w:t>
      </w:r>
      <w:r>
        <w:rPr>
          <w:rFonts w:ascii="Times New Roman" w:hAnsi="Times New Roman" w:cs="Times New Roman" w:eastAsia="Times New Roman" w:hint="default"/>
        </w:rPr>
        <w:t>3</w:t>
      </w:r>
      <w:r>
        <w:rPr/>
        <w:t>）对于现金结算的股份支付，公司在可行权日之后不再确认成本费用，负债</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公允价值的变动计入当 期损益</w:t>
      </w:r>
      <w:r>
        <w:rPr>
          <w:rFonts w:ascii="Times New Roman" w:hAnsi="Times New Roman" w:cs="Times New Roman" w:eastAsia="Times New Roman" w:hint="default"/>
        </w:rPr>
        <w:t>(</w:t>
      </w:r>
      <w:r>
        <w:rPr/>
        <w:t>公允价值变动损益</w:t>
      </w:r>
      <w:r>
        <w:rPr>
          <w:rFonts w:ascii="Times New Roman" w:hAnsi="Times New Roman" w:cs="Times New Roman" w:eastAsia="Times New Roman" w:hint="default"/>
        </w:rPr>
        <w:t>)</w:t>
      </w:r>
      <w:r>
        <w:rPr/>
        <w:t>。</w:t>
      </w:r>
    </w:p>
    <w:p>
      <w:pPr>
        <w:pStyle w:val="Heading3"/>
        <w:spacing w:line="240" w:lineRule="auto" w:before="24"/>
        <w:ind w:left="536" w:right="0"/>
        <w:jc w:val="left"/>
        <w:rPr>
          <w:b w:val="0"/>
          <w:bCs w:val="0"/>
        </w:rPr>
      </w:pPr>
      <w:r>
        <w:rPr>
          <w:rFonts w:ascii="宋体" w:hAnsi="宋体" w:cs="宋体" w:eastAsia="宋体" w:hint="default"/>
        </w:rPr>
        <w:t>4)</w:t>
      </w:r>
      <w:r>
        <w:rPr/>
        <w:t>股份支付计划的修改、终止</w:t>
      </w:r>
      <w:r>
        <w:rPr>
          <w:b w:val="0"/>
          <w:bCs w:val="0"/>
        </w:rPr>
      </w:r>
    </w:p>
    <w:p>
      <w:pPr>
        <w:pStyle w:val="BodyText"/>
        <w:spacing w:line="316" w:lineRule="auto" w:before="103"/>
        <w:ind w:left="113" w:right="1132" w:firstLine="360"/>
        <w:jc w:val="both"/>
      </w:pPr>
      <w:r>
        <w:rPr>
          <w:spacing w:val="-2"/>
        </w:rPr>
        <w:t>无论已授予的权益工具的条款和条件如何修改，或者取消权益工具的授予或结算该权益工具，公司确认按照所授予的权</w:t>
      </w:r>
      <w:r>
        <w:rPr/>
        <w:t> </w:t>
      </w:r>
      <w:r>
        <w:rPr>
          <w:spacing w:val="-2"/>
        </w:rPr>
        <w:t>益工具在授予日的公允价值来计量获取的相应的服务，除非因不能满足权益工具的可行权条件（除市场条件外）而无法可行</w:t>
      </w:r>
      <w:r>
        <w:rPr>
          <w:spacing w:val="-66"/>
        </w:rPr>
        <w:t> </w:t>
      </w:r>
      <w:r>
        <w:rPr>
          <w:spacing w:val="-66"/>
        </w:rPr>
      </w:r>
      <w:r>
        <w:rPr/>
        <w:t>权。</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7、优先股、永续债等其他金融工具" w:id="202"/>
      <w:bookmarkEnd w:id="20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 w:right="0" w:firstLine="360"/>
        <w:jc w:val="left"/>
      </w:pPr>
      <w:r>
        <w:rPr>
          <w:spacing w:val="-4"/>
        </w:rPr>
        <w:t>本公司以所发行金融工具的分类为基础，确定该工具利息支出或股利分配等的会计处理。对于归类为债务工具的优先股、</w:t>
      </w:r>
      <w:r>
        <w:rPr/>
        <w:t> </w:t>
      </w:r>
      <w:r>
        <w:rPr>
          <w:spacing w:val="-2"/>
        </w:rPr>
        <w:t>永续债，按其公允价值扣除交易费用后的金额进行初始计量，并采用实际利率法按摊余成本进行后续计量，其利息支出或股</w:t>
      </w:r>
      <w:r>
        <w:rPr>
          <w:spacing w:val="-66"/>
        </w:rPr>
        <w:t> </w:t>
      </w:r>
      <w:r>
        <w:rPr>
          <w:spacing w:val="-66"/>
        </w:rPr>
      </w:r>
      <w:r>
        <w:rPr/>
        <w:t>利分配按照借款费用进行处理，其回购或赎回产生的利得或损失计入当期损益。</w:t>
      </w:r>
    </w:p>
    <w:p>
      <w:pPr>
        <w:pStyle w:val="BodyText"/>
        <w:spacing w:line="319" w:lineRule="auto" w:before="56"/>
        <w:ind w:left="113" w:right="1133" w:firstLine="360"/>
        <w:jc w:val="both"/>
      </w:pPr>
      <w:r>
        <w:rPr>
          <w:spacing w:val="-2"/>
        </w:rPr>
        <w:t>对于归类为权益工具的优先股、永续债，在发行时收到的对价扣除交易费用后增加公司所有者权益，其利息支出或股利</w:t>
      </w:r>
      <w:r>
        <w:rPr/>
        <w:t> 分配按照利润分配进行处理，其回购或注销作为权益变动处理。</w:t>
      </w:r>
    </w:p>
    <w:p>
      <w:pPr>
        <w:spacing w:after="0" w:line="319" w:lineRule="auto"/>
        <w:jc w:val="both"/>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both"/>
        <w:rPr>
          <w:b w:val="0"/>
          <w:bCs w:val="0"/>
        </w:rPr>
      </w:pPr>
      <w:bookmarkStart w:name="28、收入" w:id="203"/>
      <w:bookmarkEnd w:id="203"/>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536" w:right="0"/>
        <w:jc w:val="left"/>
        <w:rPr>
          <w:b w:val="0"/>
          <w:bCs w:val="0"/>
        </w:rPr>
      </w:pPr>
      <w:r>
        <w:rPr>
          <w:rFonts w:ascii="宋体" w:hAnsi="宋体" w:cs="宋体" w:eastAsia="宋体" w:hint="default"/>
        </w:rPr>
        <w:t>1)</w:t>
      </w:r>
      <w:r>
        <w:rPr/>
        <w:t>确认销售商品收入的原则</w:t>
      </w:r>
      <w:r>
        <w:rPr>
          <w:b w:val="0"/>
          <w:bCs w:val="0"/>
        </w:rPr>
      </w:r>
    </w:p>
    <w:p>
      <w:pPr>
        <w:pStyle w:val="BodyText"/>
        <w:spacing w:line="240" w:lineRule="auto" w:before="103"/>
        <w:ind w:left="473" w:right="0"/>
        <w:jc w:val="left"/>
      </w:pPr>
      <w:r>
        <w:rPr/>
        <w:t>在同时符合下列条件时确认销售商品收入：</w:t>
      </w:r>
    </w:p>
    <w:p>
      <w:pPr>
        <w:pStyle w:val="BodyText"/>
        <w:spacing w:line="240" w:lineRule="auto" w:before="117"/>
        <w:ind w:left="473" w:right="0"/>
        <w:jc w:val="left"/>
      </w:pPr>
      <w:r>
        <w:rPr/>
        <w:t>（</w:t>
      </w:r>
      <w:r>
        <w:rPr>
          <w:rFonts w:ascii="Times New Roman" w:hAnsi="Times New Roman" w:cs="Times New Roman" w:eastAsia="Times New Roman" w:hint="default"/>
        </w:rPr>
        <w:t>1</w:t>
      </w:r>
      <w:r>
        <w:rPr/>
        <w:t>）公司已将商品所有权上的主要风险和报酬转移给购货方；</w:t>
      </w:r>
    </w:p>
    <w:p>
      <w:pPr>
        <w:pStyle w:val="BodyText"/>
        <w:spacing w:line="240" w:lineRule="auto" w:before="102"/>
        <w:ind w:left="474" w:right="0"/>
        <w:jc w:val="left"/>
      </w:pPr>
      <w:r>
        <w:rPr/>
        <w:t>（</w:t>
      </w:r>
      <w:r>
        <w:rPr>
          <w:rFonts w:ascii="Times New Roman" w:hAnsi="Times New Roman" w:cs="Times New Roman" w:eastAsia="Times New Roman" w:hint="default"/>
        </w:rPr>
        <w:t>2</w:t>
      </w:r>
      <w:r>
        <w:rPr/>
        <w:t>）公司既没有保留通常与所有权相联系的继续管理权，也没有对已售出的商品实施有效控制；</w:t>
      </w:r>
    </w:p>
    <w:p>
      <w:pPr>
        <w:pStyle w:val="BodyText"/>
        <w:spacing w:line="240" w:lineRule="auto" w:before="102"/>
        <w:ind w:left="473" w:right="0"/>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103"/>
        <w:ind w:left="473" w:right="0"/>
        <w:jc w:val="left"/>
      </w:pPr>
      <w:r>
        <w:rPr/>
        <w:t>（</w:t>
      </w:r>
      <w:r>
        <w:rPr>
          <w:rFonts w:ascii="Times New Roman" w:hAnsi="Times New Roman" w:cs="Times New Roman" w:eastAsia="Times New Roman" w:hint="default"/>
        </w:rPr>
        <w:t>4</w:t>
      </w:r>
      <w:r>
        <w:rPr/>
        <w:t>）相关的经济利益很可能流入企业；</w:t>
      </w:r>
    </w:p>
    <w:p>
      <w:pPr>
        <w:pStyle w:val="BodyText"/>
        <w:spacing w:line="240" w:lineRule="auto" w:before="102"/>
        <w:ind w:left="473" w:right="0"/>
        <w:jc w:val="left"/>
      </w:pPr>
      <w:r>
        <w:rPr/>
        <w:t>（</w:t>
      </w:r>
      <w:r>
        <w:rPr>
          <w:rFonts w:ascii="Times New Roman" w:hAnsi="Times New Roman" w:cs="Times New Roman" w:eastAsia="Times New Roman" w:hint="default"/>
        </w:rPr>
        <w:t>5</w:t>
      </w:r>
      <w:r>
        <w:rPr/>
        <w:t>）相关的已发生或将发生的成本能够可靠地计量。</w:t>
      </w:r>
    </w:p>
    <w:p>
      <w:pPr>
        <w:pStyle w:val="Heading3"/>
        <w:spacing w:line="240" w:lineRule="auto" w:before="75"/>
        <w:ind w:left="536" w:right="0"/>
        <w:jc w:val="left"/>
        <w:rPr>
          <w:b w:val="0"/>
          <w:bCs w:val="0"/>
        </w:rPr>
      </w:pPr>
      <w:r>
        <w:rPr>
          <w:rFonts w:ascii="宋体" w:hAnsi="宋体" w:cs="宋体" w:eastAsia="宋体" w:hint="default"/>
        </w:rPr>
        <w:t>2)</w:t>
      </w:r>
      <w:r>
        <w:rPr/>
        <w:t>提供劳务确认收入的原则</w:t>
      </w:r>
      <w:r>
        <w:rPr>
          <w:b w:val="0"/>
          <w:bCs w:val="0"/>
        </w:rPr>
      </w:r>
    </w:p>
    <w:p>
      <w:pPr>
        <w:pStyle w:val="BodyText"/>
        <w:spacing w:line="319" w:lineRule="auto" w:before="103"/>
        <w:ind w:right="1133" w:firstLine="360"/>
        <w:jc w:val="both"/>
      </w:pPr>
      <w:r>
        <w:rPr>
          <w:spacing w:val="-2"/>
        </w:rPr>
        <w:t>在同一会计年度内开始并完成的劳务，在完成劳务时确认收入。如劳务的开始和完成分属不同的会计年度，在提供劳务</w:t>
      </w:r>
      <w:r>
        <w:rPr/>
        <w:t> </w:t>
      </w:r>
      <w:r>
        <w:rPr>
          <w:spacing w:val="-2"/>
        </w:rPr>
        <w:t>交易的结果能够可靠估计的情况下，在资产负债表日按完工百分比法确认相关的劳务收入。在同时符合下列条件时，劳务交</w:t>
      </w:r>
      <w:r>
        <w:rPr>
          <w:spacing w:val="-66"/>
        </w:rPr>
        <w:t> </w:t>
      </w:r>
      <w:r>
        <w:rPr>
          <w:spacing w:val="-66"/>
        </w:rPr>
      </w:r>
      <w:r>
        <w:rPr/>
        <w:t>易的结果能够可靠地计量：</w:t>
      </w:r>
    </w:p>
    <w:p>
      <w:pPr>
        <w:pStyle w:val="BodyText"/>
        <w:spacing w:line="240" w:lineRule="auto" w:before="56"/>
        <w:ind w:left="474"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02"/>
        <w:ind w:left="473" w:right="0"/>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03"/>
        <w:ind w:left="473" w:right="0"/>
        <w:jc w:val="left"/>
      </w:pPr>
      <w:r>
        <w:rPr/>
        <w:t>（</w:t>
      </w:r>
      <w:r>
        <w:rPr>
          <w:rFonts w:ascii="Times New Roman" w:hAnsi="Times New Roman" w:cs="Times New Roman" w:eastAsia="Times New Roman" w:hint="default"/>
        </w:rPr>
        <w:t>3</w:t>
      </w:r>
      <w:r>
        <w:rPr/>
        <w:t>）交易的完工进度能够可靠地确定；</w:t>
      </w:r>
    </w:p>
    <w:p>
      <w:pPr>
        <w:pStyle w:val="BodyText"/>
        <w:spacing w:line="338" w:lineRule="auto" w:before="102"/>
        <w:ind w:left="474" w:right="0"/>
        <w:jc w:val="left"/>
      </w:pPr>
      <w:r>
        <w:rPr/>
        <w:t>（</w:t>
      </w:r>
      <w:r>
        <w:rPr>
          <w:rFonts w:ascii="Times New Roman" w:hAnsi="Times New Roman" w:cs="Times New Roman" w:eastAsia="Times New Roman" w:hint="default"/>
        </w:rPr>
        <w:t>4</w:t>
      </w:r>
      <w:r>
        <w:rPr/>
        <w:t>）交易中已发生和将发生的成本能够可靠地计量。 </w:t>
      </w:r>
      <w:r>
        <w:rPr>
          <w:spacing w:val="-2"/>
        </w:rPr>
        <w:t>采用完工百分比法确认提供劳务的收入，按已经发生的成本占估计总成本的比例确定提供劳务交易的完工进度。提供劳</w:t>
      </w:r>
    </w:p>
    <w:p>
      <w:pPr>
        <w:pStyle w:val="BodyText"/>
        <w:spacing w:line="319" w:lineRule="auto" w:before="2"/>
        <w:ind w:right="1132"/>
        <w:jc w:val="both"/>
      </w:pPr>
      <w:r>
        <w:rPr>
          <w:spacing w:val="-2"/>
        </w:rPr>
        <w:t>务交易的结果在资产负债表日不能够可靠估计的，若已经发生的劳务成本预计能够得到补偿，按已经发生的劳务成本金额确</w:t>
      </w:r>
      <w:r>
        <w:rPr>
          <w:spacing w:val="-64"/>
        </w:rPr>
        <w:t> </w:t>
      </w:r>
      <w:r>
        <w:rPr>
          <w:spacing w:val="-64"/>
        </w:rPr>
      </w:r>
      <w:r>
        <w:rPr>
          <w:spacing w:val="-2"/>
        </w:rPr>
        <w:t>认提供劳务收入，并按相同金额结转劳务成本；若已经发生的劳务成本预计不能够得到补偿，将已经发生的劳务成本计入当</w:t>
      </w:r>
      <w:r>
        <w:rPr>
          <w:spacing w:val="-66"/>
        </w:rPr>
        <w:t> </w:t>
      </w:r>
      <w:r>
        <w:rPr>
          <w:spacing w:val="-66"/>
        </w:rPr>
      </w:r>
      <w:r>
        <w:rPr/>
        <w:t>期损益，不确认劳务收入。</w:t>
      </w:r>
    </w:p>
    <w:p>
      <w:pPr>
        <w:pStyle w:val="Heading3"/>
        <w:spacing w:line="240" w:lineRule="auto" w:before="31"/>
        <w:ind w:left="536" w:right="0"/>
        <w:jc w:val="left"/>
        <w:rPr>
          <w:b w:val="0"/>
          <w:bCs w:val="0"/>
        </w:rPr>
      </w:pPr>
      <w:r>
        <w:rPr>
          <w:rFonts w:ascii="宋体" w:hAnsi="宋体" w:cs="宋体" w:eastAsia="宋体" w:hint="default"/>
        </w:rPr>
        <w:t>3)</w:t>
      </w:r>
      <w:r>
        <w:rPr/>
        <w:t>让渡资产使用权确认收入的原则</w:t>
      </w:r>
      <w:r>
        <w:rPr>
          <w:b w:val="0"/>
          <w:bCs w:val="0"/>
        </w:rPr>
      </w:r>
    </w:p>
    <w:p>
      <w:pPr>
        <w:pStyle w:val="BodyText"/>
        <w:spacing w:line="240" w:lineRule="auto" w:before="103"/>
        <w:ind w:left="473" w:right="0"/>
        <w:jc w:val="left"/>
      </w:pPr>
      <w:r>
        <w:rPr/>
        <w:t>（</w:t>
      </w:r>
      <w:r>
        <w:rPr>
          <w:rFonts w:ascii="Times New Roman" w:hAnsi="Times New Roman" w:cs="Times New Roman" w:eastAsia="Times New Roman" w:hint="default"/>
        </w:rPr>
        <w:t>1</w:t>
      </w:r>
      <w:r>
        <w:rPr/>
        <w:t>）在同时满足以下条件时，确认让渡资产使用权收入：</w:t>
      </w:r>
    </w:p>
    <w:p>
      <w:pPr>
        <w:pStyle w:val="BodyText"/>
        <w:spacing w:line="240" w:lineRule="auto" w:before="102"/>
        <w:ind w:left="474" w:right="0"/>
        <w:jc w:val="left"/>
      </w:pPr>
      <w:r>
        <w:rPr/>
        <w:t>①相关的经济利益很可能流入企业；</w:t>
      </w:r>
    </w:p>
    <w:p>
      <w:pPr>
        <w:pStyle w:val="BodyText"/>
        <w:spacing w:line="240" w:lineRule="auto" w:before="117"/>
        <w:ind w:left="474" w:right="0"/>
        <w:jc w:val="left"/>
      </w:pPr>
      <w:r>
        <w:rPr/>
        <w:t>②收入金额能够可靠地计量。</w:t>
      </w:r>
    </w:p>
    <w:p>
      <w:pPr>
        <w:pStyle w:val="BodyText"/>
        <w:spacing w:line="240" w:lineRule="auto" w:before="116"/>
        <w:ind w:left="474" w:right="0"/>
        <w:jc w:val="left"/>
      </w:pPr>
      <w:r>
        <w:rPr/>
        <w:t>（</w:t>
      </w:r>
      <w:r>
        <w:rPr>
          <w:rFonts w:ascii="Times New Roman" w:hAnsi="Times New Roman" w:cs="Times New Roman" w:eastAsia="Times New Roman" w:hint="default"/>
        </w:rPr>
        <w:t>2</w:t>
      </w:r>
      <w:r>
        <w:rPr/>
        <w:t>）让渡资产使用权收入确认依据</w:t>
      </w:r>
    </w:p>
    <w:p>
      <w:pPr>
        <w:pStyle w:val="BodyText"/>
        <w:spacing w:line="240" w:lineRule="auto" w:before="102"/>
        <w:ind w:left="473" w:right="0"/>
        <w:jc w:val="left"/>
      </w:pPr>
      <w:r>
        <w:rPr/>
        <w:t>①利息收入金额，按照他人使用本公司货币资金的时间和实际利率计算确定。</w:t>
      </w:r>
    </w:p>
    <w:p>
      <w:pPr>
        <w:pStyle w:val="BodyText"/>
        <w:spacing w:line="240" w:lineRule="auto" w:before="117"/>
        <w:ind w:left="473" w:right="0"/>
        <w:jc w:val="left"/>
      </w:pPr>
      <w:r>
        <w:rPr/>
        <w:t>②使用费收入金额，按照有关合同或协议约定的收费时间和方法计算确定。</w:t>
      </w:r>
    </w:p>
    <w:p>
      <w:pPr>
        <w:pStyle w:val="Heading3"/>
        <w:spacing w:line="240" w:lineRule="auto" w:before="89"/>
        <w:ind w:left="533" w:right="0"/>
        <w:jc w:val="left"/>
        <w:rPr>
          <w:b w:val="0"/>
          <w:bCs w:val="0"/>
        </w:rPr>
      </w:pPr>
      <w:r>
        <w:rPr>
          <w:rFonts w:ascii="宋体" w:hAnsi="宋体" w:cs="宋体" w:eastAsia="宋体" w:hint="default"/>
        </w:rPr>
        <w:t>4)</w:t>
      </w:r>
      <w:r>
        <w:rPr/>
        <w:t>建造合同</w:t>
      </w:r>
      <w:r>
        <w:rPr>
          <w:b w:val="0"/>
          <w:bCs w:val="0"/>
        </w:rPr>
      </w:r>
    </w:p>
    <w:p>
      <w:pPr>
        <w:pStyle w:val="BodyText"/>
        <w:spacing w:line="309" w:lineRule="auto" w:before="103"/>
        <w:ind w:right="1132" w:firstLine="360"/>
        <w:jc w:val="both"/>
      </w:pPr>
      <w:r>
        <w:rPr/>
        <w:t>（</w:t>
      </w:r>
      <w:r>
        <w:rPr>
          <w:rFonts w:ascii="Times New Roman" w:hAnsi="Times New Roman" w:cs="Times New Roman" w:eastAsia="Times New Roman" w:hint="default"/>
        </w:rPr>
        <w:t>1</w:t>
      </w:r>
      <w:r>
        <w:rPr/>
        <w:t>）建造合同的结果在资产负债表日能够可靠估计的，根据完工百分比法确认合同收入和合同费用。建造合同的结果 </w:t>
      </w:r>
      <w:r>
        <w:rPr>
          <w:spacing w:val="-2"/>
        </w:rPr>
        <w:t>在资产负债表日不能够可靠估计的，若合同成本能够收回的，合同收入根据能够收回的实际合同成本予以确认，合同成本在</w:t>
      </w:r>
      <w:r>
        <w:rPr>
          <w:spacing w:val="-66"/>
        </w:rPr>
        <w:t> </w:t>
      </w:r>
      <w:r>
        <w:rPr>
          <w:spacing w:val="-66"/>
        </w:rPr>
      </w:r>
      <w:r>
        <w:rPr/>
        <w:t>其发生的当期确认为合同费用；若合同成本不可能收回的，在发生时立即确认为合同费用，不确认合同收入。</w:t>
      </w:r>
    </w:p>
    <w:p>
      <w:pPr>
        <w:pStyle w:val="BodyText"/>
        <w:spacing w:line="312" w:lineRule="auto" w:before="64"/>
        <w:ind w:right="0" w:firstLine="360"/>
        <w:jc w:val="left"/>
      </w:pPr>
      <w:r>
        <w:rPr/>
        <w:t>（</w:t>
      </w:r>
      <w:r>
        <w:rPr>
          <w:rFonts w:ascii="Times New Roman" w:hAnsi="Times New Roman" w:cs="Times New Roman" w:eastAsia="Times New Roman" w:hint="default"/>
        </w:rPr>
        <w:t>2</w:t>
      </w:r>
      <w:r>
        <w:rPr/>
        <w:t>）</w:t>
      </w:r>
      <w:r>
        <w:rPr>
          <w:spacing w:val="-50"/>
        </w:rPr>
        <w:t> </w:t>
      </w:r>
      <w:r>
        <w:rPr/>
        <w:t>固定造价合同同时满足下列条件表明其结果能够可靠估计：合同总收入能够可靠计量、与合同相关的经济利益很</w:t>
      </w:r>
      <w:r>
        <w:rPr/>
        <w:t> </w:t>
      </w:r>
      <w:r>
        <w:rPr>
          <w:spacing w:val="-4"/>
        </w:rPr>
        <w:t>可能流入、实际发生的合同成本能够清楚地区分和可靠地计量、合同完工进度和为完成合同尚需发生的成本能够可靠地计量。</w:t>
      </w:r>
      <w:r>
        <w:rPr>
          <w:spacing w:val="-44"/>
        </w:rPr>
        <w:t> </w:t>
      </w:r>
      <w:r>
        <w:rPr>
          <w:spacing w:val="-44"/>
        </w:rPr>
      </w:r>
      <w:r>
        <w:rPr>
          <w:spacing w:val="-2"/>
        </w:rPr>
        <w:t>成本加成合同同时满足下列条件表明其结果能够可靠估计：与合同相关的经济利益很可能流入、实际发生的合同成本能够清</w:t>
      </w:r>
      <w:r>
        <w:rPr>
          <w:spacing w:val="-64"/>
        </w:rPr>
        <w:t> </w:t>
      </w:r>
      <w:r>
        <w:rPr>
          <w:spacing w:val="-64"/>
        </w:rPr>
      </w:r>
      <w:r>
        <w:rPr/>
        <w:t>楚地区分和可靠地计量。</w:t>
      </w:r>
    </w:p>
    <w:p>
      <w:pPr>
        <w:pStyle w:val="BodyText"/>
        <w:spacing w:line="240" w:lineRule="auto" w:before="62"/>
        <w:ind w:left="474" w:right="0"/>
        <w:jc w:val="left"/>
      </w:pPr>
      <w:r>
        <w:rPr/>
        <w:t>（</w:t>
      </w:r>
      <w:r>
        <w:rPr>
          <w:rFonts w:ascii="Times New Roman" w:hAnsi="Times New Roman" w:cs="Times New Roman" w:eastAsia="Times New Roman" w:hint="default"/>
        </w:rPr>
        <w:t>3</w:t>
      </w:r>
      <w:r>
        <w:rPr/>
        <w:t>）确定合同完工进度的方法为累计实际发生的合同成本占合同预计总成本的比例。</w:t>
      </w:r>
    </w:p>
    <w:p>
      <w:pPr>
        <w:pStyle w:val="BodyText"/>
        <w:spacing w:line="302" w:lineRule="auto" w:before="101"/>
        <w:ind w:right="1122" w:firstLine="360"/>
        <w:jc w:val="left"/>
      </w:pPr>
      <w:r>
        <w:rPr/>
        <w:t>（</w:t>
      </w:r>
      <w:r>
        <w:rPr>
          <w:rFonts w:ascii="Times New Roman" w:hAnsi="Times New Roman" w:cs="Times New Roman" w:eastAsia="Times New Roman" w:hint="default"/>
        </w:rPr>
        <w:t>4</w:t>
      </w:r>
      <w:r>
        <w:rPr/>
        <w:t>）资产负债表日，合同预计总成本超过合同总收入的，将预计损失确认为当期费用。执行中的建造合同，按其差额 计提存货跌价准备；待执行的亏损合同，按其差额确认预计负债。</w:t>
      </w:r>
    </w:p>
    <w:p>
      <w:pPr>
        <w:pStyle w:val="Heading3"/>
        <w:spacing w:line="240" w:lineRule="auto" w:before="44"/>
        <w:ind w:left="534" w:right="0"/>
        <w:jc w:val="left"/>
        <w:rPr>
          <w:b w:val="0"/>
          <w:bCs w:val="0"/>
        </w:rPr>
      </w:pPr>
      <w:r>
        <w:rPr>
          <w:rFonts w:ascii="宋体" w:hAnsi="宋体" w:cs="宋体" w:eastAsia="宋体" w:hint="default"/>
        </w:rPr>
        <w:t>5)</w:t>
      </w:r>
      <w:r>
        <w:rPr>
          <w:rFonts w:ascii="宋体" w:hAnsi="宋体" w:cs="宋体" w:eastAsia="宋体" w:hint="default"/>
          <w:spacing w:val="-3"/>
        </w:rPr>
        <w:t> </w:t>
      </w:r>
      <w:r>
        <w:rPr/>
        <w:t>收入确认的具体方法</w:t>
      </w:r>
      <w:r>
        <w:rPr>
          <w:b w:val="0"/>
          <w:bCs w:val="0"/>
        </w:rPr>
      </w:r>
    </w:p>
    <w:p>
      <w:pPr>
        <w:pStyle w:val="BodyText"/>
        <w:spacing w:line="240" w:lineRule="auto" w:before="103"/>
        <w:ind w:left="474" w:right="0"/>
        <w:jc w:val="left"/>
      </w:pPr>
      <w:r>
        <w:rPr/>
        <w:t>公司产品收入按照协议或合同将产品交付客户，客户按合同或协议约定确认收货，产品价格经双方确认，公司开具销售</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发票后，确认收入的实现。</w:t>
      </w:r>
    </w:p>
    <w:p>
      <w:pPr>
        <w:pStyle w:val="BodyText"/>
        <w:spacing w:line="302" w:lineRule="auto" w:before="115"/>
        <w:ind w:right="1141" w:firstLine="360"/>
        <w:jc w:val="both"/>
      </w:pPr>
      <w:r>
        <w:rPr/>
        <w:t>（</w:t>
      </w:r>
      <w:r>
        <w:rPr>
          <w:rFonts w:ascii="Times New Roman" w:hAnsi="Times New Roman" w:cs="Times New Roman" w:eastAsia="Times New Roman" w:hint="default"/>
        </w:rPr>
        <w:t>1</w:t>
      </w:r>
      <w:r>
        <w:rPr/>
        <w:t>）内销铝盖、塑料盖、铝塑结合盖等包装产品按照协议或合同将产品交付客户，客户按合同或协议约定确认收货， 产品价格经双方确认，公司开具销售发票后，确认收入的实现。</w:t>
      </w:r>
    </w:p>
    <w:p>
      <w:pPr>
        <w:pStyle w:val="BodyText"/>
        <w:spacing w:line="240" w:lineRule="auto" w:before="70"/>
        <w:ind w:left="474" w:right="0"/>
        <w:jc w:val="left"/>
      </w:pPr>
      <w:r>
        <w:rPr/>
        <w:t>（</w:t>
      </w:r>
      <w:r>
        <w:rPr>
          <w:rFonts w:ascii="Times New Roman" w:hAnsi="Times New Roman" w:cs="Times New Roman" w:eastAsia="Times New Roman" w:hint="default"/>
        </w:rPr>
        <w:t>2</w:t>
      </w:r>
      <w:r>
        <w:rPr/>
        <w:t>）外销铝盖、塑料盖、铝塑结合盖等包装产品报关出口完成，确认收入实现。</w:t>
      </w:r>
    </w:p>
    <w:p>
      <w:pPr>
        <w:pStyle w:val="BodyText"/>
        <w:spacing w:line="302" w:lineRule="auto" w:before="101"/>
        <w:ind w:right="1141" w:firstLine="360"/>
        <w:jc w:val="both"/>
      </w:pPr>
      <w:r>
        <w:rPr/>
        <w:t>（</w:t>
      </w:r>
      <w:r>
        <w:rPr>
          <w:rFonts w:ascii="Times New Roman" w:hAnsi="Times New Roman" w:cs="Times New Roman" w:eastAsia="Times New Roman" w:hint="default"/>
        </w:rPr>
        <w:t>3</w:t>
      </w:r>
      <w:r>
        <w:rPr/>
        <w:t>）园林建造施工收入按照完工百分比法确认合同收入和合同费用，完工百分比为累计发生的实际合同成本占合同预 计总成本的比例。</w:t>
      </w:r>
    </w:p>
    <w:p>
      <w:pPr>
        <w:pStyle w:val="BodyText"/>
        <w:spacing w:line="302" w:lineRule="auto" w:before="68"/>
        <w:ind w:right="1132" w:firstLine="360"/>
        <w:jc w:val="both"/>
      </w:pPr>
      <w:r>
        <w:rPr/>
        <w:t>（</w:t>
      </w:r>
      <w:r>
        <w:rPr>
          <w:rFonts w:ascii="Times New Roman" w:hAnsi="Times New Roman" w:cs="Times New Roman" w:eastAsia="Times New Roman" w:hint="default"/>
        </w:rPr>
        <w:t>4</w:t>
      </w:r>
      <w:r>
        <w:rPr/>
        <w:t>）</w:t>
      </w:r>
      <w:r>
        <w:rPr>
          <w:spacing w:val="9"/>
        </w:rPr>
        <w:t> </w:t>
      </w:r>
      <w:r>
        <w:rPr>
          <w:spacing w:val="-2"/>
        </w:rPr>
        <w:t>销售苗木收入确认时点为苗木销售合同或订单已经签订，按合约苗木已经销售出库，购货方确定收到苗木并无退</w:t>
      </w:r>
      <w:r>
        <w:rPr/>
        <w:t> 货风险。</w:t>
      </w:r>
    </w:p>
    <w:p>
      <w:pPr>
        <w:pStyle w:val="BodyText"/>
        <w:spacing w:line="302" w:lineRule="auto" w:before="69"/>
        <w:ind w:right="1141" w:firstLine="360"/>
        <w:jc w:val="both"/>
      </w:pPr>
      <w:r>
        <w:rPr/>
        <w:t>（</w:t>
      </w:r>
      <w:r>
        <w:rPr>
          <w:rFonts w:ascii="Times New Roman" w:hAnsi="Times New Roman" w:cs="Times New Roman" w:eastAsia="Times New Roman" w:hint="default"/>
        </w:rPr>
        <w:t>5</w:t>
      </w:r>
      <w:r>
        <w:rPr/>
        <w:t>）设计收入根据设计合同约定完工进度及应收设计进度款确认，设计收入确认时点为公司根据设计合同提供给客户 设计方案或图纸等资料时确认。</w:t>
      </w:r>
    </w:p>
    <w:p>
      <w:pPr>
        <w:pStyle w:val="BodyText"/>
        <w:spacing w:line="302" w:lineRule="auto" w:before="68"/>
        <w:ind w:right="1139" w:firstLine="360"/>
        <w:jc w:val="both"/>
      </w:pPr>
      <w:r>
        <w:rPr/>
        <w:t>（</w:t>
      </w:r>
      <w:r>
        <w:rPr>
          <w:rFonts w:ascii="Times New Roman" w:hAnsi="Times New Roman" w:cs="Times New Roman" w:eastAsia="Times New Roman" w:hint="default"/>
        </w:rPr>
        <w:t>6</w:t>
      </w:r>
      <w:r>
        <w:rPr/>
        <w:t>）养护收入以提供绿化养护劳务的结果是否可靠估计为标准分情况确认收入，根据提供绿化养护的工作量和合同约 定的价格确认。</w:t>
      </w:r>
    </w:p>
    <w:p>
      <w:pPr>
        <w:pStyle w:val="BodyText"/>
        <w:spacing w:line="240" w:lineRule="auto" w:before="69"/>
        <w:ind w:left="473" w:right="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BT</w:t>
      </w:r>
      <w:r>
        <w:rPr>
          <w:rFonts w:ascii="Times New Roman" w:hAnsi="Times New Roman" w:cs="Times New Roman" w:eastAsia="Times New Roman" w:hint="default"/>
          <w:spacing w:val="-2"/>
        </w:rPr>
        <w:t> </w:t>
      </w:r>
      <w:r>
        <w:rPr/>
        <w:t>项目核算方法</w:t>
      </w:r>
    </w:p>
    <w:p>
      <w:pPr>
        <w:pStyle w:val="BodyText"/>
        <w:spacing w:line="302" w:lineRule="auto" w:before="102"/>
        <w:ind w:left="113" w:right="1041" w:firstLine="360"/>
        <w:jc w:val="both"/>
      </w:pPr>
      <w:r>
        <w:rPr/>
        <w:t>以</w:t>
      </w:r>
      <w:r>
        <w:rPr>
          <w:spacing w:val="-47"/>
        </w:rPr>
        <w:t> </w:t>
      </w:r>
      <w:r>
        <w:rPr>
          <w:rFonts w:ascii="Times New Roman" w:hAnsi="Times New Roman" w:cs="Times New Roman" w:eastAsia="Times New Roman" w:hint="default"/>
        </w:rPr>
        <w:t>BT</w:t>
      </w:r>
      <w:r>
        <w:rPr/>
        <w:t>（建造一移交）方式建设公共基础设施，即政府或代理公司与本公司签订工程投资建设回购协议，并授权本公司 </w:t>
      </w:r>
      <w:r>
        <w:rPr>
          <w:spacing w:val="-7"/>
        </w:rPr>
        <w:t>代理其实施投融资职能进行工程建设，工程完工后移交政府，政府根据协议在约定的期限内支付回购资金（包括投资补偿等）。</w:t>
      </w:r>
    </w:p>
    <w:p>
      <w:pPr>
        <w:pStyle w:val="BodyText"/>
        <w:spacing w:line="300" w:lineRule="auto" w:before="68"/>
        <w:ind w:right="1130" w:firstLine="360"/>
        <w:jc w:val="both"/>
      </w:pPr>
      <w:r>
        <w:rPr/>
        <w:t>具体核算时，本公司对同时提供建造服务的</w:t>
      </w:r>
      <w:r>
        <w:rPr>
          <w:spacing w:val="-66"/>
        </w:rPr>
        <w:t> </w:t>
      </w:r>
      <w:r>
        <w:rPr>
          <w:rFonts w:ascii="Times New Roman" w:hAnsi="Times New Roman" w:cs="Times New Roman" w:eastAsia="Times New Roman" w:hint="default"/>
        </w:rPr>
        <w:t>BT</w:t>
      </w:r>
      <w:r>
        <w:rPr>
          <w:rFonts w:ascii="Times New Roman" w:hAnsi="Times New Roman" w:cs="Times New Roman" w:eastAsia="Times New Roman" w:hint="default"/>
          <w:spacing w:val="-22"/>
        </w:rPr>
        <w:t> </w:t>
      </w:r>
      <w:r>
        <w:rPr/>
        <w:t>项目，建造期间发生的项目成本在“长期应收款”中归集，并按《企业 会计准则第</w:t>
      </w:r>
      <w:r>
        <w:rPr>
          <w:spacing w:val="-46"/>
        </w:rPr>
        <w:t> </w:t>
      </w:r>
      <w:r>
        <w:rPr>
          <w:rFonts w:ascii="Times New Roman" w:hAnsi="Times New Roman" w:cs="Times New Roman" w:eastAsia="Times New Roman" w:hint="default"/>
        </w:rPr>
        <w:t>15 </w:t>
      </w:r>
      <w:r>
        <w:rPr>
          <w:spacing w:val="-3"/>
        </w:rPr>
        <w:t>号——建造合同》确认于建造相关的收入和成本。长期应收款—</w:t>
      </w:r>
      <w:r>
        <w:rPr>
          <w:rFonts w:ascii="Times New Roman" w:hAnsi="Times New Roman" w:cs="Times New Roman" w:eastAsia="Times New Roman" w:hint="default"/>
          <w:spacing w:val="-3"/>
        </w:rPr>
        <w:t>BT</w:t>
      </w:r>
      <w:r>
        <w:rPr>
          <w:rFonts w:ascii="Times New Roman" w:hAnsi="Times New Roman" w:cs="Times New Roman" w:eastAsia="Times New Roman" w:hint="default"/>
          <w:spacing w:val="-1"/>
        </w:rPr>
        <w:t> </w:t>
      </w:r>
      <w:r>
        <w:rPr/>
        <w:t>项目按以实际利率法计算的摊余成本进行 后续计量，实际利率根据合同约定收取的回购款项（含融资财务费用、投资补偿）在未来现金流量折现利率确认。</w:t>
      </w:r>
    </w:p>
    <w:p>
      <w:pPr>
        <w:pStyle w:val="BodyText"/>
        <w:spacing w:line="338" w:lineRule="auto" w:before="71"/>
        <w:ind w:left="474" w:right="0"/>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BOT</w:t>
      </w:r>
      <w:r>
        <w:rPr>
          <w:rFonts w:ascii="Times New Roman" w:hAnsi="Times New Roman" w:cs="Times New Roman" w:eastAsia="Times New Roman" w:hint="default"/>
          <w:spacing w:val="-1"/>
        </w:rPr>
        <w:t> </w:t>
      </w:r>
      <w:r>
        <w:rPr/>
        <w:t>项目核算方法 </w:t>
      </w:r>
      <w:r>
        <w:rPr>
          <w:spacing w:val="-2"/>
        </w:rPr>
        <w:t>建造期间，公司对于所提供的建造服务根据完工百分比法确认相关的收入和费用。基础设施建成后，作为无形资产，在</w:t>
      </w:r>
    </w:p>
    <w:p>
      <w:pPr>
        <w:pStyle w:val="BodyText"/>
        <w:spacing w:line="240" w:lineRule="auto" w:before="4"/>
        <w:ind w:right="0"/>
        <w:jc w:val="left"/>
      </w:pPr>
      <w:r>
        <w:rPr/>
        <w:t>合同规定的营运期以直线法摊销。</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政府补助" w:id="204"/>
      <w:bookmarkEnd w:id="20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05"/>
      <w:bookmarkEnd w:id="205"/>
      <w:r>
        <w:rPr>
          <w:b w:val="0"/>
          <w:bCs w:val="0"/>
        </w:rPr>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473" w:right="0"/>
        <w:jc w:val="left"/>
      </w:pPr>
      <w:r>
        <w:rPr/>
        <w:t>企业取得的政府补助，用于补助长期资产购置、建造等直接相关支出，为与资产相关的政府补助。 </w:t>
      </w:r>
      <w:r>
        <w:rPr>
          <w:spacing w:val="-2"/>
        </w:rPr>
        <w:t>与资产相关的政府补助，确认为递延收益，并在相关资产使用寿命内平均分配，计入当期损益；按照名义金额计量的政</w:t>
      </w:r>
    </w:p>
    <w:p>
      <w:pPr>
        <w:pStyle w:val="BodyText"/>
        <w:spacing w:line="357" w:lineRule="auto"/>
        <w:ind w:left="473" w:right="0" w:hanging="360"/>
        <w:jc w:val="left"/>
      </w:pPr>
      <w:r>
        <w:rPr/>
        <w:t>府补助，直接计入当期损益。 </w:t>
      </w:r>
      <w:r>
        <w:rPr>
          <w:spacing w:val="-4"/>
        </w:rPr>
        <w:t>公司取得与资产相关的政府补助，确认为递延收益，递延收益自相关资产可供使用时起，在该资产使用寿命内平均分配，</w:t>
      </w:r>
    </w:p>
    <w:p>
      <w:pPr>
        <w:pStyle w:val="BodyText"/>
        <w:spacing w:line="224" w:lineRule="exact"/>
        <w:ind w:left="113" w:right="0"/>
        <w:jc w:val="left"/>
      </w:pPr>
      <w:r>
        <w:rPr/>
        <w:t>分次计入以后各期的损益（营业外收入）。递延收益摊销期限的起点是“相关资产可供使用时”，摊销的终点是“资产使用</w:t>
      </w:r>
    </w:p>
    <w:p>
      <w:pPr>
        <w:pStyle w:val="BodyText"/>
        <w:spacing w:line="319" w:lineRule="auto" w:before="76"/>
        <w:ind w:left="113" w:right="0"/>
        <w:jc w:val="left"/>
      </w:pPr>
      <w:r>
        <w:rPr>
          <w:spacing w:val="-2"/>
        </w:rPr>
        <w:t>寿命结束或资产被处置时（孰早）”，相关资产在使用寿命结束时或结束前被处置（出售、转让、报废）的，尚未分摊的递</w:t>
      </w:r>
      <w:r>
        <w:rPr>
          <w:spacing w:val="-69"/>
        </w:rPr>
        <w:t> </w:t>
      </w:r>
      <w:r>
        <w:rPr>
          <w:spacing w:val="-69"/>
        </w:rPr>
      </w:r>
      <w:r>
        <w:rPr/>
        <w:t>延收益余额一次性转入资产处置当期的收益，不再递延。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left="113" w:right="0"/>
        <w:jc w:val="left"/>
        <w:rPr>
          <w:b w:val="0"/>
          <w:bCs w:val="0"/>
        </w:rPr>
      </w:pPr>
      <w:bookmarkStart w:name="2）与收益相关的政府补助判断依据及会计处理方法" w:id="206"/>
      <w:bookmarkEnd w:id="206"/>
      <w:r>
        <w:rPr>
          <w:b w:val="0"/>
          <w:bCs w:val="0"/>
        </w:rPr>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73" w:right="0"/>
        <w:jc w:val="left"/>
      </w:pPr>
      <w:r>
        <w:rPr/>
        <w:t>企业取得的政府补助，用于补助补偿的期间费用或损失的，为与收益相关的政府补助。 </w:t>
      </w:r>
      <w:r>
        <w:rPr>
          <w:spacing w:val="-2"/>
        </w:rPr>
        <w:t>与收益相关的政府补助，分别下列情况处理：①用于补偿企业以后期间的相关费用或损失的，确认为递延收益，并在确</w:t>
      </w:r>
    </w:p>
    <w:p>
      <w:pPr>
        <w:pStyle w:val="BodyText"/>
        <w:spacing w:line="357" w:lineRule="auto"/>
        <w:ind w:left="473" w:right="0" w:hanging="360"/>
        <w:jc w:val="left"/>
      </w:pPr>
      <w:r>
        <w:rPr/>
        <w:t>认相关费用的期间，计入当期损益；②用于补偿企业已发生的相关费用或损失的，直接计入当期损益。 </w:t>
      </w:r>
      <w:r>
        <w:rPr>
          <w:spacing w:val="-2"/>
        </w:rPr>
        <w:t>公司取得与收益相关的政府补助，用于补偿公司以后期间的相关费用或损失的，取得时确认为递延收益，在确认相关费</w:t>
      </w:r>
    </w:p>
    <w:p>
      <w:pPr>
        <w:pStyle w:val="BodyText"/>
        <w:spacing w:line="225" w:lineRule="exact"/>
        <w:ind w:left="113" w:right="0"/>
        <w:jc w:val="left"/>
      </w:pPr>
      <w:r>
        <w:rPr>
          <w:spacing w:val="-4"/>
        </w:rPr>
        <w:t>用的期间计入当期损益（营业外收入）。用于补偿企业已发生的相关费用或损失的，取得时直接计入当期损益（营业外收入）</w:t>
      </w:r>
    </w:p>
    <w:p>
      <w:pPr>
        <w:spacing w:after="0" w:line="225" w:lineRule="exact"/>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1132" w:firstLine="360"/>
        <w:jc w:val="both"/>
      </w:pPr>
      <w:r>
        <w:rPr>
          <w:rFonts w:ascii="Times New Roman" w:hAnsi="Times New Roman" w:cs="Times New Roman" w:eastAsia="Times New Roman" w:hint="default"/>
          <w:spacing w:val="-1"/>
        </w:rPr>
        <w:t>1)</w:t>
      </w:r>
      <w:r>
        <w:rPr>
          <w:spacing w:val="-1"/>
        </w:rPr>
        <w:t>公司根据资产、负债的账面价值与其计税基础之间的差额（未作为资产和负债确认的项目按照税法规定可以确定其计</w:t>
      </w:r>
      <w:r>
        <w:rPr/>
        <w:t> </w:t>
      </w:r>
      <w:r>
        <w:rPr>
          <w:spacing w:val="-2"/>
        </w:rPr>
        <w:t>税基础的，该计税基础与其账面数之间的差额），按照预期收回该资产或清偿该负债期间的适用税率计算确认递延所得税资</w:t>
      </w:r>
      <w:r>
        <w:rPr>
          <w:spacing w:val="-66"/>
        </w:rPr>
        <w:t> </w:t>
      </w:r>
      <w:r>
        <w:rPr>
          <w:spacing w:val="-66"/>
        </w:rPr>
      </w:r>
      <w:r>
        <w:rPr/>
        <w:t>产或递延所得税负债。</w:t>
      </w:r>
    </w:p>
    <w:p>
      <w:pPr>
        <w:pStyle w:val="BodyText"/>
        <w:spacing w:line="302" w:lineRule="auto" w:before="62"/>
        <w:ind w:right="1115" w:firstLine="360"/>
        <w:jc w:val="left"/>
      </w:pPr>
      <w:r>
        <w:rPr>
          <w:rFonts w:ascii="Times New Roman" w:hAnsi="Times New Roman" w:cs="Times New Roman" w:eastAsia="Times New Roman" w:hint="default"/>
          <w:spacing w:val="-1"/>
        </w:rPr>
        <w:t>2)</w:t>
      </w:r>
      <w:r>
        <w:rPr>
          <w:spacing w:val="-1"/>
        </w:rPr>
        <w:t>确认递延所得税资产以很可能取得用来抵扣可抵扣暂时性差异的应纳税所得额为限。资产负债表日，有确凿证据表明</w:t>
      </w:r>
      <w:r>
        <w:rPr/>
        <w:t> 未来期间很可能获得足够的应纳税所得额用来抵扣可抵扣暂时性差异的，确认以前会计期间未确认的递延所得税资产。</w:t>
      </w:r>
    </w:p>
    <w:p>
      <w:pPr>
        <w:pStyle w:val="BodyText"/>
        <w:spacing w:line="309" w:lineRule="auto" w:before="69"/>
        <w:ind w:left="113" w:right="0" w:firstLine="360"/>
        <w:jc w:val="left"/>
      </w:pPr>
      <w:r>
        <w:rPr>
          <w:rFonts w:ascii="Times New Roman" w:hAnsi="Times New Roman" w:cs="Times New Roman" w:eastAsia="Times New Roman" w:hint="default"/>
        </w:rPr>
        <w:t>3)</w:t>
      </w:r>
      <w:r>
        <w:rPr/>
        <w:t>资产负债表日，对已确认的递延所得税资产账面价值进行复核，如果未来期间很可能无法获得足够的应纳税所得额用 </w:t>
      </w:r>
      <w:r>
        <w:rPr>
          <w:spacing w:val="-4"/>
        </w:rPr>
        <w:t>以抵扣递延所得税资产时，则减记递延所得税资产的账面价值。在很可能获得足够的应纳税所得额时，减记的金额予以转回。</w:t>
      </w:r>
      <w:r>
        <w:rPr>
          <w:spacing w:val="-44"/>
        </w:rPr>
        <w:t> </w:t>
      </w:r>
      <w:r>
        <w:rPr>
          <w:spacing w:val="-44"/>
        </w:rPr>
      </w:r>
      <w:r>
        <w:rPr/>
        <w:t>公司未来期间很可能获得足够的应纳税所得额的金额是依据管理层批准的经营计划（或盈利预测）确定。</w:t>
      </w:r>
    </w:p>
    <w:p>
      <w:pPr>
        <w:pStyle w:val="BodyText"/>
        <w:spacing w:line="240" w:lineRule="auto" w:before="64"/>
        <w:ind w:left="473" w:right="0"/>
        <w:jc w:val="left"/>
      </w:pPr>
      <w:r>
        <w:rPr>
          <w:rFonts w:ascii="Times New Roman" w:hAnsi="Times New Roman" w:cs="Times New Roman" w:eastAsia="Times New Roman" w:hint="default"/>
        </w:rPr>
        <w:t>4)</w:t>
      </w:r>
      <w:r>
        <w:rPr/>
        <w:t>公司当期所得税和递延所得税作为所得税费用或收益计入当期损益，但不包括下列情况产生的所得税：</w:t>
      </w:r>
    </w:p>
    <w:p>
      <w:pPr>
        <w:pStyle w:val="BodyText"/>
        <w:spacing w:line="240" w:lineRule="auto" w:before="102"/>
        <w:ind w:left="473" w:right="0"/>
        <w:jc w:val="left"/>
      </w:pPr>
      <w:r>
        <w:rPr/>
        <w:t>（</w:t>
      </w:r>
      <w:r>
        <w:rPr>
          <w:rFonts w:ascii="Times New Roman" w:hAnsi="Times New Roman" w:cs="Times New Roman" w:eastAsia="Times New Roman" w:hint="default"/>
        </w:rPr>
        <w:t>1</w:t>
      </w:r>
      <w:r>
        <w:rPr/>
        <w:t>）企业合并；</w:t>
      </w:r>
    </w:p>
    <w:p>
      <w:pPr>
        <w:pStyle w:val="BodyText"/>
        <w:spacing w:line="240" w:lineRule="auto" w:before="103"/>
        <w:ind w:left="474" w:right="0"/>
        <w:jc w:val="left"/>
      </w:pPr>
      <w:r>
        <w:rPr/>
        <w:t>（</w:t>
      </w:r>
      <w:r>
        <w:rPr>
          <w:rFonts w:ascii="Times New Roman" w:hAnsi="Times New Roman" w:cs="Times New Roman" w:eastAsia="Times New Roman" w:hint="default"/>
        </w:rPr>
        <w:t>2</w:t>
      </w:r>
      <w:r>
        <w:rPr/>
        <w:t>）直接在所有者权益中确认的交易或者事项。</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09"/>
      <w:bookmarkEnd w:id="209"/>
      <w:r>
        <w:rPr>
          <w:b w:val="0"/>
          <w:bCs w:val="0"/>
        </w:rPr>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22" w:firstLine="360"/>
        <w:jc w:val="left"/>
      </w:pPr>
      <w:r>
        <w:rPr/>
        <w:t>（</w:t>
      </w:r>
      <w:r>
        <w:rPr>
          <w:rFonts w:ascii="Times New Roman" w:hAnsi="Times New Roman" w:cs="Times New Roman" w:eastAsia="Times New Roman" w:hint="default"/>
        </w:rPr>
        <w:t>1</w:t>
      </w:r>
      <w:r>
        <w:rPr/>
        <w:t>）对于经营租赁的租金，承租人（公司）在租赁期内各个期间按照直线法确认为当期损益；其他方法更为系统合理 的，可以采用其他方法。</w:t>
      </w:r>
    </w:p>
    <w:p>
      <w:pPr>
        <w:pStyle w:val="BodyText"/>
        <w:spacing w:line="240" w:lineRule="auto" w:before="69"/>
        <w:ind w:left="474" w:right="0"/>
        <w:jc w:val="left"/>
      </w:pPr>
      <w:r>
        <w:rPr/>
        <w:t>承租人（公司）发生的初始直接费用，计入当期损益。或有租金在实际发生时计入当期损益。</w:t>
      </w:r>
    </w:p>
    <w:p>
      <w:pPr>
        <w:pStyle w:val="BodyText"/>
        <w:spacing w:line="302" w:lineRule="auto" w:before="116"/>
        <w:ind w:right="1122" w:firstLine="360"/>
        <w:jc w:val="left"/>
      </w:pPr>
      <w:r>
        <w:rPr/>
        <w:t>（</w:t>
      </w:r>
      <w:r>
        <w:rPr>
          <w:rFonts w:ascii="Times New Roman" w:hAnsi="Times New Roman" w:cs="Times New Roman" w:eastAsia="Times New Roman" w:hint="default"/>
        </w:rPr>
        <w:t>2</w:t>
      </w:r>
      <w:r>
        <w:rPr/>
        <w:t>）对于经营租赁的租金，出租人（公司）在租赁期内各个期间按照直线法确认为当期损益；其他方法更为系统合理 的，可以采用其他方法。</w:t>
      </w:r>
    </w:p>
    <w:p>
      <w:pPr>
        <w:pStyle w:val="BodyText"/>
        <w:spacing w:line="357" w:lineRule="auto" w:before="69"/>
        <w:ind w:left="474" w:right="0"/>
        <w:jc w:val="left"/>
      </w:pPr>
      <w:r>
        <w:rPr/>
        <w:t>出租人（公司）发生的初始直接费用，计入当期损益。 </w:t>
      </w:r>
      <w:r>
        <w:rPr>
          <w:spacing w:val="-2"/>
        </w:rPr>
        <w:t>对于经营租赁资产中的固定资产，出租人（公司）采用类似资产的折旧政策计提折旧；对于其它经营租赁资产，采用系</w:t>
      </w:r>
    </w:p>
    <w:p>
      <w:pPr>
        <w:pStyle w:val="BodyText"/>
        <w:spacing w:line="360" w:lineRule="auto"/>
        <w:ind w:left="474" w:right="6072" w:hanging="360"/>
        <w:jc w:val="left"/>
      </w:pPr>
      <w:r>
        <w:rPr/>
        <w:t>统合理的方法进行摊销。 出租人（公司）或有租金在实际发生时计入当期损益。</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融资租赁的会计处理方法" w:id="210"/>
      <w:bookmarkEnd w:id="210"/>
      <w:r>
        <w:rPr>
          <w:b w:val="0"/>
          <w:bCs w:val="0"/>
        </w:rPr>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13" w:right="1123" w:firstLine="360"/>
        <w:jc w:val="left"/>
      </w:pPr>
      <w:r>
        <w:rPr/>
        <w:t>（</w:t>
      </w:r>
      <w:r>
        <w:rPr>
          <w:rFonts w:ascii="Times New Roman" w:hAnsi="Times New Roman" w:cs="Times New Roman" w:eastAsia="Times New Roman" w:hint="default"/>
        </w:rPr>
        <w:t>1</w:t>
      </w:r>
      <w:r>
        <w:rPr/>
        <w:t>）在租赁期开始日，承租人（公司）将租赁开始日租赁资产公允价值与最低租赁付款额现值两者中较低者作为租入 资产的入账价值，将最低租赁付款额作为长期应付款的入账价值，其差额作为未确认融资费用。</w:t>
      </w:r>
    </w:p>
    <w:p>
      <w:pPr>
        <w:pStyle w:val="BodyText"/>
        <w:spacing w:line="309" w:lineRule="auto" w:before="68"/>
        <w:ind w:right="1133" w:firstLine="360"/>
        <w:jc w:val="both"/>
      </w:pPr>
      <w:r>
        <w:rPr/>
        <w:t>（</w:t>
      </w:r>
      <w:r>
        <w:rPr>
          <w:rFonts w:ascii="Times New Roman" w:hAnsi="Times New Roman" w:cs="Times New Roman" w:eastAsia="Times New Roman" w:hint="default"/>
        </w:rPr>
        <w:t>2</w:t>
      </w:r>
      <w:r>
        <w:rPr/>
        <w:t>）在租赁期开始日，出租人（公司）将租赁开始日最低租赁收款额与初始直接费用之和作为应收融资租赁款的入账 </w:t>
      </w:r>
      <w:r>
        <w:rPr>
          <w:spacing w:val="-2"/>
        </w:rPr>
        <w:t>价值，同时记录未担保余值；将最低租赁收款额、初始直接费用及未担保余值之和与其现值之和的差额确认为未实现融资收</w:t>
      </w:r>
      <w:r>
        <w:rPr>
          <w:spacing w:val="-66"/>
        </w:rPr>
        <w:t> </w:t>
      </w:r>
      <w:r>
        <w:rPr>
          <w:spacing w:val="-66"/>
        </w:rPr>
      </w:r>
      <w:r>
        <w:rPr/>
        <w:t>益。</w:t>
      </w:r>
    </w:p>
    <w:p>
      <w:pPr>
        <w:pStyle w:val="BodyText"/>
        <w:spacing w:line="319" w:lineRule="auto" w:before="62"/>
        <w:ind w:right="0" w:firstLine="360"/>
        <w:jc w:val="left"/>
      </w:pPr>
      <w:r>
        <w:rPr>
          <w:spacing w:val="-2"/>
        </w:rPr>
        <w:t>融资租入的固定资产按同类固定资产的折旧政策采用直线法计提折旧。对能够合理确定租赁期届满时取得租入资产所有</w:t>
      </w:r>
      <w:r>
        <w:rPr/>
        <w:t> 权的租入资产在使用寿命内计提折旧。否则，租赁资产在租赁期与租赁资产使用寿命两者中较短的期间内计提折旧。</w:t>
      </w:r>
    </w:p>
    <w:p>
      <w:pPr>
        <w:pStyle w:val="BodyText"/>
        <w:spacing w:line="357" w:lineRule="auto" w:before="58"/>
        <w:ind w:left="473" w:right="0"/>
        <w:jc w:val="left"/>
      </w:pPr>
      <w:r>
        <w:rPr/>
        <w:t>本公司对未确认融资费用采用实际利率法在租赁期内各个期间进行分摊，并按照借款费用的原则处理。 </w:t>
      </w:r>
      <w:r>
        <w:rPr>
          <w:spacing w:val="-2"/>
        </w:rPr>
        <w:t>资产负债表日，本公司将与融资租赁相关的长期应付款减去未确认融资费用的差额，分别以长期负债和一年内到期的长</w:t>
      </w:r>
    </w:p>
    <w:p>
      <w:pPr>
        <w:pStyle w:val="BodyText"/>
        <w:spacing w:line="225" w:lineRule="exact"/>
        <w:ind w:left="113" w:right="0"/>
        <w:jc w:val="left"/>
      </w:pPr>
      <w:r>
        <w:rPr/>
        <w:t>期负债列示。</w:t>
      </w:r>
    </w:p>
    <w:p>
      <w:pPr>
        <w:spacing w:after="0" w:line="225" w:lineRule="exact"/>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32、其他重要的会计政策和会计估计" w:id="211"/>
      <w:bookmarkEnd w:id="21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1）重要会计政策变更" w:id="213"/>
      <w:bookmarkEnd w:id="213"/>
      <w:r>
        <w:rPr>
          <w:b w:val="0"/>
          <w:bCs w:val="0"/>
        </w:rPr>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重要会计估计变更" w:id="214"/>
      <w:bookmarkEnd w:id="214"/>
      <w:r>
        <w:rPr>
          <w:b w:val="0"/>
          <w:bCs w:val="0"/>
        </w:rPr>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六、税项" w:id="215"/>
      <w:bookmarkEnd w:id="21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6"/>
      <w:bookmarkEnd w:id="21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应纳税销售收入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工程、养护收入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公司及其他子公司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17"/>
      <w:bookmarkEnd w:id="21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74" w:right="0"/>
        <w:jc w:val="left"/>
      </w:pPr>
      <w:r>
        <w:rPr>
          <w:rFonts w:ascii="Times New Roman" w:hAnsi="Times New Roman" w:cs="Times New Roman" w:eastAsia="Times New Roman" w:hint="default"/>
        </w:rPr>
        <w:t>1</w:t>
      </w:r>
      <w:r>
        <w:rPr/>
        <w:t>）根据《增值税暂行条例实施细则》相关规定，子公司重庆华宇园林有限公司苗木销售为免税农产品免征增值税。</w:t>
      </w:r>
    </w:p>
    <w:p>
      <w:pPr>
        <w:pStyle w:val="BodyText"/>
        <w:spacing w:line="348" w:lineRule="auto" w:before="102"/>
        <w:ind w:left="473" w:right="1139"/>
        <w:jc w:val="left"/>
      </w:pPr>
      <w:r>
        <w:rPr>
          <w:rFonts w:ascii="Times New Roman" w:hAnsi="Times New Roman" w:cs="Times New Roman" w:eastAsia="Times New Roman" w:hint="default"/>
        </w:rPr>
        <w:t>2</w:t>
      </w:r>
      <w:r>
        <w:rPr/>
        <w:t>）根据《中华人民共和国企业所得税法》及《中华人民共和国企业所得税法实施条例》 的规定，子公司重庆华宇园林有限公司苗木销售所得免征企业所得税。 </w:t>
      </w:r>
      <w:r>
        <w:rPr>
          <w:rFonts w:ascii="Times New Roman" w:hAnsi="Times New Roman" w:cs="Times New Roman" w:eastAsia="Times New Roman" w:hint="default"/>
        </w:rPr>
        <w:t>3</w:t>
      </w:r>
      <w:r>
        <w:rPr/>
        <w:t>）根据山东省科学技术厅、山东省财政厅、山东省国家税务局、山东省地方税务局联合下发的鲁科高字</w:t>
      </w:r>
      <w:r>
        <w:rPr>
          <w:rFonts w:ascii="Times New Roman" w:hAnsi="Times New Roman" w:cs="Times New Roman" w:eastAsia="Times New Roman" w:hint="default"/>
        </w:rPr>
        <w:t>[2013]33</w:t>
      </w:r>
      <w:r>
        <w:rPr>
          <w:rFonts w:ascii="Times New Roman" w:hAnsi="Times New Roman" w:cs="Times New Roman" w:eastAsia="Times New Roman" w:hint="default"/>
          <w:spacing w:val="-1"/>
        </w:rPr>
        <w:t> </w:t>
      </w:r>
      <w:r>
        <w:rPr/>
        <w:t>号文</w:t>
      </w:r>
    </w:p>
    <w:p>
      <w:pPr>
        <w:pStyle w:val="BodyText"/>
        <w:spacing w:line="222" w:lineRule="exact"/>
        <w:ind w:right="0"/>
        <w:jc w:val="left"/>
      </w:pPr>
      <w:r>
        <w:rPr/>
        <w:t>《关于保利民爆济南科技有限公司等</w:t>
      </w:r>
      <w:r>
        <w:rPr>
          <w:spacing w:val="-46"/>
        </w:rPr>
        <w:t> </w:t>
      </w:r>
      <w:r>
        <w:rPr>
          <w:rFonts w:ascii="Times New Roman" w:hAnsi="Times New Roman" w:cs="Times New Roman" w:eastAsia="Times New Roman" w:hint="default"/>
        </w:rPr>
        <w:t>322 </w:t>
      </w:r>
      <w:r>
        <w:rPr/>
        <w:t>家企业通过高新技术企业复审的通知》，公司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年度被认定为高新技术企业，</w:t>
      </w:r>
    </w:p>
    <w:p>
      <w:pPr>
        <w:pStyle w:val="BodyText"/>
        <w:spacing w:line="302" w:lineRule="auto" w:before="63"/>
        <w:ind w:right="1150"/>
        <w:jc w:val="left"/>
      </w:pPr>
      <w:r>
        <w:rPr/>
        <w:t>执行</w:t>
      </w:r>
      <w:r>
        <w:rPr>
          <w:spacing w:val="-46"/>
        </w:rPr>
        <w:t> </w:t>
      </w:r>
      <w:r>
        <w:rPr>
          <w:rFonts w:ascii="Times New Roman" w:hAnsi="Times New Roman" w:cs="Times New Roman" w:eastAsia="Times New Roman" w:hint="default"/>
        </w:rPr>
        <w:t>15%</w:t>
      </w:r>
      <w:r>
        <w:rPr/>
        <w:t>企业所得税税率，有效期</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年，优惠期为</w:t>
      </w:r>
      <w:r>
        <w:rPr>
          <w:spacing w:val="-46"/>
        </w:rPr>
        <w:t> </w:t>
      </w:r>
      <w:r>
        <w:rPr>
          <w:rFonts w:ascii="Times New Roman" w:hAnsi="Times New Roman" w:cs="Times New Roman" w:eastAsia="Times New Roman" w:hint="default"/>
        </w:rPr>
        <w:t>2012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年开始公司执行</w:t>
      </w:r>
      <w:r>
        <w:rPr>
          <w:spacing w:val="-46"/>
        </w:rPr>
        <w:t> </w:t>
      </w:r>
      <w:r>
        <w:rPr>
          <w:rFonts w:ascii="Times New Roman" w:hAnsi="Times New Roman" w:cs="Times New Roman" w:eastAsia="Times New Roman" w:hint="default"/>
        </w:rPr>
        <w:t>25%</w:t>
      </w:r>
      <w:r>
        <w:rPr/>
        <w:t>企业 所得税税率。</w:t>
      </w:r>
    </w:p>
    <w:p>
      <w:pPr>
        <w:pStyle w:val="BodyText"/>
        <w:spacing w:line="300" w:lineRule="auto" w:before="68"/>
        <w:ind w:left="113" w:right="1132" w:firstLine="360"/>
        <w:jc w:val="both"/>
      </w:pPr>
      <w:r>
        <w:rPr>
          <w:rFonts w:ascii="Times New Roman" w:hAnsi="Times New Roman" w:cs="Times New Roman" w:eastAsia="Times New Roman" w:hint="default"/>
        </w:rPr>
        <w:t>4</w:t>
      </w:r>
      <w:r>
        <w:rPr/>
        <w:t>）根据《财政部、海关总署、国家税务总局关于深入实施西部大开发战略有关税收政策问题的通知》（财税</w:t>
      </w:r>
      <w:r>
        <w:rPr>
          <w:rFonts w:ascii="Times New Roman" w:hAnsi="Times New Roman" w:cs="Times New Roman" w:eastAsia="Times New Roman" w:hint="default"/>
        </w:rPr>
        <w:t>[2011]58 </w:t>
      </w:r>
      <w:r>
        <w:rPr/>
        <w:t>号），子公司重庆华宇园林有限公司的业务符合《产业结构调整指导目录》（</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年本）鼓励类产业中第二十二款“城市 基础设施”第</w:t>
      </w:r>
      <w:r>
        <w:rPr>
          <w:spacing w:val="-50"/>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t>项“城镇园林绿化及生态小区建设”的列举范围，且鼓励类收入占总收入的</w:t>
      </w:r>
      <w:r>
        <w:rPr>
          <w:spacing w:val="-49"/>
        </w:rPr>
        <w:t> </w:t>
      </w:r>
      <w:r>
        <w:rPr>
          <w:rFonts w:ascii="Times New Roman" w:hAnsi="Times New Roman" w:cs="Times New Roman" w:eastAsia="Times New Roman" w:hint="default"/>
        </w:rPr>
        <w:t>70%</w:t>
      </w:r>
      <w:r>
        <w:rPr/>
        <w:t>以上。根据国家税务总局</w:t>
      </w:r>
    </w:p>
    <w:p>
      <w:pPr>
        <w:spacing w:after="0" w:line="300" w:lineRule="auto"/>
        <w:jc w:val="both"/>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00" w:lineRule="auto" w:before="44"/>
        <w:ind w:right="1112"/>
        <w:jc w:val="left"/>
      </w:pPr>
      <w:r>
        <w:rPr/>
        <w:t>《关于深入实施西部大开发战略有关企业所得税问题的公告》（国家税务总局公告</w:t>
      </w:r>
      <w:r>
        <w:rPr>
          <w:rFonts w:ascii="Times New Roman" w:hAnsi="Times New Roman" w:cs="Times New Roman" w:eastAsia="Times New Roman" w:hint="default"/>
        </w:rPr>
        <w:t>[2012]12</w:t>
      </w:r>
      <w:r>
        <w:rPr>
          <w:rFonts w:ascii="Times New Roman" w:hAnsi="Times New Roman" w:cs="Times New Roman" w:eastAsia="Times New Roman" w:hint="default"/>
          <w:spacing w:val="-23"/>
        </w:rPr>
        <w:t> </w:t>
      </w:r>
      <w:r>
        <w:rPr>
          <w:spacing w:val="-3"/>
        </w:rPr>
        <w:t>号）规定，在《西部地区鼓励类</w:t>
      </w:r>
      <w:r>
        <w:rPr/>
        <w:t> 产业目录》公布前，企业符合《产业结构调整指导目录》范围的，经税务机关确认后，企业所得税可按照</w:t>
      </w:r>
      <w:r>
        <w:rPr>
          <w:spacing w:val="-45"/>
        </w:rPr>
        <w:t> </w:t>
      </w:r>
      <w:r>
        <w:rPr>
          <w:rFonts w:ascii="Times New Roman" w:hAnsi="Times New Roman" w:cs="Times New Roman" w:eastAsia="Times New Roman" w:hint="default"/>
        </w:rPr>
        <w:t>15%</w:t>
      </w:r>
      <w:r>
        <w:rPr/>
        <w:t>税率缴纳。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spacing w:val="-3"/>
        </w:rPr>
        <w:t>年度、</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11"/>
        </w:rPr>
        <w:t> </w:t>
      </w:r>
      <w:r>
        <w:rPr>
          <w:spacing w:val="-3"/>
        </w:rPr>
        <w:t>年度、</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0"/>
        </w:rPr>
        <w:t> </w:t>
      </w:r>
      <w:r>
        <w:rPr/>
        <w:t>年度经主管税务机关同意，享受西部大开发税收优惠政策，</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年向主管税务机关备案后，仍 按</w:t>
      </w:r>
      <w:r>
        <w:rPr>
          <w:spacing w:val="-46"/>
        </w:rPr>
        <w:t> </w:t>
      </w:r>
      <w:r>
        <w:rPr>
          <w:rFonts w:ascii="Times New Roman" w:hAnsi="Times New Roman" w:cs="Times New Roman" w:eastAsia="Times New Roman" w:hint="default"/>
        </w:rPr>
        <w:t>15%</w:t>
      </w:r>
      <w:r>
        <w:rPr/>
        <w:t>计缴企业所得税。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bookmarkStart w:name="3、其他" w:id="218"/>
      <w:bookmarkEnd w:id="218"/>
      <w:r>
        <w:rPr>
          <w:b w:val="0"/>
          <w:bCs w:val="0"/>
        </w:rPr>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4" w:right="0"/>
        <w:jc w:val="left"/>
      </w:pPr>
      <w:r>
        <w:rPr>
          <w:rFonts w:ascii="Times New Roman" w:hAnsi="Times New Roman" w:cs="Times New Roman" w:eastAsia="Times New Roman" w:hint="default"/>
        </w:rPr>
        <w:t>1)</w:t>
      </w:r>
      <w:r>
        <w:rPr/>
        <w:t>增值税：</w:t>
      </w:r>
    </w:p>
    <w:p>
      <w:pPr>
        <w:pStyle w:val="BodyText"/>
        <w:spacing w:line="240" w:lineRule="auto" w:before="102"/>
        <w:ind w:left="473" w:right="0"/>
        <w:jc w:val="left"/>
      </w:pPr>
      <w:r>
        <w:rPr/>
        <w:t>（</w:t>
      </w:r>
      <w:r>
        <w:rPr>
          <w:rFonts w:ascii="Times New Roman" w:hAnsi="Times New Roman" w:cs="Times New Roman" w:eastAsia="Times New Roman" w:hint="default"/>
        </w:rPr>
        <w:t>1</w:t>
      </w:r>
      <w:r>
        <w:rPr/>
        <w:t>）公司及子公司除华宇园林的设计收入外</w:t>
      </w:r>
      <w:r>
        <w:rPr>
          <w:rFonts w:ascii="Times New Roman" w:hAnsi="Times New Roman" w:cs="Times New Roman" w:eastAsia="Times New Roman" w:hint="default"/>
        </w:rPr>
        <w:t>,</w:t>
      </w:r>
      <w:r>
        <w:rPr/>
        <w:t>均按应税收入</w:t>
      </w:r>
      <w:r>
        <w:rPr>
          <w:spacing w:val="-48"/>
        </w:rPr>
        <w:t> </w:t>
      </w:r>
      <w:r>
        <w:rPr>
          <w:rFonts w:ascii="Times New Roman" w:hAnsi="Times New Roman" w:cs="Times New Roman" w:eastAsia="Times New Roman" w:hint="default"/>
        </w:rPr>
        <w:t>17%</w:t>
      </w:r>
      <w:r>
        <w:rPr/>
        <w:t>的计缴增值税。</w:t>
      </w:r>
    </w:p>
    <w:p>
      <w:pPr>
        <w:pStyle w:val="BodyText"/>
        <w:spacing w:line="338" w:lineRule="auto" w:before="103"/>
        <w:ind w:left="474" w:right="3538"/>
        <w:jc w:val="left"/>
      </w:pPr>
      <w:r>
        <w:rPr/>
        <w:t>（</w:t>
      </w:r>
      <w:r>
        <w:rPr>
          <w:rFonts w:ascii="Times New Roman" w:hAnsi="Times New Roman" w:cs="Times New Roman" w:eastAsia="Times New Roman" w:hint="default"/>
        </w:rPr>
        <w:t>2</w:t>
      </w:r>
      <w:r>
        <w:rPr/>
        <w:t>）公司子公司重庆华宇园林有限公司设计收入按现代服务业执行</w:t>
      </w:r>
      <w:r>
        <w:rPr>
          <w:spacing w:val="-46"/>
        </w:rPr>
        <w:t> </w:t>
      </w:r>
      <w:r>
        <w:rPr>
          <w:rFonts w:ascii="Times New Roman" w:hAnsi="Times New Roman" w:cs="Times New Roman" w:eastAsia="Times New Roman" w:hint="default"/>
        </w:rPr>
        <w:t>6%</w:t>
      </w:r>
      <w:r>
        <w:rPr/>
        <w:t>的增值税税率。 </w:t>
      </w:r>
      <w:r>
        <w:rPr>
          <w:rFonts w:ascii="Times New Roman" w:hAnsi="Times New Roman" w:cs="Times New Roman" w:eastAsia="Times New Roman" w:hint="default"/>
        </w:rPr>
        <w:t>2)</w:t>
      </w:r>
      <w:r>
        <w:rPr/>
        <w:t>营业税：华宇园林园林工程收入按应税收入的</w:t>
      </w:r>
      <w:r>
        <w:rPr>
          <w:spacing w:val="-46"/>
        </w:rPr>
        <w:t> </w:t>
      </w:r>
      <w:r>
        <w:rPr>
          <w:rFonts w:ascii="Times New Roman" w:hAnsi="Times New Roman" w:cs="Times New Roman" w:eastAsia="Times New Roman" w:hint="default"/>
        </w:rPr>
        <w:t>3%</w:t>
      </w:r>
      <w:r>
        <w:rPr/>
        <w:t>计征；</w:t>
      </w:r>
    </w:p>
    <w:p>
      <w:pPr>
        <w:pStyle w:val="BodyText"/>
        <w:spacing w:line="240" w:lineRule="auto" w:before="20"/>
        <w:ind w:left="473" w:right="0"/>
        <w:jc w:val="left"/>
      </w:pPr>
      <w:r>
        <w:rPr>
          <w:rFonts w:ascii="Times New Roman" w:hAnsi="Times New Roman" w:cs="Times New Roman" w:eastAsia="Times New Roman" w:hint="default"/>
        </w:rPr>
        <w:t>3)</w:t>
      </w:r>
      <w:r>
        <w:rPr/>
        <w:t>城建税：</w:t>
      </w:r>
    </w:p>
    <w:p>
      <w:pPr>
        <w:pStyle w:val="BodyText"/>
        <w:spacing w:line="240" w:lineRule="auto" w:before="103"/>
        <w:ind w:left="473" w:right="0"/>
        <w:jc w:val="left"/>
      </w:pPr>
      <w:r>
        <w:rPr/>
        <w:t>（</w:t>
      </w:r>
      <w:r>
        <w:rPr>
          <w:rFonts w:ascii="Times New Roman" w:hAnsi="Times New Roman" w:cs="Times New Roman" w:eastAsia="Times New Roman" w:hint="default"/>
        </w:rPr>
        <w:t>1</w:t>
      </w:r>
      <w:r>
        <w:rPr/>
        <w:t>）公司子公司新疆军鹏制盖有限公司按应缴流转税额的</w:t>
      </w:r>
      <w:r>
        <w:rPr>
          <w:spacing w:val="-46"/>
        </w:rPr>
        <w:t> </w:t>
      </w:r>
      <w:r>
        <w:rPr>
          <w:rFonts w:ascii="Times New Roman" w:hAnsi="Times New Roman" w:cs="Times New Roman" w:eastAsia="Times New Roman" w:hint="default"/>
        </w:rPr>
        <w:t>1%</w:t>
      </w:r>
      <w:r>
        <w:rPr/>
        <w:t>计征。</w:t>
      </w:r>
    </w:p>
    <w:p>
      <w:pPr>
        <w:pStyle w:val="BodyText"/>
        <w:spacing w:line="240" w:lineRule="auto" w:before="102"/>
        <w:ind w:left="473" w:right="0"/>
        <w:jc w:val="left"/>
      </w:pPr>
      <w:r>
        <w:rPr/>
        <w:t>（</w:t>
      </w:r>
      <w:r>
        <w:rPr>
          <w:rFonts w:ascii="Times New Roman" w:hAnsi="Times New Roman" w:cs="Times New Roman" w:eastAsia="Times New Roman" w:hint="default"/>
        </w:rPr>
        <w:t>2</w:t>
      </w:r>
      <w:r>
        <w:rPr/>
        <w:t>）公司子公司北京鹏和祥包装制品有限公司、亳州丽鹏制盖有限公司按应缴流转税额的</w:t>
      </w:r>
      <w:r>
        <w:rPr>
          <w:spacing w:val="-45"/>
        </w:rPr>
        <w:t> </w:t>
      </w:r>
      <w:r>
        <w:rPr>
          <w:rFonts w:ascii="Times New Roman" w:hAnsi="Times New Roman" w:cs="Times New Roman" w:eastAsia="Times New Roman" w:hint="default"/>
        </w:rPr>
        <w:t>5%</w:t>
      </w:r>
      <w:r>
        <w:rPr/>
        <w:t>计征。</w:t>
      </w:r>
    </w:p>
    <w:p>
      <w:pPr>
        <w:pStyle w:val="BodyText"/>
        <w:spacing w:line="340" w:lineRule="auto" w:before="102"/>
        <w:ind w:left="474" w:right="6898"/>
        <w:jc w:val="left"/>
      </w:pPr>
      <w:r>
        <w:rPr/>
        <w:t>（</w:t>
      </w:r>
      <w:r>
        <w:rPr>
          <w:rFonts w:ascii="Times New Roman" w:hAnsi="Times New Roman" w:cs="Times New Roman" w:eastAsia="Times New Roman" w:hint="default"/>
        </w:rPr>
        <w:t>3</w:t>
      </w:r>
      <w:r>
        <w:rPr/>
        <w:t>）其他公司按</w:t>
      </w:r>
      <w:r>
        <w:rPr>
          <w:spacing w:val="-46"/>
        </w:rPr>
        <w:t> </w:t>
      </w:r>
      <w:r>
        <w:rPr>
          <w:rFonts w:ascii="Times New Roman" w:hAnsi="Times New Roman" w:cs="Times New Roman" w:eastAsia="Times New Roman" w:hint="default"/>
        </w:rPr>
        <w:t>7%</w:t>
      </w:r>
      <w:r>
        <w:rPr/>
        <w:t>计征。 </w:t>
      </w:r>
      <w:r>
        <w:rPr>
          <w:rFonts w:ascii="Times New Roman" w:hAnsi="Times New Roman" w:cs="Times New Roman" w:eastAsia="Times New Roman" w:hint="default"/>
        </w:rPr>
        <w:t>4)</w:t>
      </w:r>
      <w:r>
        <w:rPr/>
        <w:t>教育费附加：按应缴流转税额的</w:t>
      </w:r>
      <w:r>
        <w:rPr>
          <w:spacing w:val="-46"/>
        </w:rPr>
        <w:t> </w:t>
      </w:r>
      <w:r>
        <w:rPr>
          <w:rFonts w:ascii="Times New Roman" w:hAnsi="Times New Roman" w:cs="Times New Roman" w:eastAsia="Times New Roman" w:hint="default"/>
        </w:rPr>
        <w:t>3%</w:t>
      </w:r>
      <w:r>
        <w:rPr/>
        <w:t>计征；</w:t>
      </w:r>
    </w:p>
    <w:p>
      <w:pPr>
        <w:pStyle w:val="BodyText"/>
        <w:spacing w:line="240" w:lineRule="auto" w:before="18"/>
        <w:ind w:left="474" w:right="0"/>
        <w:jc w:val="left"/>
      </w:pPr>
      <w:r>
        <w:rPr>
          <w:rFonts w:ascii="Times New Roman" w:hAnsi="Times New Roman" w:cs="Times New Roman" w:eastAsia="Times New Roman" w:hint="default"/>
        </w:rPr>
        <w:t>5)</w:t>
      </w:r>
      <w:r>
        <w:rPr/>
        <w:t>地方教育费附加：按应交流转税额的</w:t>
      </w:r>
      <w:r>
        <w:rPr>
          <w:spacing w:val="-46"/>
        </w:rPr>
        <w:t> </w:t>
      </w:r>
      <w:r>
        <w:rPr>
          <w:rFonts w:ascii="Times New Roman" w:hAnsi="Times New Roman" w:cs="Times New Roman" w:eastAsia="Times New Roman" w:hint="default"/>
        </w:rPr>
        <w:t>2%</w:t>
      </w:r>
      <w:r>
        <w:rPr/>
        <w:t>计征；</w:t>
      </w:r>
    </w:p>
    <w:p>
      <w:pPr>
        <w:pStyle w:val="BodyText"/>
        <w:spacing w:line="240" w:lineRule="auto" w:before="102"/>
        <w:ind w:left="473" w:right="0"/>
        <w:jc w:val="left"/>
      </w:pPr>
      <w:r>
        <w:rPr>
          <w:rFonts w:ascii="Times New Roman" w:hAnsi="Times New Roman" w:cs="Times New Roman" w:eastAsia="Times New Roman" w:hint="default"/>
        </w:rPr>
        <w:t>6)</w:t>
      </w:r>
      <w:r>
        <w:rPr/>
        <w:t>地方水利建设基金：按应交流转税额的</w:t>
      </w:r>
      <w:r>
        <w:rPr>
          <w:spacing w:val="-46"/>
        </w:rPr>
        <w:t> </w:t>
      </w:r>
      <w:r>
        <w:rPr>
          <w:rFonts w:ascii="Times New Roman" w:hAnsi="Times New Roman" w:cs="Times New Roman" w:eastAsia="Times New Roman" w:hint="default"/>
        </w:rPr>
        <w:t>1%</w:t>
      </w:r>
      <w:r>
        <w:rPr/>
        <w:t>计征；</w:t>
      </w:r>
    </w:p>
    <w:p>
      <w:pPr>
        <w:pStyle w:val="BodyText"/>
        <w:spacing w:line="240" w:lineRule="auto" w:before="103"/>
        <w:ind w:left="473" w:right="0"/>
        <w:jc w:val="left"/>
      </w:pPr>
      <w:r>
        <w:rPr>
          <w:rFonts w:ascii="Times New Roman" w:hAnsi="Times New Roman" w:cs="Times New Roman" w:eastAsia="Times New Roman" w:hint="default"/>
        </w:rPr>
        <w:t>7)</w:t>
      </w:r>
      <w:r>
        <w:rPr/>
        <w:t>企业所得税：</w:t>
      </w:r>
    </w:p>
    <w:p>
      <w:pPr>
        <w:pStyle w:val="BodyText"/>
        <w:spacing w:line="240" w:lineRule="auto" w:before="102"/>
        <w:ind w:left="473" w:right="0"/>
        <w:jc w:val="left"/>
      </w:pPr>
      <w:r>
        <w:rPr/>
        <w:t>（</w:t>
      </w:r>
      <w:r>
        <w:rPr>
          <w:rFonts w:ascii="Times New Roman" w:hAnsi="Times New Roman" w:cs="Times New Roman" w:eastAsia="Times New Roman" w:hint="default"/>
        </w:rPr>
        <w:t>1</w:t>
      </w:r>
      <w:r>
        <w:rPr/>
        <w:t>）子公司重庆华宇园林有限公司适用</w:t>
      </w:r>
      <w:r>
        <w:rPr>
          <w:spacing w:val="-46"/>
        </w:rPr>
        <w:t> </w:t>
      </w:r>
      <w:r>
        <w:rPr>
          <w:rFonts w:ascii="Times New Roman" w:hAnsi="Times New Roman" w:cs="Times New Roman" w:eastAsia="Times New Roman" w:hint="default"/>
        </w:rPr>
        <w:t>15%</w:t>
      </w:r>
      <w:r>
        <w:rPr/>
        <w:t>的所得税率。</w:t>
      </w:r>
    </w:p>
    <w:p>
      <w:pPr>
        <w:pStyle w:val="BodyText"/>
        <w:spacing w:line="240" w:lineRule="auto" w:before="102"/>
        <w:ind w:left="473" w:right="0"/>
        <w:jc w:val="left"/>
      </w:pPr>
      <w:r>
        <w:rPr/>
        <w:t>（</w:t>
      </w:r>
      <w:r>
        <w:rPr>
          <w:rFonts w:ascii="Times New Roman" w:hAnsi="Times New Roman" w:cs="Times New Roman" w:eastAsia="Times New Roman" w:hint="default"/>
        </w:rPr>
        <w:t>2</w:t>
      </w:r>
      <w:r>
        <w:rPr/>
        <w:t>）公司及其他子公司适用</w:t>
      </w:r>
      <w:r>
        <w:rPr>
          <w:spacing w:val="-46"/>
        </w:rPr>
        <w:t> </w:t>
      </w:r>
      <w:r>
        <w:rPr>
          <w:rFonts w:ascii="Times New Roman" w:hAnsi="Times New Roman" w:cs="Times New Roman" w:eastAsia="Times New Roman" w:hint="default"/>
        </w:rPr>
        <w:t>25%</w:t>
      </w:r>
      <w:r>
        <w:rPr/>
        <w:t>的所得税率。</w:t>
      </w:r>
    </w:p>
    <w:p>
      <w:pPr>
        <w:spacing w:line="240" w:lineRule="auto" w:before="1"/>
        <w:rPr>
          <w:rFonts w:ascii="宋体" w:hAnsi="宋体" w:cs="宋体" w:eastAsia="宋体" w:hint="default"/>
          <w:sz w:val="24"/>
          <w:szCs w:val="24"/>
        </w:rPr>
      </w:pPr>
    </w:p>
    <w:p>
      <w:pPr>
        <w:pStyle w:val="Heading2"/>
        <w:spacing w:line="240" w:lineRule="auto"/>
        <w:ind w:left="113" w:right="0"/>
        <w:jc w:val="left"/>
        <w:rPr>
          <w:b w:val="0"/>
          <w:bCs w:val="0"/>
        </w:rPr>
      </w:pPr>
      <w:bookmarkStart w:name="七、合并财务报表项目注释" w:id="219"/>
      <w:bookmarkEnd w:id="21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货币资金" w:id="220"/>
      <w:bookmarkEnd w:id="22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525,338.38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657,392.15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137,856,169.85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145,208,312.90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133,506,198.91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271,887,707.14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183,865,705.05</w:t>
            </w:r>
          </w:p>
        </w:tc>
      </w:tr>
    </w:tbl>
    <w:p>
      <w:pPr>
        <w:pStyle w:val="BodyText"/>
        <w:spacing w:line="240" w:lineRule="auto" w:before="51"/>
        <w:ind w:right="0"/>
        <w:jc w:val="left"/>
      </w:pPr>
      <w:r>
        <w:rPr/>
        <w:t>其他说明</w:t>
      </w:r>
    </w:p>
    <w:p>
      <w:pPr>
        <w:pStyle w:val="BodyText"/>
        <w:spacing w:line="240" w:lineRule="auto" w:before="117"/>
        <w:ind w:left="474" w:right="0"/>
        <w:jc w:val="left"/>
      </w:pPr>
      <w:r>
        <w:rPr>
          <w:rFonts w:ascii="Times New Roman" w:hAnsi="Times New Roman" w:cs="Times New Roman" w:eastAsia="Times New Roman" w:hint="default"/>
        </w:rPr>
        <w:t>1</w:t>
      </w:r>
      <w:r>
        <w:rPr/>
        <w:t>）其他货币资金按明细项目列示：</w:t>
      </w:r>
    </w:p>
    <w:p>
      <w:pPr>
        <w:spacing w:line="240" w:lineRule="auto" w:before="0"/>
        <w:rPr>
          <w:rFonts w:ascii="宋体" w:hAnsi="宋体" w:cs="宋体" w:eastAsia="宋体" w:hint="default"/>
          <w:sz w:val="11"/>
          <w:szCs w:val="11"/>
        </w:rPr>
      </w:pPr>
    </w:p>
    <w:p>
      <w:pPr>
        <w:spacing w:line="1140" w:lineRule="exact"/>
        <w:ind w:left="114"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5924550" cy="723900"/>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29" cstate="print"/>
                    <a:stretch>
                      <a:fillRect/>
                    </a:stretch>
                  </pic:blipFill>
                  <pic:spPr>
                    <a:xfrm>
                      <a:off x="0" y="0"/>
                      <a:ext cx="5924550" cy="723900"/>
                    </a:xfrm>
                    <a:prstGeom prst="rect">
                      <a:avLst/>
                    </a:prstGeom>
                  </pic:spPr>
                </pic:pic>
              </a:graphicData>
            </a:graphic>
          </wp:inline>
        </w:drawing>
      </w:r>
      <w:r>
        <w:rPr>
          <w:rFonts w:ascii="宋体" w:hAnsi="宋体" w:cs="宋体" w:eastAsia="宋体" w:hint="default"/>
          <w:position w:val="-22"/>
          <w:sz w:val="20"/>
          <w:szCs w:val="20"/>
        </w:rPr>
      </w:r>
    </w:p>
    <w:p>
      <w:pPr>
        <w:pStyle w:val="BodyText"/>
        <w:spacing w:line="240" w:lineRule="auto" w:before="106"/>
        <w:ind w:left="473" w:right="0"/>
        <w:jc w:val="left"/>
      </w:pPr>
      <w:r>
        <w:rPr>
          <w:rFonts w:ascii="Times New Roman" w:hAnsi="Times New Roman" w:cs="Times New Roman" w:eastAsia="Times New Roman" w:hint="default"/>
        </w:rPr>
        <w:t>2</w:t>
      </w:r>
      <w:r>
        <w:rPr/>
        <w:t>）因抵押、质押或冻结等对使用有限制的货币资金明细如下：</w:t>
      </w:r>
    </w:p>
    <w:p>
      <w:pPr>
        <w:spacing w:after="0" w:line="240" w:lineRule="auto"/>
        <w:jc w:val="left"/>
        <w:sectPr>
          <w:pgSz w:w="11910" w:h="16840"/>
          <w:pgMar w:header="907" w:footer="1019" w:top="1100" w:bottom="1200" w:left="1020" w:right="0"/>
        </w:sectPr>
      </w:pPr>
    </w:p>
    <w:p>
      <w:pPr>
        <w:spacing w:line="240" w:lineRule="auto" w:before="9"/>
        <w:rPr>
          <w:rFonts w:ascii="宋体" w:hAnsi="宋体" w:cs="宋体" w:eastAsia="宋体" w:hint="default"/>
          <w:sz w:val="26"/>
          <w:szCs w:val="26"/>
        </w:rPr>
      </w:pPr>
    </w:p>
    <w:p>
      <w:pPr>
        <w:spacing w:line="1215" w:lineRule="exact"/>
        <w:ind w:left="114" w:right="0" w:firstLine="0"/>
        <w:rPr>
          <w:rFonts w:ascii="宋体" w:hAnsi="宋体" w:cs="宋体" w:eastAsia="宋体" w:hint="default"/>
          <w:sz w:val="20"/>
          <w:szCs w:val="20"/>
        </w:rPr>
      </w:pPr>
      <w:r>
        <w:rPr>
          <w:rFonts w:ascii="宋体" w:hAnsi="宋体" w:cs="宋体" w:eastAsia="宋体" w:hint="default"/>
          <w:position w:val="-23"/>
          <w:sz w:val="20"/>
          <w:szCs w:val="20"/>
        </w:rPr>
        <w:drawing>
          <wp:inline distT="0" distB="0" distL="0" distR="0">
            <wp:extent cx="5943600" cy="771525"/>
            <wp:effectExtent l="0" t="0" r="0" b="0"/>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30" cstate="print"/>
                    <a:stretch>
                      <a:fillRect/>
                    </a:stretch>
                  </pic:blipFill>
                  <pic:spPr>
                    <a:xfrm>
                      <a:off x="0" y="0"/>
                      <a:ext cx="5943600" cy="771525"/>
                    </a:xfrm>
                    <a:prstGeom prst="rect">
                      <a:avLst/>
                    </a:prstGeom>
                  </pic:spPr>
                </pic:pic>
              </a:graphicData>
            </a:graphic>
          </wp:inline>
        </w:drawing>
      </w:r>
      <w:r>
        <w:rPr>
          <w:rFonts w:ascii="宋体" w:hAnsi="宋体" w:cs="宋体" w:eastAsia="宋体" w:hint="default"/>
          <w:position w:val="-23"/>
          <w:sz w:val="20"/>
          <w:szCs w:val="20"/>
        </w:rPr>
      </w:r>
    </w:p>
    <w:p>
      <w:pPr>
        <w:spacing w:line="240" w:lineRule="auto" w:before="8"/>
        <w:rPr>
          <w:rFonts w:ascii="宋体" w:hAnsi="宋体" w:cs="宋体" w:eastAsia="宋体" w:hint="default"/>
          <w:sz w:val="22"/>
          <w:szCs w:val="22"/>
        </w:rPr>
      </w:pPr>
    </w:p>
    <w:p>
      <w:pPr>
        <w:pStyle w:val="BodyText"/>
        <w:spacing w:line="240" w:lineRule="auto" w:before="44"/>
        <w:ind w:left="113" w:right="0"/>
        <w:jc w:val="left"/>
      </w:pPr>
      <w:r>
        <w:rPr/>
        <w:t>除上述款项</w:t>
      </w:r>
      <w:r>
        <w:rPr>
          <w:rFonts w:ascii="Times New Roman" w:hAnsi="Times New Roman" w:cs="Times New Roman" w:eastAsia="Times New Roman" w:hint="default"/>
        </w:rPr>
        <w:t>,</w:t>
      </w:r>
      <w:r>
        <w:rPr/>
        <w:t>报告期内无其他因抵押、质押或冻结等对使用有限制、存放在境外、有潜在回收风险的款项。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以公允价值计量且其变动计入当期损益的金融资产" w:id="221"/>
      <w:bookmarkEnd w:id="22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3,422,850.00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3,422,850.00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 w:right="4323"/>
        <w:jc w:val="left"/>
      </w:pPr>
      <w:r>
        <w:rPr/>
        <w:t>其他说明： 交易性金融资产系子公司深圳在乎传媒科技有限公司期末持有</w:t>
      </w:r>
      <w:r>
        <w:rPr>
          <w:rFonts w:ascii="Times New Roman" w:hAnsi="Times New Roman" w:cs="Times New Roman" w:eastAsia="Times New Roman" w:hint="default"/>
        </w:rPr>
        <w:t>A</w:t>
      </w:r>
      <w:r>
        <w:rPr/>
        <w:t>股上市公司股票。</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3、衍生金融资产" w:id="222"/>
      <w:bookmarkEnd w:id="22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应收票据" w:id="223"/>
      <w:bookmarkEnd w:id="223"/>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4"/>
      <w:bookmarkEnd w:id="224"/>
      <w:r>
        <w:rPr>
          <w:b w:val="0"/>
          <w:bCs w:val="0"/>
        </w:rPr>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8,078,803.19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9,656,390.51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8,078,803.19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9,656,390.51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25"/>
      <w:bookmarkEnd w:id="225"/>
      <w:r>
        <w:rPr>
          <w:b w:val="0"/>
          <w:bCs w:val="0"/>
        </w:rPr>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期末公司已背书或贴现且在资产负债表日尚未到期的应收票据" w:id="226"/>
      <w:bookmarkEnd w:id="226"/>
      <w:r>
        <w:rPr>
          <w:b w:val="0"/>
          <w:bCs w:val="0"/>
        </w:rPr>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56,182,671.29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56,182,671.29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27"/>
      <w:bookmarkEnd w:id="227"/>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pStyle w:val="BodyText"/>
        <w:spacing w:line="240" w:lineRule="auto" w:before="117"/>
        <w:ind w:left="474" w:right="0"/>
        <w:jc w:val="left"/>
      </w:pPr>
      <w:r>
        <w:rPr/>
        <w:t>（</w:t>
      </w:r>
      <w:r>
        <w:rPr>
          <w:rFonts w:ascii="Times New Roman" w:hAnsi="Times New Roman" w:cs="Times New Roman" w:eastAsia="Times New Roman" w:hint="default"/>
        </w:rPr>
        <w:t>1</w:t>
      </w:r>
      <w:r>
        <w:rPr/>
        <w:t>）报告期内公司无因出票人无力履约而将票据转为应收账款的应收票据。</w:t>
      </w:r>
    </w:p>
    <w:p>
      <w:pPr>
        <w:pStyle w:val="BodyText"/>
        <w:spacing w:line="240" w:lineRule="auto" w:before="77"/>
        <w:ind w:left="473" w:right="0"/>
        <w:jc w:val="left"/>
        <w:rPr>
          <w:sz w:val="21"/>
          <w:szCs w:val="21"/>
        </w:rPr>
      </w:pPr>
      <w:r>
        <w:rPr/>
        <w:t>（</w:t>
      </w:r>
      <w:r>
        <w:rPr>
          <w:rFonts w:ascii="Times New Roman" w:hAnsi="Times New Roman" w:cs="Times New Roman" w:eastAsia="Times New Roman" w:hint="default"/>
        </w:rPr>
        <w:t>2</w:t>
      </w:r>
      <w:r>
        <w:rPr/>
        <w:t>）应收票据中无应收持公司</w:t>
      </w:r>
      <w:r>
        <w:rPr>
          <w:spacing w:val="-46"/>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）以上表决权股份的股东单位款项</w:t>
      </w:r>
      <w:r>
        <w:rPr>
          <w:sz w:val="21"/>
          <w:szCs w:val="21"/>
        </w:rPr>
        <w:t>。</w:t>
      </w:r>
    </w:p>
    <w:p>
      <w:pPr>
        <w:spacing w:line="240" w:lineRule="auto" w:before="13"/>
        <w:rPr>
          <w:rFonts w:ascii="宋体" w:hAnsi="宋体" w:cs="宋体" w:eastAsia="宋体" w:hint="default"/>
          <w:sz w:val="24"/>
          <w:szCs w:val="24"/>
        </w:rPr>
      </w:pPr>
    </w:p>
    <w:p>
      <w:pPr>
        <w:pStyle w:val="Heading3"/>
        <w:spacing w:line="240" w:lineRule="auto"/>
        <w:ind w:left="113" w:right="0"/>
        <w:jc w:val="left"/>
        <w:rPr>
          <w:b w:val="0"/>
          <w:bCs w:val="0"/>
        </w:rPr>
      </w:pPr>
      <w:bookmarkStart w:name="5、应收账款" w:id="228"/>
      <w:bookmarkEnd w:id="22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 w:right="0"/>
        <w:jc w:val="left"/>
        <w:rPr>
          <w:b w:val="0"/>
          <w:bCs w:val="0"/>
        </w:rPr>
      </w:pPr>
      <w:bookmarkStart w:name="1）应收账款分类披露" w:id="229"/>
      <w:bookmarkEnd w:id="229"/>
      <w:r>
        <w:rPr>
          <w:b w:val="0"/>
          <w:bCs w:val="0"/>
        </w:rPr>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437,56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2,619.0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39,705,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868.01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397,85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6,751.0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444,2</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65,40</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6.14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28,744,</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441.54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415,520,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964.60</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437,56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2,619.0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39,705,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868.01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397,85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6,751.0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444,2</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65,40</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6.14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28,744,</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441.54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415,520,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964.60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196,102,382.96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9,805,119.15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214,336,170.88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21,433,617.10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12,434,026.29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2,486,805.26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12,125,412.94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3,637,623.88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443,846.76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221,923.38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2,120,779.24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2,120,779.24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437,562,619.07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39,705,868.01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确定该组合依据的说明：</w:t>
      </w:r>
    </w:p>
    <w:p>
      <w:pPr>
        <w:pStyle w:val="Heading4"/>
        <w:spacing w:line="240" w:lineRule="auto" w:before="90"/>
        <w:ind w:right="0"/>
        <w:jc w:val="left"/>
      </w:pPr>
      <w:r>
        <w:rPr/>
        <w:t>本公司的应收款项以账龄为风险特征划分信用风险组合，确定计提比例如下：</w:t>
      </w:r>
    </w:p>
    <w:p>
      <w:pPr>
        <w:spacing w:line="240" w:lineRule="auto" w:before="1"/>
        <w:rPr>
          <w:rFonts w:ascii="宋体" w:hAnsi="宋体" w:cs="宋体" w:eastAsia="宋体" w:hint="default"/>
          <w:sz w:val="6"/>
          <w:szCs w:val="6"/>
        </w:rPr>
      </w:pPr>
    </w:p>
    <w:p>
      <w:pPr>
        <w:spacing w:line="1815" w:lineRule="exact"/>
        <w:ind w:left="114" w:right="0" w:firstLine="0"/>
        <w:rPr>
          <w:rFonts w:ascii="宋体" w:hAnsi="宋体" w:cs="宋体" w:eastAsia="宋体" w:hint="default"/>
          <w:sz w:val="20"/>
          <w:szCs w:val="20"/>
        </w:rPr>
      </w:pPr>
      <w:r>
        <w:rPr>
          <w:rFonts w:ascii="宋体" w:hAnsi="宋体" w:cs="宋体" w:eastAsia="宋体" w:hint="default"/>
          <w:position w:val="-35"/>
          <w:sz w:val="20"/>
          <w:szCs w:val="20"/>
        </w:rPr>
        <w:drawing>
          <wp:inline distT="0" distB="0" distL="0" distR="0">
            <wp:extent cx="5943600" cy="1152525"/>
            <wp:effectExtent l="0" t="0" r="0" b="0"/>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31" cstate="print"/>
                    <a:stretch>
                      <a:fillRect/>
                    </a:stretch>
                  </pic:blipFill>
                  <pic:spPr>
                    <a:xfrm>
                      <a:off x="0" y="0"/>
                      <a:ext cx="5943600" cy="1152525"/>
                    </a:xfrm>
                    <a:prstGeom prst="rect">
                      <a:avLst/>
                    </a:prstGeom>
                  </pic:spPr>
                </pic:pic>
              </a:graphicData>
            </a:graphic>
          </wp:inline>
        </w:drawing>
      </w:r>
      <w:r>
        <w:rPr>
          <w:rFonts w:ascii="宋体" w:hAnsi="宋体" w:cs="宋体" w:eastAsia="宋体" w:hint="default"/>
          <w:position w:val="-35"/>
          <w:sz w:val="20"/>
          <w:szCs w:val="20"/>
        </w:rPr>
      </w:r>
    </w:p>
    <w:p>
      <w:pPr>
        <w:spacing w:line="240" w:lineRule="auto" w:before="0"/>
        <w:rPr>
          <w:rFonts w:ascii="宋体" w:hAnsi="宋体" w:cs="宋体" w:eastAsia="宋体" w:hint="default"/>
          <w:sz w:val="20"/>
          <w:szCs w:val="20"/>
        </w:rPr>
      </w:pPr>
    </w:p>
    <w:p>
      <w:pPr>
        <w:pStyle w:val="BodyText"/>
        <w:spacing w:line="240" w:lineRule="auto" w:before="131"/>
        <w:ind w:left="113" w:right="0"/>
        <w:jc w:val="left"/>
      </w:pPr>
      <w:r>
        <w:rPr/>
        <w:t>组合中，采用余额百分比法计提坏账准备的应收账款：</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30"/>
      <w:bookmarkEnd w:id="230"/>
      <w:r>
        <w:rPr>
          <w:b w:val="0"/>
          <w:bCs w:val="0"/>
        </w:rPr>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13,224,839.59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left="113" w:right="0"/>
        <w:jc w:val="left"/>
        <w:rPr>
          <w:b w:val="0"/>
          <w:bCs w:val="0"/>
        </w:rPr>
      </w:pPr>
      <w:bookmarkStart w:name="3）本期实际核销的应收账款情况" w:id="231"/>
      <w:bookmarkEnd w:id="231"/>
      <w:r>
        <w:rPr>
          <w:b w:val="0"/>
          <w:bCs w:val="0"/>
        </w:rPr>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 w:right="0"/>
        <w:jc w:val="left"/>
        <w:rPr>
          <w:b w:val="0"/>
          <w:bCs w:val="0"/>
        </w:rPr>
      </w:pPr>
      <w:bookmarkStart w:name="4）按欠款方归集的期末余额前五名的应收账款情况" w:id="232"/>
      <w:bookmarkEnd w:id="232"/>
      <w:r>
        <w:rPr>
          <w:b w:val="0"/>
          <w:bCs w:val="0"/>
        </w:rPr>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p>
      <w:pPr>
        <w:spacing w:line="2010" w:lineRule="exact"/>
        <w:ind w:left="114"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6029960" cy="1276350"/>
            <wp:effectExtent l="0" t="0" r="0" b="0"/>
            <wp:docPr id="29" name="image16.jpeg" descr=""/>
            <wp:cNvGraphicFramePr>
              <a:graphicFrameLocks noChangeAspect="1"/>
            </wp:cNvGraphicFramePr>
            <a:graphic>
              <a:graphicData uri="http://schemas.openxmlformats.org/drawingml/2006/picture">
                <pic:pic>
                  <pic:nvPicPr>
                    <pic:cNvPr id="30" name="image16.jpeg"/>
                    <pic:cNvPicPr/>
                  </pic:nvPicPr>
                  <pic:blipFill>
                    <a:blip r:embed="rId32" cstate="print"/>
                    <a:stretch>
                      <a:fillRect/>
                    </a:stretch>
                  </pic:blipFill>
                  <pic:spPr>
                    <a:xfrm>
                      <a:off x="0" y="0"/>
                      <a:ext cx="6029960" cy="1276350"/>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5"/>
        <w:rPr>
          <w:rFonts w:ascii="宋体" w:hAnsi="宋体" w:cs="宋体" w:eastAsia="宋体" w:hint="default"/>
          <w:b/>
          <w:bCs/>
          <w:sz w:val="7"/>
          <w:szCs w:val="7"/>
        </w:rPr>
      </w:pPr>
    </w:p>
    <w:p>
      <w:pPr>
        <w:pStyle w:val="BodyText"/>
        <w:spacing w:line="240" w:lineRule="auto" w:before="44"/>
        <w:ind w:left="113" w:right="0"/>
        <w:jc w:val="left"/>
      </w:pPr>
      <w:r>
        <w:rPr/>
        <w:t>注：按欠款方集中度，汇总或分别披露期末余额前五名的应收账款的期末余额及占应收账款期末余额合计数的比例，以及相</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应计提的坏账准备期末余额。</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因金融资产转移而终止确认的应收账款" w:id="233"/>
      <w:bookmarkEnd w:id="233"/>
      <w:r>
        <w:rPr>
          <w:b w:val="0"/>
          <w:bCs w:val="0"/>
        </w:rPr>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234"/>
      <w:bookmarkEnd w:id="234"/>
      <w:r>
        <w:rPr>
          <w:b w:val="0"/>
          <w:bCs w:val="0"/>
        </w:rPr>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072"/>
        <w:jc w:val="left"/>
      </w:pPr>
      <w:r>
        <w:rPr/>
        <w:t>其他说明： 报告期内公司无以应收款项为标的进行证券化的交易情况。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6、预付款项" w:id="235"/>
      <w:bookmarkEnd w:id="23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6"/>
      <w:bookmarkEnd w:id="236"/>
      <w:r>
        <w:rPr>
          <w:b w:val="0"/>
          <w:bCs w:val="0"/>
        </w:rPr>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11,275,769.05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8,248,803.41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478,573.56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97,700.94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78,151.23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38,427.62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32,350.03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11,832,802.71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8,417,282.00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名的预付款情况" w:id="237"/>
      <w:bookmarkEnd w:id="237"/>
      <w:r>
        <w:rPr>
          <w:b w:val="0"/>
          <w:bCs w:val="0"/>
        </w:rPr>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7"/>
          <w:szCs w:val="27"/>
        </w:rPr>
      </w:pPr>
    </w:p>
    <w:p>
      <w:pPr>
        <w:spacing w:line="2445" w:lineRule="exact"/>
        <w:ind w:left="114"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5989410" cy="1552575"/>
            <wp:effectExtent l="0" t="0" r="0" b="0"/>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33" cstate="print"/>
                    <a:stretch>
                      <a:fillRect/>
                    </a:stretch>
                  </pic:blipFill>
                  <pic:spPr>
                    <a:xfrm>
                      <a:off x="0" y="0"/>
                      <a:ext cx="5989410" cy="1552575"/>
                    </a:xfrm>
                    <a:prstGeom prst="rect">
                      <a:avLst/>
                    </a:prstGeom>
                  </pic:spPr>
                </pic:pic>
              </a:graphicData>
            </a:graphic>
          </wp:inline>
        </w:drawing>
      </w:r>
      <w:r>
        <w:rPr>
          <w:rFonts w:ascii="宋体" w:hAnsi="宋体" w:cs="宋体" w:eastAsia="宋体" w:hint="default"/>
          <w:position w:val="-48"/>
          <w:sz w:val="20"/>
          <w:szCs w:val="20"/>
        </w:rPr>
      </w:r>
    </w:p>
    <w:p>
      <w:pPr>
        <w:pStyle w:val="BodyText"/>
        <w:spacing w:line="240" w:lineRule="auto" w:before="78"/>
        <w:ind w:left="113" w:right="0"/>
        <w:jc w:val="left"/>
      </w:pPr>
      <w:r>
        <w:rPr/>
        <w:t>其他说明：</w:t>
      </w:r>
    </w:p>
    <w:p>
      <w:pPr>
        <w:pStyle w:val="BodyText"/>
        <w:spacing w:line="240" w:lineRule="auto" w:before="117"/>
        <w:ind w:left="113" w:right="0"/>
        <w:jc w:val="left"/>
      </w:pPr>
      <w:r>
        <w:rPr/>
        <w:t>报告期内预付款项中无预付持公司</w:t>
      </w:r>
      <w:r>
        <w:rPr>
          <w:spacing w:val="-46"/>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）以上表决权股份的股东单位的款项。</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7、应收利息" w:id="238"/>
      <w:bookmarkEnd w:id="238"/>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应收股利" w:id="239"/>
      <w:bookmarkEnd w:id="239"/>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9、其他应收款" w:id="240"/>
      <w:bookmarkEnd w:id="240"/>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1"/>
      <w:bookmarkEnd w:id="241"/>
      <w:r>
        <w:rPr>
          <w:b w:val="0"/>
          <w:bCs w:val="0"/>
        </w:rPr>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179,21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9,621.3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12,727,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882.16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166,49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1,739.2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78,68</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7,313,5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09.77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71,368,0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70.43</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179,21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9,621.3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12,727,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882.16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166,49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1,739.2</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78,68</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7,313,5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09.77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71,368,0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70.43</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435" w:space="4395"/>
            <w:col w:w="2060"/>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125,420,192.78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6,271,708.90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46,509,235.47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4,650,923.54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5,609,916.84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1,121,983.37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924,299.88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277,289.96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55,976.39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55,976.39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179,219,621.36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12,727,882.16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4632"/>
        <w:jc w:val="left"/>
      </w:pPr>
      <w:r>
        <w:rPr/>
        <w:t>确定该组合依据的说明： 本公司的应收款项以账龄为风险特征划分信用风险组合，确定计提比例如下：</w:t>
      </w:r>
    </w:p>
    <w:p>
      <w:pPr>
        <w:spacing w:after="0" w:line="360" w:lineRule="auto"/>
        <w:jc w:val="left"/>
        <w:sectPr>
          <w:type w:val="continuous"/>
          <w:pgSz w:w="11910" w:h="16840"/>
          <w:pgMar w:top="1100" w:bottom="1200" w:left="1020" w:right="0"/>
        </w:sectPr>
      </w:pPr>
    </w:p>
    <w:p>
      <w:pPr>
        <w:spacing w:line="240" w:lineRule="auto" w:before="13"/>
        <w:rPr>
          <w:rFonts w:ascii="宋体" w:hAnsi="宋体" w:cs="宋体" w:eastAsia="宋体" w:hint="default"/>
          <w:sz w:val="26"/>
          <w:szCs w:val="26"/>
        </w:rPr>
      </w:pPr>
    </w:p>
    <w:p>
      <w:pPr>
        <w:spacing w:line="1830" w:lineRule="exact"/>
        <w:ind w:left="114" w:right="0" w:firstLine="0"/>
        <w:rPr>
          <w:rFonts w:ascii="宋体" w:hAnsi="宋体" w:cs="宋体" w:eastAsia="宋体" w:hint="default"/>
          <w:sz w:val="20"/>
          <w:szCs w:val="20"/>
        </w:rPr>
      </w:pPr>
      <w:r>
        <w:rPr>
          <w:rFonts w:ascii="宋体" w:hAnsi="宋体" w:cs="宋体" w:eastAsia="宋体" w:hint="default"/>
          <w:position w:val="-36"/>
          <w:sz w:val="20"/>
          <w:szCs w:val="20"/>
        </w:rPr>
        <w:drawing>
          <wp:inline distT="0" distB="0" distL="0" distR="0">
            <wp:extent cx="5972810" cy="1162050"/>
            <wp:effectExtent l="0" t="0" r="0" b="0"/>
            <wp:docPr id="33" name="image18.png" descr=""/>
            <wp:cNvGraphicFramePr>
              <a:graphicFrameLocks noChangeAspect="1"/>
            </wp:cNvGraphicFramePr>
            <a:graphic>
              <a:graphicData uri="http://schemas.openxmlformats.org/drawingml/2006/picture">
                <pic:pic>
                  <pic:nvPicPr>
                    <pic:cNvPr id="34" name="image18.png"/>
                    <pic:cNvPicPr/>
                  </pic:nvPicPr>
                  <pic:blipFill>
                    <a:blip r:embed="rId34" cstate="print"/>
                    <a:stretch>
                      <a:fillRect/>
                    </a:stretch>
                  </pic:blipFill>
                  <pic:spPr>
                    <a:xfrm>
                      <a:off x="0" y="0"/>
                      <a:ext cx="5972810" cy="1162050"/>
                    </a:xfrm>
                    <a:prstGeom prst="rect">
                      <a:avLst/>
                    </a:prstGeom>
                  </pic:spPr>
                </pic:pic>
              </a:graphicData>
            </a:graphic>
          </wp:inline>
        </w:drawing>
      </w:r>
      <w:r>
        <w:rPr>
          <w:rFonts w:ascii="宋体" w:hAnsi="宋体" w:cs="宋体" w:eastAsia="宋体" w:hint="default"/>
          <w:position w:val="-36"/>
          <w:sz w:val="20"/>
          <w:szCs w:val="20"/>
        </w:rPr>
      </w:r>
    </w:p>
    <w:p>
      <w:pPr>
        <w:spacing w:line="240" w:lineRule="auto" w:before="1"/>
        <w:rPr>
          <w:rFonts w:ascii="宋体" w:hAnsi="宋体" w:cs="宋体" w:eastAsia="宋体" w:hint="default"/>
          <w:sz w:val="26"/>
          <w:szCs w:val="26"/>
        </w:rPr>
      </w:pPr>
    </w:p>
    <w:p>
      <w:pPr>
        <w:pStyle w:val="BodyText"/>
        <w:spacing w:line="240" w:lineRule="auto" w:before="44"/>
        <w:ind w:left="113" w:right="0"/>
        <w:jc w:val="left"/>
      </w:pPr>
      <w:r>
        <w:rPr/>
        <w:t>组合中，采用余额百分比法计提坏账准备的其他应收款：</w:t>
      </w:r>
    </w:p>
    <w:p>
      <w:pPr>
        <w:pStyle w:val="BodyText"/>
        <w:spacing w:line="357" w:lineRule="auto" w:before="117"/>
        <w:ind w:right="6612"/>
        <w:jc w:val="left"/>
      </w:pPr>
      <w:r>
        <w:rPr/>
        <w:t>□ 适用 √ 不适用 组合中，采用其他方法计提坏账准备的其他应收款：</w:t>
      </w:r>
    </w:p>
    <w:p>
      <w:pPr>
        <w:pStyle w:val="BodyText"/>
        <w:spacing w:line="240" w:lineRule="auto" w:before="28"/>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42"/>
      <w:bookmarkEnd w:id="242"/>
      <w:r>
        <w:rPr>
          <w:b w:val="0"/>
          <w:bCs w:val="0"/>
        </w:rPr>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5,414,623.52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left="113" w:right="0"/>
        <w:jc w:val="left"/>
        <w:rPr>
          <w:b w:val="0"/>
          <w:bCs w:val="0"/>
        </w:rPr>
      </w:pPr>
      <w:bookmarkStart w:name="3）本期实际核销的其他应收款情况" w:id="243"/>
      <w:bookmarkEnd w:id="243"/>
      <w:r>
        <w:rPr>
          <w:b w:val="0"/>
          <w:bCs w:val="0"/>
        </w:rPr>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4）其他应收款按款项性质分类情况" w:id="244"/>
      <w:bookmarkEnd w:id="244"/>
      <w:r>
        <w:rPr>
          <w:b w:val="0"/>
          <w:bCs w:val="0"/>
        </w:rPr>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1,815,712.20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1,862,133.52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175,144,915.55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74,632,918.55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1,106,648.07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1,445,675.79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1,152,345.54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740,852.34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179,219,621.36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78,681,580.20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45"/>
      <w:bookmarkEnd w:id="245"/>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8"/>
                <w:sz w:val="18"/>
                <w:szCs w:val="18"/>
              </w:rPr>
              <w:t>重庆城建控股（集</w:t>
            </w:r>
            <w:r>
              <w:rPr>
                <w:rFonts w:ascii="宋体" w:hAnsi="宋体" w:cs="宋体" w:eastAsia="宋体" w:hint="default"/>
                <w:sz w:val="18"/>
                <w:szCs w:val="18"/>
              </w:rPr>
              <w:t> </w:t>
            </w:r>
            <w:r>
              <w:rPr>
                <w:rFonts w:ascii="宋体" w:hAnsi="宋体" w:cs="宋体" w:eastAsia="宋体" w:hint="default"/>
                <w:spacing w:val="-8"/>
                <w:sz w:val="18"/>
                <w:szCs w:val="18"/>
              </w:rPr>
              <w:t>团）有限责任公司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31,460,000.00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1,573,000.00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8"/>
              <w:jc w:val="both"/>
              <w:rPr>
                <w:rFonts w:ascii="宋体" w:hAnsi="宋体" w:cs="宋体" w:eastAsia="宋体" w:hint="default"/>
                <w:sz w:val="18"/>
                <w:szCs w:val="18"/>
              </w:rPr>
            </w:pPr>
            <w:r>
              <w:rPr>
                <w:rFonts w:ascii="宋体" w:hAnsi="宋体" w:cs="宋体" w:eastAsia="宋体" w:hint="default"/>
                <w:sz w:val="18"/>
                <w:szCs w:val="18"/>
              </w:rPr>
              <w:t>重庆商社润物现 代农业开发有限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67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莱芜市雪野湖旅 游产业发展有限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重庆国能投资开 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9"/>
              <w:jc w:val="both"/>
              <w:rPr>
                <w:rFonts w:ascii="宋体" w:hAnsi="宋体" w:cs="宋体" w:eastAsia="宋体" w:hint="default"/>
                <w:sz w:val="18"/>
                <w:szCs w:val="18"/>
              </w:rPr>
            </w:pPr>
            <w:r>
              <w:rPr>
                <w:rFonts w:ascii="宋体" w:hAnsi="宋体" w:cs="宋体" w:eastAsia="宋体" w:hint="default"/>
                <w:sz w:val="18"/>
                <w:szCs w:val="18"/>
              </w:rPr>
              <w:t>陕西省通达公路 建设集团有限责 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123,460,000.00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8,273,000.00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46"/>
      <w:bookmarkEnd w:id="246"/>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因金融资产转移而终止确认的其他应收款" w:id="247"/>
      <w:bookmarkEnd w:id="247"/>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248"/>
      <w:bookmarkEnd w:id="248"/>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240" w:lineRule="auto" w:before="117"/>
        <w:ind w:right="0"/>
        <w:jc w:val="left"/>
      </w:pPr>
      <w:r>
        <w:rPr/>
        <w:t>（</w:t>
      </w:r>
      <w:r>
        <w:rPr>
          <w:rFonts w:ascii="Times New Roman" w:hAnsi="Times New Roman" w:cs="Times New Roman" w:eastAsia="Times New Roman" w:hint="default"/>
        </w:rPr>
        <w:t>1</w:t>
      </w:r>
      <w:r>
        <w:rPr/>
        <w:t>）期末无单项金额重大或虽不重大但单独进行减值测试的其他应收款。</w:t>
      </w:r>
    </w:p>
    <w:p>
      <w:pPr>
        <w:pStyle w:val="BodyText"/>
        <w:spacing w:line="240" w:lineRule="auto" w:before="102"/>
        <w:ind w:left="113" w:right="0"/>
        <w:jc w:val="left"/>
      </w:pPr>
      <w:r>
        <w:rPr/>
        <w:t>（</w:t>
      </w:r>
      <w:r>
        <w:rPr>
          <w:rFonts w:ascii="Times New Roman" w:hAnsi="Times New Roman" w:cs="Times New Roman" w:eastAsia="Times New Roman" w:hint="default"/>
        </w:rPr>
        <w:t>2</w:t>
      </w:r>
      <w:r>
        <w:rPr/>
        <w:t>）报告期内公司无终止确认的其他应收款的情况。</w:t>
      </w:r>
    </w:p>
    <w:p>
      <w:pPr>
        <w:pStyle w:val="BodyText"/>
        <w:spacing w:line="240" w:lineRule="auto" w:before="102"/>
        <w:ind w:right="0"/>
        <w:jc w:val="left"/>
      </w:pPr>
      <w:r>
        <w:rPr/>
        <w:t>（</w:t>
      </w:r>
      <w:r>
        <w:rPr>
          <w:rFonts w:ascii="Times New Roman" w:hAnsi="Times New Roman" w:cs="Times New Roman" w:eastAsia="Times New Roman" w:hint="default"/>
        </w:rPr>
        <w:t>3</w:t>
      </w:r>
      <w:r>
        <w:rPr/>
        <w:t>）报告期内公司无以其他应收款进行证券化的交易情况。</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0、存货" w:id="249"/>
      <w:bookmarkEnd w:id="249"/>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50"/>
      <w:bookmarkEnd w:id="250"/>
      <w:r>
        <w:rPr>
          <w:b w:val="0"/>
          <w:bCs w:val="0"/>
        </w:rPr>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56,873,400.19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56,873,400.19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76,823,198.40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76,823,198.40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21,833,764.94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21,833,764.94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13,384,383.67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13,384,383.67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119,945,254.31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2,326,190.99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117,619,063.32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117,441,960.35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707,330.55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116,734,629.80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1,208,029.19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1,208,029.19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823,977.97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823,977.97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5,310,660.00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5,310,660.00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7,073,060.00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7,073,060.00</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594,424,275.64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594,424,275.64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530,146,030.75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530,146,030.75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799,595,384.27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2,326,190.99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797,269,193.28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745,692,611.14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707,330.55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744,985,280.59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51"/>
      <w:bookmarkEnd w:id="251"/>
      <w:r>
        <w:rPr>
          <w:b w:val="0"/>
          <w:bCs w:val="0"/>
        </w:rPr>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707,330.55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1,969,804.57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350,944.13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2,326,190.99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707,330.55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1,969,804.57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350,944.13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2,326,190.99</w:t>
            </w:r>
          </w:p>
        </w:tc>
      </w:tr>
    </w:tbl>
    <w:p>
      <w:pPr>
        <w:spacing w:line="240" w:lineRule="auto" w:before="10"/>
        <w:rPr>
          <w:rFonts w:ascii="宋体" w:hAnsi="宋体" w:cs="宋体" w:eastAsia="宋体" w:hint="default"/>
          <w:sz w:val="25"/>
          <w:szCs w:val="25"/>
        </w:rPr>
      </w:pPr>
    </w:p>
    <w:p>
      <w:pPr>
        <w:spacing w:line="885" w:lineRule="exact"/>
        <w:ind w:left="114" w:right="0" w:firstLine="0"/>
        <w:rPr>
          <w:rFonts w:ascii="宋体" w:hAnsi="宋体" w:cs="宋体" w:eastAsia="宋体" w:hint="default"/>
          <w:sz w:val="20"/>
          <w:szCs w:val="20"/>
        </w:rPr>
      </w:pPr>
      <w:r>
        <w:rPr>
          <w:rFonts w:ascii="宋体" w:hAnsi="宋体" w:cs="宋体" w:eastAsia="宋体" w:hint="default"/>
          <w:position w:val="-17"/>
          <w:sz w:val="20"/>
          <w:szCs w:val="20"/>
        </w:rPr>
        <w:drawing>
          <wp:inline distT="0" distB="0" distL="0" distR="0">
            <wp:extent cx="5969395" cy="561975"/>
            <wp:effectExtent l="0" t="0" r="0" b="0"/>
            <wp:docPr id="35" name="image19.png" descr=""/>
            <wp:cNvGraphicFramePr>
              <a:graphicFrameLocks noChangeAspect="1"/>
            </wp:cNvGraphicFramePr>
            <a:graphic>
              <a:graphicData uri="http://schemas.openxmlformats.org/drawingml/2006/picture">
                <pic:pic>
                  <pic:nvPicPr>
                    <pic:cNvPr id="36" name="image19.png"/>
                    <pic:cNvPicPr/>
                  </pic:nvPicPr>
                  <pic:blipFill>
                    <a:blip r:embed="rId35" cstate="print"/>
                    <a:stretch>
                      <a:fillRect/>
                    </a:stretch>
                  </pic:blipFill>
                  <pic:spPr>
                    <a:xfrm>
                      <a:off x="0" y="0"/>
                      <a:ext cx="5969395" cy="561975"/>
                    </a:xfrm>
                    <a:prstGeom prst="rect">
                      <a:avLst/>
                    </a:prstGeom>
                  </pic:spPr>
                </pic:pic>
              </a:graphicData>
            </a:graphic>
          </wp:inline>
        </w:drawing>
      </w:r>
      <w:r>
        <w:rPr>
          <w:rFonts w:ascii="宋体" w:hAnsi="宋体" w:cs="宋体" w:eastAsia="宋体" w:hint="default"/>
          <w:position w:val="-17"/>
          <w:sz w:val="20"/>
          <w:szCs w:val="20"/>
        </w:rPr>
      </w:r>
    </w:p>
    <w:p>
      <w:pPr>
        <w:spacing w:line="240" w:lineRule="auto" w:before="2"/>
        <w:rPr>
          <w:rFonts w:ascii="宋体" w:hAnsi="宋体" w:cs="宋体" w:eastAsia="宋体" w:hint="default"/>
          <w:sz w:val="21"/>
          <w:szCs w:val="21"/>
        </w:rPr>
      </w:pPr>
    </w:p>
    <w:p>
      <w:pPr>
        <w:pStyle w:val="Heading3"/>
        <w:spacing w:line="240" w:lineRule="auto" w:before="35"/>
        <w:ind w:left="113" w:right="0"/>
        <w:jc w:val="left"/>
        <w:rPr>
          <w:b w:val="0"/>
          <w:bCs w:val="0"/>
        </w:rPr>
      </w:pPr>
      <w:bookmarkStart w:name="3）存货期末余额含有借款费用资本化金额的说明" w:id="252"/>
      <w:bookmarkEnd w:id="252"/>
      <w:r>
        <w:rPr>
          <w:b w:val="0"/>
          <w:bCs w:val="0"/>
        </w:rPr>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存货期末余额中无利息资本化金额。</w:t>
      </w:r>
    </w:p>
    <w:p>
      <w:pPr>
        <w:spacing w:line="240" w:lineRule="auto" w:before="11"/>
        <w:rPr>
          <w:rFonts w:ascii="宋体" w:hAnsi="宋体" w:cs="宋体" w:eastAsia="宋体" w:hint="default"/>
          <w:sz w:val="26"/>
          <w:szCs w:val="26"/>
        </w:rPr>
      </w:pPr>
    </w:p>
    <w:p>
      <w:pPr>
        <w:pStyle w:val="Heading3"/>
        <w:spacing w:line="240" w:lineRule="auto"/>
        <w:ind w:left="113" w:right="0"/>
        <w:jc w:val="left"/>
        <w:rPr>
          <w:b w:val="0"/>
          <w:bCs w:val="0"/>
        </w:rPr>
      </w:pPr>
      <w:bookmarkStart w:name="4）期末建造合同形成的已完工未结算资产情况" w:id="253"/>
      <w:bookmarkEnd w:id="253"/>
      <w:r>
        <w:rPr>
          <w:b w:val="0"/>
          <w:bCs w:val="0"/>
        </w:rPr>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5"/>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1,435,542,066.40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582,129,159.76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1,423,246,950.52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594,424,275.64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划分为持有待售的资产" w:id="254"/>
      <w:bookmarkEnd w:id="254"/>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2、一年内到期的非流动资产" w:id="255"/>
      <w:bookmarkEnd w:id="255"/>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120,247.52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705,828.72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120,247.52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705,828.72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3、其他流动资产" w:id="256"/>
      <w:bookmarkEnd w:id="256"/>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135,872.55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27,439,449.57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2,555,238.70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1,414,155.92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6,027,758.01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8,718,869.26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28,853,605.49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4、可供出售金融资产" w:id="257"/>
      <w:bookmarkEnd w:id="257"/>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可供出售金融资产情况" w:id="258"/>
      <w:bookmarkEnd w:id="258"/>
      <w:r>
        <w:rPr>
          <w:b w:val="0"/>
          <w:bCs w:val="0"/>
        </w:rPr>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10,550,000.00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10,550,000.00</w:t>
            </w:r>
          </w:p>
        </w:tc>
      </w:tr>
      <w:tr>
        <w:trPr>
          <w:trHeight w:val="715"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10,550,000.00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59"/>
      <w:bookmarkEnd w:id="259"/>
      <w:r>
        <w:rPr>
          <w:b w:val="0"/>
          <w:bCs w:val="0"/>
        </w:rPr>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期末按成本计量的可供出售金融资产" w:id="260"/>
      <w:bookmarkEnd w:id="260"/>
      <w:r>
        <w:rPr>
          <w:b w:val="0"/>
          <w:bCs w:val="0"/>
        </w:rPr>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四川融 圣投资 管理股 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四川泸 美供应 链管理 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both"/>
              <w:rPr>
                <w:rFonts w:ascii="宋体" w:hAnsi="宋体" w:cs="宋体" w:eastAsia="宋体" w:hint="default"/>
                <w:sz w:val="18"/>
                <w:szCs w:val="18"/>
              </w:rPr>
            </w:pPr>
            <w:r>
              <w:rPr>
                <w:rFonts w:ascii="宋体" w:hAnsi="宋体" w:cs="宋体" w:eastAsia="宋体" w:hint="default"/>
                <w:sz w:val="18"/>
                <w:szCs w:val="18"/>
              </w:rPr>
              <w:t>成都商 业银行 蒲江鹤 山分理 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10,550,0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12,050,0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5、持有至到期投资" w:id="261"/>
      <w:bookmarkEnd w:id="261"/>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6、长期应收款" w:id="262"/>
      <w:bookmarkEnd w:id="26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63"/>
      <w:bookmarkEnd w:id="263"/>
      <w:r>
        <w:rPr>
          <w:b w:val="0"/>
          <w:bCs w:val="0"/>
        </w:rPr>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15"/>
                <w:sz w:val="18"/>
                <w:szCs w:val="18"/>
              </w:rPr>
              <w:t>其中：未实</w:t>
            </w:r>
            <w:r>
              <w:rPr>
                <w:rFonts w:ascii="宋体" w:hAnsi="宋体" w:cs="宋体" w:eastAsia="宋体" w:hint="default"/>
                <w:sz w:val="18"/>
                <w:szCs w:val="18"/>
              </w:rPr>
              <w:t> 现融资收益</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8"/>
              <w:jc w:val="left"/>
              <w:rPr>
                <w:rFonts w:ascii="宋体" w:hAnsi="宋体" w:cs="宋体" w:eastAsia="宋体" w:hint="default"/>
                <w:sz w:val="18"/>
                <w:szCs w:val="18"/>
              </w:rPr>
            </w:pPr>
            <w:r>
              <w:rPr>
                <w:rFonts w:ascii="宋体" w:hAnsi="宋体" w:cs="宋体" w:eastAsia="宋体" w:hint="default"/>
                <w:sz w:val="18"/>
                <w:szCs w:val="18"/>
              </w:rPr>
              <w:t>分期收款销售 商品</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8"/>
              <w:jc w:val="left"/>
              <w:rPr>
                <w:rFonts w:ascii="宋体" w:hAnsi="宋体" w:cs="宋体" w:eastAsia="宋体" w:hint="default"/>
                <w:sz w:val="18"/>
                <w:szCs w:val="18"/>
              </w:rPr>
            </w:pPr>
            <w:r>
              <w:rPr>
                <w:rFonts w:ascii="宋体" w:hAnsi="宋体" w:cs="宋体" w:eastAsia="宋体" w:hint="default"/>
                <w:sz w:val="18"/>
                <w:szCs w:val="18"/>
              </w:rPr>
              <w:t>分期收款提供 劳务</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项目核算的 长期应收款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926,496,266.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926,496,266.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290,480,420.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03</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290,480,420.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03</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926,496,266.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926,496,266.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290,480,420.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03</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290,480,420.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03</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7、长期股权投资" w:id="264"/>
      <w:bookmarkEnd w:id="264"/>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8、投资性房地产" w:id="265"/>
      <w:bookmarkEnd w:id="265"/>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66"/>
      <w:bookmarkEnd w:id="266"/>
      <w:r>
        <w:rPr>
          <w:b w:val="0"/>
          <w:bCs w:val="0"/>
        </w:rPr>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151,580.27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239,088.00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390,668.27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3,417,547.27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506,736.00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3,924,283.27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firstLine="32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3,417,547.27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506,736.00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3,924,283.27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3,569,127.54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745,824.00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4,314,951.54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81,390.15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38,901.04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120,291.19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479,147.59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20,850.76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499,998.35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w w:val="95"/>
                <w:sz w:val="18"/>
                <w:szCs w:val="18"/>
              </w:rPr>
              <w:t>（</w:t>
            </w:r>
            <w:r>
              <w:rPr>
                <w:rFonts w:ascii="Times New Roman" w:hAnsi="Times New Roman" w:cs="Times New Roman" w:eastAsia="Times New Roman" w:hint="default"/>
                <w:spacing w:val="-1"/>
                <w:w w:val="95"/>
                <w:sz w:val="18"/>
                <w:szCs w:val="18"/>
              </w:rPr>
              <w:t>1</w:t>
            </w:r>
            <w:r>
              <w:rPr>
                <w:rFonts w:ascii="宋体" w:hAnsi="宋体" w:cs="宋体" w:eastAsia="宋体" w:hint="default"/>
                <w:spacing w:val="-1"/>
                <w:w w:val="95"/>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10,895.17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10,608.00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21,503.17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）固定资产及</w:t>
            </w:r>
            <w:r>
              <w:rPr>
                <w:rFonts w:ascii="宋体" w:hAnsi="宋体" w:cs="宋体" w:eastAsia="宋体" w:hint="default"/>
                <w:sz w:val="18"/>
                <w:szCs w:val="18"/>
              </w:rPr>
              <w:t> 无形资产转入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468,252.42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10,242.76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478,495.18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560,537.74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59,751.80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620,289.54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3,008,589.80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686,072.20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3,694,662.00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70,190.12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200,186.96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270,377.08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采用公允价值计量模式的投资性房地产" w:id="267"/>
      <w:bookmarkEnd w:id="267"/>
      <w:r>
        <w:rPr>
          <w:b w:val="0"/>
          <w:bCs w:val="0"/>
        </w:rPr>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未办妥产权证书的投资性房地产情况" w:id="268"/>
      <w:bookmarkEnd w:id="268"/>
      <w:r>
        <w:rPr>
          <w:b w:val="0"/>
          <w:bCs w:val="0"/>
        </w:rPr>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072"/>
        <w:jc w:val="left"/>
      </w:pPr>
      <w:r>
        <w:rPr/>
        <w:t>其他说明 报告期投资性房地产未发生减值情况，故未计提减值准备。</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9、固定资产" w:id="269"/>
      <w:bookmarkEnd w:id="269"/>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70"/>
      <w:bookmarkEnd w:id="270"/>
      <w:r>
        <w:rPr>
          <w:b w:val="0"/>
          <w:bCs w:val="0"/>
        </w:rPr>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347,528,816.40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536,582,385.46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20,308,100.00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24,037,069.84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928,456,371.70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27,395,226.19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81,309,487.56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3,810,715.82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3,701,653.52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116,217,083.09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3,262,998.30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77,590,423.35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3,810,715.82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3,701,653.52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88,365,790.99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24,132,227.89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3,719,064.21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27,851,292.10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3,447,582.27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66,817,770.23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3,205,421.70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733,014.40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74,203,788.60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66,817,770.23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3,205,421.70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733,014.40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70,786,241.33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2"/>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 资性房地产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3,417,547.27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3,417,547.27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371,476,460.32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551,074,102.79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20,913,394.12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27,005,708.96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970,469,666.19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28,419,083.22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130,830,508.53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10,131,943.41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8,350,518.62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177,732,053.78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9,271,430.33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57,638,164.25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2,322,786.99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3,171,427.04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72,403,808.61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9,271,430.33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57,638,164.25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2,322,786.99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3,171,427.04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72,403,808.61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497,386.37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13,465,821.33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2,567,511.22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572,159.86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17,102,878.78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29,133.95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13,465,821.33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2,567,511.22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572,159.86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16,634,626.36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 资性房地产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468,252.42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468,252.42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37,193,127.18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175,002,851.45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9,887,219.18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10,949,785.80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233,032,983.61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334,283,333.14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376,071,251.34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11,026,174.94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16,055,923.16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737,436,682.58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319,109,733.18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405,751,876.93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10,176,156.59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15,686,551.22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750,724,317.92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71"/>
      <w:bookmarkEnd w:id="271"/>
      <w:r>
        <w:rPr>
          <w:b w:val="0"/>
          <w:bCs w:val="0"/>
        </w:rPr>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11"/>
              <w:jc w:val="right"/>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79"/>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8" w:right="0"/>
              <w:jc w:val="left"/>
              <w:rPr>
                <w:rFonts w:ascii="Times New Roman" w:hAnsi="Times New Roman" w:cs="Times New Roman" w:eastAsia="Times New Roman" w:hint="default"/>
                <w:sz w:val="18"/>
                <w:szCs w:val="18"/>
              </w:rPr>
            </w:pPr>
            <w:r>
              <w:rPr>
                <w:rFonts w:ascii="Times New Roman"/>
                <w:sz w:val="18"/>
              </w:rPr>
              <w:t>20,751,378.33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6" w:right="0"/>
              <w:jc w:val="left"/>
              <w:rPr>
                <w:rFonts w:ascii="Times New Roman" w:hAnsi="Times New Roman" w:cs="Times New Roman" w:eastAsia="Times New Roman" w:hint="default"/>
                <w:sz w:val="18"/>
                <w:szCs w:val="18"/>
              </w:rPr>
            </w:pPr>
            <w:r>
              <w:rPr>
                <w:rFonts w:ascii="Times New Roman"/>
                <w:sz w:val="18"/>
              </w:rPr>
              <w:t>1,972,483.91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18,778,894.42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3）通过融资租赁租入的固定资产情况" w:id="272"/>
      <w:bookmarkEnd w:id="272"/>
      <w:r>
        <w:rPr>
          <w:b w:val="0"/>
          <w:bCs w:val="0"/>
        </w:rPr>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通过经营租赁租出的固定资产" w:id="273"/>
      <w:bookmarkEnd w:id="273"/>
      <w:r>
        <w:rPr>
          <w:b w:val="0"/>
          <w:bCs w:val="0"/>
        </w:rPr>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铝板厂、模具厂厂房</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3,008,589.80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74"/>
      <w:bookmarkEnd w:id="274"/>
      <w:r>
        <w:rPr>
          <w:b w:val="0"/>
          <w:bCs w:val="0"/>
        </w:rPr>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瓶盖厂新车间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18,146,737.88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新研发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9,916,891.60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新招待所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12,796,719.03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新办公大楼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36,857,153.49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中盛国际接待中心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6,039,162.00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海川制盖</w:t>
            </w:r>
            <w:r>
              <w:rPr>
                <w:rFonts w:ascii="Times New Roman" w:hAnsi="Times New Roman" w:cs="Times New Roman" w:eastAsia="Times New Roman" w:hint="default"/>
                <w:sz w:val="18"/>
                <w:szCs w:val="18"/>
              </w:rPr>
              <w:t>-</w:t>
            </w:r>
            <w:r>
              <w:rPr>
                <w:rFonts w:ascii="宋体" w:hAnsi="宋体" w:cs="宋体" w:eastAsia="宋体" w:hint="default"/>
                <w:sz w:val="18"/>
                <w:szCs w:val="18"/>
              </w:rPr>
              <w:t>科技园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2,918,137.44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海川制盖</w:t>
            </w:r>
            <w:r>
              <w:rPr>
                <w:rFonts w:ascii="Times New Roman" w:hAnsi="Times New Roman" w:cs="Times New Roman" w:eastAsia="Times New Roman" w:hint="default"/>
                <w:sz w:val="18"/>
                <w:szCs w:val="18"/>
              </w:rPr>
              <w:t>-</w:t>
            </w:r>
            <w:r>
              <w:rPr>
                <w:rFonts w:ascii="宋体" w:hAnsi="宋体" w:cs="宋体" w:eastAsia="宋体" w:hint="default"/>
                <w:sz w:val="18"/>
                <w:szCs w:val="18"/>
              </w:rPr>
              <w:t>楼房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7,810,774.35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泸州丽鹏</w:t>
            </w:r>
            <w:r>
              <w:rPr>
                <w:rFonts w:ascii="Times New Roman" w:hAnsi="Times New Roman" w:cs="Times New Roman" w:eastAsia="Times New Roman" w:hint="default"/>
                <w:sz w:val="18"/>
                <w:szCs w:val="18"/>
              </w:rPr>
              <w:t>-</w:t>
            </w:r>
            <w:r>
              <w:rPr>
                <w:rFonts w:ascii="宋体" w:hAnsi="宋体" w:cs="宋体" w:eastAsia="宋体" w:hint="default"/>
                <w:sz w:val="18"/>
                <w:szCs w:val="18"/>
              </w:rPr>
              <w:t>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17,855,914.58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泸州丽鹏</w:t>
            </w:r>
            <w:r>
              <w:rPr>
                <w:rFonts w:ascii="Times New Roman" w:hAnsi="Times New Roman" w:cs="Times New Roman" w:eastAsia="Times New Roman" w:hint="default"/>
                <w:sz w:val="18"/>
                <w:szCs w:val="18"/>
              </w:rPr>
              <w:t>-</w:t>
            </w:r>
            <w:r>
              <w:rPr>
                <w:rFonts w:ascii="宋体" w:hAnsi="宋体" w:cs="宋体" w:eastAsia="宋体" w:hint="default"/>
                <w:sz w:val="18"/>
                <w:szCs w:val="18"/>
              </w:rPr>
              <w:t>套房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1,463,210.23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泸州丽鹏</w:t>
            </w:r>
            <w:r>
              <w:rPr>
                <w:rFonts w:ascii="Times New Roman" w:hAnsi="Times New Roman" w:cs="Times New Roman" w:eastAsia="Times New Roman" w:hint="default"/>
                <w:sz w:val="18"/>
                <w:szCs w:val="18"/>
              </w:rPr>
              <w:t>-</w:t>
            </w:r>
            <w:r>
              <w:rPr>
                <w:rFonts w:ascii="宋体" w:hAnsi="宋体" w:cs="宋体" w:eastAsia="宋体" w:hint="default"/>
                <w:sz w:val="18"/>
                <w:szCs w:val="18"/>
              </w:rPr>
              <w:t>员工宿舍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2,907,380.75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亳州丽鹏</w:t>
            </w:r>
            <w:r>
              <w:rPr>
                <w:rFonts w:ascii="Times New Roman" w:hAnsi="Times New Roman" w:cs="Times New Roman" w:eastAsia="Times New Roman" w:hint="default"/>
                <w:sz w:val="18"/>
                <w:szCs w:val="18"/>
              </w:rPr>
              <w:t>-</w:t>
            </w:r>
            <w:r>
              <w:rPr>
                <w:rFonts w:ascii="宋体" w:hAnsi="宋体" w:cs="宋体" w:eastAsia="宋体" w:hint="default"/>
                <w:sz w:val="18"/>
                <w:szCs w:val="18"/>
              </w:rPr>
              <w:t>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31,937,618.14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亳州丽鹏</w:t>
            </w:r>
            <w:r>
              <w:rPr>
                <w:rFonts w:ascii="Times New Roman" w:hAnsi="Times New Roman" w:cs="Times New Roman" w:eastAsia="Times New Roman" w:hint="default"/>
                <w:sz w:val="18"/>
                <w:szCs w:val="18"/>
              </w:rPr>
              <w:t>-</w:t>
            </w:r>
            <w:r>
              <w:rPr>
                <w:rFonts w:ascii="宋体" w:hAnsi="宋体" w:cs="宋体" w:eastAsia="宋体" w:hint="default"/>
                <w:sz w:val="18"/>
                <w:szCs w:val="18"/>
              </w:rPr>
              <w:t>仓库</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16,827,373.43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亳州丽鹏</w:t>
            </w:r>
            <w:r>
              <w:rPr>
                <w:rFonts w:ascii="Times New Roman" w:hAnsi="Times New Roman" w:cs="Times New Roman" w:eastAsia="Times New Roman" w:hint="default"/>
                <w:sz w:val="18"/>
                <w:szCs w:val="18"/>
              </w:rPr>
              <w:t>-</w:t>
            </w:r>
            <w:r>
              <w:rPr>
                <w:rFonts w:ascii="宋体" w:hAnsi="宋体" w:cs="宋体" w:eastAsia="宋体" w:hint="default"/>
                <w:sz w:val="18"/>
                <w:szCs w:val="18"/>
              </w:rPr>
              <w:t>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11,516,351.19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亳州丽鹏</w:t>
            </w:r>
            <w:r>
              <w:rPr>
                <w:rFonts w:ascii="Times New Roman" w:hAnsi="Times New Roman" w:cs="Times New Roman" w:eastAsia="Times New Roman" w:hint="default"/>
                <w:sz w:val="18"/>
                <w:szCs w:val="18"/>
              </w:rPr>
              <w:t>-</w:t>
            </w:r>
            <w:r>
              <w:rPr>
                <w:rFonts w:ascii="宋体" w:hAnsi="宋体" w:cs="宋体" w:eastAsia="宋体" w:hint="default"/>
                <w:sz w:val="18"/>
                <w:szCs w:val="18"/>
              </w:rPr>
              <w:t>职工食堂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2,382,053.29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大冶劲鹏</w:t>
            </w:r>
            <w:r>
              <w:rPr>
                <w:rFonts w:ascii="Times New Roman" w:hAnsi="Times New Roman" w:cs="Times New Roman" w:eastAsia="Times New Roman" w:hint="default"/>
                <w:sz w:val="18"/>
                <w:szCs w:val="18"/>
              </w:rPr>
              <w:t>-</w:t>
            </w:r>
            <w:r>
              <w:rPr>
                <w:rFonts w:ascii="宋体" w:hAnsi="宋体" w:cs="宋体" w:eastAsia="宋体" w:hint="default"/>
                <w:sz w:val="18"/>
                <w:szCs w:val="18"/>
              </w:rPr>
              <w:t>房屋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13,865,441.65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193,240,919.05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6"/>
        <w:ind w:left="11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日，公司账面原值</w:t>
      </w:r>
      <w:r>
        <w:rPr>
          <w:spacing w:val="-46"/>
        </w:rPr>
        <w:t> </w:t>
      </w:r>
      <w:r>
        <w:rPr>
          <w:rFonts w:ascii="Times New Roman" w:hAnsi="Times New Roman" w:cs="Times New Roman" w:eastAsia="Times New Roman" w:hint="default"/>
        </w:rPr>
        <w:t>20,475,973.18 </w:t>
      </w:r>
      <w:r>
        <w:rPr/>
        <w:t>元的房屋建筑物已设定抵押。</w:t>
      </w:r>
    </w:p>
    <w:p>
      <w:pPr>
        <w:pStyle w:val="BodyText"/>
        <w:spacing w:line="240" w:lineRule="auto" w:before="103"/>
        <w:ind w:left="113" w:right="0"/>
        <w:jc w:val="left"/>
      </w:pPr>
      <w:r>
        <w:rPr/>
        <w:t>（</w:t>
      </w:r>
      <w:r>
        <w:rPr>
          <w:rFonts w:ascii="Times New Roman" w:hAnsi="Times New Roman" w:cs="Times New Roman" w:eastAsia="Times New Roman" w:hint="default"/>
        </w:rPr>
        <w:t>2</w:t>
      </w:r>
      <w:r>
        <w:rPr/>
        <w:t>）报告期公司固定资产未发生减值情况</w:t>
      </w:r>
      <w:r>
        <w:rPr>
          <w:rFonts w:ascii="Times New Roman" w:hAnsi="Times New Roman" w:cs="Times New Roman" w:eastAsia="Times New Roman" w:hint="default"/>
        </w:rPr>
        <w:t>,</w:t>
      </w:r>
      <w:r>
        <w:rPr/>
        <w:t>故未计提减值准备。</w:t>
      </w:r>
    </w:p>
    <w:p>
      <w:pPr>
        <w:pStyle w:val="BodyText"/>
        <w:spacing w:line="240" w:lineRule="auto" w:before="102"/>
        <w:ind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年度在建工程转入增加固定资产原值为</w:t>
      </w:r>
      <w:r>
        <w:rPr>
          <w:spacing w:val="-47"/>
        </w:rPr>
        <w:t> </w:t>
      </w:r>
      <w:r>
        <w:rPr>
          <w:rFonts w:ascii="Times New Roman" w:hAnsi="Times New Roman" w:cs="Times New Roman" w:eastAsia="Times New Roman" w:hint="default"/>
        </w:rPr>
        <w:t>27,851,292.10</w:t>
      </w:r>
      <w:r>
        <w:rPr>
          <w:rFonts w:ascii="Times New Roman" w:hAnsi="Times New Roman" w:cs="Times New Roman" w:eastAsia="Times New Roman" w:hint="default"/>
          <w:spacing w:val="-1"/>
        </w:rPr>
        <w:t> </w:t>
      </w:r>
      <w:r>
        <w:rPr/>
        <w:t>元。</w:t>
      </w:r>
    </w:p>
    <w:p>
      <w:pPr>
        <w:pStyle w:val="BodyText"/>
        <w:spacing w:line="240" w:lineRule="auto" w:before="102"/>
        <w:ind w:left="113" w:right="0"/>
        <w:jc w:val="left"/>
      </w:pPr>
      <w:r>
        <w:rPr/>
        <w:t>（</w:t>
      </w:r>
      <w:r>
        <w:rPr>
          <w:rFonts w:ascii="Times New Roman" w:hAnsi="Times New Roman" w:cs="Times New Roman" w:eastAsia="Times New Roman" w:hint="default"/>
        </w:rPr>
        <w:t>4</w:t>
      </w:r>
      <w:r>
        <w:rPr/>
        <w:t>）报告期公司无通过融资租赁租入的固定资产情况。</w:t>
      </w:r>
    </w:p>
    <w:p>
      <w:pPr>
        <w:pStyle w:val="BodyText"/>
        <w:spacing w:line="240" w:lineRule="auto" w:before="103"/>
        <w:ind w:right="0"/>
        <w:jc w:val="left"/>
      </w:pPr>
      <w:r>
        <w:rPr/>
        <w:t>（</w:t>
      </w:r>
      <w:r>
        <w:rPr>
          <w:rFonts w:ascii="Times New Roman" w:hAnsi="Times New Roman" w:cs="Times New Roman" w:eastAsia="Times New Roman" w:hint="default"/>
        </w:rPr>
        <w:t>5</w:t>
      </w:r>
      <w:r>
        <w:rPr/>
        <w:t>）售后回租固定资产情况：</w:t>
      </w:r>
    </w:p>
    <w:p>
      <w:pPr>
        <w:spacing w:line="240" w:lineRule="auto" w:before="12"/>
        <w:rPr>
          <w:rFonts w:ascii="宋体" w:hAnsi="宋体" w:cs="宋体" w:eastAsia="宋体" w:hint="default"/>
          <w:sz w:val="17"/>
          <w:szCs w:val="17"/>
        </w:rPr>
      </w:pPr>
    </w:p>
    <w:p>
      <w:pPr>
        <w:spacing w:line="645" w:lineRule="exact"/>
        <w:ind w:left="114" w:right="0" w:firstLine="0"/>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5943599" cy="409575"/>
            <wp:effectExtent l="0" t="0" r="0" b="0"/>
            <wp:docPr id="37" name="image20.png" descr=""/>
            <wp:cNvGraphicFramePr>
              <a:graphicFrameLocks noChangeAspect="1"/>
            </wp:cNvGraphicFramePr>
            <a:graphic>
              <a:graphicData uri="http://schemas.openxmlformats.org/drawingml/2006/picture">
                <pic:pic>
                  <pic:nvPicPr>
                    <pic:cNvPr id="38" name="image20.png"/>
                    <pic:cNvPicPr/>
                  </pic:nvPicPr>
                  <pic:blipFill>
                    <a:blip r:embed="rId36" cstate="print"/>
                    <a:stretch>
                      <a:fillRect/>
                    </a:stretch>
                  </pic:blipFill>
                  <pic:spPr>
                    <a:xfrm>
                      <a:off x="0" y="0"/>
                      <a:ext cx="5943599" cy="409575"/>
                    </a:xfrm>
                    <a:prstGeom prst="rect">
                      <a:avLst/>
                    </a:prstGeom>
                  </pic:spPr>
                </pic:pic>
              </a:graphicData>
            </a:graphic>
          </wp:inline>
        </w:drawing>
      </w:r>
      <w:r>
        <w:rPr>
          <w:rFonts w:ascii="宋体" w:hAnsi="宋体" w:cs="宋体" w:eastAsia="宋体" w:hint="default"/>
          <w:position w:val="-12"/>
          <w:sz w:val="20"/>
          <w:szCs w:val="20"/>
        </w:rPr>
      </w:r>
    </w:p>
    <w:p>
      <w:pPr>
        <w:spacing w:after="0" w:line="645" w:lineRule="exact"/>
        <w:rPr>
          <w:rFonts w:ascii="宋体" w:hAnsi="宋体" w:cs="宋体" w:eastAsia="宋体" w:hint="default"/>
          <w:sz w:val="20"/>
          <w:szCs w:val="20"/>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0、在建工程" w:id="275"/>
      <w:bookmarkEnd w:id="275"/>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76"/>
      <w:bookmarkEnd w:id="276"/>
      <w:r>
        <w:rPr>
          <w:b w:val="0"/>
          <w:bCs w:val="0"/>
        </w:rPr>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铝塑厂新喷涂 车间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3,486,420.00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3,486,420.00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87,657.00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87,657.00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设备安装工程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895,150.00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895,150.00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4,229,064.21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4,229,064.21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光伏大棚光伏 发电项目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124,339.62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124,339.62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新招待所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8,604,388.70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8,604,388.70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5,411,570.00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5,411,570.00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13,045,449.53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13,045,449.53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77"/>
      <w:bookmarkEnd w:id="277"/>
      <w:r>
        <w:rPr>
          <w:b w:val="0"/>
          <w:bCs w:val="0"/>
        </w:rPr>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7"/>
              <w:jc w:val="both"/>
              <w:rPr>
                <w:rFonts w:ascii="宋体" w:hAnsi="宋体" w:cs="宋体" w:eastAsia="宋体" w:hint="default"/>
                <w:sz w:val="18"/>
                <w:szCs w:val="18"/>
              </w:rPr>
            </w:pPr>
            <w:r>
              <w:rPr>
                <w:rFonts w:ascii="宋体" w:hAnsi="宋体" w:cs="宋体" w:eastAsia="宋体" w:hint="default"/>
                <w:sz w:val="18"/>
                <w:szCs w:val="18"/>
              </w:rPr>
              <w:t>亳州 厂房 翻新</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1,067,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358.98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1,067,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358.98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7"/>
              <w:jc w:val="both"/>
              <w:rPr>
                <w:rFonts w:ascii="宋体" w:hAnsi="宋体" w:cs="宋体" w:eastAsia="宋体" w:hint="default"/>
                <w:sz w:val="18"/>
                <w:szCs w:val="18"/>
              </w:rPr>
            </w:pPr>
            <w:r>
              <w:rPr>
                <w:rFonts w:ascii="宋体" w:hAnsi="宋体" w:cs="宋体" w:eastAsia="宋体" w:hint="default"/>
                <w:sz w:val="18"/>
                <w:szCs w:val="18"/>
              </w:rPr>
              <w:t>铝塑 厂新 喷涂 车间</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3,486,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420.00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3,486,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420.00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7"/>
              <w:jc w:val="both"/>
              <w:rPr>
                <w:rFonts w:ascii="宋体" w:hAnsi="宋体" w:cs="宋体" w:eastAsia="宋体" w:hint="default"/>
                <w:sz w:val="18"/>
                <w:szCs w:val="18"/>
              </w:rPr>
            </w:pPr>
            <w:r>
              <w:rPr>
                <w:rFonts w:ascii="宋体" w:hAnsi="宋体" w:cs="宋体" w:eastAsia="宋体" w:hint="default"/>
                <w:sz w:val="18"/>
                <w:szCs w:val="18"/>
              </w:rPr>
              <w:t>其他 零星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87,657</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4,296,</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963.96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3,354,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620.96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1,030,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257"/>
              <w:jc w:val="both"/>
              <w:rPr>
                <w:rFonts w:ascii="宋体" w:hAnsi="宋体" w:cs="宋体" w:eastAsia="宋体" w:hint="default"/>
                <w:sz w:val="18"/>
                <w:szCs w:val="18"/>
              </w:rPr>
            </w:pPr>
            <w:r>
              <w:rPr>
                <w:rFonts w:ascii="宋体" w:hAnsi="宋体" w:cs="宋体" w:eastAsia="宋体" w:hint="default"/>
                <w:sz w:val="18"/>
                <w:szCs w:val="18"/>
              </w:rPr>
              <w:t>设备 安装 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4,229,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064.21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385,15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3,719,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064.21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895,15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57"/>
              <w:jc w:val="left"/>
              <w:rPr>
                <w:rFonts w:ascii="宋体" w:hAnsi="宋体" w:cs="宋体" w:eastAsia="宋体" w:hint="default"/>
                <w:sz w:val="18"/>
                <w:szCs w:val="18"/>
              </w:rPr>
            </w:pPr>
            <w:r>
              <w:rPr>
                <w:rFonts w:ascii="宋体" w:hAnsi="宋体" w:cs="宋体" w:eastAsia="宋体" w:hint="default"/>
                <w:sz w:val="18"/>
                <w:szCs w:val="18"/>
              </w:rPr>
              <w:t>职工 公寓</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2,527,</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589.51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2,527,</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589.51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57"/>
              <w:jc w:val="left"/>
              <w:rPr>
                <w:rFonts w:ascii="宋体" w:hAnsi="宋体" w:cs="宋体" w:eastAsia="宋体" w:hint="default"/>
                <w:sz w:val="18"/>
                <w:szCs w:val="18"/>
              </w:rPr>
            </w:pPr>
            <w:r>
              <w:rPr>
                <w:rFonts w:ascii="宋体" w:hAnsi="宋体" w:cs="宋体" w:eastAsia="宋体" w:hint="default"/>
                <w:sz w:val="18"/>
                <w:szCs w:val="18"/>
              </w:rPr>
              <w:t>改扩 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新建 停车 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659,12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659,12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光伏 大棚 光伏 发电 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124,33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11,956</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136,29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5.62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南厂 区传 达室</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698,44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698,44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办公 楼党 建办 改建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945,93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945,93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瓶盖 厂南 车间</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438.27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438.27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57"/>
              <w:jc w:val="left"/>
              <w:rPr>
                <w:rFonts w:ascii="宋体" w:hAnsi="宋体" w:cs="宋体" w:eastAsia="宋体" w:hint="default"/>
                <w:sz w:val="18"/>
                <w:szCs w:val="18"/>
              </w:rPr>
            </w:pPr>
            <w:r>
              <w:rPr>
                <w:rFonts w:ascii="宋体" w:hAnsi="宋体" w:cs="宋体" w:eastAsia="宋体" w:hint="default"/>
                <w:sz w:val="18"/>
                <w:szCs w:val="18"/>
              </w:rPr>
              <w:t>新招 待所</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8,604,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388.70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4,355,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326.42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12,959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,715.1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0"/>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13,045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,449.5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20,353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,708.1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27,851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,292.1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136,29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5,411,</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570.00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78"/>
      <w:bookmarkEnd w:id="27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240" w:lineRule="auto" w:before="116"/>
        <w:ind w:right="0"/>
        <w:jc w:val="left"/>
      </w:pPr>
      <w:r>
        <w:rPr/>
        <w:t>（</w:t>
      </w:r>
      <w:r>
        <w:rPr>
          <w:rFonts w:ascii="Times New Roman" w:hAnsi="Times New Roman" w:cs="Times New Roman" w:eastAsia="Times New Roman" w:hint="default"/>
        </w:rPr>
        <w:t>1</w:t>
      </w:r>
      <w:r>
        <w:rPr/>
        <w:t>）报告期公司无借款费用资本化的情况。</w:t>
      </w:r>
    </w:p>
    <w:p>
      <w:pPr>
        <w:pStyle w:val="BodyText"/>
        <w:spacing w:line="240" w:lineRule="auto" w:before="103"/>
        <w:ind w:left="113" w:right="0"/>
        <w:jc w:val="left"/>
      </w:pPr>
      <w:r>
        <w:rPr/>
        <w:t>（</w:t>
      </w:r>
      <w:r>
        <w:rPr>
          <w:rFonts w:ascii="Times New Roman" w:hAnsi="Times New Roman" w:cs="Times New Roman" w:eastAsia="Times New Roman" w:hint="default"/>
        </w:rPr>
        <w:t>2</w:t>
      </w:r>
      <w:r>
        <w:rPr/>
        <w:t>）报告期在建工程未发生减值情况，故未计提减值准备。</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1、工程物资" w:id="279"/>
      <w:bookmarkEnd w:id="279"/>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2、固定资产清理" w:id="280"/>
      <w:bookmarkEnd w:id="280"/>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3、生产性生物资产" w:id="281"/>
      <w:bookmarkEnd w:id="281"/>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1）采用成本计量模式的生产性生物资产" w:id="282"/>
      <w:bookmarkEnd w:id="282"/>
      <w:r>
        <w:rPr>
          <w:b w:val="0"/>
          <w:bCs w:val="0"/>
        </w:rPr>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采用公允价值计量模式的生产性生物资产" w:id="283"/>
      <w:bookmarkEnd w:id="283"/>
      <w:r>
        <w:rPr>
          <w:b w:val="0"/>
          <w:bCs w:val="0"/>
        </w:rPr>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4、油气资产" w:id="284"/>
      <w:bookmarkEnd w:id="284"/>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5、无形资产" w:id="285"/>
      <w:bookmarkEnd w:id="285"/>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86"/>
      <w:bookmarkEnd w:id="286"/>
      <w:r>
        <w:rPr>
          <w:b w:val="0"/>
          <w:bCs w:val="0"/>
        </w:rPr>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35,522,387.20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230,161.75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35,832,548.95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87,233.00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69,549,458.50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69,636,691.50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87,233.00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87,233.00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10" w:firstLine="53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w:t>
            </w:r>
            <w:r>
              <w:rPr>
                <w:rFonts w:ascii="宋体" w:hAnsi="宋体" w:cs="宋体" w:eastAsia="宋体" w:hint="default"/>
                <w:spacing w:val="-10"/>
                <w:sz w:val="18"/>
                <w:szCs w:val="18"/>
              </w:rPr>
              <w:t> </w:t>
            </w:r>
            <w:r>
              <w:rPr>
                <w:rFonts w:ascii="宋体" w:hAnsi="宋体" w:cs="宋体" w:eastAsia="宋体" w:hint="default"/>
                <w:sz w:val="18"/>
                <w:szCs w:val="18"/>
              </w:rPr>
              <w:t>部研发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10" w:firstLine="53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w:t>
            </w:r>
            <w:r>
              <w:rPr>
                <w:rFonts w:ascii="宋体" w:hAnsi="宋体" w:cs="宋体" w:eastAsia="宋体" w:hint="default"/>
                <w:spacing w:val="-10"/>
                <w:sz w:val="18"/>
                <w:szCs w:val="18"/>
              </w:rPr>
              <w:t> </w:t>
            </w:r>
            <w:r>
              <w:rPr>
                <w:rFonts w:ascii="宋体" w:hAnsi="宋体" w:cs="宋体" w:eastAsia="宋体" w:hint="default"/>
                <w:sz w:val="18"/>
                <w:szCs w:val="18"/>
              </w:rPr>
              <w:t>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）其</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69,549,458.50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69,549,458.50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506,736.00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506,736.00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103" w:right="120" w:firstLine="540"/>
              <w:jc w:val="both"/>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）转</w:t>
            </w:r>
            <w:r>
              <w:rPr>
                <w:rFonts w:ascii="宋体" w:hAnsi="宋体" w:cs="宋体" w:eastAsia="宋体" w:hint="default"/>
                <w:spacing w:val="-20"/>
                <w:sz w:val="18"/>
                <w:szCs w:val="18"/>
              </w:rPr>
              <w:t> </w:t>
            </w:r>
            <w:r>
              <w:rPr>
                <w:rFonts w:ascii="宋体" w:hAnsi="宋体" w:cs="宋体" w:eastAsia="宋体" w:hint="default"/>
                <w:sz w:val="18"/>
                <w:szCs w:val="18"/>
              </w:rPr>
              <w:t>入投资性房地</w:t>
            </w:r>
            <w:r>
              <w:rPr>
                <w:rFonts w:ascii="宋体" w:hAnsi="宋体" w:cs="宋体" w:eastAsia="宋体" w:hint="default"/>
                <w:sz w:val="18"/>
                <w:szCs w:val="18"/>
              </w:rPr>
              <w:t> 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506,736.00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506,736.00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35,015,651.20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317,394.75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69,629,458.50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104,962,504.45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3,277,026.76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60,982.70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54,799.58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3,392,809.04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709,877.36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53,003.27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547,926.98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1,310,807.61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709,877.36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53,003.27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547,926.98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1,310,807.61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10,242.76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10,242.76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103" w:right="120" w:firstLine="540"/>
              <w:jc w:val="both"/>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）转</w:t>
            </w:r>
            <w:r>
              <w:rPr>
                <w:rFonts w:ascii="宋体" w:hAnsi="宋体" w:cs="宋体" w:eastAsia="宋体" w:hint="default"/>
                <w:spacing w:val="-20"/>
                <w:sz w:val="18"/>
                <w:szCs w:val="18"/>
              </w:rPr>
              <w:t> </w:t>
            </w:r>
            <w:r>
              <w:rPr>
                <w:rFonts w:ascii="宋体" w:hAnsi="宋体" w:cs="宋体" w:eastAsia="宋体" w:hint="default"/>
                <w:sz w:val="18"/>
                <w:szCs w:val="18"/>
              </w:rPr>
              <w:t>入投资性房地</w:t>
            </w:r>
            <w:r>
              <w:rPr>
                <w:rFonts w:ascii="宋体" w:hAnsi="宋体" w:cs="宋体" w:eastAsia="宋体" w:hint="default"/>
                <w:sz w:val="18"/>
                <w:szCs w:val="18"/>
              </w:rPr>
              <w:t> 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10,242.76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10,242.76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3,976,661.36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113,985.97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602,726.56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4,693,373.89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31,038,989.84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203,408.78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69,026,731.94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100,269,130.56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32,245,360.44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169,179.05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25,200.42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32,439,739.91</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left="113" w:right="0"/>
        <w:jc w:val="left"/>
        <w:rPr>
          <w:b w:val="0"/>
          <w:bCs w:val="0"/>
        </w:rPr>
      </w:pPr>
      <w:bookmarkStart w:name="2）未办妥产权证书的土地使用权情况" w:id="287"/>
      <w:bookmarkEnd w:id="287"/>
      <w:r>
        <w:rPr>
          <w:b w:val="0"/>
          <w:bCs w:val="0"/>
        </w:rPr>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其他说明：</w:t>
      </w:r>
    </w:p>
    <w:p>
      <w:pPr>
        <w:pStyle w:val="BodyText"/>
        <w:spacing w:line="240" w:lineRule="auto" w:before="117"/>
        <w:ind w:left="113" w:right="0"/>
        <w:jc w:val="left"/>
      </w:pPr>
      <w:r>
        <w:rPr/>
        <w:t>（</w:t>
      </w:r>
      <w:r>
        <w:rPr>
          <w:rFonts w:ascii="Times New Roman" w:hAnsi="Times New Roman" w:cs="Times New Roman" w:eastAsia="Times New Roman" w:hint="default"/>
        </w:rPr>
        <w:t>1</w:t>
      </w:r>
      <w:r>
        <w:rPr/>
        <w:t>）报告期无形资产未发生减值情况，故未计提减值准备。</w:t>
      </w:r>
    </w:p>
    <w:p>
      <w:pPr>
        <w:pStyle w:val="BodyText"/>
        <w:spacing w:line="240" w:lineRule="auto" w:before="102"/>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日，公司账面原值</w:t>
      </w:r>
      <w:r>
        <w:rPr>
          <w:spacing w:val="-46"/>
        </w:rPr>
        <w:t> </w:t>
      </w:r>
      <w:r>
        <w:rPr>
          <w:rFonts w:ascii="Times New Roman" w:hAnsi="Times New Roman" w:cs="Times New Roman" w:eastAsia="Times New Roman" w:hint="default"/>
        </w:rPr>
        <w:t>9,828,000.00 </w:t>
      </w:r>
      <w:r>
        <w:rPr/>
        <w:t>元的土地使用权已设定抵押。</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w:t>
      </w:r>
      <w:r>
        <w:rPr>
          <w:rFonts w:ascii="Times New Roman" w:hAnsi="Times New Roman" w:cs="Times New Roman" w:eastAsia="Times New Roman" w:hint="default"/>
        </w:rPr>
        <w:t>3</w:t>
      </w:r>
      <w:r>
        <w:rPr/>
        <w:t>）本期增加的其他无形资产为子公司重庆华宇园林</w:t>
      </w:r>
      <w:r>
        <w:rPr>
          <w:spacing w:val="-45"/>
        </w:rPr>
        <w:t> </w:t>
      </w:r>
      <w:r>
        <w:rPr>
          <w:rFonts w:ascii="Times New Roman" w:hAnsi="Times New Roman" w:cs="Times New Roman" w:eastAsia="Times New Roman" w:hint="default"/>
        </w:rPr>
        <w:t>BOT </w:t>
      </w:r>
      <w:r>
        <w:rPr/>
        <w:t>项目北部新区苗木生态园开始运营转入。</w:t>
      </w:r>
    </w:p>
    <w:p>
      <w:pPr>
        <w:spacing w:line="240" w:lineRule="auto" w:before="9"/>
        <w:rPr>
          <w:rFonts w:ascii="宋体" w:hAnsi="宋体" w:cs="宋体" w:eastAsia="宋体" w:hint="default"/>
          <w:sz w:val="25"/>
          <w:szCs w:val="25"/>
        </w:rPr>
      </w:pPr>
    </w:p>
    <w:p>
      <w:pPr>
        <w:pStyle w:val="Heading3"/>
        <w:spacing w:line="240" w:lineRule="auto"/>
        <w:ind w:left="113" w:right="0"/>
        <w:jc w:val="left"/>
        <w:rPr>
          <w:b w:val="0"/>
          <w:bCs w:val="0"/>
        </w:rPr>
      </w:pPr>
      <w:bookmarkStart w:name="26、开发支出" w:id="288"/>
      <w:bookmarkEnd w:id="288"/>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7、商誉" w:id="289"/>
      <w:bookmarkEnd w:id="289"/>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90"/>
      <w:bookmarkEnd w:id="290"/>
      <w:r>
        <w:rPr>
          <w:b w:val="0"/>
          <w:bCs w:val="0"/>
        </w:rPr>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重庆华宇园林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296,278,562.27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296,278,562.27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296,278,562.27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296,278,562.27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91"/>
      <w:bookmarkEnd w:id="291"/>
      <w:r>
        <w:rPr>
          <w:b w:val="0"/>
          <w:bCs w:val="0"/>
        </w:rPr>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38"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说明商誉减值测试过程、参数及商誉减值损失的确认方法：</w:t>
      </w:r>
    </w:p>
    <w:p>
      <w:pPr>
        <w:pStyle w:val="BodyText"/>
        <w:spacing w:line="240" w:lineRule="auto" w:before="116"/>
        <w:ind w:left="474" w:right="0"/>
        <w:jc w:val="left"/>
      </w:pPr>
      <w:r>
        <w:rPr/>
        <w:t>商誉系公司于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年非同一控制下企业合并重庆华宇园林有限公司形成。</w:t>
      </w:r>
    </w:p>
    <w:p>
      <w:pPr>
        <w:pStyle w:val="BodyText"/>
        <w:spacing w:line="240" w:lineRule="auto" w:before="102"/>
        <w:ind w:left="0" w:right="1169"/>
        <w:jc w:val="right"/>
        <w:rPr>
          <w:rFonts w:ascii="Times New Roman" w:hAnsi="Times New Roman" w:cs="Times New Roman" w:eastAsia="Times New Roman" w:hint="default"/>
        </w:rPr>
      </w:pPr>
      <w:r>
        <w:rPr/>
        <w:t>公司商誉可回收金额按照有关资产组合的预计未来现金流量现值确定。依据管理层制定的未来五年财务预算和</w:t>
      </w:r>
      <w:r>
        <w:rPr>
          <w:spacing w:val="-45"/>
        </w:rPr>
        <w:t> </w:t>
      </w:r>
      <w:r>
        <w:rPr>
          <w:rFonts w:ascii="Times New Roman" w:hAnsi="Times New Roman" w:cs="Times New Roman" w:eastAsia="Times New Roman" w:hint="default"/>
        </w:rPr>
        <w:t>12.41%</w:t>
      </w:r>
    </w:p>
    <w:p>
      <w:pPr>
        <w:pStyle w:val="BodyText"/>
        <w:spacing w:line="357" w:lineRule="auto" w:before="64"/>
        <w:ind w:left="474" w:right="1243" w:hanging="360"/>
        <w:jc w:val="left"/>
        <w:rPr>
          <w:rFonts w:ascii="Times New Roman" w:hAnsi="Times New Roman" w:cs="Times New Roman" w:eastAsia="Times New Roman" w:hint="default"/>
        </w:rPr>
      </w:pPr>
      <w:r>
        <w:rPr/>
        <w:t>折现率预计未来现金流量现值，超过五年财务预算之后年份的现金流量均保持稳定。 商誉减值测试采用未来现金流量折现方法的主要假设如下： 对重庆华宇园林有限公司预计未来现金流量现值的计算采用了公司平均毛利率，重庆华宇园林有限公司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-2016</w:t>
      </w:r>
    </w:p>
    <w:p>
      <w:pPr>
        <w:pStyle w:val="BodyText"/>
        <w:spacing w:line="214" w:lineRule="exact"/>
        <w:ind w:right="0"/>
        <w:jc w:val="left"/>
      </w:pPr>
      <w:r>
        <w:rPr/>
        <w:t>年存在业绩承诺，</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年承诺</w:t>
      </w:r>
      <w:r>
        <w:rPr>
          <w:spacing w:val="-54"/>
        </w:rPr>
        <w:t> </w:t>
      </w:r>
      <w:r>
        <w:rPr>
          <w:rFonts w:ascii="Times New Roman" w:hAnsi="Times New Roman" w:cs="Times New Roman" w:eastAsia="Times New Roman" w:hint="default"/>
        </w:rPr>
        <w:t>30%</w:t>
      </w:r>
      <w:r>
        <w:rPr/>
        <w:t>的业绩增长，</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年及</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年业绩均达到了承诺，所以假设</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年增长率为</w:t>
      </w:r>
      <w:r>
        <w:rPr>
          <w:spacing w:val="-54"/>
        </w:rPr>
        <w:t> </w:t>
      </w:r>
      <w:r>
        <w:rPr>
          <w:rFonts w:ascii="Times New Roman" w:hAnsi="Times New Roman" w:cs="Times New Roman" w:eastAsia="Times New Roman" w:hint="default"/>
        </w:rPr>
        <w:t>30%,</w:t>
      </w:r>
      <w:r>
        <w:rPr/>
        <w:t>假设</w:t>
      </w:r>
    </w:p>
    <w:p>
      <w:pPr>
        <w:pStyle w:val="BodyText"/>
        <w:spacing w:line="340" w:lineRule="auto" w:before="64"/>
        <w:ind w:left="474" w:right="5532" w:hanging="360"/>
        <w:jc w:val="left"/>
      </w:pPr>
      <w:r>
        <w:rPr/>
        <w:t>其他年度预测期增长率为</w:t>
      </w:r>
      <w:r>
        <w:rPr>
          <w:spacing w:val="-46"/>
        </w:rPr>
        <w:t> </w:t>
      </w:r>
      <w:r>
        <w:rPr>
          <w:rFonts w:ascii="Times New Roman" w:hAnsi="Times New Roman" w:cs="Times New Roman" w:eastAsia="Times New Roman" w:hint="default"/>
        </w:rPr>
        <w:t>10%</w:t>
      </w:r>
      <w:r>
        <w:rPr/>
        <w:t>。 经减值测试，本期期末商誉未发生减值，无需计提减值准备。</w:t>
      </w:r>
    </w:p>
    <w:p>
      <w:pPr>
        <w:spacing w:line="240" w:lineRule="auto" w:before="12"/>
        <w:rPr>
          <w:rFonts w:ascii="宋体" w:hAnsi="宋体" w:cs="宋体" w:eastAsia="宋体" w:hint="default"/>
          <w:sz w:val="20"/>
          <w:szCs w:val="20"/>
        </w:rPr>
      </w:pPr>
    </w:p>
    <w:p>
      <w:pPr>
        <w:pStyle w:val="Heading3"/>
        <w:spacing w:line="240" w:lineRule="auto"/>
        <w:ind w:left="113" w:right="0"/>
        <w:jc w:val="left"/>
        <w:rPr>
          <w:b w:val="0"/>
          <w:bCs w:val="0"/>
        </w:rPr>
      </w:pPr>
      <w:bookmarkStart w:name="28、长期待摊费用" w:id="292"/>
      <w:bookmarkEnd w:id="292"/>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692,813.54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99,677.52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593,136.02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67,081.03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20,227.20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46,853.83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759,894.57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119,904.72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639,989.85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29、递延所得税资产/递延所得税负债" w:id="293"/>
      <w:bookmarkEnd w:id="293"/>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未经抵销的递延所得税资产" w:id="294"/>
      <w:bookmarkEnd w:id="294"/>
      <w:r>
        <w:rPr>
          <w:b w:val="0"/>
          <w:bCs w:val="0"/>
        </w:rPr>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6,097,493.76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1,524,373.44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8,830,807.28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1,153,014.60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30,775,416.09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7,695,719.40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3,071,316.06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767,829.01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52,433,750.17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9,078,503.77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33,794,538.19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5,709,860.64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22,166,449.88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5,541,612.46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19,662,500.03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2,949,375.00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2,326,190.99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581,547.75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707,330.55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153,004.26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113,799,300.89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24,421,756.82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66,066,492.11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10,733,083.51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95"/>
      <w:bookmarkEnd w:id="295"/>
      <w:r>
        <w:rPr>
          <w:b w:val="0"/>
          <w:bCs w:val="0"/>
        </w:rPr>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7"/>
              <w:jc w:val="left"/>
              <w:rPr>
                <w:rFonts w:ascii="宋体" w:hAnsi="宋体" w:cs="宋体" w:eastAsia="宋体" w:hint="default"/>
                <w:sz w:val="18"/>
                <w:szCs w:val="18"/>
              </w:rPr>
            </w:pPr>
            <w:r>
              <w:rPr>
                <w:rFonts w:ascii="宋体" w:hAnsi="宋体" w:cs="宋体" w:eastAsia="宋体" w:hint="default"/>
                <w:sz w:val="18"/>
                <w:szCs w:val="18"/>
              </w:rPr>
              <w:t>交易性金融资产公允 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433,202.24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108,300.56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433,202.24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108,300.56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96"/>
      <w:bookmarkEnd w:id="296"/>
      <w:r>
        <w:rPr>
          <w:b w:val="0"/>
          <w:bCs w:val="0"/>
        </w:rPr>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24,421,756.82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10,733,083.51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108,300.56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97"/>
      <w:bookmarkEnd w:id="297"/>
      <w:r>
        <w:rPr>
          <w:b w:val="0"/>
          <w:bCs w:val="0"/>
        </w:rPr>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1,611,218.42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2,263,413.12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3,874,631.54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5）未确认递延所得税资产的可抵扣亏损将于以下年度到期" w:id="298"/>
      <w:bookmarkEnd w:id="298"/>
      <w:r>
        <w:rPr>
          <w:b w:val="0"/>
          <w:bCs w:val="0"/>
        </w:rPr>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707,661.28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903,557.14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1,611,218.42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其他非流动资产" w:id="299"/>
      <w:bookmarkEnd w:id="299"/>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6,686,498.42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10,901,938.09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18,223,682.00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10,223,682.00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24,910,180.42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22,625,620.09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短期借款" w:id="300"/>
      <w:bookmarkEnd w:id="300"/>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01"/>
      <w:bookmarkEnd w:id="301"/>
      <w:r>
        <w:rPr>
          <w:b w:val="0"/>
          <w:bCs w:val="0"/>
        </w:rPr>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759,100,000.00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377,500,000.00</w:t>
            </w:r>
          </w:p>
        </w:tc>
      </w:tr>
    </w:tbl>
    <w:p>
      <w:pPr>
        <w:pStyle w:val="BodyText"/>
        <w:spacing w:line="240" w:lineRule="auto" w:before="51"/>
        <w:ind w:right="0"/>
        <w:jc w:val="left"/>
      </w:pPr>
      <w:r>
        <w:rPr/>
        <w:t>短期借款分类的说明：</w:t>
      </w:r>
    </w:p>
    <w:p>
      <w:pPr>
        <w:pStyle w:val="BodyText"/>
        <w:spacing w:line="285" w:lineRule="auto" w:before="90"/>
        <w:ind w:right="0"/>
        <w:jc w:val="left"/>
      </w:pPr>
      <w:r>
        <w:rPr>
          <w:spacing w:val="-1"/>
          <w:sz w:val="21"/>
          <w:szCs w:val="21"/>
        </w:rPr>
        <w:t>（</w:t>
      </w:r>
      <w:r>
        <w:rPr>
          <w:rFonts w:ascii="Times New Roman" w:hAnsi="Times New Roman" w:cs="Times New Roman" w:eastAsia="Times New Roman" w:hint="default"/>
          <w:spacing w:val="-1"/>
        </w:rPr>
        <w:t>1</w:t>
      </w:r>
      <w:r>
        <w:rPr>
          <w:spacing w:val="-1"/>
        </w:rPr>
        <w:t>）保证抵押借款由重庆市农业担保有限公司提供担保；重庆华宇园林有限公司以应收账款、公司苗木，股东汤于以房地</w:t>
      </w:r>
      <w:r>
        <w:rPr>
          <w:spacing w:val="-59"/>
        </w:rPr>
        <w:t> </w:t>
      </w:r>
      <w:r>
        <w:rPr>
          <w:spacing w:val="-59"/>
        </w:rPr>
      </w:r>
      <w:r>
        <w:rPr/>
        <w:t>产为抵押作反担保抵押；汤于、汤洪波及其配偶卫红丽提供自然人保证反担保。</w:t>
      </w:r>
    </w:p>
    <w:p>
      <w:pPr>
        <w:pStyle w:val="BodyText"/>
        <w:spacing w:line="302" w:lineRule="auto" w:before="80"/>
        <w:ind w:right="1122"/>
        <w:jc w:val="left"/>
      </w:pPr>
      <w:r>
        <w:rPr/>
        <w:t>（</w:t>
      </w:r>
      <w:r>
        <w:rPr>
          <w:rFonts w:ascii="Times New Roman" w:hAnsi="Times New Roman" w:cs="Times New Roman" w:eastAsia="Times New Roman" w:hint="default"/>
        </w:rPr>
        <w:t>2</w:t>
      </w:r>
      <w:r>
        <w:rPr/>
        <w:t>）本期保证借款由山东丽鹏股份有限公司、汤于、汤洪波、赖力、孙世尧、大冶市劲鹏制盖有限公司、成都海川制盖有 限公司提供担保。</w:t>
      </w:r>
    </w:p>
    <w:p>
      <w:pPr>
        <w:pStyle w:val="BodyText"/>
        <w:spacing w:line="240" w:lineRule="auto" w:before="70"/>
        <w:ind w:right="0"/>
        <w:jc w:val="left"/>
      </w:pPr>
      <w:r>
        <w:rPr/>
        <w:t>（</w:t>
      </w:r>
      <w:r>
        <w:rPr>
          <w:rFonts w:ascii="Times New Roman" w:hAnsi="Times New Roman" w:cs="Times New Roman" w:eastAsia="Times New Roman" w:hint="default"/>
        </w:rPr>
        <w:t>3</w:t>
      </w:r>
      <w:r>
        <w:rPr/>
        <w:t>）质押借款为烟台聚融投资有限公司的定期存单质押借款。</w:t>
      </w:r>
    </w:p>
    <w:p>
      <w:pPr>
        <w:spacing w:after="0" w:line="240" w:lineRule="auto"/>
        <w:jc w:val="left"/>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32、以公允价值计量且其变动计入当期损益的金融负债" w:id="302"/>
      <w:bookmarkEnd w:id="302"/>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33、衍生金融负债" w:id="303"/>
      <w:bookmarkEnd w:id="303"/>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4、应付票据" w:id="304"/>
      <w:bookmarkEnd w:id="304"/>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217,663,680.00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277,663,680.00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66,000,000.00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5、应付账款" w:id="305"/>
      <w:bookmarkEnd w:id="305"/>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06"/>
      <w:bookmarkEnd w:id="306"/>
      <w:r>
        <w:rPr>
          <w:b w:val="0"/>
          <w:bCs w:val="0"/>
        </w:rPr>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328,628,967.99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317,103,363.38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191,863,257.54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68,473,939.63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40,189,359.36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380,472.60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1,200,103.03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2,200,266.94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561,881,687.92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388,158,042.55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307"/>
      <w:bookmarkEnd w:id="307"/>
      <w:r>
        <w:rPr>
          <w:b w:val="0"/>
          <w:bCs w:val="0"/>
        </w:rPr>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102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92"/>
              <w:jc w:val="left"/>
              <w:rPr>
                <w:rFonts w:ascii="宋体" w:hAnsi="宋体" w:cs="宋体" w:eastAsia="宋体" w:hint="default"/>
                <w:sz w:val="18"/>
                <w:szCs w:val="18"/>
              </w:rPr>
            </w:pPr>
            <w:r>
              <w:rPr>
                <w:rFonts w:ascii="宋体" w:hAnsi="宋体" w:cs="宋体" w:eastAsia="宋体" w:hint="default"/>
                <w:sz w:val="18"/>
                <w:szCs w:val="18"/>
              </w:rPr>
              <w:t>泰安市太平建筑安装工程有限公司应 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23,722,074.63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0"/>
              <w:jc w:val="both"/>
              <w:rPr>
                <w:rFonts w:ascii="宋体" w:hAnsi="宋体" w:cs="宋体" w:eastAsia="宋体" w:hint="default"/>
                <w:sz w:val="18"/>
                <w:szCs w:val="18"/>
              </w:rPr>
            </w:pPr>
            <w:r>
              <w:rPr>
                <w:rFonts w:ascii="宋体" w:hAnsi="宋体" w:cs="宋体" w:eastAsia="宋体" w:hint="default"/>
                <w:spacing w:val="-6"/>
                <w:sz w:val="18"/>
                <w:szCs w:val="18"/>
              </w:rPr>
              <w:t>此供应商为肥城各项目劳务供应商，因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肥城项目回款滞后，导致支付供应商的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货款滞后。</w:t>
            </w:r>
          </w:p>
        </w:tc>
      </w:tr>
      <w:tr>
        <w:trPr>
          <w:trHeight w:val="102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蓬莱哥顿木业有限公司应付款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17,464,971.34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00"/>
              <w:jc w:val="both"/>
              <w:rPr>
                <w:rFonts w:ascii="宋体" w:hAnsi="宋体" w:cs="宋体" w:eastAsia="宋体" w:hint="default"/>
                <w:sz w:val="18"/>
                <w:szCs w:val="18"/>
              </w:rPr>
            </w:pPr>
            <w:r>
              <w:rPr>
                <w:rFonts w:ascii="宋体" w:hAnsi="宋体" w:cs="宋体" w:eastAsia="宋体" w:hint="default"/>
                <w:spacing w:val="-6"/>
                <w:sz w:val="18"/>
                <w:szCs w:val="18"/>
              </w:rPr>
              <w:t>此供应商为肥城各项目材料供应商，因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肥城项目回款滞后，导致支付供应商的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货款滞后。</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41,187,045.97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w:t>
      </w:r>
      <w:r>
        <w:rPr>
          <w:rFonts w:ascii="Times New Roman" w:hAnsi="Times New Roman" w:cs="Times New Roman" w:eastAsia="Times New Roman" w:hint="default"/>
        </w:rPr>
        <w:t>1</w:t>
      </w:r>
      <w:r>
        <w:rPr/>
        <w:t>）账龄较长的应付账款主要是子公司重庆华宇欠付的工程款、采购款及分包劳务款。</w:t>
      </w:r>
    </w:p>
    <w:p>
      <w:pPr>
        <w:pStyle w:val="BodyText"/>
        <w:spacing w:line="240" w:lineRule="auto" w:before="102"/>
        <w:ind w:left="113" w:right="0"/>
        <w:jc w:val="left"/>
      </w:pPr>
      <w:r>
        <w:rPr/>
        <w:t>（</w:t>
      </w:r>
      <w:r>
        <w:rPr>
          <w:rFonts w:ascii="Times New Roman" w:hAnsi="Times New Roman" w:cs="Times New Roman" w:eastAsia="Times New Roman" w:hint="default"/>
        </w:rPr>
        <w:t>2</w:t>
      </w:r>
      <w:r>
        <w:rPr/>
        <w:t>）期末金额较大的应付款明细情况如下：</w:t>
      </w:r>
    </w:p>
    <w:p>
      <w:pPr>
        <w:spacing w:after="0" w:line="240" w:lineRule="auto"/>
        <w:jc w:val="left"/>
        <w:sectPr>
          <w:pgSz w:w="11910" w:h="16840"/>
          <w:pgMar w:header="907" w:footer="1019" w:top="1100" w:bottom="1200" w:left="1020" w:right="0"/>
        </w:sectPr>
      </w:pPr>
    </w:p>
    <w:p>
      <w:pPr>
        <w:spacing w:line="240" w:lineRule="auto" w:before="4"/>
        <w:rPr>
          <w:rFonts w:ascii="宋体" w:hAnsi="宋体" w:cs="宋体" w:eastAsia="宋体" w:hint="default"/>
          <w:sz w:val="27"/>
          <w:szCs w:val="27"/>
        </w:rPr>
      </w:pPr>
    </w:p>
    <w:p>
      <w:pPr>
        <w:spacing w:line="2760" w:lineRule="exact"/>
        <w:ind w:left="114"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5829300" cy="1752600"/>
            <wp:effectExtent l="0" t="0" r="0" b="0"/>
            <wp:docPr id="39" name="image21.png" descr=""/>
            <wp:cNvGraphicFramePr>
              <a:graphicFrameLocks noChangeAspect="1"/>
            </wp:cNvGraphicFramePr>
            <a:graphic>
              <a:graphicData uri="http://schemas.openxmlformats.org/drawingml/2006/picture">
                <pic:pic>
                  <pic:nvPicPr>
                    <pic:cNvPr id="40" name="image21.png"/>
                    <pic:cNvPicPr/>
                  </pic:nvPicPr>
                  <pic:blipFill>
                    <a:blip r:embed="rId37" cstate="print"/>
                    <a:stretch>
                      <a:fillRect/>
                    </a:stretch>
                  </pic:blipFill>
                  <pic:spPr>
                    <a:xfrm>
                      <a:off x="0" y="0"/>
                      <a:ext cx="5829300" cy="1752600"/>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1"/>
        <w:rPr>
          <w:rFonts w:ascii="宋体" w:hAnsi="宋体" w:cs="宋体" w:eastAsia="宋体" w:hint="default"/>
          <w:sz w:val="21"/>
          <w:szCs w:val="21"/>
        </w:rPr>
      </w:pPr>
    </w:p>
    <w:p>
      <w:pPr>
        <w:pStyle w:val="Heading3"/>
        <w:spacing w:line="240" w:lineRule="auto" w:before="35"/>
        <w:ind w:left="113" w:right="0"/>
        <w:jc w:val="left"/>
        <w:rPr>
          <w:b w:val="0"/>
          <w:bCs w:val="0"/>
        </w:rPr>
      </w:pPr>
      <w:bookmarkStart w:name="36、预收款项" w:id="308"/>
      <w:bookmarkEnd w:id="308"/>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09"/>
      <w:bookmarkEnd w:id="309"/>
      <w:r>
        <w:rPr>
          <w:b w:val="0"/>
          <w:bCs w:val="0"/>
        </w:rPr>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10,617,838.81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8,962,224.06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10,617,838.81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8,962,224.06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10"/>
      <w:bookmarkEnd w:id="310"/>
      <w:r>
        <w:rPr>
          <w:b w:val="0"/>
          <w:bCs w:val="0"/>
        </w:rPr>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期末建造合同形成的已结算未完工项目情况" w:id="311"/>
      <w:bookmarkEnd w:id="311"/>
      <w:r>
        <w:rPr>
          <w:b w:val="0"/>
          <w:bCs w:val="0"/>
        </w:rPr>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240" w:lineRule="auto" w:before="116"/>
        <w:ind w:right="0"/>
        <w:jc w:val="left"/>
      </w:pPr>
      <w:r>
        <w:rPr/>
        <w:t>（</w:t>
      </w:r>
      <w:r>
        <w:rPr>
          <w:rFonts w:ascii="Times New Roman" w:hAnsi="Times New Roman" w:cs="Times New Roman" w:eastAsia="Times New Roman" w:hint="default"/>
        </w:rPr>
        <w:t>1</w:t>
      </w:r>
      <w:r>
        <w:rPr/>
        <w:t>）预收款项列示：</w:t>
      </w:r>
    </w:p>
    <w:p>
      <w:pPr>
        <w:spacing w:line="240" w:lineRule="auto" w:before="12"/>
        <w:rPr>
          <w:rFonts w:ascii="宋体" w:hAnsi="宋体" w:cs="宋体" w:eastAsia="宋体" w:hint="default"/>
          <w:sz w:val="15"/>
          <w:szCs w:val="15"/>
        </w:rPr>
      </w:pPr>
    </w:p>
    <w:p>
      <w:pPr>
        <w:spacing w:line="1635" w:lineRule="exact"/>
        <w:ind w:left="114"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5635353" cy="1038225"/>
            <wp:effectExtent l="0" t="0" r="0" b="0"/>
            <wp:docPr id="41" name="image22.png" descr=""/>
            <wp:cNvGraphicFramePr>
              <a:graphicFrameLocks noChangeAspect="1"/>
            </wp:cNvGraphicFramePr>
            <a:graphic>
              <a:graphicData uri="http://schemas.openxmlformats.org/drawingml/2006/picture">
                <pic:pic>
                  <pic:nvPicPr>
                    <pic:cNvPr id="42" name="image22.png"/>
                    <pic:cNvPicPr/>
                  </pic:nvPicPr>
                  <pic:blipFill>
                    <a:blip r:embed="rId38" cstate="print"/>
                    <a:stretch>
                      <a:fillRect/>
                    </a:stretch>
                  </pic:blipFill>
                  <pic:spPr>
                    <a:xfrm>
                      <a:off x="0" y="0"/>
                      <a:ext cx="5635353" cy="1038225"/>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BodyText"/>
        <w:spacing w:line="240" w:lineRule="auto"/>
        <w:ind w:left="113" w:right="0"/>
        <w:jc w:val="left"/>
      </w:pPr>
      <w:r>
        <w:rPr/>
        <w:t>（</w:t>
      </w:r>
      <w:r>
        <w:rPr>
          <w:rFonts w:ascii="Times New Roman" w:hAnsi="Times New Roman" w:cs="Times New Roman" w:eastAsia="Times New Roman" w:hint="default"/>
        </w:rPr>
        <w:t>2</w:t>
      </w:r>
      <w:r>
        <w:rPr/>
        <w:t>）期末金额较大的预收账款明细情况如下：</w:t>
      </w:r>
    </w:p>
    <w:p>
      <w:pPr>
        <w:spacing w:line="240" w:lineRule="auto" w:before="7"/>
        <w:rPr>
          <w:rFonts w:ascii="宋体" w:hAnsi="宋体" w:cs="宋体" w:eastAsia="宋体" w:hint="default"/>
          <w:sz w:val="18"/>
          <w:szCs w:val="18"/>
        </w:rPr>
      </w:pPr>
    </w:p>
    <w:p>
      <w:pPr>
        <w:spacing w:line="2190" w:lineRule="exact"/>
        <w:ind w:left="114"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5791200" cy="1390650"/>
            <wp:effectExtent l="0" t="0" r="0" b="0"/>
            <wp:docPr id="43" name="image23.png" descr=""/>
            <wp:cNvGraphicFramePr>
              <a:graphicFrameLocks noChangeAspect="1"/>
            </wp:cNvGraphicFramePr>
            <a:graphic>
              <a:graphicData uri="http://schemas.openxmlformats.org/drawingml/2006/picture">
                <pic:pic>
                  <pic:nvPicPr>
                    <pic:cNvPr id="44" name="image23.png"/>
                    <pic:cNvPicPr/>
                  </pic:nvPicPr>
                  <pic:blipFill>
                    <a:blip r:embed="rId39" cstate="print"/>
                    <a:stretch>
                      <a:fillRect/>
                    </a:stretch>
                  </pic:blipFill>
                  <pic:spPr>
                    <a:xfrm>
                      <a:off x="0" y="0"/>
                      <a:ext cx="5791200" cy="1390650"/>
                    </a:xfrm>
                    <a:prstGeom prst="rect">
                      <a:avLst/>
                    </a:prstGeom>
                  </pic:spPr>
                </pic:pic>
              </a:graphicData>
            </a:graphic>
          </wp:inline>
        </w:drawing>
      </w:r>
      <w:r>
        <w:rPr>
          <w:rFonts w:ascii="宋体" w:hAnsi="宋体" w:cs="宋体" w:eastAsia="宋体" w:hint="default"/>
          <w:position w:val="-43"/>
          <w:sz w:val="20"/>
          <w:szCs w:val="20"/>
        </w:rPr>
      </w:r>
    </w:p>
    <w:p>
      <w:pPr>
        <w:spacing w:line="240" w:lineRule="auto" w:before="9"/>
        <w:rPr>
          <w:rFonts w:ascii="宋体" w:hAnsi="宋体" w:cs="宋体" w:eastAsia="宋体" w:hint="default"/>
          <w:sz w:val="15"/>
          <w:szCs w:val="15"/>
        </w:rPr>
      </w:pPr>
    </w:p>
    <w:p>
      <w:pPr>
        <w:pStyle w:val="BodyText"/>
        <w:spacing w:line="240" w:lineRule="auto"/>
        <w:ind w:left="113" w:right="0"/>
        <w:jc w:val="left"/>
      </w:pPr>
      <w:r>
        <w:rPr/>
        <w:t>（</w:t>
      </w:r>
      <w:r>
        <w:rPr>
          <w:rFonts w:ascii="Times New Roman" w:hAnsi="Times New Roman" w:cs="Times New Roman" w:eastAsia="Times New Roman" w:hint="default"/>
        </w:rPr>
        <w:t>3</w:t>
      </w:r>
      <w:r>
        <w:rPr/>
        <w:t>）预收款项中无预收有本公司</w:t>
      </w:r>
      <w:r>
        <w:rPr>
          <w:spacing w:val="-46"/>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）以上表决权股份的股东单位。</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before="35"/>
        <w:ind w:right="0"/>
        <w:jc w:val="left"/>
        <w:rPr>
          <w:b w:val="0"/>
          <w:bCs w:val="0"/>
        </w:rPr>
      </w:pPr>
      <w:bookmarkStart w:name="37、应付职工薪酬" w:id="312"/>
      <w:bookmarkEnd w:id="312"/>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13"/>
      <w:bookmarkEnd w:id="313"/>
      <w:r>
        <w:rPr>
          <w:b w:val="0"/>
          <w:bCs w:val="0"/>
        </w:rPr>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11,962,399.98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131,906,690.39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132,697,020.55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11,172,069.82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209,747.47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10,942,177.68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10,994,959.39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156,965.76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12,172,147.45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142,848,868.07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143,691,979.94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11,329,035.58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14"/>
      <w:bookmarkEnd w:id="314"/>
      <w:r>
        <w:rPr>
          <w:b w:val="0"/>
          <w:bCs w:val="0"/>
        </w:rPr>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11,910,938.75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118,615,373.70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119,376,045.74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11,150,266.71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4,342,773.46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4,342,773.46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15,588.53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5,590,694.20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5,606,282.73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14,846.22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4,457,086.56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4,471,932.78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702,174.59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702,731.32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431,433.05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431,618.63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845,717.00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845,717.00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35,872.70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2,506,012.03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2,520,081.62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21,803.11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6,120.00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11,962,399.98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131,906,690.39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132,697,020.55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11,172,069.82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315"/>
      <w:bookmarkEnd w:id="315"/>
      <w:r>
        <w:rPr>
          <w:b w:val="0"/>
          <w:bCs w:val="0"/>
        </w:rPr>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206,035.92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10,241,558.53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10,290,628.69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1" w:right="0"/>
              <w:jc w:val="left"/>
              <w:rPr>
                <w:rFonts w:ascii="Times New Roman" w:hAnsi="Times New Roman" w:cs="Times New Roman" w:eastAsia="Times New Roman" w:hint="default"/>
                <w:sz w:val="18"/>
                <w:szCs w:val="18"/>
              </w:rPr>
            </w:pPr>
            <w:r>
              <w:rPr>
                <w:rFonts w:ascii="Times New Roman"/>
                <w:sz w:val="18"/>
              </w:rPr>
              <w:t>156,965.76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3,711.55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700,619.15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704,330.70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3" w:right="0"/>
              <w:jc w:val="left"/>
              <w:rPr>
                <w:rFonts w:ascii="Times New Roman" w:hAnsi="Times New Roman" w:cs="Times New Roman" w:eastAsia="Times New Roman" w:hint="default"/>
                <w:sz w:val="18"/>
                <w:szCs w:val="18"/>
              </w:rPr>
            </w:pPr>
            <w:r>
              <w:rPr>
                <w:rFonts w:ascii="Times New Roman"/>
                <w:sz w:val="18"/>
              </w:rPr>
              <w:t>209,747.47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10,942,177.68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10,994,959.39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1" w:right="0"/>
              <w:jc w:val="left"/>
              <w:rPr>
                <w:rFonts w:ascii="Times New Roman" w:hAnsi="Times New Roman" w:cs="Times New Roman" w:eastAsia="Times New Roman" w:hint="default"/>
                <w:sz w:val="18"/>
                <w:szCs w:val="18"/>
              </w:rPr>
            </w:pPr>
            <w:r>
              <w:rPr>
                <w:rFonts w:ascii="Times New Roman"/>
                <w:sz w:val="18"/>
              </w:rPr>
              <w:t>156,965.76</w:t>
            </w:r>
          </w:p>
        </w:tc>
      </w:tr>
    </w:tbl>
    <w:p>
      <w:pPr>
        <w:pStyle w:val="BodyText"/>
        <w:spacing w:line="240" w:lineRule="auto" w:before="51"/>
        <w:ind w:right="0"/>
        <w:jc w:val="left"/>
      </w:pPr>
      <w:r>
        <w:rPr/>
        <w:t>其他说明：</w:t>
      </w:r>
    </w:p>
    <w:p>
      <w:pPr>
        <w:pStyle w:val="BodyText"/>
        <w:spacing w:line="240" w:lineRule="auto" w:before="117"/>
        <w:ind w:left="113" w:right="0"/>
        <w:jc w:val="left"/>
      </w:pPr>
      <w:r>
        <w:rPr/>
        <w:t>（</w:t>
      </w:r>
      <w:r>
        <w:rPr>
          <w:rFonts w:ascii="Times New Roman" w:hAnsi="Times New Roman" w:cs="Times New Roman" w:eastAsia="Times New Roman" w:hint="default"/>
        </w:rPr>
        <w:t>1</w:t>
      </w:r>
      <w:r>
        <w:rPr/>
        <w:t>）应付职工薪酬中无拖欠职工工资。</w:t>
      </w:r>
    </w:p>
    <w:p>
      <w:pPr>
        <w:pStyle w:val="BodyText"/>
        <w:spacing w:line="240" w:lineRule="auto" w:before="103"/>
        <w:ind w:right="0"/>
        <w:jc w:val="left"/>
      </w:pPr>
      <w:r>
        <w:rPr/>
        <w:t>（</w:t>
      </w:r>
      <w:r>
        <w:rPr>
          <w:rFonts w:ascii="Times New Roman" w:hAnsi="Times New Roman" w:cs="Times New Roman" w:eastAsia="Times New Roman" w:hint="default"/>
        </w:rPr>
        <w:t>2</w:t>
      </w:r>
      <w:r>
        <w:rPr/>
        <w:t>）本期未发生非货币性福利。</w:t>
      </w:r>
    </w:p>
    <w:p>
      <w:pPr>
        <w:spacing w:line="240" w:lineRule="auto" w:before="10"/>
        <w:rPr>
          <w:rFonts w:ascii="宋体" w:hAnsi="宋体" w:cs="宋体" w:eastAsia="宋体" w:hint="default"/>
          <w:sz w:val="25"/>
          <w:szCs w:val="25"/>
        </w:rPr>
      </w:pPr>
    </w:p>
    <w:p>
      <w:pPr>
        <w:pStyle w:val="Heading3"/>
        <w:spacing w:line="240" w:lineRule="auto"/>
        <w:ind w:left="113" w:right="0"/>
        <w:jc w:val="left"/>
        <w:rPr>
          <w:b w:val="0"/>
          <w:bCs w:val="0"/>
        </w:rPr>
      </w:pPr>
      <w:bookmarkStart w:name="38、应交税费" w:id="316"/>
      <w:bookmarkEnd w:id="316"/>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2,489,676.94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1,299,845.57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44,451,634.87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30,293,971.15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14,569,135.50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14,675,492.57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24,484.39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19,254.76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3,369,244.34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2,356,190.31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31,394.90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28,952.78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985,531.67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859,417.07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671,053.13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617,719.76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1,423,753.21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982,354.76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847,294.03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555,616.37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地方水利建设基金等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40,121.90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262,138.92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68,903,324.88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51,950,954.02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应付利息" w:id="317"/>
      <w:bookmarkEnd w:id="31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1,461,899.35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887,670.87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1,461,899.35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887,670.87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0、应付股利" w:id="318"/>
      <w:bookmarkEnd w:id="318"/>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1、其他应付款" w:id="319"/>
      <w:bookmarkEnd w:id="31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20"/>
      <w:bookmarkEnd w:id="320"/>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1,370,967.63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726,900.31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216,802.38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72,583.10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应退投资款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5,517,834.46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代扣个人款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229,220.85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366,493.29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1,199,415.79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29,989,305.45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8,534,241.11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31,155,282.15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21"/>
      <w:bookmarkEnd w:id="321"/>
      <w:r>
        <w:rPr>
          <w:b w:val="0"/>
          <w:bCs w:val="0"/>
        </w:rPr>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240" w:lineRule="auto" w:before="117"/>
        <w:ind w:right="0"/>
        <w:jc w:val="left"/>
      </w:pPr>
      <w:r>
        <w:rPr/>
        <w:t>（</w:t>
      </w:r>
      <w:r>
        <w:rPr>
          <w:rFonts w:ascii="Times New Roman" w:hAnsi="Times New Roman" w:cs="Times New Roman" w:eastAsia="Times New Roman" w:hint="default"/>
        </w:rPr>
        <w:t>1</w:t>
      </w:r>
      <w:r>
        <w:rPr/>
        <w:t>）期末金额较大的其他应付款明细情况如下：</w:t>
      </w:r>
    </w:p>
    <w:p>
      <w:pPr>
        <w:spacing w:line="240" w:lineRule="auto" w:before="13"/>
        <w:rPr>
          <w:rFonts w:ascii="宋体" w:hAnsi="宋体" w:cs="宋体" w:eastAsia="宋体" w:hint="default"/>
          <w:sz w:val="13"/>
          <w:szCs w:val="13"/>
        </w:rPr>
      </w:pPr>
    </w:p>
    <w:p>
      <w:pPr>
        <w:spacing w:line="2310" w:lineRule="exact"/>
        <w:ind w:left="114"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5763260" cy="1466850"/>
            <wp:effectExtent l="0" t="0" r="0" b="0"/>
            <wp:docPr id="45" name="image24.png" descr=""/>
            <wp:cNvGraphicFramePr>
              <a:graphicFrameLocks noChangeAspect="1"/>
            </wp:cNvGraphicFramePr>
            <a:graphic>
              <a:graphicData uri="http://schemas.openxmlformats.org/drawingml/2006/picture">
                <pic:pic>
                  <pic:nvPicPr>
                    <pic:cNvPr id="46" name="image24.png"/>
                    <pic:cNvPicPr/>
                  </pic:nvPicPr>
                  <pic:blipFill>
                    <a:blip r:embed="rId40" cstate="print"/>
                    <a:stretch>
                      <a:fillRect/>
                    </a:stretch>
                  </pic:blipFill>
                  <pic:spPr>
                    <a:xfrm>
                      <a:off x="0" y="0"/>
                      <a:ext cx="5763260" cy="1466850"/>
                    </a:xfrm>
                    <a:prstGeom prst="rect">
                      <a:avLst/>
                    </a:prstGeom>
                  </pic:spPr>
                </pic:pic>
              </a:graphicData>
            </a:graphic>
          </wp:inline>
        </w:drawing>
      </w:r>
      <w:r>
        <w:rPr>
          <w:rFonts w:ascii="宋体" w:hAnsi="宋体" w:cs="宋体" w:eastAsia="宋体" w:hint="default"/>
          <w:position w:val="-45"/>
          <w:sz w:val="20"/>
          <w:szCs w:val="20"/>
        </w:rPr>
      </w:r>
    </w:p>
    <w:p>
      <w:pPr>
        <w:pStyle w:val="BodyText"/>
        <w:spacing w:line="240" w:lineRule="auto" w:before="145"/>
        <w:ind w:right="0"/>
        <w:jc w:val="left"/>
      </w:pPr>
      <w:r>
        <w:rPr/>
        <w:t>（</w:t>
      </w:r>
      <w:r>
        <w:rPr>
          <w:rFonts w:ascii="Times New Roman" w:hAnsi="Times New Roman" w:cs="Times New Roman" w:eastAsia="Times New Roman" w:hint="default"/>
        </w:rPr>
        <w:t>2</w:t>
      </w:r>
      <w:r>
        <w:rPr/>
        <w:t>）其他应付款中无欠持有本公司</w:t>
      </w:r>
      <w:r>
        <w:rPr>
          <w:spacing w:val="-46"/>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）以上表决权股份的股东单位款项。</w:t>
      </w:r>
    </w:p>
    <w:p>
      <w:pPr>
        <w:spacing w:line="240" w:lineRule="auto" w:before="11"/>
        <w:rPr>
          <w:rFonts w:ascii="宋体" w:hAnsi="宋体" w:cs="宋体" w:eastAsia="宋体" w:hint="default"/>
          <w:sz w:val="25"/>
          <w:szCs w:val="25"/>
        </w:rPr>
      </w:pPr>
    </w:p>
    <w:p>
      <w:pPr>
        <w:pStyle w:val="Heading3"/>
        <w:spacing w:line="240" w:lineRule="auto"/>
        <w:ind w:left="113" w:right="0"/>
        <w:jc w:val="left"/>
        <w:rPr>
          <w:b w:val="0"/>
          <w:bCs w:val="0"/>
        </w:rPr>
      </w:pPr>
      <w:bookmarkStart w:name="42、划分为持有待售的负债" w:id="322"/>
      <w:bookmarkEnd w:id="322"/>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43、一年内到期的非流动负债" w:id="323"/>
      <w:bookmarkEnd w:id="323"/>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17,270,655.72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20,270,655.72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其他流动负债" w:id="324"/>
      <w:bookmarkEnd w:id="324"/>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一年内摊销的递延收益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2,234,385.77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1,787,500.00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2,234,385.77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1,787,500.00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45、长期借款" w:id="325"/>
      <w:bookmarkEnd w:id="325"/>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26"/>
      <w:bookmarkEnd w:id="32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保证、抵押借款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8,580,000.00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33,580,000.00</w:t>
            </w:r>
          </w:p>
        </w:tc>
      </w:tr>
    </w:tbl>
    <w:p>
      <w:pPr>
        <w:pStyle w:val="BodyText"/>
        <w:spacing w:line="240" w:lineRule="auto" w:before="51"/>
        <w:ind w:right="0"/>
        <w:jc w:val="left"/>
      </w:pPr>
      <w:r>
        <w:rPr/>
        <w:t>长期借款分类的说明：</w:t>
      </w:r>
    </w:p>
    <w:p>
      <w:pPr>
        <w:pStyle w:val="BodyText"/>
        <w:spacing w:line="240" w:lineRule="auto" w:before="116"/>
        <w:ind w:right="0"/>
        <w:jc w:val="left"/>
      </w:pPr>
      <w:r>
        <w:rPr/>
        <w:t>（</w:t>
      </w:r>
      <w:r>
        <w:rPr>
          <w:rFonts w:ascii="Times New Roman" w:hAnsi="Times New Roman" w:cs="Times New Roman" w:eastAsia="Times New Roman" w:hint="default"/>
        </w:rPr>
        <w:t>1</w:t>
      </w:r>
      <w:r>
        <w:rPr/>
        <w:t>）保证借款由汤于、重庆两江新区融资担保有限公司提供担保。</w:t>
      </w:r>
    </w:p>
    <w:p>
      <w:pPr>
        <w:pStyle w:val="BodyText"/>
        <w:spacing w:line="240" w:lineRule="auto" w:before="103"/>
        <w:ind w:left="113" w:right="0"/>
        <w:jc w:val="left"/>
      </w:pPr>
      <w:r>
        <w:rPr/>
        <w:t>（</w:t>
      </w:r>
      <w:r>
        <w:rPr>
          <w:rFonts w:ascii="Times New Roman" w:hAnsi="Times New Roman" w:cs="Times New Roman" w:eastAsia="Times New Roman" w:hint="default"/>
        </w:rPr>
        <w:t>2</w:t>
      </w:r>
      <w:r>
        <w:rPr/>
        <w:t>）保证抵押借款由汤于提供担保；公司以“天安数码城•云谷”</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套房产为抵押物进行抵押。</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6、应付债券" w:id="327"/>
      <w:bookmarkEnd w:id="327"/>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7、长期应付款" w:id="328"/>
      <w:bookmarkEnd w:id="328"/>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长期应付款" w:id="329"/>
      <w:bookmarkEnd w:id="329"/>
      <w:r>
        <w:rPr>
          <w:b w:val="0"/>
          <w:bCs w:val="0"/>
        </w:rPr>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售后回租融资租赁款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55,952,316.23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减：一年内到期的融资租赁款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17,270,655.72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4,445,503.72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34,236,156.79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 w:right="6793"/>
        <w:jc w:val="left"/>
      </w:pPr>
      <w:r>
        <w:rPr/>
        <w:t>其他说明： 长期应付款为售后回租融资租赁资产长期应付款。</w:t>
      </w:r>
    </w:p>
    <w:p>
      <w:pPr>
        <w:spacing w:line="240" w:lineRule="auto" w:before="1"/>
        <w:rPr>
          <w:rFonts w:ascii="宋体" w:hAnsi="宋体" w:cs="宋体" w:eastAsia="宋体" w:hint="default"/>
          <w:sz w:val="20"/>
          <w:szCs w:val="20"/>
        </w:rPr>
      </w:pPr>
    </w:p>
    <w:p>
      <w:pPr>
        <w:pStyle w:val="Heading3"/>
        <w:spacing w:line="240" w:lineRule="auto"/>
        <w:ind w:left="113" w:right="0"/>
        <w:jc w:val="left"/>
        <w:rPr>
          <w:b w:val="0"/>
          <w:bCs w:val="0"/>
        </w:rPr>
      </w:pPr>
      <w:bookmarkStart w:name="48、长期应付职工薪酬" w:id="330"/>
      <w:bookmarkEnd w:id="330"/>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49、专项应付款" w:id="331"/>
      <w:bookmarkEnd w:id="331"/>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0、预计负债" w:id="332"/>
      <w:bookmarkEnd w:id="332"/>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1、递延收益" w:id="333"/>
      <w:bookmarkEnd w:id="333"/>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17,875,000.03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4,412,400.00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2,355,335.91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19,932,064.12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17,875,000.03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4,412,400.00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2,355,335.91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19,932,064.12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8" w:right="137"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317" w:right="113"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太阳能光电建 筑应用项目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11,458,333.34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1,145,833.32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10,312,500.02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侧光伏发电项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6,416,666.69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753,279.57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334,838.71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8,788,548.41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组合式防伪瓶 盖生产线技术 改造项目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952,400.00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9,337.25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112,047.06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831,015.69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17,875,000.03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4,412,400.00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1,908,450.14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446,885.77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19,932,064.12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2" w:lineRule="auto" w:before="116"/>
        <w:ind w:left="113" w:right="1144" w:firstLine="360"/>
        <w:jc w:val="left"/>
      </w:pPr>
      <w:r>
        <w:rPr/>
        <w:t>（</w:t>
      </w:r>
      <w:r>
        <w:rPr>
          <w:rFonts w:ascii="Times New Roman" w:hAnsi="Times New Roman" w:cs="Times New Roman" w:eastAsia="Times New Roman" w:hint="default"/>
        </w:rPr>
        <w:t>1</w:t>
      </w:r>
      <w:r>
        <w:rPr/>
        <w:t>）根据牟财建</w:t>
      </w:r>
      <w:r>
        <w:rPr>
          <w:rFonts w:ascii="Times New Roman" w:hAnsi="Times New Roman" w:cs="Times New Roman" w:eastAsia="Times New Roman" w:hint="default"/>
        </w:rPr>
        <w:t>[2013]7</w:t>
      </w:r>
      <w:r>
        <w:rPr>
          <w:rFonts w:ascii="Times New Roman" w:hAnsi="Times New Roman" w:cs="Times New Roman" w:eastAsia="Times New Roman" w:hint="default"/>
          <w:spacing w:val="-2"/>
        </w:rPr>
        <w:t> </w:t>
      </w:r>
      <w:r>
        <w:rPr/>
        <w:t>号文件，烟台市牟平区财政局拨付山东丽鹏股份有限公司</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年太阳能光电建筑应用示范补 助资金</w:t>
      </w:r>
      <w:r>
        <w:rPr>
          <w:spacing w:val="-46"/>
        </w:rPr>
        <w:t> </w:t>
      </w:r>
      <w:r>
        <w:rPr>
          <w:rFonts w:ascii="Times New Roman" w:hAnsi="Times New Roman" w:cs="Times New Roman" w:eastAsia="Times New Roman" w:hint="default"/>
        </w:rPr>
        <w:t>963</w:t>
      </w:r>
      <w:r>
        <w:rPr>
          <w:rFonts w:ascii="Times New Roman" w:hAnsi="Times New Roman" w:cs="Times New Roman" w:eastAsia="Times New Roman" w:hint="default"/>
          <w:spacing w:val="-1"/>
        </w:rPr>
        <w:t> </w:t>
      </w:r>
      <w:r>
        <w:rPr/>
        <w:t>万元。</w:t>
      </w:r>
    </w:p>
    <w:p>
      <w:pPr>
        <w:pStyle w:val="BodyText"/>
        <w:spacing w:line="300" w:lineRule="auto" w:before="49"/>
        <w:ind w:right="1117" w:firstLine="360"/>
        <w:jc w:val="left"/>
      </w:pPr>
      <w:r>
        <w:rPr>
          <w:spacing w:val="-3"/>
        </w:rPr>
        <w:t>（</w:t>
      </w:r>
      <w:r>
        <w:rPr>
          <w:rFonts w:ascii="Times New Roman" w:hAnsi="Times New Roman" w:cs="Times New Roman" w:eastAsia="Times New Roman" w:hint="default"/>
          <w:spacing w:val="-3"/>
        </w:rPr>
        <w:t>2</w:t>
      </w:r>
      <w:r>
        <w:rPr>
          <w:spacing w:val="-3"/>
        </w:rPr>
        <w:t>）根据牟财建指</w:t>
      </w:r>
      <w:r>
        <w:rPr>
          <w:rFonts w:ascii="Times New Roman" w:hAnsi="Times New Roman" w:cs="Times New Roman" w:eastAsia="Times New Roman" w:hint="default"/>
          <w:spacing w:val="-3"/>
        </w:rPr>
        <w:t>[2013]20</w:t>
      </w:r>
      <w:r>
        <w:rPr>
          <w:rFonts w:ascii="Times New Roman" w:hAnsi="Times New Roman" w:cs="Times New Roman" w:eastAsia="Times New Roman" w:hint="default"/>
          <w:spacing w:val="-6"/>
        </w:rPr>
        <w:t> </w:t>
      </w:r>
      <w:r>
        <w:rPr/>
        <w:t>号文件，烟台市牟平区财政局拨付山东丽鹏股份有限公司</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年金太阳示范工程财政补助 资金预算指标</w:t>
      </w:r>
      <w:r>
        <w:rPr>
          <w:spacing w:val="-47"/>
        </w:rPr>
        <w:t> </w:t>
      </w:r>
      <w:r>
        <w:rPr>
          <w:rFonts w:ascii="Times New Roman" w:hAnsi="Times New Roman" w:cs="Times New Roman" w:eastAsia="Times New Roman" w:hint="default"/>
        </w:rPr>
        <w:t>110</w:t>
      </w:r>
      <w:r>
        <w:rPr>
          <w:rFonts w:ascii="Times New Roman" w:hAnsi="Times New Roman" w:cs="Times New Roman" w:eastAsia="Times New Roman" w:hint="default"/>
          <w:spacing w:val="-2"/>
        </w:rPr>
        <w:t> </w:t>
      </w:r>
      <w:r>
        <w:rPr/>
        <w:t>万元，根据牟财建指</w:t>
      </w:r>
      <w:r>
        <w:rPr>
          <w:rFonts w:ascii="Times New Roman" w:hAnsi="Times New Roman" w:cs="Times New Roman" w:eastAsia="Times New Roman" w:hint="default"/>
        </w:rPr>
        <w:t>[2013]26</w:t>
      </w:r>
      <w:r>
        <w:rPr>
          <w:rFonts w:ascii="Times New Roman" w:hAnsi="Times New Roman" w:cs="Times New Roman" w:eastAsia="Times New Roman" w:hint="default"/>
          <w:spacing w:val="-2"/>
        </w:rPr>
        <w:t> </w:t>
      </w:r>
      <w:r>
        <w:rPr/>
        <w:t>号文件，烟台市牟平区财政局拨付山东丽鹏股份有限公司</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年金太阳示</w:t>
      </w:r>
    </w:p>
    <w:p>
      <w:pPr>
        <w:pStyle w:val="BodyText"/>
        <w:spacing w:line="240" w:lineRule="auto" w:before="14"/>
        <w:ind w:right="0"/>
        <w:jc w:val="left"/>
      </w:pPr>
      <w:r>
        <w:rPr/>
        <w:t>范工程财政补助资金预算指标</w:t>
      </w:r>
      <w:r>
        <w:rPr>
          <w:spacing w:val="-46"/>
        </w:rPr>
        <w:t> </w:t>
      </w:r>
      <w:r>
        <w:rPr>
          <w:rFonts w:ascii="Times New Roman" w:hAnsi="Times New Roman" w:cs="Times New Roman" w:eastAsia="Times New Roman" w:hint="default"/>
        </w:rPr>
        <w:t>660</w:t>
      </w:r>
      <w:r>
        <w:rPr>
          <w:rFonts w:ascii="Times New Roman" w:hAnsi="Times New Roman" w:cs="Times New Roman" w:eastAsia="Times New Roman" w:hint="default"/>
          <w:spacing w:val="-1"/>
        </w:rPr>
        <w:t> </w:t>
      </w:r>
      <w:r>
        <w:rPr/>
        <w:t>万元。</w:t>
      </w:r>
    </w:p>
    <w:p>
      <w:pPr>
        <w:pStyle w:val="BodyText"/>
        <w:spacing w:line="302" w:lineRule="auto" w:before="101"/>
        <w:ind w:left="113" w:right="1140" w:firstLine="360"/>
        <w:jc w:val="left"/>
      </w:pPr>
      <w:r>
        <w:rPr/>
        <w:t>（</w:t>
      </w:r>
      <w:r>
        <w:rPr>
          <w:rFonts w:ascii="Times New Roman" w:hAnsi="Times New Roman" w:cs="Times New Roman" w:eastAsia="Times New Roman" w:hint="default"/>
        </w:rPr>
        <w:t>3</w:t>
      </w:r>
      <w:r>
        <w:rPr/>
        <w:t>）根据烟财建指</w:t>
      </w:r>
      <w:r>
        <w:rPr>
          <w:rFonts w:ascii="Times New Roman" w:hAnsi="Times New Roman" w:cs="Times New Roman" w:eastAsia="Times New Roman" w:hint="default"/>
        </w:rPr>
        <w:t>[2014]32</w:t>
      </w:r>
      <w:r>
        <w:rPr>
          <w:rFonts w:ascii="Times New Roman" w:hAnsi="Times New Roman" w:cs="Times New Roman" w:eastAsia="Times New Roman" w:hint="default"/>
          <w:spacing w:val="-2"/>
        </w:rPr>
        <w:t> </w:t>
      </w:r>
      <w:r>
        <w:rPr/>
        <w:t>号文件，烟台市牟平区财政局拨付山东丽鹏股份有限公司国家补助可再生能源发展专项资 金</w:t>
      </w:r>
      <w:r>
        <w:rPr>
          <w:spacing w:val="-46"/>
        </w:rPr>
        <w:t> </w:t>
      </w:r>
      <w:r>
        <w:rPr>
          <w:rFonts w:ascii="Times New Roman" w:hAnsi="Times New Roman" w:cs="Times New Roman" w:eastAsia="Times New Roman" w:hint="default"/>
        </w:rPr>
        <w:t>412</w:t>
      </w:r>
      <w:r>
        <w:rPr>
          <w:rFonts w:ascii="Times New Roman" w:hAnsi="Times New Roman" w:cs="Times New Roman" w:eastAsia="Times New Roman" w:hint="default"/>
          <w:spacing w:val="-1"/>
        </w:rPr>
        <w:t> </w:t>
      </w:r>
      <w:r>
        <w:rPr/>
        <w:t>万元，专项用于</w:t>
      </w:r>
      <w:r>
        <w:rPr>
          <w:spacing w:val="-46"/>
        </w:rPr>
        <w:t> </w:t>
      </w:r>
      <w:r>
        <w:rPr>
          <w:rFonts w:ascii="Times New Roman" w:hAnsi="Times New Roman" w:cs="Times New Roman" w:eastAsia="Times New Roman" w:hint="default"/>
        </w:rPr>
        <w:t>2012 </w:t>
      </w:r>
      <w:r>
        <w:rPr/>
        <w:t>年太阳能光电建筑应用示范项目。</w:t>
      </w:r>
    </w:p>
    <w:p>
      <w:pPr>
        <w:pStyle w:val="BodyText"/>
        <w:spacing w:line="302" w:lineRule="auto" w:before="51"/>
        <w:ind w:right="1117" w:firstLine="360"/>
        <w:jc w:val="left"/>
      </w:pPr>
      <w:r>
        <w:rPr>
          <w:spacing w:val="-3"/>
        </w:rPr>
        <w:t>（</w:t>
      </w:r>
      <w:r>
        <w:rPr>
          <w:rFonts w:ascii="Times New Roman" w:hAnsi="Times New Roman" w:cs="Times New Roman" w:eastAsia="Times New Roman" w:hint="default"/>
          <w:spacing w:val="-3"/>
        </w:rPr>
        <w:t>4</w:t>
      </w:r>
      <w:r>
        <w:rPr>
          <w:spacing w:val="-3"/>
        </w:rPr>
        <w:t>）根据牟财建指</w:t>
      </w:r>
      <w:r>
        <w:rPr>
          <w:rFonts w:ascii="Times New Roman" w:hAnsi="Times New Roman" w:cs="Times New Roman" w:eastAsia="Times New Roman" w:hint="default"/>
          <w:spacing w:val="-3"/>
        </w:rPr>
        <w:t>[2015]30</w:t>
      </w:r>
      <w:r>
        <w:rPr>
          <w:rFonts w:ascii="Times New Roman" w:hAnsi="Times New Roman" w:cs="Times New Roman" w:eastAsia="Times New Roman" w:hint="default"/>
          <w:spacing w:val="-6"/>
        </w:rPr>
        <w:t> </w:t>
      </w:r>
      <w:r>
        <w:rPr/>
        <w:t>号文件，烟台市牟平区财政局拨付山东丽鹏股份有限公司</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年金太阳示范工程财政补助 资金预算指标</w:t>
      </w:r>
      <w:r>
        <w:rPr>
          <w:spacing w:val="-46"/>
        </w:rPr>
        <w:t> </w:t>
      </w:r>
      <w:r>
        <w:rPr>
          <w:rFonts w:ascii="Times New Roman" w:hAnsi="Times New Roman" w:cs="Times New Roman" w:eastAsia="Times New Roman" w:hint="default"/>
        </w:rPr>
        <w:t>346</w:t>
      </w:r>
      <w:r>
        <w:rPr>
          <w:rFonts w:ascii="Times New Roman" w:hAnsi="Times New Roman" w:cs="Times New Roman" w:eastAsia="Times New Roman" w:hint="default"/>
          <w:spacing w:val="-1"/>
        </w:rPr>
        <w:t> </w:t>
      </w:r>
      <w:r>
        <w:rPr/>
        <w:t>万元。</w:t>
      </w:r>
    </w:p>
    <w:p>
      <w:pPr>
        <w:pStyle w:val="BodyText"/>
        <w:spacing w:line="302" w:lineRule="auto" w:before="49"/>
        <w:ind w:left="113" w:right="1115" w:firstLine="360"/>
        <w:jc w:val="left"/>
      </w:pPr>
      <w:r>
        <w:rPr>
          <w:spacing w:val="-3"/>
        </w:rPr>
        <w:t>（</w:t>
      </w:r>
      <w:r>
        <w:rPr>
          <w:rFonts w:ascii="Times New Roman" w:hAnsi="Times New Roman" w:cs="Times New Roman" w:eastAsia="Times New Roman" w:hint="default"/>
          <w:spacing w:val="-3"/>
        </w:rPr>
        <w:t>5</w:t>
      </w:r>
      <w:r>
        <w:rPr>
          <w:spacing w:val="-3"/>
        </w:rPr>
        <w:t>）根据成财企</w:t>
      </w:r>
      <w:r>
        <w:rPr>
          <w:rFonts w:ascii="Times New Roman" w:hAnsi="Times New Roman" w:cs="Times New Roman" w:eastAsia="Times New Roman" w:hint="default"/>
          <w:spacing w:val="-3"/>
        </w:rPr>
        <w:t>[2015]165</w:t>
      </w:r>
      <w:r>
        <w:rPr>
          <w:rFonts w:ascii="Times New Roman" w:hAnsi="Times New Roman" w:cs="Times New Roman" w:eastAsia="Times New Roman" w:hint="default"/>
          <w:spacing w:val="-16"/>
        </w:rPr>
        <w:t> </w:t>
      </w:r>
      <w:r>
        <w:rPr/>
        <w:t>号文件，蒲江县经济科技和信息化局拨付子公司成都海川制盖有限公司固定资产投资补助资 金</w:t>
      </w:r>
      <w:r>
        <w:rPr>
          <w:spacing w:val="-46"/>
        </w:rPr>
        <w:t> </w:t>
      </w:r>
      <w:r>
        <w:rPr>
          <w:rFonts w:ascii="Times New Roman" w:hAnsi="Times New Roman" w:cs="Times New Roman" w:eastAsia="Times New Roman" w:hint="default"/>
        </w:rPr>
        <w:t>95.24 </w:t>
      </w:r>
      <w:r>
        <w:rPr/>
        <w:t>万元，专项用于组合式防伪瓶盖生产线技术改造项目。</w:t>
      </w:r>
    </w:p>
    <w:p>
      <w:pPr>
        <w:spacing w:line="240" w:lineRule="auto" w:before="10"/>
        <w:rPr>
          <w:rFonts w:ascii="宋体" w:hAnsi="宋体" w:cs="宋体" w:eastAsia="宋体" w:hint="default"/>
          <w:sz w:val="21"/>
          <w:szCs w:val="21"/>
        </w:rPr>
      </w:pPr>
    </w:p>
    <w:p>
      <w:pPr>
        <w:pStyle w:val="Heading3"/>
        <w:spacing w:line="240" w:lineRule="auto"/>
        <w:ind w:left="113" w:right="0"/>
        <w:jc w:val="left"/>
        <w:rPr>
          <w:b w:val="0"/>
          <w:bCs w:val="0"/>
        </w:rPr>
      </w:pPr>
      <w:bookmarkStart w:name="52、其他非流动负债" w:id="334"/>
      <w:bookmarkEnd w:id="334"/>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未实现售后租回损益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3,779,491.56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3,779,491.56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股本" w:id="335"/>
      <w:bookmarkEnd w:id="335"/>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329,653,221.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329,653,221.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54、其他权益工具" w:id="336"/>
      <w:bookmarkEnd w:id="336"/>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5、资本公积" w:id="337"/>
      <w:bookmarkEnd w:id="337"/>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1,359,296,207.78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1" w:right="0"/>
              <w:jc w:val="left"/>
              <w:rPr>
                <w:rFonts w:ascii="Times New Roman" w:hAnsi="Times New Roman" w:cs="Times New Roman" w:eastAsia="Times New Roman" w:hint="default"/>
                <w:sz w:val="18"/>
                <w:szCs w:val="18"/>
              </w:rPr>
            </w:pPr>
            <w:r>
              <w:rPr>
                <w:rFonts w:ascii="Times New Roman"/>
                <w:sz w:val="18"/>
              </w:rPr>
              <w:t>1,359,296,207.78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1,359,296,207.78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41" w:right="0"/>
              <w:jc w:val="left"/>
              <w:rPr>
                <w:rFonts w:ascii="Times New Roman" w:hAnsi="Times New Roman" w:cs="Times New Roman" w:eastAsia="Times New Roman" w:hint="default"/>
                <w:sz w:val="18"/>
                <w:szCs w:val="18"/>
              </w:rPr>
            </w:pPr>
            <w:r>
              <w:rPr>
                <w:rFonts w:ascii="Times New Roman"/>
                <w:sz w:val="18"/>
              </w:rPr>
              <w:t>1,359,296,207.78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6、库存股" w:id="338"/>
      <w:bookmarkEnd w:id="338"/>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7、其他综合收益" w:id="339"/>
      <w:bookmarkEnd w:id="339"/>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8、专项储备" w:id="340"/>
      <w:bookmarkEnd w:id="340"/>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9、盈余公积" w:id="341"/>
      <w:bookmarkEnd w:id="341"/>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14,655,398.57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565,158.68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15,220,557.25</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14,655,398.57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565,158.68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15,220,557.25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0、未分配利润" w:id="342"/>
      <w:bookmarkEnd w:id="342"/>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163,086,079.58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142,738,729.82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163,086,079.58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142,738,729.82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121,304,672.40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31,350,531.97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565,158.68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1,432,720.76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9,570,461.45</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283,825,593.30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163,086,079.58</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1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13"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13"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left="11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61、营业收入和营业成本" w:id="343"/>
      <w:bookmarkEnd w:id="343"/>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1,327,898,266.35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1,049,799,136.55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678,587,081.60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537,731,338.35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29,592,473.04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16,033,940.83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23,336,032.99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19,007,444.99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1,357,490,739.39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1,065,833,077.38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701,923,114.59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556,738,783.34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营业税金及附加" w:id="344"/>
      <w:bookmarkEnd w:id="344"/>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22,923,108.58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1,109,166.07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2,383,834.65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1,175,552.80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1,136,671.42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598,048.97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757,786.00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403,209.30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106,015.55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75,427.45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49,703.91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59,142.35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27,357,120.11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3,420,546.94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销售费用" w:id="345"/>
      <w:bookmarkEnd w:id="345"/>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9,233,739.44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9,527,677.40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1,938,664.84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2,097,977.21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786,849.44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823,160.06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4,296,171.30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4,585,291.97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637,720.31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758,014.03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7,750,458.36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6,856,171.50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1,920,856.01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1,102,875.35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26,564,459.70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25,751,167.52</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4、管理费用" w:id="346"/>
      <w:bookmarkEnd w:id="346"/>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5,922,060.08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2,661,801.33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4,163,010.43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5,697,889.14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3,109,754.28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1,011,557.35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1,480,859.24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1,083,751.37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6,746,141.18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5,406,511.82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46,240,351.27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25,586,400.73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9,149,607.53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6,331,085.20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7,486,694.14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5,016,192.62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1,678,612.59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942,265.64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物料消耗及其他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2,290,131.12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2,144,624.51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2,940,590.81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1,932,850.25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993,331.30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93,140,662.92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57,025,411.01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5、财务费用" w:id="347"/>
      <w:bookmarkEnd w:id="347"/>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36,857,175.14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20,098,440.43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42,210,167.02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3,838,028.26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-3,868,220.90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-521,583.14</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3,643,280.25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196,594.93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-5,577,932.53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15,935,423.96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6、资产减值损失" w:id="348"/>
      <w:bookmarkEnd w:id="348"/>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18,639,463.11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3,016,571.31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1,969,804.57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667,595.06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20,609,267.68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3,684,166.37</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7、公允价值变动收益" w:id="349"/>
      <w:bookmarkEnd w:id="349"/>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 损益的金融资产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433,202.24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433,202.24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8、投资收益" w:id="350"/>
      <w:bookmarkEnd w:id="350"/>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5,234,080.52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30,668.77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127,053.44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6,764,749.29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127,053.44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9、营业外收入" w:id="351"/>
      <w:bookmarkEnd w:id="351"/>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110,369.15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44,334.81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110,369.15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110,369.15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44,334.81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110,369.15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4,504,976.85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9,349,936.97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4,504,976.85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1,360,279.38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308,178.24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1,360,279.38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5,975,625.38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9,702,450.02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5,975,625.38</w:t>
            </w:r>
          </w:p>
        </w:tc>
      </w:tr>
    </w:tbl>
    <w:p>
      <w:pPr>
        <w:pStyle w:val="BodyText"/>
        <w:spacing w:line="240" w:lineRule="auto" w:before="51"/>
        <w:ind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164"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工程</w:t>
            </w:r>
          </w:p>
          <w:p>
            <w:pPr>
              <w:pStyle w:val="TableParagraph"/>
              <w:spacing w:line="309" w:lineRule="auto" w:before="61"/>
              <w:ind w:left="103" w:right="15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企业技术 改造项目 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40" w:right="0"/>
              <w:jc w:val="left"/>
              <w:rPr>
                <w:rFonts w:ascii="Times New Roman" w:hAnsi="Times New Roman" w:cs="Times New Roman" w:eastAsia="Times New Roman" w:hint="default"/>
                <w:sz w:val="18"/>
                <w:szCs w:val="18"/>
              </w:rPr>
            </w:pPr>
            <w:r>
              <w:rPr>
                <w:rFonts w:ascii="Times New Roman"/>
                <w:sz w:val="18"/>
              </w:rPr>
              <w:t>102,000.00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39" w:right="0"/>
              <w:jc w:val="left"/>
              <w:rPr>
                <w:rFonts w:ascii="Times New Roman" w:hAnsi="Times New Roman" w:cs="Times New Roman" w:eastAsia="Times New Roman" w:hint="default"/>
                <w:sz w:val="18"/>
                <w:szCs w:val="18"/>
              </w:rPr>
            </w:pPr>
            <w:r>
              <w:rPr>
                <w:rFonts w:ascii="Times New Roman"/>
                <w:sz w:val="18"/>
              </w:rPr>
              <w:t>416,000.00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31"/>
              <w:jc w:val="left"/>
              <w:rPr>
                <w:rFonts w:ascii="宋体" w:hAnsi="宋体" w:cs="宋体" w:eastAsia="宋体" w:hint="default"/>
                <w:sz w:val="18"/>
                <w:szCs w:val="18"/>
              </w:rPr>
            </w:pPr>
            <w:r>
              <w:rPr>
                <w:rFonts w:ascii="宋体" w:hAnsi="宋体" w:cs="宋体" w:eastAsia="宋体" w:hint="default"/>
                <w:sz w:val="18"/>
                <w:szCs w:val="18"/>
              </w:rPr>
              <w:t>烟台市牟 平区财政</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28"/>
              <w:jc w:val="left"/>
              <w:rPr>
                <w:rFonts w:ascii="宋体" w:hAnsi="宋体" w:cs="宋体" w:eastAsia="宋体" w:hint="default"/>
                <w:sz w:val="18"/>
                <w:szCs w:val="18"/>
              </w:rPr>
            </w:pPr>
            <w:r>
              <w:rPr>
                <w:rFonts w:ascii="宋体" w:hAnsi="宋体" w:cs="宋体" w:eastAsia="宋体" w:hint="default"/>
                <w:sz w:val="18"/>
                <w:szCs w:val="18"/>
              </w:rPr>
              <w:t>因从事国 家鼓励和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1,145,833.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1,787,499.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3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31"/>
              <w:jc w:val="both"/>
              <w:rPr>
                <w:rFonts w:ascii="宋体" w:hAnsi="宋体" w:cs="宋体" w:eastAsia="宋体" w:hint="default"/>
                <w:sz w:val="18"/>
                <w:szCs w:val="18"/>
              </w:rPr>
            </w:pPr>
            <w:r>
              <w:rPr>
                <w:rFonts w:ascii="宋体" w:hAnsi="宋体" w:cs="宋体" w:eastAsia="宋体" w:hint="default"/>
                <w:sz w:val="18"/>
                <w:szCs w:val="18"/>
              </w:rPr>
              <w:t>局太阳能 光电建筑 应用示范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1"/>
              <w:jc w:val="both"/>
              <w:rPr>
                <w:rFonts w:ascii="宋体" w:hAnsi="宋体" w:cs="宋体" w:eastAsia="宋体" w:hint="default"/>
                <w:sz w:val="18"/>
                <w:szCs w:val="18"/>
              </w:rPr>
            </w:pPr>
            <w:r>
              <w:rPr>
                <w:rFonts w:ascii="宋体" w:hAnsi="宋体" w:cs="宋体" w:eastAsia="宋体" w:hint="default"/>
                <w:sz w:val="18"/>
                <w:szCs w:val="18"/>
              </w:rPr>
              <w:t>烟台市牟 平区科技 局优势企 业培育资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烟台市牟 平区财政 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度市级循 环经济及 节能专项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53,850.00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烟台市牟 平区财政 局中小企 业国际市 场开拓资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45,000.00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44,200.00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70,870.00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中小企业 扶持奖励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2,263.02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31"/>
              <w:jc w:val="left"/>
              <w:rPr>
                <w:rFonts w:ascii="宋体" w:hAnsi="宋体" w:cs="宋体" w:eastAsia="宋体" w:hint="default"/>
                <w:sz w:val="18"/>
                <w:szCs w:val="18"/>
              </w:rPr>
            </w:pPr>
            <w:r>
              <w:rPr>
                <w:rFonts w:ascii="宋体" w:hAnsi="宋体" w:cs="宋体" w:eastAsia="宋体" w:hint="default"/>
                <w:sz w:val="18"/>
                <w:szCs w:val="18"/>
              </w:rPr>
              <w:t>烟台市牟 平区财政</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28"/>
              <w:jc w:val="left"/>
              <w:rPr>
                <w:rFonts w:ascii="宋体" w:hAnsi="宋体" w:cs="宋体" w:eastAsia="宋体" w:hint="default"/>
                <w:sz w:val="18"/>
                <w:szCs w:val="18"/>
              </w:rPr>
            </w:pPr>
            <w:r>
              <w:rPr>
                <w:rFonts w:ascii="宋体" w:hAnsi="宋体" w:cs="宋体" w:eastAsia="宋体" w:hint="default"/>
                <w:sz w:val="18"/>
                <w:szCs w:val="18"/>
              </w:rPr>
              <w:t>因符合地 方政府招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994,000.00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43"/>
              <w:jc w:val="left"/>
              <w:rPr>
                <w:rFonts w:ascii="宋体" w:hAnsi="宋体" w:cs="宋体" w:eastAsia="宋体" w:hint="default"/>
                <w:sz w:val="18"/>
                <w:szCs w:val="18"/>
              </w:rPr>
            </w:pPr>
            <w:r>
              <w:rPr>
                <w:rFonts w:ascii="宋体" w:hAnsi="宋体" w:cs="宋体" w:eastAsia="宋体" w:hint="default"/>
                <w:sz w:val="18"/>
                <w:szCs w:val="18"/>
              </w:rPr>
              <w:t>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涉 企相关扶 持奖励资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8"/>
              <w:jc w:val="both"/>
              <w:rPr>
                <w:rFonts w:ascii="宋体" w:hAnsi="宋体" w:cs="宋体" w:eastAsia="宋体" w:hint="default"/>
                <w:sz w:val="18"/>
                <w:szCs w:val="18"/>
              </w:rPr>
            </w:pPr>
            <w:r>
              <w:rPr>
                <w:rFonts w:ascii="宋体" w:hAnsi="宋体" w:cs="宋体" w:eastAsia="宋体" w:hint="default"/>
                <w:sz w:val="18"/>
                <w:szCs w:val="18"/>
              </w:rPr>
              <w:t>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山东知识 产权局优 势企业培 育资金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168,800.00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山东省知 识产权保 护局专利 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北京市怀 柔区桥梓 镇政府北 京企业发 展财政奖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119,339.00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112,900.00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烟台市牟 平区财政 局中小企 业国际市 场开拓资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43"/>
              <w:jc w:val="left"/>
              <w:rPr>
                <w:rFonts w:ascii="宋体" w:hAnsi="宋体" w:cs="宋体" w:eastAsia="宋体" w:hint="default"/>
                <w:sz w:val="18"/>
                <w:szCs w:val="18"/>
              </w:rPr>
            </w:pPr>
            <w:r>
              <w:rPr>
                <w:rFonts w:ascii="宋体" w:hAnsi="宋体" w:cs="宋体" w:eastAsia="宋体" w:hint="default"/>
                <w:sz w:val="18"/>
                <w:szCs w:val="18"/>
              </w:rPr>
              <w:t>烟台市牟 平区财政 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文化产业 发展专项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烟台市牟 平区财政 局省级服 务业发展 </w:t>
            </w:r>
            <w:r>
              <w:rPr>
                <w:rFonts w:ascii="宋体" w:hAnsi="宋体" w:cs="宋体" w:eastAsia="宋体" w:hint="default"/>
                <w:spacing w:val="-11"/>
                <w:sz w:val="18"/>
                <w:szCs w:val="18"/>
              </w:rPr>
              <w:t>资金（外经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贸发展）</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1"/>
              <w:jc w:val="both"/>
              <w:rPr>
                <w:rFonts w:ascii="宋体" w:hAnsi="宋体" w:cs="宋体" w:eastAsia="宋体" w:hint="default"/>
                <w:sz w:val="18"/>
                <w:szCs w:val="18"/>
              </w:rPr>
            </w:pPr>
            <w:r>
              <w:rPr>
                <w:rFonts w:ascii="宋体" w:hAnsi="宋体" w:cs="宋体" w:eastAsia="宋体" w:hint="default"/>
                <w:sz w:val="18"/>
                <w:szCs w:val="18"/>
              </w:rPr>
              <w:t>国家工商 行政管理 总局商标 局引进国 际知名品 牌奖励资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31"/>
              <w:jc w:val="both"/>
              <w:rPr>
                <w:rFonts w:ascii="宋体" w:hAnsi="宋体" w:cs="宋体" w:eastAsia="宋体" w:hint="default"/>
                <w:sz w:val="18"/>
                <w:szCs w:val="18"/>
              </w:rPr>
            </w:pPr>
            <w:r>
              <w:rPr>
                <w:rFonts w:ascii="宋体" w:hAnsi="宋体" w:cs="宋体" w:eastAsia="宋体" w:hint="default"/>
                <w:sz w:val="18"/>
                <w:szCs w:val="18"/>
              </w:rPr>
              <w:t>蒲江县经 济和信息 化局纳税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31"/>
              <w:jc w:val="left"/>
              <w:rPr>
                <w:rFonts w:ascii="宋体" w:hAnsi="宋体" w:cs="宋体" w:eastAsia="宋体" w:hint="default"/>
                <w:sz w:val="18"/>
                <w:szCs w:val="18"/>
              </w:rPr>
            </w:pPr>
            <w:r>
              <w:rPr>
                <w:rFonts w:ascii="宋体" w:hAnsi="宋体" w:cs="宋体" w:eastAsia="宋体" w:hint="default"/>
                <w:sz w:val="18"/>
                <w:szCs w:val="18"/>
              </w:rPr>
              <w:t>蒲江县就 业补贴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31"/>
              <w:jc w:val="both"/>
              <w:rPr>
                <w:rFonts w:ascii="宋体" w:hAnsi="宋体" w:cs="宋体" w:eastAsia="宋体" w:hint="default"/>
                <w:sz w:val="18"/>
                <w:szCs w:val="18"/>
              </w:rPr>
            </w:pPr>
            <w:r>
              <w:rPr>
                <w:rFonts w:ascii="宋体" w:hAnsi="宋体" w:cs="宋体" w:eastAsia="宋体" w:hint="default"/>
                <w:sz w:val="18"/>
                <w:szCs w:val="18"/>
              </w:rPr>
              <w:t>蒲江县人 民政府办 公室专利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1"/>
              <w:jc w:val="both"/>
              <w:rPr>
                <w:rFonts w:ascii="宋体" w:hAnsi="宋体" w:cs="宋体" w:eastAsia="宋体" w:hint="default"/>
                <w:sz w:val="18"/>
                <w:szCs w:val="18"/>
              </w:rPr>
            </w:pPr>
            <w:r>
              <w:rPr>
                <w:rFonts w:ascii="宋体" w:hAnsi="宋体" w:cs="宋体" w:eastAsia="宋体" w:hint="default"/>
                <w:sz w:val="18"/>
                <w:szCs w:val="18"/>
              </w:rPr>
              <w:t>北京怀柔 区财政局 残联岗补 及超比例 奖金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103" w:right="231"/>
              <w:jc w:val="both"/>
              <w:rPr>
                <w:rFonts w:ascii="宋体" w:hAnsi="宋体" w:cs="宋体" w:eastAsia="宋体" w:hint="default"/>
                <w:sz w:val="18"/>
                <w:szCs w:val="18"/>
              </w:rPr>
            </w:pPr>
            <w:r>
              <w:rPr>
                <w:rFonts w:ascii="宋体" w:hAnsi="宋体" w:cs="宋体" w:eastAsia="宋体" w:hint="default"/>
                <w:sz w:val="18"/>
                <w:szCs w:val="18"/>
              </w:rPr>
              <w:t>北京环保 局环境保 护基金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8,500.00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8"/>
              <w:jc w:val="both"/>
              <w:rPr>
                <w:rFonts w:ascii="宋体" w:hAnsi="宋体" w:cs="宋体" w:eastAsia="宋体" w:hint="default"/>
                <w:sz w:val="18"/>
                <w:szCs w:val="18"/>
              </w:rPr>
            </w:pPr>
            <w:r>
              <w:rPr>
                <w:rFonts w:ascii="宋体" w:hAnsi="宋体" w:cs="宋体" w:eastAsia="宋体" w:hint="default"/>
                <w:sz w:val="18"/>
                <w:szCs w:val="18"/>
              </w:rPr>
              <w:t>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泸州市财 政局拨发 的四川中 小企业技 术改造扶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1"/>
              <w:jc w:val="both"/>
              <w:rPr>
                <w:rFonts w:ascii="宋体" w:hAnsi="宋体" w:cs="宋体" w:eastAsia="宋体" w:hint="default"/>
                <w:sz w:val="18"/>
                <w:szCs w:val="18"/>
              </w:rPr>
            </w:pPr>
            <w:r>
              <w:rPr>
                <w:rFonts w:ascii="宋体" w:hAnsi="宋体" w:cs="宋体" w:eastAsia="宋体" w:hint="default"/>
                <w:sz w:val="18"/>
                <w:szCs w:val="18"/>
              </w:rPr>
              <w:t>泸州市人 力资源和 社会保障 局拨发的 稳岗补贴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35,228.00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31"/>
              <w:jc w:val="both"/>
              <w:rPr>
                <w:rFonts w:ascii="宋体" w:hAnsi="宋体" w:cs="宋体" w:eastAsia="宋体" w:hint="default"/>
                <w:sz w:val="18"/>
                <w:szCs w:val="18"/>
              </w:rPr>
            </w:pPr>
            <w:r>
              <w:rPr>
                <w:rFonts w:ascii="宋体" w:hAnsi="宋体" w:cs="宋体" w:eastAsia="宋体" w:hint="default"/>
                <w:sz w:val="18"/>
                <w:szCs w:val="18"/>
              </w:rPr>
              <w:t>蒲江县经 济和信息 化局纳税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1"/>
              <w:jc w:val="both"/>
              <w:rPr>
                <w:rFonts w:ascii="宋体" w:hAnsi="宋体" w:cs="宋体" w:eastAsia="宋体" w:hint="default"/>
                <w:sz w:val="18"/>
                <w:szCs w:val="18"/>
              </w:rPr>
            </w:pPr>
            <w:r>
              <w:rPr>
                <w:rFonts w:ascii="宋体" w:hAnsi="宋体" w:cs="宋体" w:eastAsia="宋体" w:hint="default"/>
                <w:sz w:val="18"/>
                <w:szCs w:val="18"/>
              </w:rPr>
              <w:t>北京市社 会保险事 业管理中 心社保补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1,469.00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新疆建设 兵团农四 师劳动就 业服务中 心社保补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92,440.00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1"/>
              <w:jc w:val="both"/>
              <w:rPr>
                <w:rFonts w:ascii="宋体" w:hAnsi="宋体" w:cs="宋体" w:eastAsia="宋体" w:hint="default"/>
                <w:sz w:val="18"/>
                <w:szCs w:val="18"/>
              </w:rPr>
            </w:pPr>
            <w:r>
              <w:rPr>
                <w:rFonts w:ascii="宋体" w:hAnsi="宋体" w:cs="宋体" w:eastAsia="宋体" w:hint="default"/>
                <w:sz w:val="18"/>
                <w:szCs w:val="18"/>
              </w:rPr>
              <w:t>新疆建设 兵团农四 师中小企 业资金开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35,900.00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拓资金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亳州市市 级战略性 新兴产业 和服务业 发展专项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2,130,388.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1"/>
              <w:jc w:val="both"/>
              <w:rPr>
                <w:rFonts w:ascii="宋体" w:hAnsi="宋体" w:cs="宋体" w:eastAsia="宋体" w:hint="default"/>
                <w:sz w:val="18"/>
                <w:szCs w:val="18"/>
              </w:rPr>
            </w:pPr>
            <w:r>
              <w:rPr>
                <w:rFonts w:ascii="宋体" w:hAnsi="宋体" w:cs="宋体" w:eastAsia="宋体" w:hint="default"/>
                <w:sz w:val="18"/>
                <w:szCs w:val="18"/>
              </w:rPr>
              <w:t>重庆市江 北区财政 局科委科 技项目专 利补助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重庆市知 识产权局 专利资助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5,350.00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31"/>
              <w:jc w:val="both"/>
              <w:rPr>
                <w:rFonts w:ascii="宋体" w:hAnsi="宋体" w:cs="宋体" w:eastAsia="宋体" w:hint="default"/>
                <w:sz w:val="18"/>
                <w:szCs w:val="18"/>
              </w:rPr>
            </w:pPr>
            <w:r>
              <w:rPr>
                <w:rFonts w:ascii="宋体" w:hAnsi="宋体" w:cs="宋体" w:eastAsia="宋体" w:hint="default"/>
                <w:sz w:val="18"/>
                <w:szCs w:val="18"/>
              </w:rPr>
              <w:t>重庆市江 北大石坝 街道办事 处产业扶 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31"/>
              <w:jc w:val="both"/>
              <w:rPr>
                <w:rFonts w:ascii="宋体" w:hAnsi="宋体" w:cs="宋体" w:eastAsia="宋体" w:hint="default"/>
                <w:sz w:val="18"/>
                <w:szCs w:val="18"/>
              </w:rPr>
            </w:pPr>
            <w:r>
              <w:rPr>
                <w:rFonts w:ascii="宋体" w:hAnsi="宋体" w:cs="宋体" w:eastAsia="宋体" w:hint="default"/>
                <w:sz w:val="18"/>
                <w:szCs w:val="18"/>
              </w:rPr>
              <w:t>烟台市牟 平区科技 发展计划 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128,000.00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9"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231"/>
              <w:jc w:val="both"/>
              <w:rPr>
                <w:rFonts w:ascii="宋体" w:hAnsi="宋体" w:cs="宋体" w:eastAsia="宋体" w:hint="default"/>
                <w:sz w:val="18"/>
                <w:szCs w:val="18"/>
              </w:rPr>
            </w:pPr>
            <w:r>
              <w:rPr>
                <w:rFonts w:ascii="宋体" w:hAnsi="宋体" w:cs="宋体" w:eastAsia="宋体" w:hint="default"/>
                <w:sz w:val="18"/>
                <w:szCs w:val="18"/>
              </w:rPr>
              <w:t>金太阳示 范工程财 政补助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753,279.57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28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231"/>
              <w:jc w:val="both"/>
              <w:rPr>
                <w:rFonts w:ascii="宋体" w:hAnsi="宋体" w:cs="宋体" w:eastAsia="宋体" w:hint="default"/>
                <w:sz w:val="18"/>
                <w:szCs w:val="18"/>
              </w:rPr>
            </w:pPr>
            <w:r>
              <w:rPr>
                <w:rFonts w:ascii="宋体" w:hAnsi="宋体" w:cs="宋体" w:eastAsia="宋体" w:hint="default"/>
                <w:sz w:val="18"/>
                <w:szCs w:val="18"/>
              </w:rPr>
              <w:t>技改及固 定资产投 资补助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 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9,337.25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31"/>
              <w:jc w:val="both"/>
              <w:rPr>
                <w:rFonts w:ascii="宋体" w:hAnsi="宋体" w:cs="宋体" w:eastAsia="宋体" w:hint="default"/>
                <w:sz w:val="18"/>
                <w:szCs w:val="18"/>
              </w:rPr>
            </w:pPr>
            <w:r>
              <w:rPr>
                <w:rFonts w:ascii="宋体" w:hAnsi="宋体" w:cs="宋体" w:eastAsia="宋体" w:hint="default"/>
                <w:sz w:val="18"/>
                <w:szCs w:val="18"/>
              </w:rPr>
              <w:t>重庆市江 北区财政 国库支付 中心科技 项目费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3" w:right="231"/>
              <w:jc w:val="both"/>
              <w:rPr>
                <w:rFonts w:ascii="宋体" w:hAnsi="宋体" w:cs="宋体" w:eastAsia="宋体" w:hint="default"/>
                <w:sz w:val="18"/>
                <w:szCs w:val="18"/>
              </w:rPr>
            </w:pPr>
            <w:r>
              <w:rPr>
                <w:rFonts w:ascii="宋体" w:hAnsi="宋体" w:cs="宋体" w:eastAsia="宋体" w:hint="default"/>
                <w:sz w:val="18"/>
                <w:szCs w:val="18"/>
              </w:rPr>
              <w:t>重庆市财 政局科研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31"/>
              <w:jc w:val="both"/>
              <w:rPr>
                <w:rFonts w:ascii="宋体" w:hAnsi="宋体" w:cs="宋体" w:eastAsia="宋体" w:hint="default"/>
                <w:sz w:val="18"/>
                <w:szCs w:val="18"/>
              </w:rPr>
            </w:pPr>
            <w:r>
              <w:rPr>
                <w:rFonts w:ascii="宋体" w:hAnsi="宋体" w:cs="宋体" w:eastAsia="宋体" w:hint="default"/>
                <w:sz w:val="18"/>
                <w:szCs w:val="18"/>
              </w:rPr>
              <w:t>重庆市财 政局科技 计划项目 系统款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31"/>
              <w:jc w:val="both"/>
              <w:rPr>
                <w:rFonts w:ascii="宋体" w:hAnsi="宋体" w:cs="宋体" w:eastAsia="宋体" w:hint="default"/>
                <w:sz w:val="18"/>
                <w:szCs w:val="18"/>
              </w:rPr>
            </w:pPr>
            <w:r>
              <w:rPr>
                <w:rFonts w:ascii="宋体" w:hAnsi="宋体" w:cs="宋体" w:eastAsia="宋体" w:hint="default"/>
                <w:sz w:val="18"/>
                <w:szCs w:val="18"/>
              </w:rPr>
              <w:t>重庆市江 北区地方 税务局三</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471,046.68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代手续费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8"/>
              <w:jc w:val="both"/>
              <w:rPr>
                <w:rFonts w:ascii="宋体" w:hAnsi="宋体" w:cs="宋体" w:eastAsia="宋体" w:hint="default"/>
                <w:sz w:val="18"/>
                <w:szCs w:val="18"/>
              </w:rPr>
            </w:pPr>
            <w:r>
              <w:rPr>
                <w:rFonts w:ascii="宋体" w:hAnsi="宋体" w:cs="宋体" w:eastAsia="宋体" w:hint="default"/>
                <w:sz w:val="18"/>
                <w:szCs w:val="18"/>
              </w:rPr>
              <w:t>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4,504,976.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9,349,936.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0、营业外支出" w:id="352"/>
      <w:bookmarkEnd w:id="352"/>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315,172.90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557,035.72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315,172.90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315,172.90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557,035.72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315,172.90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79,784.00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79,784.00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工伤就业补助金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293,600.00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589,634.00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293,600.00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666,103.09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482,620.90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666,103.09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1,354,659.99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1,683,290.62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1,354,659.99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1、所得税费用" w:id="353"/>
      <w:bookmarkEnd w:id="353"/>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54"/>
      <w:bookmarkEnd w:id="354"/>
      <w:r>
        <w:rPr>
          <w:b w:val="0"/>
          <w:bCs w:val="0"/>
        </w:rPr>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31,550,873.06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15,582,804.70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-13,580,372.75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-3,151,111.31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17,970,500.31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12,431,693.39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55"/>
      <w:bookmarkEnd w:id="355"/>
      <w:r>
        <w:rPr>
          <w:b w:val="0"/>
          <w:bCs w:val="0"/>
        </w:rPr>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141,383,001.05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35,345,750.26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-15,775,066.22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1,126,808.18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-880,235.52</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1,591,227.85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公司税率变化的影响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-3,164,624.41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技术开发费加计扣除的影响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-273,359.84</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17,970,500.31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2、其他综合收益" w:id="356"/>
      <w:bookmarkEnd w:id="356"/>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3、现金流量表项目" w:id="357"/>
      <w:bookmarkEnd w:id="357"/>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收到的其他与经营活动有关的现金" w:id="358"/>
      <w:bookmarkEnd w:id="358"/>
      <w:r>
        <w:rPr>
          <w:b w:val="0"/>
          <w:bCs w:val="0"/>
        </w:rPr>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2,596,526.70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7,562,437.00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2,439,182.70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3,838,028.26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15,819,628.74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16,029,810.06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20,855,338.14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27,430,275.32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59"/>
      <w:bookmarkEnd w:id="359"/>
      <w:r>
        <w:rPr>
          <w:b w:val="0"/>
          <w:bCs w:val="0"/>
        </w:rPr>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管理费用中的现金支出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24,686,396.97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19,749,653.02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销售费用中的现金支出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22,078,764.64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20,598,206.27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126,285,149.55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1,824,626.68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173,050,311.16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42,172,485.97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360"/>
      <w:bookmarkEnd w:id="360"/>
      <w:r>
        <w:rPr>
          <w:b w:val="0"/>
          <w:bCs w:val="0"/>
        </w:rPr>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4,403,062.75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4,403,062.75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14,120,000.00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4）支付的其他与投资活动有关的现金" w:id="361"/>
      <w:bookmarkEnd w:id="361"/>
      <w:r>
        <w:rPr>
          <w:b w:val="0"/>
          <w:bCs w:val="0"/>
        </w:rPr>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收到的其他与筹资活动有关的现金" w:id="362"/>
      <w:bookmarkEnd w:id="362"/>
      <w:r>
        <w:rPr>
          <w:b w:val="0"/>
          <w:bCs w:val="0"/>
        </w:rPr>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售后回租融资租赁租金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股东借款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125,000,000.00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363"/>
      <w:bookmarkEnd w:id="363"/>
      <w:r>
        <w:rPr>
          <w:b w:val="0"/>
          <w:bCs w:val="0"/>
        </w:rPr>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售后回租融资租赁租金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3,493,187.49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贴现息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6,117,880.00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股东借款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84,611,067.49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4、现金流量表补充资料" w:id="364"/>
      <w:bookmarkEnd w:id="364"/>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现金流量表补充资料" w:id="365"/>
      <w:bookmarkEnd w:id="365"/>
      <w:r>
        <w:rPr>
          <w:b w:val="0"/>
          <w:bCs w:val="0"/>
        </w:rPr>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123,412,500.74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35,082,134.90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20,609,267.68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3,684,166.37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72,414,703.78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61,339,514.44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1,321,415.61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727,603.49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119,904.72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79,505.31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204,803.75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512,700.91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公允价值变动损失（收益以“－”号填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-433,202.24</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35,626,946.94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19,576,857.29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-6,764,749.29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-127,053.44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-13,688,673.31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-3,151,111.31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108,300.56</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-205,704,329.64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-2,955,070.35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-652,780,360.41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878,713.65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340,687,536.88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-17,656,049.37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-284,865,934.23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97,991,911.89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138,271,860.47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145,865,705.05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145,865,705.05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170,773,624.74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-7,593,844.58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-24,907,919.69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66"/>
      <w:bookmarkEnd w:id="366"/>
      <w:r>
        <w:rPr>
          <w:b w:val="0"/>
          <w:bCs w:val="0"/>
        </w:rPr>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本期收到的处置子公司的现金净额" w:id="367"/>
      <w:bookmarkEnd w:id="367"/>
      <w:r>
        <w:rPr>
          <w:b w:val="0"/>
          <w:bCs w:val="0"/>
        </w:rPr>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现金和现金等价物的构成" w:id="368"/>
      <w:bookmarkEnd w:id="368"/>
      <w:r>
        <w:rPr>
          <w:b w:val="0"/>
          <w:bCs w:val="0"/>
        </w:rPr>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138,271,860.47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145,865,705.05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525,338.38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657,392.15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137,736,169.85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145,208,312.90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10,352.24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138,271,860.47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145,865,705.05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5、所有者权益变动表项目注释" w:id="369"/>
      <w:bookmarkEnd w:id="369"/>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说明对上年期末余额进行调整的“其他”项目名称及调整金额等事项：</w:t>
      </w:r>
    </w:p>
    <w:p>
      <w:pPr>
        <w:spacing w:line="240" w:lineRule="auto" w:before="11"/>
        <w:rPr>
          <w:rFonts w:ascii="宋体" w:hAnsi="宋体" w:cs="宋体" w:eastAsia="宋体" w:hint="default"/>
          <w:sz w:val="26"/>
          <w:szCs w:val="26"/>
        </w:rPr>
      </w:pPr>
    </w:p>
    <w:p>
      <w:pPr>
        <w:pStyle w:val="Heading3"/>
        <w:spacing w:line="240" w:lineRule="auto"/>
        <w:ind w:left="113" w:right="0"/>
        <w:jc w:val="left"/>
        <w:rPr>
          <w:b w:val="0"/>
          <w:bCs w:val="0"/>
        </w:rPr>
      </w:pPr>
      <w:bookmarkStart w:name="76、所有权或使用权受到限制的资产" w:id="370"/>
      <w:bookmarkEnd w:id="370"/>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after="0" w:line="240" w:lineRule="auto"/>
        <w:jc w:val="center"/>
        <w:rPr>
          <w:rFonts w:ascii="宋体" w:hAnsi="宋体" w:cs="宋体" w:eastAsia="宋体" w:hint="default"/>
          <w:sz w:val="18"/>
          <w:szCs w:val="18"/>
        </w:rPr>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133,615,846.67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票据保证金、借款质押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5,174,630.00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20,475,973.18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9,828,000.00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应收帐款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245,332,369.00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414,426,818.85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7、外币货币性项目" w:id="371"/>
      <w:bookmarkEnd w:id="371"/>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外币货币性项目" w:id="372"/>
      <w:bookmarkEnd w:id="372"/>
      <w:r>
        <w:rPr>
          <w:b w:val="0"/>
          <w:bCs w:val="0"/>
        </w:rPr>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122,463.70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6.49360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795,230.28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7.09520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57,400.17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0.83778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39.00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7,821,146.12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6.49360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50,787,394.44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4.72760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236.38</w:t>
            </w:r>
          </w:p>
        </w:tc>
      </w:tr>
    </w:tbl>
    <w:p>
      <w:pPr>
        <w:pStyle w:val="BodyText"/>
        <w:spacing w:line="360" w:lineRule="auto" w:before="51"/>
        <w:ind w:left="113" w:right="6793"/>
        <w:jc w:val="left"/>
      </w:pPr>
      <w:r>
        <w:rPr/>
        <w:t>其他说明： 外币交易及境外经营实体主要报表项目的折算汇率</w:t>
      </w:r>
    </w:p>
    <w:p>
      <w:pPr>
        <w:pStyle w:val="BodyText"/>
        <w:spacing w:line="240" w:lineRule="auto" w:before="26"/>
        <w:ind w:left="113" w:right="0"/>
        <w:jc w:val="left"/>
      </w:pPr>
      <w:r>
        <w:rPr/>
        <w:t>本公司的外币交易及境外经营实体主要报表项目的折算汇率情况详见附注三、（九）外币业务和外币报表折算。</w:t>
      </w:r>
    </w:p>
    <w:p>
      <w:pPr>
        <w:spacing w:line="240" w:lineRule="auto" w:before="10"/>
        <w:rPr>
          <w:rFonts w:ascii="宋体" w:hAnsi="宋体" w:cs="宋体" w:eastAsia="宋体" w:hint="default"/>
          <w:sz w:val="26"/>
          <w:szCs w:val="26"/>
        </w:rPr>
      </w:pPr>
    </w:p>
    <w:p>
      <w:pPr>
        <w:pStyle w:val="Heading3"/>
        <w:spacing w:line="259" w:lineRule="auto"/>
        <w:ind w:left="113" w:right="0"/>
        <w:jc w:val="left"/>
        <w:rPr>
          <w:b w:val="0"/>
          <w:bCs w:val="0"/>
        </w:rPr>
      </w:pPr>
      <w:bookmarkStart w:name="2）境外经营实体说明，包括对于重要的境外经营实体，应披露其境外主要经营地、记账本" w:id="373"/>
      <w:bookmarkEnd w:id="373"/>
      <w:r>
        <w:rPr>
          <w:b w:val="0"/>
          <w:bCs w:val="0"/>
        </w:rPr>
      </w:r>
      <w:r>
        <w:rPr>
          <w:rFonts w:ascii="Times New Roman" w:hAnsi="Times New Roman" w:cs="Times New Roman" w:eastAsia="Times New Roman" w:hint="default"/>
        </w:rPr>
        <w:t>2</w:t>
      </w:r>
      <w:r>
        <w:rPr/>
        <w:t>）境外经营实体说明，包括对于重要的境外经营实体，应披露其境外主要经营地、记账本位币及选择依</w:t>
      </w:r>
      <w:r>
        <w:rPr>
          <w:spacing w:val="-72"/>
        </w:rPr>
        <w:t> </w:t>
      </w:r>
      <w:r>
        <w:rPr>
          <w:spacing w:val="-72"/>
        </w:rPr>
      </w:r>
      <w:r>
        <w:rPr/>
        <w:t>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374"/>
      <w:bookmarkEnd w:id="374"/>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非同一控制下企业合并" w:id="375"/>
      <w:bookmarkEnd w:id="375"/>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本期发生的非同一控制下企业合并" w:id="376"/>
      <w:bookmarkEnd w:id="376"/>
      <w:r>
        <w:rPr>
          <w:b w:val="0"/>
          <w:bCs w:val="0"/>
        </w:rPr>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 w:right="0"/>
        <w:jc w:val="left"/>
        <w:rPr>
          <w:b w:val="0"/>
          <w:bCs w:val="0"/>
        </w:rPr>
      </w:pPr>
      <w:bookmarkStart w:name="2）合并成本及商誉" w:id="377"/>
      <w:bookmarkEnd w:id="377"/>
      <w:r>
        <w:rPr>
          <w:b w:val="0"/>
          <w:bCs w:val="0"/>
        </w:rPr>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3）被购买方于购买日可辨认资产、负债" w:id="378"/>
      <w:bookmarkEnd w:id="378"/>
      <w:r>
        <w:rPr>
          <w:b w:val="0"/>
          <w:bCs w:val="0"/>
        </w:rPr>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4）购买日之前持有的股权按照公允价值重新计量产生的利得或损失" w:id="379"/>
      <w:bookmarkEnd w:id="379"/>
      <w:r>
        <w:rPr>
          <w:b w:val="0"/>
          <w:bCs w:val="0"/>
        </w:rPr>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6"/>
        <w:ind w:right="0"/>
        <w:jc w:val="left"/>
      </w:pPr>
      <w:r>
        <w:rPr/>
        <w:t>□ 是 √ 否</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同一控制下企业合并" w:id="380"/>
      <w:bookmarkEnd w:id="38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3、反向购买" w:id="381"/>
      <w:bookmarkEnd w:id="38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处置子公司" w:id="382"/>
      <w:bookmarkEnd w:id="38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102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100" w:bottom="1200" w:left="1020" w:right="0"/>
          <w:cols w:num="2" w:equalWidth="0">
            <w:col w:w="4255" w:space="457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539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股权 处置 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股权 处置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81" w:right="181"/>
              <w:jc w:val="both"/>
              <w:rPr>
                <w:rFonts w:ascii="宋体" w:hAnsi="宋体" w:cs="宋体" w:eastAsia="宋体" w:hint="default"/>
                <w:sz w:val="18"/>
                <w:szCs w:val="18"/>
              </w:rPr>
            </w:pPr>
            <w:r>
              <w:rPr>
                <w:rFonts w:ascii="宋体" w:hAnsi="宋体" w:cs="宋体" w:eastAsia="宋体" w:hint="default"/>
                <w:sz w:val="18"/>
                <w:szCs w:val="18"/>
              </w:rPr>
              <w:t>丧失 控制 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82" w:right="181"/>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1" w:right="181"/>
              <w:jc w:val="both"/>
              <w:rPr>
                <w:rFonts w:ascii="宋体" w:hAnsi="宋体" w:cs="宋体" w:eastAsia="宋体" w:hint="default"/>
                <w:sz w:val="18"/>
                <w:szCs w:val="18"/>
              </w:rPr>
            </w:pPr>
            <w:r>
              <w:rPr>
                <w:rFonts w:ascii="宋体" w:hAnsi="宋体" w:cs="宋体" w:eastAsia="宋体" w:hint="default"/>
                <w:sz w:val="18"/>
                <w:szCs w:val="18"/>
              </w:rPr>
              <w:t>处置 价款 与处 置投 资对 应的 合并 财务 报表 层面 享有 该子 公司 净资 产份 额的 差额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账面 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公允 价值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按照 公允 价值 重新 计量 剩余 股权 产生 的利 得或 损失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丧失 控制 权之 日剩 余股 权公 允价 值的 确定 方法 及主 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82" w:right="181"/>
              <w:jc w:val="both"/>
              <w:rPr>
                <w:rFonts w:ascii="宋体" w:hAnsi="宋体" w:cs="宋体" w:eastAsia="宋体" w:hint="default"/>
                <w:sz w:val="18"/>
                <w:szCs w:val="18"/>
              </w:rPr>
            </w:pPr>
            <w:r>
              <w:rPr>
                <w:rFonts w:ascii="宋体" w:hAnsi="宋体" w:cs="宋体" w:eastAsia="宋体" w:hint="default"/>
                <w:sz w:val="18"/>
                <w:szCs w:val="18"/>
              </w:rPr>
              <w:t>与原 子公 司股 权投 资相 关的 其他 综合 收益 转入 投资 损益 的金 额</w:t>
            </w:r>
          </w:p>
        </w:tc>
      </w:tr>
      <w:tr>
        <w:trPr>
          <w:trHeight w:val="227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湘乡 渝华 生态 农业 发展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260"/>
              <w:jc w:val="left"/>
              <w:rPr>
                <w:rFonts w:ascii="宋体" w:hAnsi="宋体" w:cs="宋体" w:eastAsia="宋体" w:hint="default"/>
                <w:sz w:val="18"/>
                <w:szCs w:val="18"/>
              </w:rPr>
            </w:pPr>
            <w:r>
              <w:rPr>
                <w:rFonts w:ascii="宋体" w:hAnsi="宋体" w:cs="宋体" w:eastAsia="宋体" w:hint="default"/>
                <w:sz w:val="18"/>
                <w:szCs w:val="18"/>
              </w:rPr>
              <w:t>工商 变更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3,491,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992.52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5"/>
        <w:ind w:left="474"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日子公司重庆华宇园林有限公司与湘乡市农之源农业科技有限公司签订股权转让协议，将子公司湘乡渝</w:t>
      </w:r>
    </w:p>
    <w:p>
      <w:pPr>
        <w:pStyle w:val="BodyText"/>
        <w:spacing w:line="302" w:lineRule="auto" w:before="63"/>
        <w:ind w:left="113" w:right="1124"/>
        <w:jc w:val="left"/>
      </w:pPr>
      <w:r>
        <w:rPr/>
        <w:t>华生态农业发展有限公司</w:t>
      </w:r>
      <w:r>
        <w:rPr>
          <w:spacing w:val="-53"/>
        </w:rPr>
        <w:t> </w:t>
      </w:r>
      <w:r>
        <w:rPr>
          <w:rFonts w:ascii="Times New Roman" w:hAnsi="Times New Roman" w:cs="Times New Roman" w:eastAsia="Times New Roman" w:hint="default"/>
        </w:rPr>
        <w:t>100%</w:t>
      </w:r>
      <w:r>
        <w:rPr/>
        <w:t>股权以</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7"/>
        </w:rPr>
        <w:t> </w:t>
      </w:r>
      <w:r>
        <w:rPr/>
        <w:t>万人民币的价格转让给湘乡市农之源农业科技有限公司，</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日完成 工商变更。</w:t>
      </w:r>
    </w:p>
    <w:p>
      <w:pPr>
        <w:pStyle w:val="BodyText"/>
        <w:spacing w:line="240" w:lineRule="auto" w:before="69"/>
        <w:ind w:left="113" w:right="0"/>
        <w:jc w:val="left"/>
      </w:pPr>
      <w:r>
        <w:rPr/>
        <w:t>是否存在通过多次交易分步处置对子公司投资且在本期丧失控制权的情形</w:t>
      </w:r>
    </w:p>
    <w:p>
      <w:pPr>
        <w:pStyle w:val="BodyText"/>
        <w:spacing w:line="240" w:lineRule="auto" w:before="117"/>
        <w:ind w:left="113"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left="113" w:right="0"/>
        <w:jc w:val="left"/>
        <w:rPr>
          <w:b w:val="0"/>
          <w:bCs w:val="0"/>
        </w:rPr>
      </w:pPr>
      <w:bookmarkStart w:name="5、其他原因的合并范围变动" w:id="383"/>
      <w:bookmarkEnd w:id="38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0"/>
        <w:jc w:val="left"/>
      </w:pPr>
      <w:r>
        <w:rPr/>
        <w:t>说明其他原因导致的合并范围变动（如，新设子公司、清算子公司等）及其相关情况：</w:t>
      </w:r>
    </w:p>
    <w:p>
      <w:pPr>
        <w:spacing w:after="0" w:line="240" w:lineRule="auto"/>
        <w:jc w:val="left"/>
        <w:sectPr>
          <w:type w:val="continuous"/>
          <w:pgSz w:w="11910" w:h="16840"/>
          <w:pgMar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left="548" w:right="0"/>
        <w:jc w:val="left"/>
        <w:rPr>
          <w:b w:val="0"/>
          <w:bCs w:val="0"/>
        </w:rPr>
      </w:pPr>
      <w:r>
        <w:rPr>
          <w:rFonts w:ascii="宋体" w:hAnsi="宋体" w:cs="宋体" w:eastAsia="宋体" w:hint="default"/>
        </w:rPr>
        <w:t>1)</w:t>
      </w:r>
      <w:r>
        <w:rPr/>
        <w:t>新设子公司</w:t>
      </w:r>
      <w:r>
        <w:rPr>
          <w:b w:val="0"/>
          <w:bCs w:val="0"/>
        </w:rPr>
      </w:r>
    </w:p>
    <w:p>
      <w:pPr>
        <w:pStyle w:val="Heading4"/>
        <w:spacing w:line="240" w:lineRule="auto" w:before="37"/>
        <w:ind w:left="552" w:right="0"/>
        <w:jc w:val="left"/>
      </w:pPr>
      <w:r>
        <w:rPr/>
        <w:t>（</w:t>
      </w:r>
      <w:r>
        <w:rPr>
          <w:rFonts w:ascii="宋体" w:hAnsi="宋体" w:cs="宋体" w:eastAsia="宋体" w:hint="default"/>
        </w:rPr>
        <w:t>1</w:t>
      </w:r>
      <w:r>
        <w:rPr/>
        <w:t>）新设子公司情况如下：</w:t>
      </w:r>
    </w:p>
    <w:p>
      <w:pPr>
        <w:pStyle w:val="BodyText"/>
        <w:spacing w:line="316" w:lineRule="auto" w:before="103"/>
        <w:ind w:left="113" w:right="1125" w:firstLine="360"/>
        <w:jc w:val="left"/>
      </w:pP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0"/>
        </w:rPr>
        <w:t> </w:t>
      </w:r>
      <w:r>
        <w:rPr/>
        <w:t>月</w:t>
      </w:r>
      <w:r>
        <w:rPr>
          <w:spacing w:val="-51"/>
        </w:rPr>
        <w:t> </w:t>
      </w:r>
      <w:r>
        <w:rPr>
          <w:rFonts w:ascii="宋体" w:hAnsi="宋体" w:cs="宋体" w:eastAsia="宋体" w:hint="default"/>
        </w:rPr>
        <w:t>27</w:t>
      </w:r>
      <w:r>
        <w:rPr>
          <w:rFonts w:ascii="宋体" w:hAnsi="宋体" w:cs="宋体" w:eastAsia="宋体" w:hint="default"/>
          <w:spacing w:val="-51"/>
        </w:rPr>
        <w:t> </w:t>
      </w:r>
      <w:r>
        <w:rPr/>
        <w:t>日公司与自然人贺传虎共同设立烟台丽鹏投资有限公司，注册资本</w:t>
      </w:r>
      <w:r>
        <w:rPr>
          <w:spacing w:val="-51"/>
        </w:rPr>
        <w:t> </w:t>
      </w:r>
      <w:r>
        <w:rPr>
          <w:rFonts w:ascii="宋体" w:hAnsi="宋体" w:cs="宋体" w:eastAsia="宋体" w:hint="default"/>
        </w:rPr>
        <w:t>2000</w:t>
      </w:r>
      <w:r>
        <w:rPr>
          <w:rFonts w:ascii="宋体" w:hAnsi="宋体" w:cs="宋体" w:eastAsia="宋体" w:hint="default"/>
          <w:spacing w:val="-51"/>
        </w:rPr>
        <w:t> </w:t>
      </w:r>
      <w:r>
        <w:rPr>
          <w:spacing w:val="-5"/>
        </w:rPr>
        <w:t>万元人民币，公司占</w:t>
      </w:r>
      <w:r>
        <w:rPr>
          <w:spacing w:val="-51"/>
        </w:rPr>
        <w:t> </w:t>
      </w:r>
      <w:r>
        <w:rPr>
          <w:rFonts w:ascii="宋体" w:hAnsi="宋体" w:cs="宋体" w:eastAsia="宋体" w:hint="default"/>
        </w:rPr>
        <w:t>51%</w:t>
      </w:r>
      <w:r>
        <w:rPr/>
        <w:t>股权比 例，自设立日起将其纳入合并报表范围。</w:t>
      </w:r>
    </w:p>
    <w:p>
      <w:pPr>
        <w:pStyle w:val="BodyText"/>
        <w:spacing w:line="319" w:lineRule="auto" w:before="59"/>
        <w:ind w:left="113" w:right="1034" w:firstLine="360"/>
        <w:jc w:val="left"/>
      </w:pPr>
      <w:r>
        <w:rPr>
          <w:rFonts w:ascii="宋体" w:hAnsi="宋体" w:cs="宋体" w:eastAsia="宋体" w:hint="default"/>
        </w:rPr>
        <w:t>2015</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1"/>
        </w:rPr>
        <w:t> </w:t>
      </w:r>
      <w:r>
        <w:rPr/>
        <w:t>月</w:t>
      </w:r>
      <w:r>
        <w:rPr>
          <w:spacing w:val="-52"/>
        </w:rPr>
        <w:t> </w:t>
      </w:r>
      <w:r>
        <w:rPr>
          <w:rFonts w:ascii="宋体" w:hAnsi="宋体" w:cs="宋体" w:eastAsia="宋体" w:hint="default"/>
        </w:rPr>
        <w:t>7</w:t>
      </w:r>
      <w:r>
        <w:rPr>
          <w:rFonts w:ascii="宋体" w:hAnsi="宋体" w:cs="宋体" w:eastAsia="宋体" w:hint="default"/>
          <w:spacing w:val="-52"/>
        </w:rPr>
        <w:t> </w:t>
      </w:r>
      <w:r>
        <w:rPr/>
        <w:t>日子公司重庆华宇园林有限公司设立重庆东飞凯格建筑景观设计咨询有限公司，注册资本</w:t>
      </w:r>
      <w:r>
        <w:rPr>
          <w:spacing w:val="-51"/>
        </w:rPr>
        <w:t> </w:t>
      </w:r>
      <w:r>
        <w:rPr>
          <w:rFonts w:ascii="宋体" w:hAnsi="宋体" w:cs="宋体" w:eastAsia="宋体" w:hint="default"/>
        </w:rPr>
        <w:t>500</w:t>
      </w:r>
      <w:r>
        <w:rPr>
          <w:rFonts w:ascii="宋体" w:hAnsi="宋体" w:cs="宋体" w:eastAsia="宋体" w:hint="default"/>
          <w:spacing w:val="-51"/>
        </w:rPr>
        <w:t> </w:t>
      </w:r>
      <w:r>
        <w:rPr/>
        <w:t>万人民币， 公司占</w:t>
      </w:r>
      <w:r>
        <w:rPr>
          <w:spacing w:val="-46"/>
        </w:rPr>
        <w:t> </w:t>
      </w:r>
      <w:r>
        <w:rPr>
          <w:rFonts w:ascii="宋体" w:hAnsi="宋体" w:cs="宋体" w:eastAsia="宋体" w:hint="default"/>
        </w:rPr>
        <w:t>65%</w:t>
      </w:r>
      <w:r>
        <w:rPr/>
        <w:t>股权比例，自设立日起将其纳入合并报表范围。</w:t>
      </w:r>
    </w:p>
    <w:p>
      <w:pPr>
        <w:pStyle w:val="BodyText"/>
        <w:spacing w:line="240" w:lineRule="auto" w:before="55"/>
        <w:ind w:left="474" w:right="0"/>
        <w:jc w:val="left"/>
      </w:pP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4</w:t>
      </w:r>
      <w:r>
        <w:rPr>
          <w:rFonts w:ascii="宋体" w:hAnsi="宋体" w:cs="宋体" w:eastAsia="宋体" w:hint="default"/>
          <w:spacing w:val="-45"/>
        </w:rPr>
        <w:t> </w:t>
      </w:r>
      <w:r>
        <w:rPr/>
        <w:t>月</w:t>
      </w:r>
      <w:r>
        <w:rPr>
          <w:spacing w:val="-46"/>
        </w:rPr>
        <w:t> </w:t>
      </w:r>
      <w:r>
        <w:rPr>
          <w:rFonts w:ascii="宋体" w:hAnsi="宋体" w:cs="宋体" w:eastAsia="宋体" w:hint="default"/>
        </w:rPr>
        <w:t>14</w:t>
      </w:r>
      <w:r>
        <w:rPr>
          <w:rFonts w:ascii="宋体" w:hAnsi="宋体" w:cs="宋体" w:eastAsia="宋体" w:hint="default"/>
          <w:spacing w:val="-46"/>
        </w:rPr>
        <w:t> </w:t>
      </w:r>
      <w:r>
        <w:rPr/>
        <w:t>日子公司重庆华宇园林有限公司出资设立烟台聚融投资有限公司，注册资本</w:t>
      </w:r>
      <w:r>
        <w:rPr>
          <w:spacing w:val="-45"/>
        </w:rPr>
        <w:t> </w:t>
      </w:r>
      <w:r>
        <w:rPr>
          <w:rFonts w:ascii="宋体" w:hAnsi="宋体" w:cs="宋体" w:eastAsia="宋体" w:hint="default"/>
        </w:rPr>
        <w:t>5000</w:t>
      </w:r>
      <w:r>
        <w:rPr>
          <w:rFonts w:ascii="宋体" w:hAnsi="宋体" w:cs="宋体" w:eastAsia="宋体" w:hint="default"/>
          <w:spacing w:val="-46"/>
        </w:rPr>
        <w:t> </w:t>
      </w:r>
      <w:r>
        <w:rPr/>
        <w:t>万元人民币，公司占</w:t>
      </w:r>
    </w:p>
    <w:p>
      <w:pPr>
        <w:pStyle w:val="BodyText"/>
        <w:spacing w:line="240" w:lineRule="auto" w:before="77"/>
        <w:ind w:left="113" w:right="0"/>
        <w:jc w:val="left"/>
      </w:pPr>
      <w:r>
        <w:rPr>
          <w:rFonts w:ascii="宋体" w:hAnsi="宋体" w:cs="宋体" w:eastAsia="宋体" w:hint="default"/>
        </w:rPr>
        <w:t>100%</w:t>
      </w:r>
      <w:r>
        <w:rPr/>
        <w:t>股权比例，自设立日起将其纳入合并报表范围。</w:t>
      </w:r>
    </w:p>
    <w:p>
      <w:pPr>
        <w:pStyle w:val="BodyText"/>
        <w:spacing w:line="319" w:lineRule="auto" w:before="115"/>
        <w:ind w:left="113" w:right="1173" w:firstLine="360"/>
        <w:jc w:val="left"/>
      </w:pP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5"/>
        </w:rPr>
        <w:t> </w:t>
      </w:r>
      <w:r>
        <w:rPr/>
        <w:t>月</w:t>
      </w:r>
      <w:r>
        <w:rPr>
          <w:spacing w:val="-46"/>
        </w:rPr>
        <w:t> </w:t>
      </w:r>
      <w:r>
        <w:rPr>
          <w:rFonts w:ascii="宋体" w:hAnsi="宋体" w:cs="宋体" w:eastAsia="宋体" w:hint="default"/>
        </w:rPr>
        <w:t>15</w:t>
      </w:r>
      <w:r>
        <w:rPr>
          <w:rFonts w:ascii="宋体" w:hAnsi="宋体" w:cs="宋体" w:eastAsia="宋体" w:hint="default"/>
          <w:spacing w:val="-46"/>
        </w:rPr>
        <w:t> </w:t>
      </w:r>
      <w:r>
        <w:rPr/>
        <w:t>日公司子公司烟台丽鹏国际贸易有限公司设立烟台市鹏科能源有限公司，注册资本</w:t>
      </w:r>
      <w:r>
        <w:rPr>
          <w:spacing w:val="-45"/>
        </w:rPr>
        <w:t> </w:t>
      </w:r>
      <w:r>
        <w:rPr>
          <w:rFonts w:ascii="宋体" w:hAnsi="宋体" w:cs="宋体" w:eastAsia="宋体" w:hint="default"/>
        </w:rPr>
        <w:t>50</w:t>
      </w:r>
      <w:r>
        <w:rPr>
          <w:rFonts w:ascii="宋体" w:hAnsi="宋体" w:cs="宋体" w:eastAsia="宋体" w:hint="default"/>
          <w:spacing w:val="-46"/>
        </w:rPr>
        <w:t> </w:t>
      </w:r>
      <w:r>
        <w:rPr/>
        <w:t>万元人民币，公 司占</w:t>
      </w:r>
      <w:r>
        <w:rPr>
          <w:spacing w:val="-46"/>
        </w:rPr>
        <w:t> </w:t>
      </w:r>
      <w:r>
        <w:rPr>
          <w:rFonts w:ascii="宋体" w:hAnsi="宋体" w:cs="宋体" w:eastAsia="宋体" w:hint="default"/>
        </w:rPr>
        <w:t>100%</w:t>
      </w:r>
      <w:r>
        <w:rPr/>
        <w:t>股权比例，自设立日起将其纳入合并报表范围。</w:t>
      </w:r>
    </w:p>
    <w:p>
      <w:pPr>
        <w:pStyle w:val="BodyText"/>
        <w:spacing w:line="319" w:lineRule="auto" w:before="56"/>
        <w:ind w:left="113" w:right="1126" w:firstLine="360"/>
        <w:jc w:val="left"/>
      </w:pP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8</w:t>
      </w:r>
      <w:r>
        <w:rPr>
          <w:rFonts w:ascii="宋体" w:hAnsi="宋体" w:cs="宋体" w:eastAsia="宋体" w:hint="default"/>
          <w:spacing w:val="-44"/>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3"/>
        </w:rPr>
        <w:t>日公司与自然人兰坤共同出资设立深圳在乎传媒科技有限公司，注册资本</w:t>
      </w:r>
      <w:r>
        <w:rPr>
          <w:spacing w:val="-44"/>
        </w:rPr>
        <w:t> </w:t>
      </w:r>
      <w:r>
        <w:rPr>
          <w:rFonts w:ascii="宋体" w:hAnsi="宋体" w:cs="宋体" w:eastAsia="宋体" w:hint="default"/>
        </w:rPr>
        <w:t>20000</w:t>
      </w:r>
      <w:r>
        <w:rPr>
          <w:rFonts w:ascii="宋体" w:hAnsi="宋体" w:cs="宋体" w:eastAsia="宋体" w:hint="default"/>
          <w:spacing w:val="-44"/>
        </w:rPr>
        <w:t> </w:t>
      </w:r>
      <w:r>
        <w:rPr>
          <w:spacing w:val="-10"/>
        </w:rPr>
        <w:t>万元人民币，公司占</w:t>
      </w:r>
      <w:r>
        <w:rPr>
          <w:spacing w:val="-45"/>
        </w:rPr>
        <w:t> </w:t>
      </w:r>
      <w:r>
        <w:rPr>
          <w:rFonts w:ascii="宋体" w:hAnsi="宋体" w:cs="宋体" w:eastAsia="宋体" w:hint="default"/>
        </w:rPr>
        <w:t>60% </w:t>
      </w:r>
      <w:r>
        <w:rPr/>
        <w:t>股权比例，自设立日起将其纳入合并报表范围。</w:t>
      </w:r>
    </w:p>
    <w:p>
      <w:pPr>
        <w:pStyle w:val="BodyText"/>
        <w:spacing w:line="319" w:lineRule="auto" w:before="55"/>
        <w:ind w:left="113" w:right="1173" w:firstLine="360"/>
        <w:jc w:val="left"/>
      </w:pP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w:t>
      </w:r>
      <w:r>
        <w:rPr>
          <w:spacing w:val="-46"/>
        </w:rPr>
        <w:t> </w:t>
      </w:r>
      <w:r>
        <w:rPr>
          <w:rFonts w:ascii="宋体" w:hAnsi="宋体" w:cs="宋体" w:eastAsia="宋体" w:hint="default"/>
        </w:rPr>
        <w:t>3</w:t>
      </w:r>
      <w:r>
        <w:rPr>
          <w:rFonts w:ascii="宋体" w:hAnsi="宋体" w:cs="宋体" w:eastAsia="宋体" w:hint="default"/>
          <w:spacing w:val="-46"/>
        </w:rPr>
        <w:t> </w:t>
      </w:r>
      <w:r>
        <w:rPr/>
        <w:t>日子公司重庆华宇园林有限公司出资设立巴中华丰建设发展有限公司，注册资本</w:t>
      </w:r>
      <w:r>
        <w:rPr>
          <w:spacing w:val="-45"/>
        </w:rPr>
        <w:t> </w:t>
      </w:r>
      <w:r>
        <w:rPr>
          <w:rFonts w:ascii="宋体" w:hAnsi="宋体" w:cs="宋体" w:eastAsia="宋体" w:hint="default"/>
        </w:rPr>
        <w:t>1000</w:t>
      </w:r>
      <w:r>
        <w:rPr>
          <w:rFonts w:ascii="宋体" w:hAnsi="宋体" w:cs="宋体" w:eastAsia="宋体" w:hint="default"/>
          <w:spacing w:val="-46"/>
        </w:rPr>
        <w:t> </w:t>
      </w:r>
      <w:r>
        <w:rPr/>
        <w:t>万人民币，公司 占</w:t>
      </w:r>
      <w:r>
        <w:rPr>
          <w:spacing w:val="-46"/>
        </w:rPr>
        <w:t> </w:t>
      </w:r>
      <w:r>
        <w:rPr>
          <w:rFonts w:ascii="宋体" w:hAnsi="宋体" w:cs="宋体" w:eastAsia="宋体" w:hint="default"/>
        </w:rPr>
        <w:t>80%</w:t>
      </w:r>
      <w:r>
        <w:rPr/>
        <w:t>股权比例，自设立日起将其纳入合并报表范围。</w:t>
      </w:r>
    </w:p>
    <w:p>
      <w:pPr>
        <w:pStyle w:val="BodyText"/>
        <w:spacing w:line="319" w:lineRule="auto" w:before="55"/>
        <w:ind w:left="113" w:right="1118" w:firstLine="360"/>
        <w:jc w:val="left"/>
      </w:pP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7"/>
        </w:rPr>
        <w:t> </w:t>
      </w:r>
      <w:r>
        <w:rPr/>
        <w:t>月</w:t>
      </w:r>
      <w:r>
        <w:rPr>
          <w:spacing w:val="-48"/>
        </w:rPr>
        <w:t> </w:t>
      </w:r>
      <w:r>
        <w:rPr>
          <w:rFonts w:ascii="宋体" w:hAnsi="宋体" w:cs="宋体" w:eastAsia="宋体" w:hint="default"/>
        </w:rPr>
        <w:t>17</w:t>
      </w:r>
      <w:r>
        <w:rPr>
          <w:rFonts w:ascii="宋体" w:hAnsi="宋体" w:cs="宋体" w:eastAsia="宋体" w:hint="default"/>
          <w:spacing w:val="-48"/>
        </w:rPr>
        <w:t> </w:t>
      </w:r>
      <w:r>
        <w:rPr/>
        <w:t>日子公司重庆华宇园林有限公司出资设立安顺华宇生态建设有限公司，注册资本</w:t>
      </w:r>
      <w:r>
        <w:rPr>
          <w:spacing w:val="-47"/>
        </w:rPr>
        <w:t> </w:t>
      </w:r>
      <w:r>
        <w:rPr>
          <w:rFonts w:ascii="宋体" w:hAnsi="宋体" w:cs="宋体" w:eastAsia="宋体" w:hint="default"/>
        </w:rPr>
        <w:t>1000</w:t>
      </w:r>
      <w:r>
        <w:rPr>
          <w:rFonts w:ascii="宋体" w:hAnsi="宋体" w:cs="宋体" w:eastAsia="宋体" w:hint="default"/>
          <w:spacing w:val="-48"/>
        </w:rPr>
        <w:t> </w:t>
      </w:r>
      <w:r>
        <w:rPr>
          <w:spacing w:val="-3"/>
        </w:rPr>
        <w:t>万人民币，公司</w:t>
      </w:r>
      <w:r>
        <w:rPr/>
        <w:t> 占</w:t>
      </w:r>
      <w:r>
        <w:rPr>
          <w:spacing w:val="-46"/>
        </w:rPr>
        <w:t> </w:t>
      </w:r>
      <w:r>
        <w:rPr>
          <w:rFonts w:ascii="宋体" w:hAnsi="宋体" w:cs="宋体" w:eastAsia="宋体" w:hint="default"/>
        </w:rPr>
        <w:t>100%</w:t>
      </w:r>
      <w:r>
        <w:rPr/>
        <w:t>股权比例，自设立日起将其纳入合并报表范围。</w:t>
      </w:r>
    </w:p>
    <w:p>
      <w:pPr>
        <w:pStyle w:val="BodyText"/>
        <w:spacing w:line="319" w:lineRule="auto" w:before="56"/>
        <w:ind w:left="113" w:right="1172" w:firstLine="360"/>
        <w:jc w:val="left"/>
      </w:pP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w:t>
      </w:r>
      <w:r>
        <w:rPr>
          <w:spacing w:val="-46"/>
        </w:rPr>
        <w:t> </w:t>
      </w:r>
      <w:r>
        <w:rPr>
          <w:rFonts w:ascii="宋体" w:hAnsi="宋体" w:cs="宋体" w:eastAsia="宋体" w:hint="default"/>
        </w:rPr>
        <w:t>27</w:t>
      </w:r>
      <w:r>
        <w:rPr>
          <w:rFonts w:ascii="宋体" w:hAnsi="宋体" w:cs="宋体" w:eastAsia="宋体" w:hint="default"/>
          <w:spacing w:val="-46"/>
        </w:rPr>
        <w:t> </w:t>
      </w:r>
      <w:r>
        <w:rPr/>
        <w:t>日子公司重庆华宇园林有限公司的子公司烟台聚融投资有限公司设立重庆秉创新材料科技有限公司， 注册资本</w:t>
      </w:r>
      <w:r>
        <w:rPr>
          <w:spacing w:val="-46"/>
        </w:rPr>
        <w:t> </w:t>
      </w:r>
      <w:r>
        <w:rPr>
          <w:rFonts w:ascii="宋体" w:hAnsi="宋体" w:cs="宋体" w:eastAsia="宋体" w:hint="default"/>
        </w:rPr>
        <w:t>100</w:t>
      </w:r>
      <w:r>
        <w:rPr>
          <w:rFonts w:ascii="宋体" w:hAnsi="宋体" w:cs="宋体" w:eastAsia="宋体" w:hint="default"/>
          <w:spacing w:val="-45"/>
        </w:rPr>
        <w:t> </w:t>
      </w:r>
      <w:r>
        <w:rPr/>
        <w:t>万人民币，公司占</w:t>
      </w:r>
      <w:r>
        <w:rPr>
          <w:spacing w:val="-46"/>
        </w:rPr>
        <w:t> </w:t>
      </w:r>
      <w:r>
        <w:rPr>
          <w:rFonts w:ascii="宋体" w:hAnsi="宋体" w:cs="宋体" w:eastAsia="宋体" w:hint="default"/>
        </w:rPr>
        <w:t>100%</w:t>
      </w:r>
      <w:r>
        <w:rPr/>
        <w:t>股权比例，自设立日起将其纳入合并报表范围。</w:t>
      </w:r>
    </w:p>
    <w:p>
      <w:pPr>
        <w:pStyle w:val="Heading4"/>
        <w:spacing w:line="240" w:lineRule="auto" w:before="30"/>
        <w:ind w:left="549" w:right="0"/>
        <w:jc w:val="left"/>
      </w:pPr>
      <w:r>
        <w:rPr/>
        <w:t>（</w:t>
      </w:r>
      <w:r>
        <w:rPr>
          <w:rFonts w:ascii="宋体" w:hAnsi="宋体" w:cs="宋体" w:eastAsia="宋体" w:hint="default"/>
        </w:rPr>
        <w:t>2</w:t>
      </w:r>
      <w:r>
        <w:rPr/>
        <w:t>）</w:t>
      </w:r>
      <w:r>
        <w:rPr>
          <w:rFonts w:ascii="宋体" w:hAnsi="宋体" w:cs="宋体" w:eastAsia="宋体" w:hint="default"/>
        </w:rPr>
        <w:t>2015</w:t>
      </w:r>
      <w:r>
        <w:rPr/>
        <w:t>年新设公司财务状况如下：</w:t>
      </w:r>
    </w:p>
    <w:p>
      <w:pPr>
        <w:spacing w:line="240" w:lineRule="auto" w:before="5"/>
        <w:rPr>
          <w:rFonts w:ascii="宋体" w:hAnsi="宋体" w:cs="宋体" w:eastAsia="宋体" w:hint="default"/>
          <w:sz w:val="12"/>
          <w:szCs w:val="12"/>
        </w:rPr>
      </w:pPr>
    </w:p>
    <w:p>
      <w:pPr>
        <w:spacing w:line="1650" w:lineRule="exact"/>
        <w:ind w:left="114"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5820410" cy="1047750"/>
            <wp:effectExtent l="0" t="0" r="0" b="0"/>
            <wp:docPr id="47" name="image25.png" descr=""/>
            <wp:cNvGraphicFramePr>
              <a:graphicFrameLocks noChangeAspect="1"/>
            </wp:cNvGraphicFramePr>
            <a:graphic>
              <a:graphicData uri="http://schemas.openxmlformats.org/drawingml/2006/picture">
                <pic:pic>
                  <pic:nvPicPr>
                    <pic:cNvPr id="48" name="image25.png"/>
                    <pic:cNvPicPr/>
                  </pic:nvPicPr>
                  <pic:blipFill>
                    <a:blip r:embed="rId41" cstate="print"/>
                    <a:stretch>
                      <a:fillRect/>
                    </a:stretch>
                  </pic:blipFill>
                  <pic:spPr>
                    <a:xfrm>
                      <a:off x="0" y="0"/>
                      <a:ext cx="5820410" cy="1047750"/>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sz w:val="20"/>
          <w:szCs w:val="20"/>
        </w:rPr>
      </w:pPr>
    </w:p>
    <w:p>
      <w:pPr>
        <w:pStyle w:val="Heading3"/>
        <w:spacing w:line="240" w:lineRule="auto" w:before="148"/>
        <w:ind w:left="551" w:right="0"/>
        <w:jc w:val="left"/>
        <w:rPr>
          <w:b w:val="0"/>
          <w:bCs w:val="0"/>
        </w:rPr>
      </w:pPr>
      <w:r>
        <w:rPr>
          <w:rFonts w:ascii="宋体" w:hAnsi="宋体" w:cs="宋体" w:eastAsia="宋体" w:hint="default"/>
        </w:rPr>
        <w:t>2)</w:t>
      </w:r>
      <w:r>
        <w:rPr/>
        <w:t>清算子公司</w:t>
      </w:r>
      <w:r>
        <w:rPr>
          <w:b w:val="0"/>
          <w:bCs w:val="0"/>
        </w:rPr>
      </w:r>
    </w:p>
    <w:p>
      <w:pPr>
        <w:pStyle w:val="BodyText"/>
        <w:spacing w:line="240" w:lineRule="auto" w:before="103"/>
        <w:ind w:left="474" w:right="0"/>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6</w:t>
      </w:r>
      <w:r>
        <w:rPr>
          <w:rFonts w:ascii="宋体" w:hAnsi="宋体" w:cs="宋体" w:eastAsia="宋体" w:hint="default"/>
          <w:spacing w:val="-45"/>
        </w:rPr>
        <w:t> </w:t>
      </w:r>
      <w:r>
        <w:rPr/>
        <w:t>月</w:t>
      </w:r>
      <w:r>
        <w:rPr>
          <w:spacing w:val="-46"/>
        </w:rPr>
        <w:t> </w:t>
      </w:r>
      <w:r>
        <w:rPr>
          <w:rFonts w:ascii="宋体" w:hAnsi="宋体" w:cs="宋体" w:eastAsia="宋体" w:hint="default"/>
        </w:rPr>
        <w:t>23</w:t>
      </w:r>
      <w:r>
        <w:rPr>
          <w:rFonts w:ascii="宋体" w:hAnsi="宋体" w:cs="宋体" w:eastAsia="宋体" w:hint="default"/>
          <w:spacing w:val="-46"/>
        </w:rPr>
        <w:t> </w:t>
      </w:r>
      <w:r>
        <w:rPr/>
        <w:t>日子公</w:t>
      </w:r>
      <w:r>
        <w:rPr>
          <w:spacing w:val="1"/>
        </w:rPr>
        <w:t>司</w:t>
      </w:r>
      <w:r>
        <w:rPr/>
        <w:t>烟台和俊制盖有限公司清算注销</w:t>
      </w:r>
      <w:r>
        <w:rPr>
          <w:spacing w:val="-88"/>
        </w:rPr>
        <w:t>，</w:t>
      </w:r>
      <w:r>
        <w:rPr/>
        <w:t>烟台市工商行政管理局出</w:t>
      </w:r>
      <w:r>
        <w:rPr>
          <w:spacing w:val="-88"/>
        </w:rPr>
        <w:t>具</w:t>
      </w:r>
      <w:r>
        <w:rPr/>
        <w:t>（烟</w:t>
      </w:r>
      <w:r>
        <w:rPr>
          <w:spacing w:val="-88"/>
        </w:rPr>
        <w:t>）</w:t>
      </w:r>
      <w:r>
        <w:rPr/>
        <w:t>外资销准</w:t>
      </w:r>
      <w:r>
        <w:rPr>
          <w:spacing w:val="1"/>
        </w:rPr>
        <w:t>字</w:t>
      </w:r>
      <w:r>
        <w:rPr>
          <w:rFonts w:ascii="宋体" w:hAnsi="宋体" w:cs="宋体" w:eastAsia="宋体" w:hint="default"/>
        </w:rPr>
        <w:t>[2015]</w:t>
      </w:r>
      <w:r>
        <w:rPr/>
        <w:t>第</w:t>
      </w:r>
      <w:r>
        <w:rPr>
          <w:spacing w:val="-46"/>
        </w:rPr>
        <w:t> </w:t>
      </w:r>
      <w:r>
        <w:rPr>
          <w:rFonts w:ascii="宋体" w:hAnsi="宋体" w:cs="宋体" w:eastAsia="宋体" w:hint="default"/>
        </w:rPr>
        <w:t>1000</w:t>
      </w:r>
      <w:r>
        <w:rPr>
          <w:rFonts w:ascii="宋体" w:hAnsi="宋体" w:cs="宋体" w:eastAsia="宋体" w:hint="default"/>
          <w:spacing w:val="1"/>
        </w:rPr>
        <w:t>3</w:t>
      </w:r>
      <w:r>
        <w:rPr>
          <w:rFonts w:ascii="宋体" w:hAnsi="宋体" w:cs="宋体" w:eastAsia="宋体" w:hint="default"/>
        </w:rPr>
        <w:t>0</w:t>
      </w:r>
    </w:p>
    <w:p>
      <w:pPr>
        <w:pStyle w:val="BodyText"/>
        <w:spacing w:line="240" w:lineRule="auto" w:before="76"/>
        <w:ind w:left="113" w:right="0"/>
        <w:jc w:val="left"/>
      </w:pPr>
      <w:r>
        <w:rPr/>
        <w:t>号外商投资企业注销登记通知书；</w:t>
      </w:r>
      <w:r>
        <w:rPr>
          <w:rFonts w:ascii="宋体" w:hAnsi="宋体" w:cs="宋体" w:eastAsia="宋体" w:hint="default"/>
        </w:rPr>
        <w:t>2015</w:t>
      </w:r>
      <w:r>
        <w:rPr>
          <w:rFonts w:ascii="宋体" w:hAnsi="宋体" w:cs="宋体" w:eastAsia="宋体" w:hint="default"/>
          <w:spacing w:val="-46"/>
        </w:rPr>
        <w:t> </w:t>
      </w:r>
      <w:r>
        <w:rPr/>
        <w:t>年</w:t>
      </w:r>
      <w:r>
        <w:rPr>
          <w:spacing w:val="-45"/>
        </w:rPr>
        <w:t> </w:t>
      </w:r>
      <w:r>
        <w:rPr>
          <w:rFonts w:ascii="宋体" w:hAnsi="宋体" w:cs="宋体" w:eastAsia="宋体" w:hint="default"/>
        </w:rPr>
        <w:t>9</w:t>
      </w:r>
      <w:r>
        <w:rPr>
          <w:rFonts w:ascii="宋体" w:hAnsi="宋体" w:cs="宋体" w:eastAsia="宋体" w:hint="default"/>
          <w:spacing w:val="-46"/>
        </w:rPr>
        <w:t> </w:t>
      </w:r>
      <w:r>
        <w:rPr/>
        <w:t>月</w:t>
      </w:r>
      <w:r>
        <w:rPr>
          <w:spacing w:val="-46"/>
        </w:rPr>
        <w:t> </w:t>
      </w:r>
      <w:r>
        <w:rPr>
          <w:rFonts w:ascii="宋体" w:hAnsi="宋体" w:cs="宋体" w:eastAsia="宋体" w:hint="default"/>
        </w:rPr>
        <w:t>22</w:t>
      </w:r>
      <w:r>
        <w:rPr>
          <w:rFonts w:ascii="宋体" w:hAnsi="宋体" w:cs="宋体" w:eastAsia="宋体" w:hint="default"/>
          <w:spacing w:val="-46"/>
        </w:rPr>
        <w:t> </w:t>
      </w:r>
      <w:r>
        <w:rPr/>
        <w:t>日子公司烟台丽鹏包装有限公司清算注销。</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九、在其他主体中的权益" w:id="384"/>
      <w:bookmarkEnd w:id="384"/>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85"/>
      <w:bookmarkEnd w:id="38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86"/>
      <w:bookmarkEnd w:id="386"/>
      <w:r>
        <w:rPr>
          <w:b w:val="0"/>
          <w:bCs w:val="0"/>
        </w:rPr>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7"/>
              <w:jc w:val="left"/>
              <w:rPr>
                <w:rFonts w:ascii="宋体" w:hAnsi="宋体" w:cs="宋体" w:eastAsia="宋体" w:hint="default"/>
                <w:sz w:val="18"/>
                <w:szCs w:val="18"/>
              </w:rPr>
            </w:pPr>
            <w:r>
              <w:rPr>
                <w:rFonts w:ascii="宋体" w:hAnsi="宋体" w:cs="宋体" w:eastAsia="宋体" w:hint="default"/>
                <w:sz w:val="18"/>
                <w:szCs w:val="18"/>
              </w:rPr>
              <w:t>成都海川制盖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1" w:right="173"/>
              <w:jc w:val="left"/>
              <w:rPr>
                <w:rFonts w:ascii="宋体" w:hAnsi="宋体" w:cs="宋体" w:eastAsia="宋体" w:hint="default"/>
                <w:sz w:val="18"/>
                <w:szCs w:val="18"/>
              </w:rPr>
            </w:pPr>
            <w:r>
              <w:rPr>
                <w:rFonts w:ascii="宋体" w:hAnsi="宋体" w:cs="宋体" w:eastAsia="宋体" w:hint="default"/>
                <w:sz w:val="18"/>
                <w:szCs w:val="18"/>
              </w:rPr>
              <w:t>蒲江县工业集 中发展区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2"/>
              <w:jc w:val="left"/>
              <w:rPr>
                <w:rFonts w:ascii="宋体" w:hAnsi="宋体" w:cs="宋体" w:eastAsia="宋体" w:hint="default"/>
                <w:sz w:val="18"/>
                <w:szCs w:val="18"/>
              </w:rPr>
            </w:pPr>
            <w:r>
              <w:rPr>
                <w:rFonts w:ascii="宋体" w:hAnsi="宋体" w:cs="宋体" w:eastAsia="宋体" w:hint="default"/>
                <w:sz w:val="18"/>
                <w:szCs w:val="18"/>
              </w:rPr>
              <w:t>蒲江县工业集 中发展区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7"/>
              <w:jc w:val="left"/>
              <w:rPr>
                <w:rFonts w:ascii="宋体" w:hAnsi="宋体" w:cs="宋体" w:eastAsia="宋体" w:hint="default"/>
                <w:sz w:val="18"/>
                <w:szCs w:val="18"/>
              </w:rPr>
            </w:pPr>
            <w:r>
              <w:rPr>
                <w:rFonts w:ascii="宋体" w:hAnsi="宋体" w:cs="宋体" w:eastAsia="宋体" w:hint="default"/>
                <w:sz w:val="18"/>
                <w:szCs w:val="18"/>
              </w:rPr>
              <w:t>烟台和俊制盖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1" w:right="173"/>
              <w:jc w:val="left"/>
              <w:rPr>
                <w:rFonts w:ascii="宋体" w:hAnsi="宋体" w:cs="宋体" w:eastAsia="宋体" w:hint="default"/>
                <w:sz w:val="18"/>
                <w:szCs w:val="18"/>
              </w:rPr>
            </w:pPr>
            <w:r>
              <w:rPr>
                <w:rFonts w:ascii="宋体" w:hAnsi="宋体" w:cs="宋体" w:eastAsia="宋体" w:hint="default"/>
                <w:sz w:val="18"/>
                <w:szCs w:val="18"/>
              </w:rPr>
              <w:t>烟台市牟平区 姜格庄镇邹格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72"/>
              <w:jc w:val="left"/>
              <w:rPr>
                <w:rFonts w:ascii="宋体" w:hAnsi="宋体" w:cs="宋体" w:eastAsia="宋体" w:hint="default"/>
                <w:sz w:val="18"/>
                <w:szCs w:val="18"/>
              </w:rPr>
            </w:pPr>
            <w:r>
              <w:rPr>
                <w:rFonts w:ascii="宋体" w:hAnsi="宋体" w:cs="宋体" w:eastAsia="宋体" w:hint="default"/>
                <w:sz w:val="18"/>
                <w:szCs w:val="18"/>
              </w:rPr>
              <w:t>烟台市牟平区 姜格庄镇邹格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庄村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庄村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北京鹏和祥包 装制品有限公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北京市怀柔区 桥梓镇金宇瑞 科技产业基地 西侧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北京市怀柔区 桥梓镇金宇瑞 科技产业基地 西侧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74.99%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7"/>
              <w:jc w:val="left"/>
              <w:rPr>
                <w:rFonts w:ascii="宋体" w:hAnsi="宋体" w:cs="宋体" w:eastAsia="宋体" w:hint="default"/>
                <w:sz w:val="18"/>
                <w:szCs w:val="18"/>
              </w:rPr>
            </w:pPr>
            <w:r>
              <w:rPr>
                <w:rFonts w:ascii="宋体" w:hAnsi="宋体" w:cs="宋体" w:eastAsia="宋体" w:hint="default"/>
                <w:sz w:val="18"/>
                <w:szCs w:val="18"/>
              </w:rPr>
              <w:t>大冶市劲鹏制 盖有限公司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38"/>
              <w:jc w:val="left"/>
              <w:rPr>
                <w:rFonts w:ascii="宋体" w:hAnsi="宋体" w:cs="宋体" w:eastAsia="宋体" w:hint="default"/>
                <w:sz w:val="18"/>
                <w:szCs w:val="18"/>
              </w:rPr>
            </w:pPr>
            <w:r>
              <w:rPr>
                <w:rFonts w:ascii="宋体" w:hAnsi="宋体" w:cs="宋体" w:eastAsia="宋体" w:hint="default"/>
                <w:sz w:val="18"/>
                <w:szCs w:val="18"/>
              </w:rPr>
              <w:t>大冶经济开发 区城西北工业 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路以南、 </w:t>
            </w:r>
            <w:r>
              <w:rPr>
                <w:rFonts w:ascii="Times New Roman" w:hAnsi="Times New Roman" w:cs="Times New Roman" w:eastAsia="Times New Roman" w:hint="default"/>
                <w:spacing w:val="-3"/>
                <w:sz w:val="18"/>
                <w:szCs w:val="18"/>
              </w:rPr>
              <w:t>26#</w:t>
            </w:r>
            <w:r>
              <w:rPr>
                <w:rFonts w:ascii="宋体" w:hAnsi="宋体" w:cs="宋体" w:eastAsia="宋体" w:hint="default"/>
                <w:spacing w:val="-3"/>
                <w:sz w:val="18"/>
                <w:szCs w:val="18"/>
              </w:rPr>
              <w:t>路以北、</w:t>
            </w:r>
            <w:r>
              <w:rPr>
                <w:rFonts w:ascii="Times New Roman" w:hAnsi="Times New Roman" w:cs="Times New Roman" w:eastAsia="Times New Roman" w:hint="default"/>
                <w:spacing w:val="-3"/>
                <w:sz w:val="18"/>
                <w:szCs w:val="18"/>
              </w:rPr>
              <w:t>7#</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路以西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39"/>
              <w:jc w:val="left"/>
              <w:rPr>
                <w:rFonts w:ascii="宋体" w:hAnsi="宋体" w:cs="宋体" w:eastAsia="宋体" w:hint="default"/>
                <w:sz w:val="18"/>
                <w:szCs w:val="18"/>
              </w:rPr>
            </w:pPr>
            <w:r>
              <w:rPr>
                <w:rFonts w:ascii="宋体" w:hAnsi="宋体" w:cs="宋体" w:eastAsia="宋体" w:hint="default"/>
                <w:sz w:val="18"/>
                <w:szCs w:val="18"/>
              </w:rPr>
              <w:t>大冶经济开发 区城西北工业 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路以南、 </w:t>
            </w:r>
            <w:r>
              <w:rPr>
                <w:rFonts w:ascii="Times New Roman" w:hAnsi="Times New Roman" w:cs="Times New Roman" w:eastAsia="Times New Roman" w:hint="default"/>
                <w:spacing w:val="-3"/>
                <w:sz w:val="18"/>
                <w:szCs w:val="18"/>
              </w:rPr>
              <w:t>26#</w:t>
            </w:r>
            <w:r>
              <w:rPr>
                <w:rFonts w:ascii="宋体" w:hAnsi="宋体" w:cs="宋体" w:eastAsia="宋体" w:hint="default"/>
                <w:spacing w:val="-3"/>
                <w:sz w:val="18"/>
                <w:szCs w:val="18"/>
              </w:rPr>
              <w:t>路以北、</w:t>
            </w:r>
            <w:r>
              <w:rPr>
                <w:rFonts w:ascii="Times New Roman" w:hAnsi="Times New Roman" w:cs="Times New Roman" w:eastAsia="Times New Roman" w:hint="default"/>
                <w:spacing w:val="-3"/>
                <w:sz w:val="18"/>
                <w:szCs w:val="18"/>
              </w:rPr>
              <w:t>7#</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路以西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173"/>
              <w:jc w:val="left"/>
              <w:rPr>
                <w:rFonts w:ascii="宋体" w:hAnsi="宋体" w:cs="宋体" w:eastAsia="宋体" w:hint="default"/>
                <w:sz w:val="18"/>
                <w:szCs w:val="18"/>
              </w:rPr>
            </w:pPr>
            <w:r>
              <w:rPr>
                <w:rFonts w:ascii="宋体" w:hAnsi="宋体" w:cs="宋体" w:eastAsia="宋体" w:hint="default"/>
                <w:sz w:val="18"/>
                <w:szCs w:val="18"/>
              </w:rPr>
              <w:t>同一控制企业 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新疆军鹏制盖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新疆维吾尔自 治区伊犁哈萨 克自治州新源 县肖尔布拉克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新疆维吾尔自 治区伊犁哈萨 克自治州新源 县肖尔布拉克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亳州丽鹏制盖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亳州经济开发 区华佗大道北 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亳州经济开发 区华佗大道北 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7"/>
              <w:jc w:val="left"/>
              <w:rPr>
                <w:rFonts w:ascii="宋体" w:hAnsi="宋体" w:cs="宋体" w:eastAsia="宋体" w:hint="default"/>
                <w:sz w:val="18"/>
                <w:szCs w:val="18"/>
              </w:rPr>
            </w:pPr>
            <w:r>
              <w:rPr>
                <w:rFonts w:ascii="宋体" w:hAnsi="宋体" w:cs="宋体" w:eastAsia="宋体" w:hint="default"/>
                <w:sz w:val="18"/>
                <w:szCs w:val="18"/>
              </w:rPr>
              <w:t>四川泸州丽鹏 制盖有限公司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18"/>
              <w:jc w:val="both"/>
              <w:rPr>
                <w:rFonts w:ascii="宋体" w:hAnsi="宋体" w:cs="宋体" w:eastAsia="宋体" w:hint="default"/>
                <w:sz w:val="18"/>
                <w:szCs w:val="18"/>
              </w:rPr>
            </w:pPr>
            <w:r>
              <w:rPr>
                <w:rFonts w:ascii="宋体" w:hAnsi="宋体" w:cs="宋体" w:eastAsia="宋体" w:hint="default"/>
                <w:sz w:val="18"/>
                <w:szCs w:val="18"/>
              </w:rPr>
              <w:t>泸州市江阳区 黄舣镇泸州酒 业集中发展区 聚源大道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F006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7"/>
              <w:jc w:val="both"/>
              <w:rPr>
                <w:rFonts w:ascii="宋体" w:hAnsi="宋体" w:cs="宋体" w:eastAsia="宋体" w:hint="default"/>
                <w:sz w:val="18"/>
                <w:szCs w:val="18"/>
              </w:rPr>
            </w:pPr>
            <w:r>
              <w:rPr>
                <w:rFonts w:ascii="宋体" w:hAnsi="宋体" w:cs="宋体" w:eastAsia="宋体" w:hint="default"/>
                <w:sz w:val="18"/>
                <w:szCs w:val="18"/>
              </w:rPr>
              <w:t>泸州市江阳区 黄舣镇泸州酒 业集中发展区 聚源大道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F006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烟台丽鹏包装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芝罘区环海路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芝罘区环海路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山东丽鹏国际 贸易有限公司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烟台市牟平区 姜格庄街道办 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烟台市牟平区 姜格庄街道办 事处丽鹏路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重庆华宇园林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重庆市江北区 渝北四村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w:t>
            </w:r>
          </w:p>
          <w:p>
            <w:pPr>
              <w:pStyle w:val="TableParagraph"/>
              <w:spacing w:line="240" w:lineRule="auto"/>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重庆市江北区 渝北四村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pacing w:val="-3"/>
                <w:sz w:val="18"/>
                <w:szCs w:val="18"/>
              </w:rPr>
              <w:t>园林设、施工、</w:t>
            </w:r>
            <w:r>
              <w:rPr>
                <w:rFonts w:ascii="宋体" w:hAnsi="宋体" w:cs="宋体" w:eastAsia="宋体" w:hint="default"/>
                <w:sz w:val="18"/>
                <w:szCs w:val="18"/>
              </w:rPr>
              <w:t> 苗木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湘乡渝华生态 农业发展有限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湖南省湘乡市 月山镇胜利村 太平岭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南省湘乡市月 山镇胜利村太 平岭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苗木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2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103" w:right="177"/>
              <w:jc w:val="left"/>
              <w:rPr>
                <w:rFonts w:ascii="宋体" w:hAnsi="宋体" w:cs="宋体" w:eastAsia="宋体" w:hint="default"/>
                <w:sz w:val="18"/>
                <w:szCs w:val="18"/>
              </w:rPr>
            </w:pPr>
            <w:r>
              <w:rPr>
                <w:rFonts w:ascii="宋体" w:hAnsi="宋体" w:cs="宋体" w:eastAsia="宋体" w:hint="default"/>
                <w:sz w:val="18"/>
                <w:szCs w:val="18"/>
              </w:rPr>
              <w:t>深圳在乎传媒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深圳市前海深 港合作区前湾 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w:t>
            </w: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室（入驻深</w:t>
            </w:r>
            <w:r>
              <w:rPr>
                <w:rFonts w:ascii="宋体" w:hAnsi="宋体" w:cs="宋体" w:eastAsia="宋体" w:hint="default"/>
                <w:sz w:val="18"/>
                <w:szCs w:val="18"/>
              </w:rPr>
              <w:t> 圳市前海商务 秘书有限公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深圳市前海深 港合作区前湾 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w:t>
            </w: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室（入驻深</w:t>
            </w:r>
            <w:r>
              <w:rPr>
                <w:rFonts w:ascii="宋体" w:hAnsi="宋体" w:cs="宋体" w:eastAsia="宋体" w:hint="default"/>
                <w:sz w:val="18"/>
                <w:szCs w:val="18"/>
              </w:rPr>
              <w:t> 圳市前海商务 秘书有限公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103" w:right="173"/>
              <w:jc w:val="left"/>
              <w:rPr>
                <w:rFonts w:ascii="宋体" w:hAnsi="宋体" w:cs="宋体" w:eastAsia="宋体" w:hint="default"/>
                <w:sz w:val="18"/>
                <w:szCs w:val="18"/>
              </w:rPr>
            </w:pPr>
            <w:r>
              <w:rPr>
                <w:rFonts w:ascii="宋体" w:hAnsi="宋体" w:cs="宋体" w:eastAsia="宋体" w:hint="default"/>
                <w:sz w:val="18"/>
                <w:szCs w:val="18"/>
              </w:rPr>
              <w:t>网上业务、数 据库管理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烟台聚融投资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山东省烟台市 莱山区港城东 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10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山东省烟台市 莱山区港城东 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3"/>
              <w:jc w:val="left"/>
              <w:rPr>
                <w:rFonts w:ascii="宋体" w:hAnsi="宋体" w:cs="宋体" w:eastAsia="宋体" w:hint="default"/>
                <w:sz w:val="18"/>
                <w:szCs w:val="18"/>
              </w:rPr>
            </w:pPr>
            <w:r>
              <w:rPr>
                <w:rFonts w:ascii="宋体" w:hAnsi="宋体" w:cs="宋体" w:eastAsia="宋体" w:hint="default"/>
                <w:sz w:val="18"/>
                <w:szCs w:val="18"/>
              </w:rPr>
              <w:t>投资、咨询服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77"/>
              <w:jc w:val="left"/>
              <w:rPr>
                <w:rFonts w:ascii="宋体" w:hAnsi="宋体" w:cs="宋体" w:eastAsia="宋体" w:hint="default"/>
                <w:sz w:val="18"/>
                <w:szCs w:val="18"/>
              </w:rPr>
            </w:pPr>
            <w:r>
              <w:rPr>
                <w:rFonts w:ascii="宋体" w:hAnsi="宋体" w:cs="宋体" w:eastAsia="宋体" w:hint="default"/>
                <w:sz w:val="18"/>
                <w:szCs w:val="18"/>
              </w:rPr>
              <w:t>巴中华丰建设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28"/>
              <w:jc w:val="both"/>
              <w:rPr>
                <w:rFonts w:ascii="宋体" w:hAnsi="宋体" w:cs="宋体" w:eastAsia="宋体" w:hint="default"/>
                <w:sz w:val="18"/>
                <w:szCs w:val="18"/>
              </w:rPr>
            </w:pPr>
            <w:r>
              <w:rPr>
                <w:rFonts w:ascii="宋体" w:hAnsi="宋体" w:cs="宋体" w:eastAsia="宋体" w:hint="default"/>
                <w:sz w:val="18"/>
                <w:szCs w:val="18"/>
              </w:rPr>
              <w:t>四川省巴中市 巴州区回风小 区龙舌坝村江 南尚城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商业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9"/>
              <w:jc w:val="both"/>
              <w:rPr>
                <w:rFonts w:ascii="宋体" w:hAnsi="宋体" w:cs="宋体" w:eastAsia="宋体" w:hint="default"/>
                <w:sz w:val="18"/>
                <w:szCs w:val="18"/>
              </w:rPr>
            </w:pPr>
            <w:r>
              <w:rPr>
                <w:rFonts w:ascii="宋体" w:hAnsi="宋体" w:cs="宋体" w:eastAsia="宋体" w:hint="default"/>
                <w:sz w:val="18"/>
                <w:szCs w:val="18"/>
              </w:rPr>
              <w:t>四川省巴中市 巴州区回风小 区龙舌坝村江 南尚城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商业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1"/>
              <w:jc w:val="left"/>
              <w:rPr>
                <w:rFonts w:ascii="宋体" w:hAnsi="宋体" w:cs="宋体" w:eastAsia="宋体" w:hint="default"/>
                <w:sz w:val="18"/>
                <w:szCs w:val="18"/>
              </w:rPr>
            </w:pPr>
            <w:r>
              <w:rPr>
                <w:rFonts w:ascii="宋体" w:hAnsi="宋体" w:cs="宋体" w:eastAsia="宋体" w:hint="default"/>
                <w:sz w:val="18"/>
                <w:szCs w:val="18"/>
              </w:rPr>
              <w:t>施工建设、绿 </w:t>
            </w:r>
            <w:r>
              <w:rPr>
                <w:rFonts w:ascii="宋体" w:hAnsi="宋体" w:cs="宋体" w:eastAsia="宋体" w:hint="default"/>
                <w:spacing w:val="-3"/>
                <w:sz w:val="18"/>
                <w:szCs w:val="18"/>
              </w:rPr>
              <w:t>化、规划设计、</w:t>
            </w:r>
            <w:r>
              <w:rPr>
                <w:rFonts w:ascii="宋体" w:hAnsi="宋体" w:cs="宋体" w:eastAsia="宋体" w:hint="default"/>
                <w:sz w:val="18"/>
                <w:szCs w:val="18"/>
              </w:rPr>
              <w:t> 苗木等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安顺华宇生态 建设有限公司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贵州省安顺市 西秀区龙青路 电力城天瀑阳 光商业街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贵州省安顺市 西秀区龙青路 电力城天瀑阳 光商业街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重庆东飞凯格 建筑景观设计 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1" w:right="173"/>
              <w:jc w:val="both"/>
              <w:rPr>
                <w:rFonts w:ascii="宋体" w:hAnsi="宋体" w:cs="宋体" w:eastAsia="宋体"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72"/>
              <w:jc w:val="both"/>
              <w:rPr>
                <w:rFonts w:ascii="宋体" w:hAnsi="宋体" w:cs="宋体" w:eastAsia="宋体" w:hint="default"/>
                <w:sz w:val="18"/>
                <w:szCs w:val="18"/>
              </w:rPr>
            </w:pPr>
            <w:r>
              <w:rPr>
                <w:rFonts w:ascii="宋体" w:hAnsi="宋体" w:cs="宋体" w:eastAsia="宋体" w:hint="default"/>
                <w:sz w:val="18"/>
                <w:szCs w:val="18"/>
              </w:rPr>
              <w:t>重庆市江北区 北滨一路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园林景观设 计、施工、城 市规划设计咨 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7"/>
              <w:jc w:val="both"/>
              <w:rPr>
                <w:rFonts w:ascii="宋体" w:hAnsi="宋体" w:cs="宋体" w:eastAsia="宋体" w:hint="default"/>
                <w:sz w:val="18"/>
                <w:szCs w:val="18"/>
              </w:rPr>
            </w:pPr>
            <w:r>
              <w:rPr>
                <w:rFonts w:ascii="宋体" w:hAnsi="宋体" w:cs="宋体" w:eastAsia="宋体" w:hint="default"/>
                <w:sz w:val="18"/>
                <w:szCs w:val="18"/>
              </w:rPr>
              <w:t>重庆秉创新材 料科技有限公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1" w:right="173"/>
              <w:jc w:val="both"/>
              <w:rPr>
                <w:rFonts w:ascii="宋体" w:hAnsi="宋体" w:cs="宋体" w:eastAsia="宋体" w:hint="default"/>
                <w:sz w:val="18"/>
                <w:szCs w:val="18"/>
              </w:rPr>
            </w:pPr>
            <w:r>
              <w:rPr>
                <w:rFonts w:ascii="宋体" w:hAnsi="宋体" w:cs="宋体" w:eastAsia="宋体" w:hint="default"/>
                <w:sz w:val="18"/>
                <w:szCs w:val="18"/>
              </w:rPr>
              <w:t>重庆市正阳工 业园区园区路 白家河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72"/>
              <w:jc w:val="both"/>
              <w:rPr>
                <w:rFonts w:ascii="宋体" w:hAnsi="宋体" w:cs="宋体" w:eastAsia="宋体" w:hint="default"/>
                <w:sz w:val="18"/>
                <w:szCs w:val="18"/>
              </w:rPr>
            </w:pPr>
            <w:r>
              <w:rPr>
                <w:rFonts w:ascii="宋体" w:hAnsi="宋体" w:cs="宋体" w:eastAsia="宋体" w:hint="default"/>
                <w:sz w:val="18"/>
                <w:szCs w:val="18"/>
              </w:rPr>
              <w:t>重庆市正阳工 业园区园区路 白家河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建筑新材料、 新技术、新工 </w:t>
            </w:r>
            <w:r>
              <w:rPr>
                <w:rFonts w:ascii="宋体" w:hAnsi="宋体" w:cs="宋体" w:eastAsia="宋体" w:hint="default"/>
                <w:spacing w:val="-3"/>
                <w:sz w:val="18"/>
                <w:szCs w:val="18"/>
              </w:rPr>
              <w:t>艺研发、推广、</w:t>
            </w:r>
            <w:r>
              <w:rPr>
                <w:rFonts w:ascii="宋体" w:hAnsi="宋体" w:cs="宋体" w:eastAsia="宋体" w:hint="default"/>
                <w:sz w:val="18"/>
                <w:szCs w:val="18"/>
              </w:rPr>
              <w:t> 应用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烟台市鹏科能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山东省烟台市 牟平区姜格庄 街道办事处丽 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山东省烟台市 牟平区姜格庄 街道办事处丽 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太阳能光伏能 源研发、工程 设计、施工、 管理等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7"/>
              <w:jc w:val="left"/>
              <w:rPr>
                <w:rFonts w:ascii="宋体" w:hAnsi="宋体" w:cs="宋体" w:eastAsia="宋体" w:hint="default"/>
                <w:sz w:val="18"/>
                <w:szCs w:val="18"/>
              </w:rPr>
            </w:pPr>
            <w:r>
              <w:rPr>
                <w:rFonts w:ascii="宋体" w:hAnsi="宋体" w:cs="宋体" w:eastAsia="宋体" w:hint="default"/>
                <w:sz w:val="18"/>
                <w:szCs w:val="18"/>
              </w:rPr>
              <w:t>烟台丽鹏投资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山东省烟台市 莱山区港城东 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10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山东省烟台市 莱山区港城东 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3"/>
              <w:jc w:val="left"/>
              <w:rPr>
                <w:rFonts w:ascii="宋体" w:hAnsi="宋体" w:cs="宋体" w:eastAsia="宋体" w:hint="default"/>
                <w:sz w:val="18"/>
                <w:szCs w:val="18"/>
              </w:rPr>
            </w:pPr>
            <w:r>
              <w:rPr>
                <w:rFonts w:ascii="宋体" w:hAnsi="宋体" w:cs="宋体" w:eastAsia="宋体" w:hint="default"/>
                <w:sz w:val="18"/>
                <w:szCs w:val="18"/>
              </w:rPr>
              <w:t>投资及投资咨 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51"/>
        <w:ind w:right="0"/>
        <w:jc w:val="left"/>
      </w:pPr>
      <w:r>
        <w:rPr/>
        <w:t>其他说明：</w:t>
      </w:r>
    </w:p>
    <w:p>
      <w:pPr>
        <w:pStyle w:val="BodyText"/>
        <w:spacing w:line="302" w:lineRule="auto" w:before="116"/>
        <w:ind w:left="113" w:right="1169" w:firstLine="36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年子公司烟台和俊制盖有限公司、烟台丽鹏包装有限公司清算注销；子公司重庆华宇园林有限公司子公司湘乡渝 华生态农业发展有限公司股权转让。</w:t>
      </w:r>
    </w:p>
    <w:p>
      <w:pPr>
        <w:spacing w:line="240" w:lineRule="auto" w:before="2"/>
        <w:rPr>
          <w:rFonts w:ascii="宋体" w:hAnsi="宋体" w:cs="宋体" w:eastAsia="宋体" w:hint="default"/>
          <w:sz w:val="23"/>
          <w:szCs w:val="23"/>
        </w:rPr>
      </w:pPr>
    </w:p>
    <w:p>
      <w:pPr>
        <w:pStyle w:val="Heading3"/>
        <w:spacing w:line="240" w:lineRule="auto"/>
        <w:ind w:left="113" w:right="0"/>
        <w:jc w:val="left"/>
        <w:rPr>
          <w:b w:val="0"/>
          <w:bCs w:val="0"/>
        </w:rPr>
      </w:pPr>
      <w:bookmarkStart w:name="2）重要的非全资子公司" w:id="387"/>
      <w:bookmarkEnd w:id="387"/>
      <w:r>
        <w:rPr>
          <w:b w:val="0"/>
          <w:bCs w:val="0"/>
        </w:rPr>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5"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烟台和俊制盖有限公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6" w:right="0"/>
              <w:jc w:val="left"/>
              <w:rPr>
                <w:rFonts w:ascii="Times New Roman" w:hAnsi="Times New Roman" w:cs="Times New Roman" w:eastAsia="Times New Roman" w:hint="default"/>
                <w:sz w:val="18"/>
                <w:szCs w:val="18"/>
              </w:rPr>
            </w:pPr>
            <w:r>
              <w:rPr>
                <w:rFonts w:ascii="Times New Roman"/>
                <w:sz w:val="18"/>
              </w:rPr>
              <w:t>27.59%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北京鹏和祥包装制品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-132,842.90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1,900,405.27</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新疆军鹏制盖有限公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2,304,236.19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1,266,691.90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10,344,179.73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四川泸州丽鹏制盖有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91,878.83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9,570,282.02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深圳在乎传媒科技有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-140,379.98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1,859,620.02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巴中华丰建设发展有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-15,059.60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-15,059.60</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重庆东飞凯格建筑景 观设计咨询有限公司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-4.19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-4.19</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388"/>
      <w:bookmarkEnd w:id="388"/>
      <w:r>
        <w:rPr>
          <w:b w:val="0"/>
          <w:bCs w:val="0"/>
        </w:rPr>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北京 鹏和 祥包 装制 品有 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7,745,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835.21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11,877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,788.6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19,623</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,623.8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12,237</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,891.6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12,237</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,891.6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8,635,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617.19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11,244</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,028.8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19,879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,646.0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11,962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,754.7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11,962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,754.7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新疆 军鹏 制盖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25,155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,853.3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11,755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,184.4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36,911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,037.7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11,050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,588.4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11,050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,588.4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19,699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,923.0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9,916,</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268.86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29,616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,191.8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8,849,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603.26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8,849,</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603.26</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四川 泸州 丽鹏 制盖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36,435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,086.3</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46,879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,294.3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83,314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,380.6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15,485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,780.0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15,485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,780.0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31,640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,032.5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50,436</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,305.9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82,076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,338.5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14,890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,696.8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14,890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,696.8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w:t>
            </w:r>
          </w:p>
        </w:tc>
      </w:tr>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深圳 在乎 传媒</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4,601,</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864.89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360,52</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4.22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4,962,</w:t>
            </w:r>
          </w:p>
          <w:p>
            <w:pPr>
              <w:pStyle w:val="TableParagraph"/>
              <w:spacing w:line="240" w:lineRule="auto" w:before="106"/>
              <w:ind w:left="134" w:right="0"/>
              <w:jc w:val="left"/>
              <w:rPr>
                <w:rFonts w:ascii="Times New Roman" w:hAnsi="Times New Roman" w:cs="Times New Roman" w:eastAsia="Times New Roman" w:hint="default"/>
                <w:sz w:val="18"/>
                <w:szCs w:val="18"/>
              </w:rPr>
            </w:pPr>
            <w:r>
              <w:rPr>
                <w:rFonts w:ascii="Times New Roman"/>
                <w:sz w:val="18"/>
              </w:rPr>
              <w:t>389.11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205,03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108,30</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0.56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313,33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9.06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61"/>
              <w:jc w:val="both"/>
              <w:rPr>
                <w:rFonts w:ascii="宋体" w:hAnsi="宋体" w:cs="宋体" w:eastAsia="宋体" w:hint="default"/>
                <w:sz w:val="18"/>
                <w:szCs w:val="18"/>
              </w:rPr>
            </w:pPr>
            <w:r>
              <w:rPr>
                <w:rFonts w:ascii="宋体" w:hAnsi="宋体" w:cs="宋体" w:eastAsia="宋体" w:hint="default"/>
                <w:sz w:val="18"/>
                <w:szCs w:val="18"/>
              </w:rPr>
              <w:t>科技 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巴中 华丰 建设 发展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7,894,</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054.83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1,623,</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242.99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9,517,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297.82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1,592,</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595.84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1,592,</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595.84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重庆 东飞 凯格 建筑 景观 设计 咨询 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48,711</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08" w:right="0"/>
              <w:jc w:val="left"/>
              <w:rPr>
                <w:rFonts w:ascii="Times New Roman" w:hAnsi="Times New Roman" w:cs="Times New Roman" w:eastAsia="Times New Roman" w:hint="default"/>
                <w:sz w:val="18"/>
                <w:szCs w:val="18"/>
              </w:rPr>
            </w:pPr>
            <w:r>
              <w:rPr>
                <w:rFonts w:ascii="Times New Roman"/>
                <w:sz w:val="18"/>
              </w:rPr>
              <w:t>3.99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48,715</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48,727</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48,727</w:t>
            </w:r>
          </w:p>
          <w:p>
            <w:pPr>
              <w:pStyle w:val="TableParagraph"/>
              <w:spacing w:line="240" w:lineRule="auto" w:before="105"/>
              <w:ind w:left="397" w:right="0"/>
              <w:jc w:val="lef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烟台 和俊 制盖 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37,907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,200.1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37,907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,200.1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5,895,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886.01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5,895,</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886.01</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435" w:right="16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烟台和俊 制盖有限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1,014,568.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1,014,568.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5,128,955.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27,975,656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9,854,345.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9,854,345.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-10,295,28</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5.21</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北京鹏和 祥包装制 品有限公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9,490,326.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-531,159.1</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-531,159.1</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558,249.15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17,756,858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1,563,935.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1,563,935.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1,767,265.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新疆军鹏 制盖有限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29,064,307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5,760,590.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5,760,590.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7,910,032.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23,751,443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3,518,599.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3,518,599.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3,444,969.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四川泸州 丽鹏制盖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39,145,587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642,958.93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642,958.93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5,815,241.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38,417,038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1,319,341.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1,319,341.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4,763,935.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深圳在乎</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6" w:right="0"/>
              <w:jc w:val="center"/>
              <w:rPr>
                <w:rFonts w:ascii="Times New Roman" w:hAnsi="Times New Roman" w:cs="Times New Roman" w:eastAsia="Times New Roman" w:hint="default"/>
                <w:sz w:val="18"/>
                <w:szCs w:val="18"/>
              </w:rPr>
            </w:pPr>
            <w:r>
              <w:rPr>
                <w:rFonts w:ascii="Times New Roman"/>
                <w:sz w:val="18"/>
              </w:rPr>
              <w:t>-350,949.9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18"/>
                <w:szCs w:val="18"/>
              </w:rPr>
            </w:pPr>
            <w:r>
              <w:rPr>
                <w:rFonts w:ascii="Times New Roman"/>
                <w:w w:val="95"/>
                <w:sz w:val="18"/>
              </w:rPr>
              <w:t>-350,949.9</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9" w:right="0"/>
              <w:jc w:val="center"/>
              <w:rPr>
                <w:rFonts w:ascii="Times New Roman" w:hAnsi="Times New Roman" w:cs="Times New Roman" w:eastAsia="Times New Roman" w:hint="default"/>
                <w:sz w:val="18"/>
                <w:szCs w:val="18"/>
              </w:rPr>
            </w:pPr>
            <w:r>
              <w:rPr>
                <w:rFonts w:ascii="Times New Roman"/>
                <w:sz w:val="18"/>
              </w:rPr>
              <w:t>-827,847.3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26"/>
              <w:jc w:val="left"/>
              <w:rPr>
                <w:rFonts w:ascii="宋体" w:hAnsi="宋体" w:cs="宋体" w:eastAsia="宋体" w:hint="default"/>
                <w:sz w:val="18"/>
                <w:szCs w:val="18"/>
              </w:rPr>
            </w:pPr>
            <w:r>
              <w:rPr>
                <w:rFonts w:ascii="宋体" w:hAnsi="宋体" w:cs="宋体" w:eastAsia="宋体" w:hint="default"/>
                <w:sz w:val="18"/>
                <w:szCs w:val="18"/>
              </w:rPr>
              <w:t>传媒科技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巴中华丰 建设发展 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-75,298.02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-75,298.02</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-398,705.1</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6"/>
              <w:jc w:val="both"/>
              <w:rPr>
                <w:rFonts w:ascii="宋体" w:hAnsi="宋体" w:cs="宋体" w:eastAsia="宋体" w:hint="default"/>
                <w:sz w:val="18"/>
                <w:szCs w:val="18"/>
              </w:rPr>
            </w:pPr>
            <w:r>
              <w:rPr>
                <w:rFonts w:ascii="宋体" w:hAnsi="宋体" w:cs="宋体" w:eastAsia="宋体" w:hint="default"/>
                <w:sz w:val="18"/>
                <w:szCs w:val="18"/>
              </w:rPr>
              <w:t>重庆东飞 凯格建筑 景观设计 咨询有限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48,543.69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48,593.07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与金融工具相关的风险" w:id="389"/>
      <w:bookmarkEnd w:id="389"/>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 w:right="1033" w:firstLine="411"/>
        <w:jc w:val="left"/>
      </w:pPr>
      <w:r>
        <w:rPr/>
        <w:t>公司在经营过程中面临各种金融风险：信用风险、市场风险和流动性风险。公司经营管理层全面负责风险管理目标和 政策的确定，并对风险管理目标和政策承担最终责任。风险管理的总体目标是在不过度影响公司竞争力和应变力的情况下， 制定尽可能降低风险的风险管理政策。</w:t>
      </w:r>
    </w:p>
    <w:p>
      <w:pPr>
        <w:pStyle w:val="Heading3"/>
        <w:spacing w:line="268" w:lineRule="exact"/>
        <w:ind w:left="536" w:right="0"/>
        <w:jc w:val="left"/>
        <w:rPr>
          <w:b w:val="0"/>
          <w:bCs w:val="0"/>
        </w:rPr>
      </w:pPr>
      <w:r>
        <w:rPr>
          <w:rFonts w:ascii="宋体" w:hAnsi="宋体" w:cs="宋体" w:eastAsia="宋体" w:hint="default"/>
        </w:rPr>
        <w:t>1</w:t>
      </w:r>
      <w:r>
        <w:rPr/>
        <w:t>、信用风险</w:t>
      </w:r>
      <w:r>
        <w:rPr>
          <w:b w:val="0"/>
          <w:bCs w:val="0"/>
        </w:rPr>
      </w:r>
    </w:p>
    <w:p>
      <w:pPr>
        <w:pStyle w:val="BodyText"/>
        <w:spacing w:line="432" w:lineRule="exact" w:before="47"/>
        <w:ind w:left="525" w:right="0"/>
        <w:jc w:val="left"/>
      </w:pPr>
      <w:r>
        <w:rPr/>
        <w:t>信用风险是指金融工具的一方不履行义务，造成另一方发生财务损失的风险。 为降低信用风险，本公司制定了相关的内部控制政策负责确定信用额度、进行信用审批，包括外部信用评级和在某些</w:t>
      </w:r>
    </w:p>
    <w:p>
      <w:pPr>
        <w:pStyle w:val="BodyText"/>
        <w:spacing w:line="316" w:lineRule="auto" w:before="15"/>
        <w:ind w:left="113" w:right="0"/>
        <w:jc w:val="left"/>
      </w:pPr>
      <w:r>
        <w:rPr>
          <w:spacing w:val="-2"/>
        </w:rPr>
        <w:t>情况下的银行资信证明（当此信息可获取时），并执行其他监控程序以确保采取必要的措施回收过期债权。因此，本公司管</w:t>
      </w:r>
      <w:r>
        <w:rPr>
          <w:spacing w:val="-65"/>
        </w:rPr>
        <w:t> </w:t>
      </w:r>
      <w:r>
        <w:rPr>
          <w:spacing w:val="-65"/>
        </w:rPr>
      </w:r>
      <w:r>
        <w:rPr/>
        <w:t>理层认为本公司所承担的信用风险已经大为降低。</w:t>
      </w:r>
    </w:p>
    <w:p>
      <w:pPr>
        <w:pStyle w:val="BodyText"/>
        <w:spacing w:line="316" w:lineRule="auto" w:before="139"/>
        <w:ind w:left="113" w:right="0" w:firstLine="411"/>
        <w:jc w:val="left"/>
      </w:pPr>
      <w:r>
        <w:rPr/>
        <w:t>本公司其他金融资产包括货币资金、应收账款等，这些金融资产的信用风险源自交易对手违约，最大风险敞口等于这 些工具的账面金额。</w:t>
      </w:r>
    </w:p>
    <w:p>
      <w:pPr>
        <w:pStyle w:val="BodyText"/>
        <w:spacing w:line="240" w:lineRule="auto" w:before="139"/>
        <w:ind w:left="525" w:right="0"/>
        <w:jc w:val="left"/>
      </w:pPr>
      <w:r>
        <w:rPr>
          <w:rFonts w:ascii="Times New Roman" w:hAnsi="Times New Roman" w:cs="Times New Roman" w:eastAsia="Times New Roman" w:hint="default"/>
        </w:rPr>
        <w:t>1</w:t>
      </w:r>
      <w:r>
        <w:rPr/>
        <w:t>）本公司的流动资金存放在信用评级较高的银行，故流动资金的信用风险较低。</w:t>
      </w:r>
    </w:p>
    <w:p>
      <w:pPr>
        <w:spacing w:line="240" w:lineRule="auto" w:before="13"/>
        <w:rPr>
          <w:rFonts w:ascii="宋体" w:hAnsi="宋体" w:cs="宋体" w:eastAsia="宋体" w:hint="default"/>
          <w:sz w:val="13"/>
          <w:szCs w:val="13"/>
        </w:rPr>
      </w:pPr>
    </w:p>
    <w:p>
      <w:pPr>
        <w:pStyle w:val="BodyText"/>
        <w:spacing w:line="240" w:lineRule="auto"/>
        <w:ind w:left="525" w:right="0"/>
        <w:jc w:val="left"/>
      </w:pPr>
      <w:r>
        <w:rPr>
          <w:rFonts w:ascii="Times New Roman" w:hAnsi="Times New Roman" w:cs="Times New Roman" w:eastAsia="Times New Roman" w:hint="default"/>
        </w:rPr>
        <w:t>2</w:t>
      </w:r>
      <w:r>
        <w:rPr/>
        <w:t>）资产负债表日，公司按会计政策计提了坏账准备。</w:t>
      </w:r>
    </w:p>
    <w:p>
      <w:pPr>
        <w:pStyle w:val="Heading3"/>
        <w:spacing w:line="240" w:lineRule="auto" w:before="157"/>
        <w:ind w:left="536" w:right="0"/>
        <w:jc w:val="left"/>
        <w:rPr>
          <w:b w:val="0"/>
          <w:bCs w:val="0"/>
        </w:rPr>
      </w:pPr>
      <w:r>
        <w:rPr>
          <w:rFonts w:ascii="宋体" w:hAnsi="宋体" w:cs="宋体" w:eastAsia="宋体" w:hint="default"/>
        </w:rPr>
        <w:t>2</w:t>
      </w:r>
      <w:r>
        <w:rPr/>
        <w:t>、市场风险</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left="113" w:right="0" w:firstLine="411"/>
        <w:jc w:val="left"/>
      </w:pPr>
      <w:r>
        <w:rPr/>
        <w:t>金融工具的市场风险，是指金融工具的公允价值或未来现金流量因市场价格变动而发生波动的风险，包括外汇风险、 利率风险和其他价格风险。</w:t>
      </w:r>
    </w:p>
    <w:p>
      <w:pPr>
        <w:pStyle w:val="BodyText"/>
        <w:spacing w:line="415" w:lineRule="auto" w:before="139"/>
        <w:ind w:left="525" w:right="1118"/>
        <w:jc w:val="left"/>
      </w:pPr>
      <w:r>
        <w:rPr>
          <w:rFonts w:ascii="Times New Roman" w:hAnsi="Times New Roman" w:cs="Times New Roman" w:eastAsia="Times New Roman" w:hint="default"/>
        </w:rPr>
        <w:t>1</w:t>
      </w:r>
      <w:r>
        <w:rPr/>
        <w:t>）外汇风险 外汇风险指因汇率变动产生损失的风险。本公司承受外汇风险主要与美元有关，本公司主要以美元进行部分销售。于</w:t>
      </w:r>
    </w:p>
    <w:p>
      <w:pPr>
        <w:pStyle w:val="BodyText"/>
        <w:spacing w:line="194" w:lineRule="exact"/>
        <w:ind w:left="113" w:right="0"/>
        <w:jc w:val="left"/>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rFonts w:ascii="Times New Roman" w:hAnsi="Times New Roman" w:cs="Times New Roman" w:eastAsia="Times New Roman" w:hint="default"/>
          <w:spacing w:val="5"/>
        </w:rPr>
        <w:t> </w:t>
      </w:r>
      <w:r>
        <w:rPr/>
        <w:t>日，除下表所述资产或负债为外币余额外，本公司的资产及负债均为人民币余额。该等外币余额的资产和</w:t>
      </w:r>
    </w:p>
    <w:p>
      <w:pPr>
        <w:pStyle w:val="BodyText"/>
        <w:spacing w:line="240" w:lineRule="auto" w:before="63"/>
        <w:ind w:right="0"/>
        <w:jc w:val="left"/>
      </w:pPr>
      <w:r>
        <w:rPr/>
        <w:t>负债产生的外汇风险可能对本公司的经营业绩产生影响。</w:t>
      </w:r>
    </w:p>
    <w:p>
      <w:pPr>
        <w:spacing w:line="240" w:lineRule="auto" w:before="0"/>
        <w:rPr>
          <w:rFonts w:ascii="宋体" w:hAnsi="宋体" w:cs="宋体" w:eastAsia="宋体" w:hint="default"/>
          <w:sz w:val="7"/>
          <w:szCs w:val="7"/>
        </w:rPr>
      </w:pPr>
    </w:p>
    <w:p>
      <w:pPr>
        <w:spacing w:line="2108" w:lineRule="exact"/>
        <w:ind w:left="114" w:right="0" w:firstLine="0"/>
        <w:rPr>
          <w:rFonts w:ascii="宋体" w:hAnsi="宋体" w:cs="宋体" w:eastAsia="宋体" w:hint="default"/>
          <w:sz w:val="20"/>
          <w:szCs w:val="20"/>
        </w:rPr>
      </w:pPr>
      <w:r>
        <w:rPr>
          <w:rFonts w:ascii="宋体" w:hAnsi="宋体" w:cs="宋体" w:eastAsia="宋体" w:hint="default"/>
          <w:position w:val="-41"/>
          <w:sz w:val="20"/>
          <w:szCs w:val="20"/>
        </w:rPr>
        <w:drawing>
          <wp:inline distT="0" distB="0" distL="0" distR="0">
            <wp:extent cx="5535891" cy="1339024"/>
            <wp:effectExtent l="0" t="0" r="0" b="0"/>
            <wp:docPr id="49" name="image26.png" descr=""/>
            <wp:cNvGraphicFramePr>
              <a:graphicFrameLocks noChangeAspect="1"/>
            </wp:cNvGraphicFramePr>
            <a:graphic>
              <a:graphicData uri="http://schemas.openxmlformats.org/drawingml/2006/picture">
                <pic:pic>
                  <pic:nvPicPr>
                    <pic:cNvPr id="50" name="image26.png"/>
                    <pic:cNvPicPr/>
                  </pic:nvPicPr>
                  <pic:blipFill>
                    <a:blip r:embed="rId42" cstate="print"/>
                    <a:stretch>
                      <a:fillRect/>
                    </a:stretch>
                  </pic:blipFill>
                  <pic:spPr>
                    <a:xfrm>
                      <a:off x="0" y="0"/>
                      <a:ext cx="5535891" cy="1339024"/>
                    </a:xfrm>
                    <a:prstGeom prst="rect">
                      <a:avLst/>
                    </a:prstGeom>
                  </pic:spPr>
                </pic:pic>
              </a:graphicData>
            </a:graphic>
          </wp:inline>
        </w:drawing>
      </w:r>
      <w:r>
        <w:rPr>
          <w:rFonts w:ascii="宋体" w:hAnsi="宋体" w:cs="宋体" w:eastAsia="宋体" w:hint="default"/>
          <w:position w:val="-41"/>
          <w:sz w:val="20"/>
          <w:szCs w:val="20"/>
        </w:rPr>
      </w:r>
    </w:p>
    <w:p>
      <w:pPr>
        <w:spacing w:after="0" w:line="2108" w:lineRule="exact"/>
        <w:rPr>
          <w:rFonts w:ascii="宋体" w:hAnsi="宋体" w:cs="宋体" w:eastAsia="宋体" w:hint="default"/>
          <w:sz w:val="20"/>
          <w:szCs w:val="20"/>
        </w:rPr>
        <w:sectPr>
          <w:pgSz w:w="11910" w:h="16840"/>
          <w:pgMar w:header="907" w:footer="1019" w:top="1100" w:bottom="1200" w:left="1020" w:right="0"/>
        </w:sectPr>
      </w:pPr>
    </w:p>
    <w:p>
      <w:pPr>
        <w:spacing w:line="240" w:lineRule="auto" w:before="11"/>
        <w:rPr>
          <w:rFonts w:ascii="宋体" w:hAnsi="宋体" w:cs="宋体" w:eastAsia="宋体" w:hint="default"/>
          <w:sz w:val="22"/>
          <w:szCs w:val="22"/>
        </w:rPr>
      </w:pPr>
    </w:p>
    <w:p>
      <w:pPr>
        <w:pStyle w:val="BodyText"/>
        <w:spacing w:line="316" w:lineRule="auto" w:before="44"/>
        <w:ind w:right="1130" w:firstLine="411"/>
        <w:jc w:val="both"/>
      </w:pPr>
      <w:r>
        <w:rPr/>
        <w:t>为规避汇率风险，公司主要采取以下措施：通过积极调整生产结构和产品结构，提高劳动生产率和产品附加值，争取 </w:t>
      </w:r>
      <w:r>
        <w:rPr>
          <w:spacing w:val="-2"/>
        </w:rPr>
        <w:t>更大的利润空间；加快资金回笼速度，及时结汇，加快资金的周转率；充分依靠公司的竞争优势，发挥议价能力，接单过程</w:t>
      </w:r>
      <w:r>
        <w:rPr>
          <w:spacing w:val="-68"/>
        </w:rPr>
        <w:t> </w:t>
      </w:r>
      <w:r>
        <w:rPr>
          <w:spacing w:val="-68"/>
        </w:rPr>
      </w:r>
      <w:r>
        <w:rPr/>
        <w:t>中全面考虑人民币的升值预期，在出口合同中附加相关条款，减少和转嫁部分汇率波动风险。</w:t>
      </w:r>
    </w:p>
    <w:p>
      <w:pPr>
        <w:pStyle w:val="BodyText"/>
        <w:spacing w:line="441" w:lineRule="auto" w:before="139"/>
        <w:ind w:left="525" w:right="1161"/>
        <w:jc w:val="left"/>
      </w:pPr>
      <w:r>
        <w:rPr/>
        <w:pict>
          <v:shape style="position:absolute;margin-left:56.699997pt;margin-top:44.021732pt;width:498.800003pt;height:61.5pt;mso-position-horizontal-relative:page;mso-position-vertical-relative:paragraph;z-index:-862936" type="#_x0000_t75" stroked="false">
            <v:imagedata r:id="rId43" o:title=""/>
          </v:shape>
        </w:pict>
      </w:r>
      <w:r>
        <w:rPr/>
        <w:t>外汇风险敏感性分析： 外汇风险敏感性分析假设：在其他变量不变的情况下，汇率可能发生的合理变动对当期损益和股东权益的影响如下：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BodyText"/>
        <w:spacing w:line="415" w:lineRule="auto"/>
        <w:ind w:left="525" w:right="3321"/>
        <w:jc w:val="left"/>
        <w:rPr>
          <w:rFonts w:ascii="宋体" w:hAnsi="宋体" w:cs="宋体" w:eastAsia="宋体" w:hint="default"/>
          <w:sz w:val="21"/>
          <w:szCs w:val="21"/>
        </w:rPr>
      </w:pPr>
      <w:r>
        <w:rPr>
          <w:rFonts w:ascii="Times New Roman" w:hAnsi="Times New Roman" w:cs="Times New Roman" w:eastAsia="Times New Roman" w:hint="default"/>
        </w:rPr>
        <w:t>2</w:t>
      </w:r>
      <w:r>
        <w:rPr/>
        <w:t>）利率风险 利率风险，是指金融工具的公允价值或未来现金流量因市场利率变动而发生波动的风险。 </w:t>
      </w:r>
      <w:r>
        <w:rPr>
          <w:rFonts w:ascii="宋体" w:hAnsi="宋体" w:cs="宋体" w:eastAsia="宋体" w:hint="default"/>
          <w:b/>
          <w:bCs/>
          <w:sz w:val="21"/>
          <w:szCs w:val="21"/>
        </w:rPr>
        <w:t>3</w:t>
      </w:r>
      <w:r>
        <w:rPr>
          <w:rFonts w:ascii="宋体" w:hAnsi="宋体" w:cs="宋体" w:eastAsia="宋体" w:hint="default"/>
          <w:b/>
          <w:bCs/>
          <w:sz w:val="21"/>
          <w:szCs w:val="21"/>
        </w:rPr>
        <w:t>、流动风险</w:t>
      </w:r>
      <w:r>
        <w:rPr>
          <w:rFonts w:ascii="宋体" w:hAnsi="宋体" w:cs="宋体" w:eastAsia="宋体" w:hint="default"/>
          <w:sz w:val="21"/>
          <w:szCs w:val="21"/>
        </w:rPr>
      </w:r>
    </w:p>
    <w:p>
      <w:pPr>
        <w:pStyle w:val="BodyText"/>
        <w:spacing w:line="316" w:lineRule="auto" w:before="29"/>
        <w:ind w:right="1133" w:firstLine="411"/>
        <w:jc w:val="both"/>
      </w:pPr>
      <w:r>
        <w:rPr/>
        <w:t>流动性风险，是指企业在履行以交付现金或其他金融资产的方式结算的义务时发生资金短缺的风险。本公司的政策是 </w:t>
      </w:r>
      <w:r>
        <w:rPr>
          <w:spacing w:val="-2"/>
        </w:rPr>
        <w:t>确保拥有充足的现金以偿还到期债务。流动性风险由本公司的财务部门集中控制。财务部门通过监控现金余额、可随时变现</w:t>
      </w:r>
      <w:r>
        <w:rPr>
          <w:spacing w:val="-66"/>
        </w:rPr>
        <w:t> </w:t>
      </w:r>
      <w:r>
        <w:rPr>
          <w:spacing w:val="-66"/>
        </w:rPr>
      </w:r>
      <w:r>
        <w:rPr/>
        <w:t>的有价证券等以确保公司在所有合理预测的情况下拥有充足的资金偿还债务。</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一、公允价值的披露" w:id="390"/>
      <w:bookmarkEnd w:id="390"/>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91"/>
      <w:bookmarkEnd w:id="39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0" w:right="140"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1" w:right="141"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0" w:right="0"/>
              <w:jc w:val="left"/>
              <w:rPr>
                <w:rFonts w:ascii="Times New Roman" w:hAnsi="Times New Roman" w:cs="Times New Roman" w:eastAsia="Times New Roman" w:hint="default"/>
                <w:sz w:val="18"/>
                <w:szCs w:val="18"/>
              </w:rPr>
            </w:pPr>
            <w:r>
              <w:rPr>
                <w:rFonts w:ascii="Times New Roman"/>
                <w:sz w:val="18"/>
              </w:rPr>
              <w:t>3,422,850.00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5" w:right="0"/>
              <w:jc w:val="left"/>
              <w:rPr>
                <w:rFonts w:ascii="Times New Roman" w:hAnsi="Times New Roman" w:cs="Times New Roman" w:eastAsia="Times New Roman" w:hint="default"/>
                <w:sz w:val="18"/>
                <w:szCs w:val="18"/>
              </w:rPr>
            </w:pPr>
            <w:r>
              <w:rPr>
                <w:rFonts w:ascii="Times New Roman"/>
                <w:sz w:val="18"/>
              </w:rPr>
              <w:t>3,422,850.00</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二、关联方及关联交易" w:id="392"/>
      <w:bookmarkEnd w:id="392"/>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本企业的母公司情况" w:id="393"/>
      <w:bookmarkEnd w:id="39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2、本企业的子公司情况" w:id="394"/>
      <w:bookmarkEnd w:id="39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本企业子公司的情况详见附注七</w:t>
      </w:r>
      <w:r>
        <w:rPr>
          <w:rFonts w:ascii="Times New Roman" w:hAnsi="Times New Roman" w:cs="Times New Roman" w:eastAsia="Times New Roman" w:hint="default"/>
        </w:rPr>
        <w:t>.1</w:t>
      </w:r>
      <w:r>
        <w:rPr/>
        <w:t>。</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本企业合营和联营企业情况" w:id="395"/>
      <w:bookmarkEnd w:id="39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本企业重要的合营或联营企业详见附注。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396"/>
      <w:bookmarkEnd w:id="39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于志芬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实际控制人家族</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397"/>
      <w:bookmarkEnd w:id="39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98"/>
      <w:bookmarkEnd w:id="398"/>
      <w:r>
        <w:rPr>
          <w:b w:val="0"/>
          <w:bCs w:val="0"/>
        </w:rPr>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关联受托管理/承包及委托管理/出包情况" w:id="399"/>
      <w:bookmarkEnd w:id="399"/>
      <w:r>
        <w:rPr>
          <w:b w:val="0"/>
          <w:bCs w:val="0"/>
        </w:rPr>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3）关联租赁情况" w:id="400"/>
      <w:bookmarkEnd w:id="400"/>
      <w:r>
        <w:rPr>
          <w:b w:val="0"/>
          <w:bCs w:val="0"/>
        </w:rPr>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关联担保情况" w:id="401"/>
      <w:bookmarkEnd w:id="401"/>
      <w:r>
        <w:rPr>
          <w:b w:val="0"/>
          <w:bCs w:val="0"/>
        </w:rPr>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大冶市劲鹏制盖有限 公司、孙世尧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7" w:right="0"/>
              <w:jc w:val="left"/>
              <w:rPr>
                <w:rFonts w:ascii="Times New Roman" w:hAnsi="Times New Roman" w:cs="Times New Roman" w:eastAsia="Times New Roman" w:hint="default"/>
                <w:sz w:val="18"/>
                <w:szCs w:val="18"/>
              </w:rPr>
            </w:pPr>
            <w:r>
              <w:rPr>
                <w:rFonts w:ascii="Times New Roman"/>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大冶市劲鹏制盖有限 公司、孙世尧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大冶市劲鹏制盖有限 公司、孙世尧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成都海川制盖有限公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大冶市劲鹏制盖有限 公司、孙世尧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重庆华宇园林有限公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汤于、重庆边城旅游 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重庆两江新区融资担 保有限公司、汤于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瀚华担保股份有限公 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瀚华担保股份有限公 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重庆市农业担保有限 公司、汤于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重庆市三峡担保集团 有限公司、汤于、汤 洪波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重庆两江新区融资担 保有限公司、汤于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重庆两江新区融资担 保有限公司、汤于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7" w:footer="1019" w:top="1100" w:bottom="12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重庆两江新区融资担 保有限公司、汤于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重庆市农业担保有限 </w:t>
            </w:r>
            <w:r>
              <w:rPr>
                <w:rFonts w:ascii="宋体" w:hAnsi="宋体" w:cs="宋体" w:eastAsia="宋体" w:hint="default"/>
                <w:spacing w:val="-2"/>
                <w:sz w:val="18"/>
                <w:szCs w:val="18"/>
              </w:rPr>
              <w:t>公司、汤于、汤洪波、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卫红丽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关联方资金拆借" w:id="402"/>
      <w:bookmarkEnd w:id="402"/>
      <w:r>
        <w:rPr>
          <w:b w:val="0"/>
          <w:bCs w:val="0"/>
        </w:rPr>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截至到期日全部归还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全部归还</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403"/>
      <w:bookmarkEnd w:id="403"/>
      <w:r>
        <w:rPr>
          <w:b w:val="0"/>
          <w:bCs w:val="0"/>
        </w:rPr>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关键管理人员报酬" w:id="404"/>
      <w:bookmarkEnd w:id="404"/>
      <w:r>
        <w:rPr>
          <w:b w:val="0"/>
          <w:bCs w:val="0"/>
        </w:rPr>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关健管理人员薪酬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3,131,074.00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2,839,732.00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股份支付" w:id="405"/>
      <w:bookmarkEnd w:id="405"/>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股份支付总体情况" w:id="406"/>
      <w:bookmarkEnd w:id="40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07"/>
      <w:bookmarkEnd w:id="40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08"/>
      <w:bookmarkEnd w:id="40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102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十四、承诺及或有事项" w:id="409"/>
      <w:bookmarkEnd w:id="409"/>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1、重要承诺事项" w:id="410"/>
      <w:bookmarkEnd w:id="41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资产负债表日存在的重要承诺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2、或有事项" w:id="411"/>
      <w:bookmarkEnd w:id="41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12"/>
      <w:bookmarkEnd w:id="412"/>
      <w:r>
        <w:rPr>
          <w:b w:val="0"/>
          <w:bCs w:val="0"/>
        </w:rPr>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413"/>
      <w:bookmarkEnd w:id="413"/>
      <w:r>
        <w:rPr>
          <w:b w:val="0"/>
          <w:bCs w:val="0"/>
        </w:rPr>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五、资产负债表日后事项" w:id="414"/>
      <w:bookmarkEnd w:id="414"/>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415"/>
      <w:bookmarkEnd w:id="415"/>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利润分配情况" w:id="416"/>
      <w:bookmarkEnd w:id="41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17,581,161.05</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17,581,161.05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其他重要事项" w:id="417"/>
      <w:bookmarkEnd w:id="417"/>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前期会计差错更正" w:id="418"/>
      <w:bookmarkEnd w:id="418"/>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2、债务重组" w:id="419"/>
      <w:bookmarkEnd w:id="41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3、资产置换" w:id="420"/>
      <w:bookmarkEnd w:id="42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21"/>
      <w:bookmarkEnd w:id="42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22"/>
      <w:bookmarkEnd w:id="42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分部信息" w:id="423"/>
      <w:bookmarkEnd w:id="42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24"/>
      <w:bookmarkEnd w:id="424"/>
      <w:r>
        <w:rPr>
          <w:b w:val="0"/>
          <w:bCs w:val="0"/>
        </w:rPr>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4" w:right="0"/>
        <w:jc w:val="left"/>
      </w:pPr>
      <w:r>
        <w:rPr/>
        <w:t>公司以内部组织结构、管理要求、内部报告制度等为依据确定了两个报告分部，分别是瓶盖包装及园林景观。各个报告</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357" w:lineRule="auto" w:before="44"/>
        <w:ind w:left="474" w:right="6252" w:hanging="360"/>
        <w:jc w:val="left"/>
      </w:pPr>
      <w:r>
        <w:rPr/>
        <w:t>分部分别提供不同的产品或服务。 公司的经营分部是指同时满足下列条件的组成部分：</w:t>
      </w:r>
    </w:p>
    <w:p>
      <w:pPr>
        <w:pStyle w:val="BodyText"/>
        <w:spacing w:line="240" w:lineRule="auto" w:before="29"/>
        <w:ind w:left="474" w:right="0"/>
        <w:jc w:val="left"/>
      </w:pPr>
      <w:r>
        <w:rPr/>
        <w:t>① 该组成部分能够在日常活动中产生收入、发生费用；</w:t>
      </w:r>
    </w:p>
    <w:p>
      <w:pPr>
        <w:pStyle w:val="BodyText"/>
        <w:spacing w:line="240" w:lineRule="auto" w:before="116"/>
        <w:ind w:left="474" w:right="0"/>
        <w:jc w:val="left"/>
      </w:pPr>
      <w:r>
        <w:rPr/>
        <w:t>② 管理层能够定期评价该组成部分的经营成果，以决定向其配置资源、评价其业绩；</w:t>
      </w:r>
    </w:p>
    <w:p>
      <w:pPr>
        <w:pStyle w:val="BodyText"/>
        <w:spacing w:line="357" w:lineRule="auto" w:before="116"/>
        <w:ind w:left="473" w:right="0"/>
        <w:jc w:val="left"/>
      </w:pPr>
      <w:r>
        <w:rPr/>
        <w:t>③ 能够通过分析取得该组成部分的财务状况、经营成果和现金流量等有关会计信息。 本公司以产品分部为基础确定报告分部，与各分部共同使用的资产、负债按照规模比例在不同的分部之间分配。 </w:t>
      </w:r>
      <w:r>
        <w:rPr>
          <w:spacing w:val="-2"/>
        </w:rPr>
        <w:t>本公司以地区分部为基础确定报告分部，主营业务收入、主营业务成本按最终实现销售地进行划分，资产和负债按经营</w:t>
      </w:r>
    </w:p>
    <w:p>
      <w:pPr>
        <w:pStyle w:val="BodyText"/>
        <w:spacing w:line="225" w:lineRule="exact"/>
        <w:ind w:left="113" w:right="0"/>
        <w:jc w:val="left"/>
      </w:pPr>
      <w:r>
        <w:rPr/>
        <w:t>实体所在地进行划分。</w:t>
      </w:r>
    </w:p>
    <w:p>
      <w:pPr>
        <w:spacing w:line="240" w:lineRule="auto" w:before="10"/>
        <w:rPr>
          <w:rFonts w:ascii="宋体" w:hAnsi="宋体" w:cs="宋体" w:eastAsia="宋体" w:hint="default"/>
          <w:sz w:val="26"/>
          <w:szCs w:val="26"/>
        </w:rPr>
      </w:pPr>
    </w:p>
    <w:p>
      <w:pPr>
        <w:pStyle w:val="Heading3"/>
        <w:spacing w:line="240" w:lineRule="auto"/>
        <w:ind w:left="113" w:right="0"/>
        <w:jc w:val="left"/>
        <w:rPr>
          <w:b w:val="0"/>
          <w:bCs w:val="0"/>
        </w:rPr>
      </w:pPr>
      <w:bookmarkStart w:name="2）报告分部的财务信息" w:id="425"/>
      <w:bookmarkEnd w:id="425"/>
      <w:r>
        <w:rPr>
          <w:b w:val="0"/>
          <w:bCs w:val="0"/>
        </w:rPr>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瓶盖包装</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园林景观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2,883,904,110.13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2,097,777,101.11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1,184,393,446.50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3,797,287,764.74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1,020,485,401.71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1,247,219,369.23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482,072,008.77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1,785,632,762.17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1,863,418,708.42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850,557,731.88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702,321,437.73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2,011,655,002.57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收入总额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576,563,036.34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780,927,703.05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1,357,490,739.39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-11,921,716.93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135,334,217.67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123,412,500.74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426"/>
      <w:bookmarkEnd w:id="426"/>
      <w:r>
        <w:rPr>
          <w:b w:val="0"/>
          <w:bCs w:val="0"/>
        </w:rPr>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4）其他说明" w:id="427"/>
      <w:bookmarkEnd w:id="427"/>
      <w:r>
        <w:rPr>
          <w:b w:val="0"/>
          <w:bCs w:val="0"/>
        </w:rPr>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 w:right="0"/>
        <w:jc w:val="left"/>
      </w:pPr>
      <w:r>
        <w:rPr>
          <w:rFonts w:ascii="Times New Roman" w:hAnsi="Times New Roman" w:cs="Times New Roman" w:eastAsia="Times New Roman" w:hint="default"/>
        </w:rPr>
        <w:t>(1)</w:t>
      </w:r>
      <w:r>
        <w:rPr/>
        <w:t>产品分部的财务信息：</w:t>
      </w:r>
    </w:p>
    <w:p>
      <w:pPr>
        <w:spacing w:line="240" w:lineRule="auto" w:before="2"/>
        <w:rPr>
          <w:rFonts w:ascii="宋体" w:hAnsi="宋体" w:cs="宋体" w:eastAsia="宋体" w:hint="default"/>
          <w:sz w:val="9"/>
          <w:szCs w:val="9"/>
        </w:rPr>
      </w:pPr>
    </w:p>
    <w:p>
      <w:pPr>
        <w:spacing w:line="3060" w:lineRule="exact"/>
        <w:ind w:left="114"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5981700" cy="1943100"/>
            <wp:effectExtent l="0" t="0" r="0" b="0"/>
            <wp:docPr id="51" name="image28.png" descr=""/>
            <wp:cNvGraphicFramePr>
              <a:graphicFrameLocks noChangeAspect="1"/>
            </wp:cNvGraphicFramePr>
            <a:graphic>
              <a:graphicData uri="http://schemas.openxmlformats.org/drawingml/2006/picture">
                <pic:pic>
                  <pic:nvPicPr>
                    <pic:cNvPr id="52" name="image28.png"/>
                    <pic:cNvPicPr/>
                  </pic:nvPicPr>
                  <pic:blipFill>
                    <a:blip r:embed="rId44" cstate="print"/>
                    <a:stretch>
                      <a:fillRect/>
                    </a:stretch>
                  </pic:blipFill>
                  <pic:spPr>
                    <a:xfrm>
                      <a:off x="0" y="0"/>
                      <a:ext cx="5981700" cy="1943100"/>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3"/>
        <w:ind w:left="113" w:right="0"/>
        <w:jc w:val="left"/>
      </w:pPr>
      <w:r>
        <w:rPr>
          <w:rFonts w:ascii="Times New Roman" w:hAnsi="Times New Roman" w:cs="Times New Roman" w:eastAsia="Times New Roman" w:hint="default"/>
        </w:rPr>
        <w:t>(2)</w:t>
      </w:r>
      <w:r>
        <w:rPr/>
        <w:t>地区分部的财务信息：</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p>
      <w:pPr>
        <w:spacing w:line="2625" w:lineRule="exact"/>
        <w:ind w:left="114"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5731866" cy="1666875"/>
            <wp:effectExtent l="0" t="0" r="0" b="0"/>
            <wp:docPr id="53" name="image29.png" descr=""/>
            <wp:cNvGraphicFramePr>
              <a:graphicFrameLocks noChangeAspect="1"/>
            </wp:cNvGraphicFramePr>
            <a:graphic>
              <a:graphicData uri="http://schemas.openxmlformats.org/drawingml/2006/picture">
                <pic:pic>
                  <pic:nvPicPr>
                    <pic:cNvPr id="54" name="image29.png"/>
                    <pic:cNvPicPr/>
                  </pic:nvPicPr>
                  <pic:blipFill>
                    <a:blip r:embed="rId45" cstate="print"/>
                    <a:stretch>
                      <a:fillRect/>
                    </a:stretch>
                  </pic:blipFill>
                  <pic:spPr>
                    <a:xfrm>
                      <a:off x="0" y="0"/>
                      <a:ext cx="5731866" cy="1666875"/>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8"/>
        <w:rPr>
          <w:rFonts w:ascii="宋体" w:hAnsi="宋体" w:cs="宋体" w:eastAsia="宋体" w:hint="default"/>
          <w:sz w:val="7"/>
          <w:szCs w:val="7"/>
        </w:rPr>
      </w:pPr>
    </w:p>
    <w:p>
      <w:pPr>
        <w:pStyle w:val="BodyText"/>
        <w:spacing w:line="240" w:lineRule="auto" w:before="44"/>
        <w:ind w:left="113" w:right="0"/>
        <w:jc w:val="left"/>
      </w:pPr>
      <w:r>
        <w:rPr>
          <w:rFonts w:ascii="Times New Roman" w:hAnsi="Times New Roman" w:cs="Times New Roman" w:eastAsia="Times New Roman" w:hint="default"/>
        </w:rPr>
        <w:t>(3)</w:t>
      </w:r>
      <w:r>
        <w:rPr/>
        <w:t>本期销售前五名情况如下：</w:t>
      </w:r>
    </w:p>
    <w:p>
      <w:pPr>
        <w:spacing w:line="240" w:lineRule="auto" w:before="7"/>
        <w:rPr>
          <w:rFonts w:ascii="宋体" w:hAnsi="宋体" w:cs="宋体" w:eastAsia="宋体" w:hint="default"/>
          <w:sz w:val="7"/>
          <w:szCs w:val="7"/>
        </w:rPr>
      </w:pPr>
    </w:p>
    <w:p>
      <w:pPr>
        <w:spacing w:line="1860" w:lineRule="exact"/>
        <w:ind w:left="114" w:right="0" w:firstLine="0"/>
        <w:rPr>
          <w:rFonts w:ascii="宋体" w:hAnsi="宋体" w:cs="宋体" w:eastAsia="宋体" w:hint="default"/>
          <w:sz w:val="20"/>
          <w:szCs w:val="20"/>
        </w:rPr>
      </w:pPr>
      <w:r>
        <w:rPr>
          <w:rFonts w:ascii="宋体" w:hAnsi="宋体" w:cs="宋体" w:eastAsia="宋体" w:hint="default"/>
          <w:position w:val="-36"/>
          <w:sz w:val="20"/>
          <w:szCs w:val="20"/>
        </w:rPr>
        <w:drawing>
          <wp:inline distT="0" distB="0" distL="0" distR="0">
            <wp:extent cx="5867400" cy="1181100"/>
            <wp:effectExtent l="0" t="0" r="0" b="0"/>
            <wp:docPr id="55" name="image30.png" descr=""/>
            <wp:cNvGraphicFramePr>
              <a:graphicFrameLocks noChangeAspect="1"/>
            </wp:cNvGraphicFramePr>
            <a:graphic>
              <a:graphicData uri="http://schemas.openxmlformats.org/drawingml/2006/picture">
                <pic:pic>
                  <pic:nvPicPr>
                    <pic:cNvPr id="56" name="image30.png"/>
                    <pic:cNvPicPr/>
                  </pic:nvPicPr>
                  <pic:blipFill>
                    <a:blip r:embed="rId46" cstate="print"/>
                    <a:stretch>
                      <a:fillRect/>
                    </a:stretch>
                  </pic:blipFill>
                  <pic:spPr>
                    <a:xfrm>
                      <a:off x="0" y="0"/>
                      <a:ext cx="5867400" cy="1181100"/>
                    </a:xfrm>
                    <a:prstGeom prst="rect">
                      <a:avLst/>
                    </a:prstGeom>
                  </pic:spPr>
                </pic:pic>
              </a:graphicData>
            </a:graphic>
          </wp:inline>
        </w:drawing>
      </w:r>
      <w:r>
        <w:rPr>
          <w:rFonts w:ascii="宋体" w:hAnsi="宋体" w:cs="宋体" w:eastAsia="宋体" w:hint="default"/>
          <w:position w:val="-36"/>
          <w:sz w:val="20"/>
          <w:szCs w:val="20"/>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8"/>
        <w:ind w:left="113" w:right="0"/>
        <w:jc w:val="left"/>
        <w:rPr>
          <w:b w:val="0"/>
          <w:bCs w:val="0"/>
        </w:rPr>
      </w:pPr>
      <w:bookmarkStart w:name="十七、母公司财务报表主要项目注释" w:id="428"/>
      <w:bookmarkEnd w:id="428"/>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 w:right="0"/>
        <w:jc w:val="left"/>
        <w:rPr>
          <w:b w:val="0"/>
          <w:bCs w:val="0"/>
        </w:rPr>
      </w:pPr>
      <w:bookmarkStart w:name="1、应收账款" w:id="429"/>
      <w:bookmarkEnd w:id="42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1）应收账款分类披露" w:id="430"/>
      <w:bookmarkEnd w:id="430"/>
      <w:r>
        <w:rPr>
          <w:b w:val="0"/>
          <w:bCs w:val="0"/>
        </w:rPr>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153,49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0,331.6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12,133,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353.78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141,35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6,977.8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173,1</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26,79</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6.76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11,532,</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283.28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161,594,</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513.48</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153,49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0,331.6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12,133,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353.78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141,35</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6,977.8</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173,1</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26,79</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6.76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11,532,</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283.28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161,594,</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513.48</w:t>
            </w:r>
          </w:p>
        </w:tc>
      </w:tr>
    </w:tbl>
    <w:p>
      <w:pPr>
        <w:pStyle w:val="BodyText"/>
        <w:spacing w:line="240" w:lineRule="auto" w:before="51"/>
        <w:ind w:right="0"/>
        <w:jc w:val="left"/>
      </w:pPr>
      <w:r>
        <w:rPr/>
        <w:t>期末单项金额重大并单项计提坏账准备的应收账款：</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075" w:space="475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132,665,736.83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6,633,286.84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132,665,736.83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6,633,286.84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10,794,425.66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1,079,442.57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1,295,839.29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259,167.86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6,226,614.28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1,867,984.28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428,486.76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214,243.38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2,079,228.85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2,079,228.85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153,490,331.67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12,133,353.78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 w:right="4633"/>
        <w:jc w:val="left"/>
      </w:pPr>
      <w:r>
        <w:rPr/>
        <w:t>确定该组合依据的说明： 本公司的应收款项以账龄为风险特征划分信用风险组合，确定计提比例如下：</w:t>
      </w:r>
    </w:p>
    <w:p>
      <w:pPr>
        <w:spacing w:line="240" w:lineRule="auto" w:before="9"/>
        <w:rPr>
          <w:rFonts w:ascii="宋体" w:hAnsi="宋体" w:cs="宋体" w:eastAsia="宋体" w:hint="default"/>
          <w:sz w:val="10"/>
          <w:szCs w:val="10"/>
        </w:rPr>
      </w:pPr>
    </w:p>
    <w:p>
      <w:pPr>
        <w:spacing w:line="1935" w:lineRule="exact"/>
        <w:ind w:left="114"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5893564" cy="1228725"/>
            <wp:effectExtent l="0" t="0" r="0" b="0"/>
            <wp:docPr id="57" name="image31.png" descr=""/>
            <wp:cNvGraphicFramePr>
              <a:graphicFrameLocks noChangeAspect="1"/>
            </wp:cNvGraphicFramePr>
            <a:graphic>
              <a:graphicData uri="http://schemas.openxmlformats.org/drawingml/2006/picture">
                <pic:pic>
                  <pic:nvPicPr>
                    <pic:cNvPr id="58" name="image31.png"/>
                    <pic:cNvPicPr/>
                  </pic:nvPicPr>
                  <pic:blipFill>
                    <a:blip r:embed="rId47" cstate="print"/>
                    <a:stretch>
                      <a:fillRect/>
                    </a:stretch>
                  </pic:blipFill>
                  <pic:spPr>
                    <a:xfrm>
                      <a:off x="0" y="0"/>
                      <a:ext cx="5893564" cy="1228725"/>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9"/>
          <w:szCs w:val="19"/>
        </w:rPr>
      </w:pPr>
    </w:p>
    <w:p>
      <w:pPr>
        <w:pStyle w:val="BodyText"/>
        <w:spacing w:line="240" w:lineRule="auto"/>
        <w:ind w:left="113" w:right="0"/>
        <w:jc w:val="left"/>
      </w:pPr>
      <w:r>
        <w:rPr/>
        <w:t>组合中，采用余额百分比法计提坏账准备的应收账款：</w:t>
      </w:r>
    </w:p>
    <w:p>
      <w:pPr>
        <w:pStyle w:val="BodyText"/>
        <w:spacing w:line="240" w:lineRule="auto" w:before="116"/>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431"/>
      <w:bookmarkEnd w:id="431"/>
      <w:r>
        <w:rPr>
          <w:b w:val="0"/>
          <w:bCs w:val="0"/>
        </w:rPr>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601,070.50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type w:val="continuous"/>
          <w:pgSz w:w="11910" w:h="16840"/>
          <w:pgMar w:top="1100" w:bottom="1200" w:left="1020" w:right="0"/>
        </w:sect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3）本期实际核销的应收账款情况" w:id="432"/>
      <w:bookmarkEnd w:id="432"/>
      <w:r>
        <w:rPr>
          <w:b w:val="0"/>
          <w:bCs w:val="0"/>
        </w:rPr>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本报告期无实际核销的应收账款。</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433"/>
      <w:bookmarkEnd w:id="433"/>
      <w:r>
        <w:rPr>
          <w:b w:val="0"/>
          <w:bCs w:val="0"/>
        </w:rPr>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p>
      <w:pPr>
        <w:spacing w:line="2025" w:lineRule="exact"/>
        <w:ind w:left="114" w:right="0" w:firstLine="0"/>
        <w:rPr>
          <w:rFonts w:ascii="宋体" w:hAnsi="宋体" w:cs="宋体" w:eastAsia="宋体" w:hint="default"/>
          <w:sz w:val="20"/>
          <w:szCs w:val="20"/>
        </w:rPr>
      </w:pPr>
      <w:r>
        <w:rPr>
          <w:rFonts w:ascii="宋体" w:hAnsi="宋体" w:cs="宋体" w:eastAsia="宋体" w:hint="default"/>
          <w:position w:val="-40"/>
          <w:sz w:val="20"/>
          <w:szCs w:val="20"/>
        </w:rPr>
        <w:drawing>
          <wp:inline distT="0" distB="0" distL="0" distR="0">
            <wp:extent cx="5972810" cy="1285875"/>
            <wp:effectExtent l="0" t="0" r="0" b="0"/>
            <wp:docPr id="59" name="image32.png" descr=""/>
            <wp:cNvGraphicFramePr>
              <a:graphicFrameLocks noChangeAspect="1"/>
            </wp:cNvGraphicFramePr>
            <a:graphic>
              <a:graphicData uri="http://schemas.openxmlformats.org/drawingml/2006/picture">
                <pic:pic>
                  <pic:nvPicPr>
                    <pic:cNvPr id="60" name="image32.png"/>
                    <pic:cNvPicPr/>
                  </pic:nvPicPr>
                  <pic:blipFill>
                    <a:blip r:embed="rId48" cstate="print"/>
                    <a:stretch>
                      <a:fillRect/>
                    </a:stretch>
                  </pic:blipFill>
                  <pic:spPr>
                    <a:xfrm>
                      <a:off x="0" y="0"/>
                      <a:ext cx="5972810" cy="1285875"/>
                    </a:xfrm>
                    <a:prstGeom prst="rect">
                      <a:avLst/>
                    </a:prstGeom>
                  </pic:spPr>
                </pic:pic>
              </a:graphicData>
            </a:graphic>
          </wp:inline>
        </w:drawing>
      </w:r>
      <w:r>
        <w:rPr>
          <w:rFonts w:ascii="宋体" w:hAnsi="宋体" w:cs="宋体" w:eastAsia="宋体" w:hint="default"/>
          <w:position w:val="-40"/>
          <w:sz w:val="20"/>
          <w:szCs w:val="20"/>
        </w:rPr>
      </w:r>
    </w:p>
    <w:p>
      <w:pPr>
        <w:spacing w:line="240" w:lineRule="auto" w:before="4"/>
        <w:rPr>
          <w:rFonts w:ascii="宋体" w:hAnsi="宋体" w:cs="宋体" w:eastAsia="宋体" w:hint="default"/>
          <w:b/>
          <w:bCs/>
          <w:sz w:val="25"/>
          <w:szCs w:val="25"/>
        </w:rPr>
      </w:pPr>
    </w:p>
    <w:p>
      <w:pPr>
        <w:pStyle w:val="Heading3"/>
        <w:spacing w:line="240" w:lineRule="auto" w:before="35"/>
        <w:ind w:left="113" w:right="0"/>
        <w:jc w:val="left"/>
        <w:rPr>
          <w:b w:val="0"/>
          <w:bCs w:val="0"/>
        </w:rPr>
      </w:pPr>
      <w:bookmarkStart w:name="（5）因金融资产转移而终止确认的应收账款" w:id="434"/>
      <w:bookmarkEnd w:id="43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转移应收账款且继续涉入形成的资产、负债金额" w:id="435"/>
      <w:bookmarkEnd w:id="43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072"/>
        <w:jc w:val="left"/>
      </w:pPr>
      <w:r>
        <w:rPr/>
        <w:t>其他说明： 报告期内公司无以应收款项为标的进行证券化的交易情况。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其他应收款" w:id="436"/>
      <w:bookmarkEnd w:id="43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437"/>
      <w:bookmarkEnd w:id="437"/>
      <w:r>
        <w:rPr>
          <w:b w:val="0"/>
          <w:bCs w:val="0"/>
        </w:rPr>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6,497,8</w:t>
            </w:r>
          </w:p>
          <w:p>
            <w:pPr>
              <w:pStyle w:val="TableParagraph"/>
              <w:spacing w:line="240" w:lineRule="auto" w:before="106"/>
              <w:ind w:left="143" w:right="0"/>
              <w:jc w:val="center"/>
              <w:rPr>
                <w:rFonts w:ascii="Times New Roman" w:hAnsi="Times New Roman" w:cs="Times New Roman" w:eastAsia="Times New Roman" w:hint="default"/>
                <w:sz w:val="18"/>
                <w:szCs w:val="18"/>
              </w:rPr>
            </w:pPr>
            <w:r>
              <w:rPr>
                <w:rFonts w:ascii="Times New Roman"/>
                <w:sz w:val="18"/>
              </w:rPr>
              <w:t>18.48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419,81</w:t>
            </w:r>
          </w:p>
          <w:p>
            <w:pPr>
              <w:pStyle w:val="TableParagraph"/>
              <w:spacing w:line="240" w:lineRule="auto" w:before="106"/>
              <w:ind w:left="229" w:right="0"/>
              <w:jc w:val="center"/>
              <w:rPr>
                <w:rFonts w:ascii="Times New Roman" w:hAnsi="Times New Roman" w:cs="Times New Roman" w:eastAsia="Times New Roman" w:hint="default"/>
                <w:sz w:val="18"/>
                <w:szCs w:val="18"/>
              </w:rPr>
            </w:pPr>
            <w:r>
              <w:rPr>
                <w:rFonts w:ascii="Times New Roman"/>
                <w:sz w:val="18"/>
              </w:rPr>
              <w:t>4.93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6,078,0</w:t>
            </w:r>
          </w:p>
          <w:p>
            <w:pPr>
              <w:pStyle w:val="TableParagraph"/>
              <w:spacing w:line="240" w:lineRule="auto" w:before="106"/>
              <w:ind w:left="167" w:right="0"/>
              <w:jc w:val="center"/>
              <w:rPr>
                <w:rFonts w:ascii="Times New Roman" w:hAnsi="Times New Roman" w:cs="Times New Roman" w:eastAsia="Times New Roman" w:hint="default"/>
                <w:sz w:val="18"/>
                <w:szCs w:val="18"/>
              </w:rPr>
            </w:pPr>
            <w:r>
              <w:rPr>
                <w:rFonts w:ascii="Times New Roman"/>
                <w:sz w:val="18"/>
              </w:rPr>
              <w:t>03.55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2,146</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,509.</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213,176</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1,933,33</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2.53</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6,497,8</w:t>
            </w:r>
          </w:p>
          <w:p>
            <w:pPr>
              <w:pStyle w:val="TableParagraph"/>
              <w:spacing w:line="240" w:lineRule="auto" w:before="106"/>
              <w:ind w:left="143" w:right="0"/>
              <w:jc w:val="center"/>
              <w:rPr>
                <w:rFonts w:ascii="Times New Roman" w:hAnsi="Times New Roman" w:cs="Times New Roman" w:eastAsia="Times New Roman" w:hint="default"/>
                <w:sz w:val="18"/>
                <w:szCs w:val="18"/>
              </w:rPr>
            </w:pPr>
            <w:r>
              <w:rPr>
                <w:rFonts w:ascii="Times New Roman"/>
                <w:sz w:val="18"/>
              </w:rPr>
              <w:t>18.48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419,81</w:t>
            </w:r>
          </w:p>
          <w:p>
            <w:pPr>
              <w:pStyle w:val="TableParagraph"/>
              <w:spacing w:line="240" w:lineRule="auto" w:before="106"/>
              <w:ind w:left="229" w:right="0"/>
              <w:jc w:val="center"/>
              <w:rPr>
                <w:rFonts w:ascii="Times New Roman" w:hAnsi="Times New Roman" w:cs="Times New Roman" w:eastAsia="Times New Roman" w:hint="default"/>
                <w:sz w:val="18"/>
                <w:szCs w:val="18"/>
              </w:rPr>
            </w:pPr>
            <w:r>
              <w:rPr>
                <w:rFonts w:ascii="Times New Roman"/>
                <w:sz w:val="18"/>
              </w:rPr>
              <w:t>4.93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6,078,0</w:t>
            </w:r>
          </w:p>
          <w:p>
            <w:pPr>
              <w:pStyle w:val="TableParagraph"/>
              <w:spacing w:line="240" w:lineRule="auto" w:before="106"/>
              <w:ind w:left="167" w:right="0"/>
              <w:jc w:val="center"/>
              <w:rPr>
                <w:rFonts w:ascii="Times New Roman" w:hAnsi="Times New Roman" w:cs="Times New Roman" w:eastAsia="Times New Roman" w:hint="default"/>
                <w:sz w:val="18"/>
                <w:szCs w:val="18"/>
              </w:rPr>
            </w:pPr>
            <w:r>
              <w:rPr>
                <w:rFonts w:ascii="Times New Roman"/>
                <w:sz w:val="18"/>
              </w:rPr>
              <w:t>03.55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2,146</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,509.</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213,176</w:t>
            </w:r>
          </w:p>
          <w:p>
            <w:pPr>
              <w:pStyle w:val="TableParagraph"/>
              <w:spacing w:line="240" w:lineRule="auto" w:before="106"/>
              <w:ind w:left="476" w:right="0"/>
              <w:jc w:val="left"/>
              <w:rPr>
                <w:rFonts w:ascii="Times New Roman" w:hAnsi="Times New Roman" w:cs="Times New Roman" w:eastAsia="Times New Roman" w:hint="default"/>
                <w:sz w:val="18"/>
                <w:szCs w:val="18"/>
              </w:rPr>
            </w:pPr>
            <w:r>
              <w:rPr>
                <w:rFonts w:ascii="Times New Roman"/>
                <w:sz w:val="18"/>
              </w:rPr>
              <w:t>.92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1,933,33</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2.53</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102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100" w:bottom="1200" w:left="1020" w:right="0"/>
          <w:cols w:num="2" w:equalWidth="0">
            <w:col w:w="4435" w:space="439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4"/>
        <w:gridCol w:w="7075"/>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5,910,199.21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295,509.96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5,910,199.21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295,509.96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37,800.00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50,642.88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10,128.58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35,400.00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40,976.39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40,976.39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6,497,818.48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419,814.93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 w:right="4633"/>
        <w:jc w:val="left"/>
      </w:pPr>
      <w:r>
        <w:rPr/>
        <w:t>确定该组合依据的说明： 本公司的应收款项以账龄为风险特征划分信用风险组合，确定计提比例如下：</w:t>
      </w:r>
    </w:p>
    <w:p>
      <w:pPr>
        <w:spacing w:line="240" w:lineRule="auto" w:before="6"/>
        <w:rPr>
          <w:rFonts w:ascii="宋体" w:hAnsi="宋体" w:cs="宋体" w:eastAsia="宋体" w:hint="default"/>
          <w:sz w:val="9"/>
          <w:szCs w:val="9"/>
        </w:rPr>
      </w:pPr>
    </w:p>
    <w:p>
      <w:pPr>
        <w:spacing w:line="1965" w:lineRule="exact"/>
        <w:ind w:left="114"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6019800" cy="1247775"/>
            <wp:effectExtent l="0" t="0" r="0" b="0"/>
            <wp:docPr id="61" name="image33.png" descr=""/>
            <wp:cNvGraphicFramePr>
              <a:graphicFrameLocks noChangeAspect="1"/>
            </wp:cNvGraphicFramePr>
            <a:graphic>
              <a:graphicData uri="http://schemas.openxmlformats.org/drawingml/2006/picture">
                <pic:pic>
                  <pic:nvPicPr>
                    <pic:cNvPr id="62" name="image33.png"/>
                    <pic:cNvPicPr/>
                  </pic:nvPicPr>
                  <pic:blipFill>
                    <a:blip r:embed="rId49" cstate="print"/>
                    <a:stretch>
                      <a:fillRect/>
                    </a:stretch>
                  </pic:blipFill>
                  <pic:spPr>
                    <a:xfrm>
                      <a:off x="0" y="0"/>
                      <a:ext cx="6019800" cy="1247775"/>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BodyText"/>
        <w:spacing w:line="240" w:lineRule="auto"/>
        <w:ind w:left="113" w:right="0"/>
        <w:jc w:val="left"/>
      </w:pPr>
      <w:r>
        <w:rPr/>
        <w:t>组合中，采用余额百分比法计提坏账准备的其他应收款：</w:t>
      </w:r>
    </w:p>
    <w:p>
      <w:pPr>
        <w:pStyle w:val="BodyText"/>
        <w:spacing w:line="357" w:lineRule="auto" w:before="117"/>
        <w:ind w:right="6612"/>
        <w:jc w:val="left"/>
      </w:pPr>
      <w:r>
        <w:rPr/>
        <w:t>□ 适用 √ 不适用 组合中，采用其他方法计提坏账准备的其他应收款：</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438"/>
      <w:bookmarkEnd w:id="438"/>
      <w:r>
        <w:rPr>
          <w:b w:val="0"/>
          <w:bCs w:val="0"/>
        </w:rPr>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206,638.01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Heading3"/>
        <w:spacing w:line="240" w:lineRule="auto" w:before="77"/>
        <w:ind w:left="113" w:right="0"/>
        <w:jc w:val="left"/>
        <w:rPr>
          <w:b w:val="0"/>
          <w:bCs w:val="0"/>
        </w:rPr>
      </w:pP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left="113" w:right="0"/>
        <w:jc w:val="left"/>
        <w:rPr>
          <w:b w:val="0"/>
          <w:bCs w:val="0"/>
        </w:rPr>
      </w:pPr>
      <w:bookmarkStart w:name="4）其他应收款按款项性质分类情况" w:id="439"/>
      <w:bookmarkEnd w:id="439"/>
      <w:r>
        <w:rPr>
          <w:b w:val="0"/>
          <w:bCs w:val="0"/>
        </w:rPr>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273,527.73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750,494.94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5,903,000.00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1,148,000.00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74,302.04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261,290.75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173,712.47</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6,497,818.48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2,146,509.45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5）按欠款方归集的期末余额前五名的其他应收款情况" w:id="440"/>
      <w:bookmarkEnd w:id="440"/>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远东宏信（天津） 融资租赁有限公司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76.95%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安徽双轮酒业有限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273,527.73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13,676.39</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北京红星股份有限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both"/>
              <w:rPr>
                <w:rFonts w:ascii="宋体" w:hAnsi="宋体" w:cs="宋体" w:eastAsia="宋体" w:hint="default"/>
                <w:sz w:val="18"/>
                <w:szCs w:val="18"/>
              </w:rPr>
            </w:pPr>
            <w:r>
              <w:rPr>
                <w:rFonts w:ascii="宋体" w:hAnsi="宋体" w:cs="宋体" w:eastAsia="宋体" w:hint="default"/>
                <w:sz w:val="18"/>
                <w:szCs w:val="18"/>
              </w:rPr>
              <w:t>河北衡水老白干酒 业股份有限公司酿 酒分公司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6,063,527.73</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93.32%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303,176.39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441"/>
      <w:bookmarkEnd w:id="441"/>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7）因金融资产转移而终止确认的其他应收款" w:id="442"/>
      <w:bookmarkEnd w:id="442"/>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443"/>
      <w:bookmarkEnd w:id="443"/>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240" w:lineRule="auto" w:before="116"/>
        <w:ind w:right="0"/>
        <w:jc w:val="left"/>
      </w:pPr>
      <w:r>
        <w:rPr/>
        <w:t>（</w:t>
      </w:r>
      <w:r>
        <w:rPr>
          <w:rFonts w:ascii="Times New Roman" w:hAnsi="Times New Roman" w:cs="Times New Roman" w:eastAsia="Times New Roman" w:hint="default"/>
        </w:rPr>
        <w:t>1</w:t>
      </w:r>
      <w:r>
        <w:rPr/>
        <w:t>）期末无单项金额重大或虽不重大但单独进行减值测试的其他应收款。</w:t>
      </w:r>
    </w:p>
    <w:p>
      <w:pPr>
        <w:pStyle w:val="BodyText"/>
        <w:spacing w:line="240" w:lineRule="auto" w:before="103"/>
        <w:ind w:left="113" w:right="0"/>
        <w:jc w:val="left"/>
      </w:pPr>
      <w:r>
        <w:rPr/>
        <w:t>（</w:t>
      </w:r>
      <w:r>
        <w:rPr>
          <w:rFonts w:ascii="Times New Roman" w:hAnsi="Times New Roman" w:cs="Times New Roman" w:eastAsia="Times New Roman" w:hint="default"/>
        </w:rPr>
        <w:t>2</w:t>
      </w:r>
      <w:r>
        <w:rPr/>
        <w:t>）报告期内公司无终止确认的其他应收款的情况。</w:t>
      </w:r>
    </w:p>
    <w:p>
      <w:pPr>
        <w:pStyle w:val="BodyText"/>
        <w:spacing w:line="240" w:lineRule="auto" w:before="102"/>
        <w:ind w:right="0"/>
        <w:jc w:val="left"/>
      </w:pPr>
      <w:r>
        <w:rPr/>
        <w:t>（</w:t>
      </w:r>
      <w:r>
        <w:rPr>
          <w:rFonts w:ascii="Times New Roman" w:hAnsi="Times New Roman" w:cs="Times New Roman" w:eastAsia="Times New Roman" w:hint="default"/>
        </w:rPr>
        <w:t>3</w:t>
      </w:r>
      <w:r>
        <w:rPr/>
        <w:t>）报告期内公司无以其他应收款进行证券化的交易情况。</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长期股权投资" w:id="444"/>
      <w:bookmarkEnd w:id="44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1,291,626,976.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1,291,626,976.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1,307,466,022.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1,307,466,022.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55</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1,291,626,976.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1,291,626,976.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1,307,466,022.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1,307,466,022.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1020" w:right="0"/>
        </w:sectPr>
      </w:pPr>
    </w:p>
    <w:p>
      <w:pPr>
        <w:spacing w:line="240" w:lineRule="auto" w:before="10"/>
        <w:rPr>
          <w:rFonts w:ascii="宋体" w:hAnsi="宋体" w:cs="宋体" w:eastAsia="宋体" w:hint="default"/>
          <w:sz w:val="21"/>
          <w:szCs w:val="21"/>
        </w:rPr>
      </w:pPr>
    </w:p>
    <w:p>
      <w:pPr>
        <w:pStyle w:val="Heading3"/>
        <w:spacing w:line="240" w:lineRule="auto" w:before="35"/>
        <w:ind w:right="0"/>
        <w:jc w:val="left"/>
        <w:rPr>
          <w:b w:val="0"/>
          <w:bCs w:val="0"/>
        </w:rPr>
      </w:pPr>
      <w:bookmarkStart w:name="1）对子公司投资" w:id="445"/>
      <w:bookmarkEnd w:id="445"/>
      <w:r>
        <w:rPr>
          <w:b w:val="0"/>
          <w:bCs w:val="0"/>
        </w:rPr>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成都海川制盖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29,886,223.64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29,886,223.64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烟台和俊制盖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15,332,945.99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15,332,945.99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both"/>
              <w:rPr>
                <w:rFonts w:ascii="宋体" w:hAnsi="宋体" w:cs="宋体" w:eastAsia="宋体" w:hint="default"/>
                <w:sz w:val="18"/>
                <w:szCs w:val="18"/>
              </w:rPr>
            </w:pPr>
            <w:r>
              <w:rPr>
                <w:rFonts w:ascii="宋体" w:hAnsi="宋体" w:cs="宋体" w:eastAsia="宋体" w:hint="default"/>
                <w:sz w:val="18"/>
                <w:szCs w:val="18"/>
              </w:rPr>
              <w:t>北京鹏和祥包 装制品有限公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1,758,434.60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1,758,434.60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大冶劲鹏制盖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40,528,418.32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40,528,418.32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新疆军鹏制盖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6,493,900.00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11,293,900.00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亳州丽鹏制盖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136,560,000.0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136,560,000.0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四川泸州丽鹏 制盖有限公司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山东丽鹏国际 贸易有限公司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烟台丽鹏包装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重庆华宇园林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998,600,000.0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998,600,000.0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2"/>
              <w:jc w:val="left"/>
              <w:rPr>
                <w:rFonts w:ascii="宋体" w:hAnsi="宋体" w:cs="宋体" w:eastAsia="宋体" w:hint="default"/>
                <w:sz w:val="18"/>
                <w:szCs w:val="18"/>
              </w:rPr>
            </w:pPr>
            <w:r>
              <w:rPr>
                <w:rFonts w:ascii="宋体" w:hAnsi="宋体" w:cs="宋体" w:eastAsia="宋体" w:hint="default"/>
                <w:sz w:val="18"/>
                <w:szCs w:val="18"/>
              </w:rPr>
              <w:t>深圳在乎传媒 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1,307,466,022.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9,493,900.00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25,332,945.99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1,291,626,976.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46"/>
      <w:bookmarkEnd w:id="446"/>
      <w:r>
        <w:rPr>
          <w:b w:val="0"/>
          <w:bCs w:val="0"/>
        </w:rPr>
      </w:r>
      <w:r>
        <w:rPr>
          <w:rFonts w:ascii="Times New Roman" w:hAnsi="Times New Roman" w:cs="Times New Roman" w:eastAsia="Times New Roman" w:hint="default"/>
        </w:rPr>
        <w:t>2</w:t>
      </w:r>
      <w:r>
        <w:rPr/>
        <w:t>）对联营、合营企业投资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其他说明" w:id="447"/>
      <w:bookmarkEnd w:id="447"/>
      <w:r>
        <w:rPr>
          <w:b w:val="0"/>
          <w:bCs w:val="0"/>
        </w:rPr>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报告期长期股权投资未发生减值情况，故未计提减值准备。</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营业收入和营业成本" w:id="448"/>
      <w:bookmarkEnd w:id="44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330,140,208.35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300,697,425.85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424,209,530.45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351,413,297.08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19,192,969.00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18,723,094.78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28,744,062.44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25,654,917.52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349,333,177.35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319,420,520.63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452,953,592.89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377,068,214.60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449"/>
      <w:bookmarkEnd w:id="44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19,161,017.16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5,610,293.35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10,470,562.93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 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30,668.77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127,053.44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31,162,248.86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5,737,346.79</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八、补充资料" w:id="450"/>
      <w:bookmarkEnd w:id="450"/>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 w:right="0"/>
        <w:jc w:val="left"/>
        <w:rPr>
          <w:b w:val="0"/>
          <w:bCs w:val="0"/>
        </w:rPr>
      </w:pPr>
      <w:bookmarkStart w:name="1、当期非经常性损益明细表" w:id="451"/>
      <w:bookmarkEnd w:id="45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 w:right="0"/>
        <w:jc w:val="left"/>
      </w:pPr>
      <w:r>
        <w:rPr/>
        <w:t>√ 适用 □ 不适用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-204,803.75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4,504,976.85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7,197,951.53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320,792.29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1,853,491.46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480,120.07</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1" w:right="0"/>
              <w:jc w:val="left"/>
              <w:rPr>
                <w:rFonts w:ascii="Times New Roman" w:hAnsi="Times New Roman" w:cs="Times New Roman" w:eastAsia="Times New Roman" w:hint="default"/>
                <w:sz w:val="18"/>
                <w:szCs w:val="18"/>
              </w:rPr>
            </w:pPr>
            <w:r>
              <w:rPr>
                <w:rFonts w:ascii="Times New Roman"/>
                <w:sz w:val="18"/>
              </w:rPr>
              <w:t>9,485,305.39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2" w:lineRule="auto" w:before="63"/>
        <w:ind w:left="113" w:right="1120"/>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69"/>
        <w:ind w:left="11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452"/>
      <w:bookmarkEnd w:id="45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0.37</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53"/>
      <w:bookmarkEnd w:id="45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54"/>
      <w:bookmarkEnd w:id="454"/>
      <w:r>
        <w:rPr>
          <w:b w:val="0"/>
          <w:bCs w:val="0"/>
        </w:rPr>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455"/>
      <w:bookmarkEnd w:id="455"/>
      <w:r>
        <w:rPr>
          <w:b w:val="0"/>
          <w:bCs w:val="0"/>
        </w:rPr>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 w:id="456"/>
      <w:bookmarkEnd w:id="456"/>
      <w:r>
        <w:rPr>
          <w:b w:val="0"/>
          <w:bCs w:val="0"/>
        </w:rPr>
      </w:r>
      <w:r>
        <w:rPr>
          <w:rFonts w:ascii="Times New Roman" w:hAnsi="Times New Roman" w:cs="Times New Roman" w:eastAsia="Times New Roman" w:hint="default"/>
        </w:rPr>
        <w:t>4</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4" w:right="0"/>
        <w:jc w:val="left"/>
      </w:pPr>
      <w:r>
        <w:rPr>
          <w:rFonts w:ascii="Times New Roman" w:hAnsi="Times New Roman" w:cs="Times New Roman" w:eastAsia="Times New Roman" w:hint="default"/>
        </w:rPr>
        <w:t>1</w:t>
      </w:r>
      <w:r>
        <w:rPr/>
        <w:t>）货币资金：</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年期末金额较</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年期末金额增加</w:t>
      </w:r>
      <w:r>
        <w:rPr>
          <w:spacing w:val="-46"/>
        </w:rPr>
        <w:t> </w:t>
      </w:r>
      <w:r>
        <w:rPr>
          <w:rFonts w:ascii="Times New Roman" w:hAnsi="Times New Roman" w:cs="Times New Roman" w:eastAsia="Times New Roman" w:hint="default"/>
        </w:rPr>
        <w:t>47.87%</w:t>
      </w:r>
      <w:r>
        <w:rPr/>
        <w:t>，主要原因是本期短期借款融资增加较多所致。</w:t>
      </w:r>
    </w:p>
    <w:p>
      <w:pPr>
        <w:pStyle w:val="BodyText"/>
        <w:spacing w:line="240" w:lineRule="auto" w:before="102"/>
        <w:ind w:left="474" w:right="0"/>
        <w:jc w:val="left"/>
      </w:pPr>
      <w:r>
        <w:rPr>
          <w:rFonts w:ascii="Times New Roman" w:hAnsi="Times New Roman" w:cs="Times New Roman" w:eastAsia="Times New Roman" w:hint="default"/>
        </w:rPr>
        <w:t>2</w:t>
      </w:r>
      <w:r>
        <w:rPr/>
        <w:t>）预付款项：</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年期末金额较</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年期末金额增加</w:t>
      </w:r>
      <w:r>
        <w:rPr>
          <w:spacing w:val="-46"/>
        </w:rPr>
        <w:t> </w:t>
      </w:r>
      <w:r>
        <w:rPr>
          <w:rFonts w:ascii="Times New Roman" w:hAnsi="Times New Roman" w:cs="Times New Roman" w:eastAsia="Times New Roman" w:hint="default"/>
        </w:rPr>
        <w:t>40.58%</w:t>
      </w:r>
      <w:r>
        <w:rPr/>
        <w:t>，主要原因是本期预付材料采购款较多所致。</w:t>
      </w:r>
    </w:p>
    <w:p>
      <w:pPr>
        <w:pStyle w:val="BodyText"/>
        <w:spacing w:line="240" w:lineRule="auto" w:before="102"/>
        <w:ind w:left="474" w:right="0"/>
        <w:jc w:val="left"/>
      </w:pPr>
      <w:r>
        <w:rPr>
          <w:rFonts w:ascii="Times New Roman" w:hAnsi="Times New Roman" w:cs="Times New Roman" w:eastAsia="Times New Roman" w:hint="default"/>
        </w:rPr>
        <w:t>3</w:t>
      </w:r>
      <w:r>
        <w:rPr/>
        <w:t>）其他应收款：</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年期末金额较</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年期末金额增加</w:t>
      </w:r>
      <w:r>
        <w:rPr>
          <w:spacing w:val="-47"/>
        </w:rPr>
        <w:t> </w:t>
      </w:r>
      <w:r>
        <w:rPr>
          <w:rFonts w:ascii="Times New Roman" w:hAnsi="Times New Roman" w:cs="Times New Roman" w:eastAsia="Times New Roman" w:hint="default"/>
        </w:rPr>
        <w:t>133.29%</w:t>
      </w:r>
      <w:r>
        <w:rPr/>
        <w:t>，主要原因是支付履约保证金较多所致。</w:t>
      </w:r>
    </w:p>
    <w:p>
      <w:pPr>
        <w:pStyle w:val="BodyText"/>
        <w:spacing w:line="302" w:lineRule="auto" w:before="102"/>
        <w:ind w:left="113" w:right="1124" w:firstLine="360"/>
        <w:jc w:val="left"/>
      </w:pPr>
      <w:r>
        <w:rPr>
          <w:rFonts w:ascii="Times New Roman" w:hAnsi="Times New Roman" w:cs="Times New Roman" w:eastAsia="Times New Roman" w:hint="default"/>
        </w:rPr>
        <w:t>4</w:t>
      </w:r>
      <w:r>
        <w:rPr/>
        <w:t>）一年内到期的非流动资产：</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年期末金额较</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年期末金额减少</w:t>
      </w:r>
      <w:r>
        <w:rPr>
          <w:spacing w:val="-49"/>
        </w:rPr>
        <w:t> </w:t>
      </w:r>
      <w:r>
        <w:rPr>
          <w:rFonts w:ascii="Times New Roman" w:hAnsi="Times New Roman" w:cs="Times New Roman" w:eastAsia="Times New Roman" w:hint="default"/>
        </w:rPr>
        <w:t>82.96%</w:t>
      </w:r>
      <w:r>
        <w:rPr/>
        <w:t>，主要原因是下年度摊销的长期待摊费 用减少所致。</w:t>
      </w:r>
    </w:p>
    <w:p>
      <w:pPr>
        <w:pStyle w:val="BodyText"/>
        <w:spacing w:line="240" w:lineRule="auto" w:before="69"/>
        <w:ind w:left="473" w:right="0"/>
        <w:jc w:val="left"/>
      </w:pPr>
      <w:r>
        <w:rPr>
          <w:rFonts w:ascii="Times New Roman" w:hAnsi="Times New Roman" w:cs="Times New Roman" w:eastAsia="Times New Roman" w:hint="default"/>
        </w:rPr>
        <w:t>5</w:t>
      </w:r>
      <w:r>
        <w:rPr/>
        <w:t>）其他流动资产：</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年期末金额较</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年期末金额减少</w:t>
      </w:r>
      <w:r>
        <w:rPr>
          <w:spacing w:val="-46"/>
        </w:rPr>
        <w:t> </w:t>
      </w:r>
      <w:r>
        <w:rPr>
          <w:rFonts w:ascii="Times New Roman" w:hAnsi="Times New Roman" w:cs="Times New Roman" w:eastAsia="Times New Roman" w:hint="default"/>
        </w:rPr>
        <w:t>69.78%</w:t>
      </w:r>
      <w:r>
        <w:rPr/>
        <w:t>，主要原因是期末待抵扣增值税减少所致。</w:t>
      </w:r>
    </w:p>
    <w:p>
      <w:pPr>
        <w:pStyle w:val="BodyText"/>
        <w:spacing w:line="302" w:lineRule="auto" w:before="101"/>
        <w:ind w:right="1123" w:firstLine="360"/>
        <w:jc w:val="left"/>
      </w:pPr>
      <w:r>
        <w:rPr>
          <w:rFonts w:ascii="Times New Roman" w:hAnsi="Times New Roman" w:cs="Times New Roman" w:eastAsia="Times New Roman" w:hint="default"/>
          <w:spacing w:val="-3"/>
        </w:rPr>
        <w:t>6</w:t>
      </w:r>
      <w:r>
        <w:rPr>
          <w:spacing w:val="-3"/>
        </w:rPr>
        <w:t>）长期应收款：</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5"/>
        </w:rPr>
        <w:t> </w:t>
      </w:r>
      <w:r>
        <w:rPr/>
        <w:t>年期末金额较</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年期末金额增加</w:t>
      </w:r>
      <w:r>
        <w:rPr>
          <w:spacing w:val="-50"/>
        </w:rPr>
        <w:t> </w:t>
      </w:r>
      <w:r>
        <w:rPr>
          <w:rFonts w:ascii="Times New Roman" w:hAnsi="Times New Roman" w:cs="Times New Roman" w:eastAsia="Times New Roman" w:hint="default"/>
        </w:rPr>
        <w:t>218.95%</w:t>
      </w:r>
      <w:r>
        <w:rPr/>
        <w:t>，主要原因是</w:t>
      </w:r>
      <w:r>
        <w:rPr>
          <w:spacing w:val="-50"/>
        </w:rPr>
        <w:t> </w:t>
      </w:r>
      <w:r>
        <w:rPr>
          <w:rFonts w:ascii="Times New Roman" w:hAnsi="Times New Roman" w:cs="Times New Roman" w:eastAsia="Times New Roman" w:hint="default"/>
        </w:rPr>
        <w:t>BT</w:t>
      </w:r>
      <w:r>
        <w:rPr>
          <w:rFonts w:ascii="Times New Roman" w:hAnsi="Times New Roman" w:cs="Times New Roman" w:eastAsia="Times New Roman" w:hint="default"/>
          <w:spacing w:val="-5"/>
        </w:rPr>
        <w:t> </w:t>
      </w:r>
      <w:r>
        <w:rPr/>
        <w:t>项目增加，工程结算款增加较多所 致。</w:t>
      </w:r>
    </w:p>
    <w:p>
      <w:pPr>
        <w:pStyle w:val="BodyText"/>
        <w:spacing w:line="240" w:lineRule="auto" w:before="70"/>
        <w:ind w:left="474" w:right="0"/>
        <w:jc w:val="left"/>
      </w:pPr>
      <w:r>
        <w:rPr>
          <w:rFonts w:ascii="Times New Roman" w:hAnsi="Times New Roman" w:cs="Times New Roman" w:eastAsia="Times New Roman" w:hint="default"/>
        </w:rPr>
        <w:t>7</w:t>
      </w:r>
      <w:r>
        <w:rPr/>
        <w:t>）投资性房地产：</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年期末金额较</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年期末金额增加较多，主要原因是房屋建筑物对外出租所致。</w:t>
      </w:r>
    </w:p>
    <w:p>
      <w:pPr>
        <w:pStyle w:val="BodyText"/>
        <w:spacing w:line="240" w:lineRule="auto" w:before="102"/>
        <w:ind w:left="474" w:right="0"/>
        <w:jc w:val="left"/>
      </w:pPr>
      <w:r>
        <w:rPr>
          <w:rFonts w:ascii="Times New Roman" w:hAnsi="Times New Roman" w:cs="Times New Roman" w:eastAsia="Times New Roman" w:hint="default"/>
        </w:rPr>
        <w:t>8</w:t>
      </w:r>
      <w:r>
        <w:rPr/>
        <w:t>）在建工程：</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年期末金额较</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年期末金额减少</w:t>
      </w:r>
      <w:r>
        <w:rPr>
          <w:spacing w:val="-46"/>
        </w:rPr>
        <w:t> </w:t>
      </w:r>
      <w:r>
        <w:rPr>
          <w:rFonts w:ascii="Times New Roman" w:hAnsi="Times New Roman" w:cs="Times New Roman" w:eastAsia="Times New Roman" w:hint="default"/>
        </w:rPr>
        <w:t>58.52%</w:t>
      </w:r>
      <w:r>
        <w:rPr/>
        <w:t>，主要原因是在建工程完工转资所致。</w:t>
      </w:r>
    </w:p>
    <w:p>
      <w:pPr>
        <w:pStyle w:val="BodyText"/>
        <w:spacing w:line="240" w:lineRule="auto" w:before="102"/>
        <w:ind w:left="474" w:right="0"/>
        <w:jc w:val="left"/>
      </w:pPr>
      <w:r>
        <w:rPr>
          <w:rFonts w:ascii="Times New Roman" w:hAnsi="Times New Roman" w:cs="Times New Roman" w:eastAsia="Times New Roman" w:hint="default"/>
        </w:rPr>
        <w:t>9</w:t>
      </w:r>
      <w:r>
        <w:rPr/>
        <w:t>）无形资产：</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年期末金额较</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年期末金额增加</w:t>
      </w:r>
      <w:r>
        <w:rPr>
          <w:spacing w:val="-47"/>
        </w:rPr>
        <w:t> </w:t>
      </w:r>
      <w:r>
        <w:rPr>
          <w:rFonts w:ascii="Times New Roman" w:hAnsi="Times New Roman" w:cs="Times New Roman" w:eastAsia="Times New Roman" w:hint="default"/>
        </w:rPr>
        <w:t>209.09%</w:t>
      </w:r>
      <w:r>
        <w:rPr/>
        <w:t>，主要原因是苗木生态园转入无形资产所致。</w:t>
      </w:r>
    </w:p>
    <w:p>
      <w:pPr>
        <w:pStyle w:val="BodyText"/>
        <w:spacing w:line="240" w:lineRule="auto" w:before="104"/>
        <w:ind w:left="474" w:right="0"/>
        <w:jc w:val="left"/>
      </w:pPr>
      <w:r>
        <w:rPr>
          <w:rFonts w:ascii="Times New Roman" w:hAnsi="Times New Roman" w:cs="Times New Roman" w:eastAsia="Times New Roman" w:hint="default"/>
          <w:spacing w:val="-5"/>
        </w:rPr>
        <w:t>10</w:t>
      </w:r>
      <w:r>
        <w:rPr>
          <w:spacing w:val="-5"/>
        </w:rPr>
        <w:t>）递延所得税资产：</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7"/>
        </w:rPr>
        <w:t> </w:t>
      </w:r>
      <w:r>
        <w:rPr/>
        <w:t>年期末金额较</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年期末金额增加</w:t>
      </w:r>
      <w:r>
        <w:rPr>
          <w:spacing w:val="-52"/>
        </w:rPr>
        <w:t> </w:t>
      </w:r>
      <w:r>
        <w:rPr>
          <w:rFonts w:ascii="Times New Roman" w:hAnsi="Times New Roman" w:cs="Times New Roman" w:eastAsia="Times New Roman" w:hint="default"/>
        </w:rPr>
        <w:t>127.54%</w:t>
      </w:r>
      <w:r>
        <w:rPr/>
        <w:t>，主要原因是亏损产生的可抵扣差异较多所致。</w:t>
      </w:r>
    </w:p>
    <w:p>
      <w:pPr>
        <w:pStyle w:val="BodyText"/>
        <w:spacing w:line="240" w:lineRule="auto" w:before="102"/>
        <w:ind w:left="474" w:right="0"/>
        <w:jc w:val="left"/>
      </w:pPr>
      <w:r>
        <w:rPr>
          <w:rFonts w:ascii="Times New Roman" w:hAnsi="Times New Roman" w:cs="Times New Roman" w:eastAsia="Times New Roman" w:hint="default"/>
        </w:rPr>
        <w:t>11</w:t>
      </w:r>
      <w:r>
        <w:rPr/>
        <w:t>）短期借款：</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年期末金额较</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年期末金额增加</w:t>
      </w:r>
      <w:r>
        <w:rPr>
          <w:spacing w:val="-49"/>
        </w:rPr>
        <w:t> </w:t>
      </w:r>
      <w:r>
        <w:rPr>
          <w:rFonts w:ascii="Times New Roman" w:hAnsi="Times New Roman" w:cs="Times New Roman" w:eastAsia="Times New Roman" w:hint="default"/>
        </w:rPr>
        <w:t>101.09%</w:t>
      </w:r>
      <w:r>
        <w:rPr/>
        <w:t>，主要原因是短期借款融资增加较多所致。</w:t>
      </w:r>
    </w:p>
    <w:p>
      <w:pPr>
        <w:pStyle w:val="BodyText"/>
        <w:spacing w:line="240" w:lineRule="auto" w:before="102"/>
        <w:ind w:left="474" w:right="0"/>
        <w:jc w:val="left"/>
      </w:pPr>
      <w:r>
        <w:rPr>
          <w:rFonts w:ascii="Times New Roman" w:hAnsi="Times New Roman" w:cs="Times New Roman" w:eastAsia="Times New Roman" w:hint="default"/>
        </w:rPr>
        <w:t>12</w:t>
      </w:r>
      <w:r>
        <w:rPr/>
        <w:t>）应付票据：</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年期末金额较</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年期末金额增加</w:t>
      </w:r>
      <w:r>
        <w:rPr>
          <w:spacing w:val="-47"/>
        </w:rPr>
        <w:t> </w:t>
      </w:r>
      <w:r>
        <w:rPr>
          <w:rFonts w:ascii="Times New Roman" w:hAnsi="Times New Roman" w:cs="Times New Roman" w:eastAsia="Times New Roman" w:hint="default"/>
        </w:rPr>
        <w:t>320.70%</w:t>
      </w:r>
      <w:r>
        <w:rPr/>
        <w:t>，主要原因是应付票据承兑较多所致。</w:t>
      </w:r>
    </w:p>
    <w:p>
      <w:pPr>
        <w:spacing w:after="0" w:line="240" w:lineRule="auto"/>
        <w:jc w:val="left"/>
        <w:sectPr>
          <w:pgSz w:w="11910" w:h="16840"/>
          <w:pgMar w:header="907" w:footer="1019" w:top="1100" w:bottom="1200" w:left="1020" w:right="0"/>
        </w:sectPr>
      </w:pPr>
    </w:p>
    <w:p>
      <w:pPr>
        <w:spacing w:line="240" w:lineRule="auto" w:before="13"/>
        <w:rPr>
          <w:rFonts w:ascii="宋体" w:hAnsi="宋体" w:cs="宋体" w:eastAsia="宋体" w:hint="default"/>
          <w:sz w:val="22"/>
          <w:szCs w:val="22"/>
        </w:rPr>
      </w:pPr>
    </w:p>
    <w:p>
      <w:pPr>
        <w:pStyle w:val="BodyText"/>
        <w:spacing w:line="240" w:lineRule="auto" w:before="44"/>
        <w:ind w:left="474" w:right="0"/>
        <w:jc w:val="left"/>
      </w:pPr>
      <w:r>
        <w:rPr>
          <w:rFonts w:ascii="Times New Roman" w:hAnsi="Times New Roman" w:cs="Times New Roman" w:eastAsia="Times New Roman" w:hint="default"/>
        </w:rPr>
        <w:t>13</w:t>
      </w:r>
      <w:r>
        <w:rPr/>
        <w:t>）应付账款：</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年期末金额较</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年期末金额增加</w:t>
      </w:r>
      <w:r>
        <w:rPr>
          <w:spacing w:val="-47"/>
        </w:rPr>
        <w:t> </w:t>
      </w:r>
      <w:r>
        <w:rPr>
          <w:rFonts w:ascii="Times New Roman" w:hAnsi="Times New Roman" w:cs="Times New Roman" w:eastAsia="Times New Roman" w:hint="default"/>
        </w:rPr>
        <w:t>44.76%</w:t>
      </w:r>
      <w:r>
        <w:rPr/>
        <w:t>，主要原因是应付采购款增加较多所致。</w:t>
      </w:r>
    </w:p>
    <w:p>
      <w:pPr>
        <w:pStyle w:val="BodyText"/>
        <w:spacing w:line="302" w:lineRule="auto" w:before="101"/>
        <w:ind w:right="1205" w:firstLine="360"/>
        <w:jc w:val="left"/>
      </w:pPr>
      <w:r>
        <w:rPr>
          <w:rFonts w:ascii="Times New Roman" w:hAnsi="Times New Roman" w:cs="Times New Roman" w:eastAsia="Times New Roman" w:hint="default"/>
        </w:rPr>
        <w:t>14</w:t>
      </w:r>
      <w:r>
        <w:rPr/>
        <w:t>）应交税费：</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年期末金额较</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年期末金额增加</w:t>
      </w:r>
      <w:r>
        <w:rPr>
          <w:spacing w:val="-47"/>
        </w:rPr>
        <w:t> </w:t>
      </w:r>
      <w:r>
        <w:rPr>
          <w:rFonts w:ascii="Times New Roman" w:hAnsi="Times New Roman" w:cs="Times New Roman" w:eastAsia="Times New Roman" w:hint="default"/>
        </w:rPr>
        <w:t>32.63%</w:t>
      </w:r>
      <w:r>
        <w:rPr/>
        <w:t>，主要原因是工程收入增加，应交营业税增加较多所 致。</w:t>
      </w:r>
    </w:p>
    <w:p>
      <w:pPr>
        <w:pStyle w:val="BodyText"/>
        <w:spacing w:line="240" w:lineRule="auto" w:before="70"/>
        <w:ind w:left="474" w:right="0"/>
        <w:jc w:val="left"/>
      </w:pPr>
      <w:r>
        <w:rPr>
          <w:rFonts w:ascii="Times New Roman" w:hAnsi="Times New Roman" w:cs="Times New Roman" w:eastAsia="Times New Roman" w:hint="default"/>
        </w:rPr>
        <w:t>15</w:t>
      </w:r>
      <w:r>
        <w:rPr/>
        <w:t>）应付利息：</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年期末金额较</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年期末金额增加</w:t>
      </w:r>
      <w:r>
        <w:rPr>
          <w:spacing w:val="-47"/>
        </w:rPr>
        <w:t> </w:t>
      </w:r>
      <w:r>
        <w:rPr>
          <w:rFonts w:ascii="Times New Roman" w:hAnsi="Times New Roman" w:cs="Times New Roman" w:eastAsia="Times New Roman" w:hint="default"/>
        </w:rPr>
        <w:t>64.69%</w:t>
      </w:r>
      <w:r>
        <w:rPr/>
        <w:t>，主要原因是短期借款增加，应付利息所致。</w:t>
      </w:r>
    </w:p>
    <w:p>
      <w:pPr>
        <w:pStyle w:val="BodyText"/>
        <w:spacing w:line="302" w:lineRule="auto" w:before="101"/>
        <w:ind w:right="1200" w:firstLine="360"/>
        <w:jc w:val="left"/>
      </w:pPr>
      <w:r>
        <w:rPr>
          <w:rFonts w:ascii="Times New Roman" w:hAnsi="Times New Roman" w:cs="Times New Roman" w:eastAsia="Times New Roman" w:hint="default"/>
        </w:rPr>
        <w:t>16</w:t>
      </w:r>
      <w:r>
        <w:rPr/>
        <w:t>）其他应付款：</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年期末金额较</w:t>
      </w:r>
      <w:r>
        <w:rPr>
          <w:spacing w:val="-46"/>
        </w:rPr>
        <w:t> </w:t>
      </w:r>
      <w:r>
        <w:rPr>
          <w:rFonts w:ascii="Times New Roman" w:hAnsi="Times New Roman" w:cs="Times New Roman" w:eastAsia="Times New Roman" w:hint="default"/>
        </w:rPr>
        <w:t>2014 </w:t>
      </w:r>
      <w:r>
        <w:rPr/>
        <w:t>年期末金额减少</w:t>
      </w:r>
      <w:r>
        <w:rPr>
          <w:spacing w:val="-46"/>
        </w:rPr>
        <w:t> </w:t>
      </w:r>
      <w:r>
        <w:rPr>
          <w:rFonts w:ascii="Times New Roman" w:hAnsi="Times New Roman" w:cs="Times New Roman" w:eastAsia="Times New Roman" w:hint="default"/>
        </w:rPr>
        <w:t>72.61%</w:t>
      </w:r>
      <w:r>
        <w:rPr/>
        <w:t>，主要原因是欠付收购重庆华宇园林有限公司股权 款项支付所致。</w:t>
      </w:r>
    </w:p>
    <w:p>
      <w:pPr>
        <w:pStyle w:val="BodyText"/>
        <w:spacing w:line="302" w:lineRule="auto" w:before="68"/>
        <w:ind w:right="1118" w:firstLine="360"/>
        <w:jc w:val="left"/>
      </w:pPr>
      <w:r>
        <w:rPr>
          <w:rFonts w:ascii="Times New Roman" w:hAnsi="Times New Roman" w:cs="Times New Roman" w:eastAsia="Times New Roman" w:hint="default"/>
        </w:rPr>
        <w:t>17</w:t>
      </w:r>
      <w:r>
        <w:rPr/>
        <w:t>）一年内到期的非流动负债：</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年期末金额较</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年期末金额增加</w:t>
      </w:r>
      <w:r>
        <w:rPr>
          <w:spacing w:val="-48"/>
        </w:rPr>
        <w:t> </w:t>
      </w:r>
      <w:r>
        <w:rPr>
          <w:rFonts w:ascii="Times New Roman" w:hAnsi="Times New Roman" w:cs="Times New Roman" w:eastAsia="Times New Roman" w:hint="default"/>
        </w:rPr>
        <w:t>170.28%</w:t>
      </w:r>
      <w:r>
        <w:rPr/>
        <w:t>，主要原因是一年内到期的未确认融 资费用增加所致。</w:t>
      </w:r>
    </w:p>
    <w:p>
      <w:pPr>
        <w:pStyle w:val="BodyText"/>
        <w:spacing w:line="240" w:lineRule="auto" w:before="70"/>
        <w:ind w:left="474" w:right="0"/>
        <w:jc w:val="left"/>
      </w:pPr>
      <w:r>
        <w:rPr>
          <w:rFonts w:ascii="Times New Roman" w:hAnsi="Times New Roman" w:cs="Times New Roman" w:eastAsia="Times New Roman" w:hint="default"/>
        </w:rPr>
        <w:t>18</w:t>
      </w:r>
      <w:r>
        <w:rPr/>
        <w:t>）长期借款：</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年期末金额较</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年期末金额减少</w:t>
      </w:r>
      <w:r>
        <w:rPr>
          <w:spacing w:val="-47"/>
        </w:rPr>
        <w:t> </w:t>
      </w:r>
      <w:r>
        <w:rPr>
          <w:rFonts w:ascii="Times New Roman" w:hAnsi="Times New Roman" w:cs="Times New Roman" w:eastAsia="Times New Roman" w:hint="default"/>
        </w:rPr>
        <w:t>83.38%</w:t>
      </w:r>
      <w:r>
        <w:rPr/>
        <w:t>，主要原因长期借款到期偿还所致。</w:t>
      </w:r>
    </w:p>
    <w:p>
      <w:pPr>
        <w:pStyle w:val="BodyText"/>
        <w:spacing w:line="240" w:lineRule="auto" w:before="102"/>
        <w:ind w:left="474" w:right="0"/>
        <w:jc w:val="left"/>
      </w:pPr>
      <w:r>
        <w:rPr>
          <w:rFonts w:ascii="Times New Roman" w:hAnsi="Times New Roman" w:cs="Times New Roman" w:eastAsia="Times New Roman" w:hint="default"/>
        </w:rPr>
        <w:t>19</w:t>
      </w:r>
      <w:r>
        <w:rPr/>
        <w:t>）未分配利润：</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年期末金额较</w:t>
      </w:r>
      <w:r>
        <w:rPr>
          <w:spacing w:val="-46"/>
        </w:rPr>
        <w:t> </w:t>
      </w:r>
      <w:r>
        <w:rPr>
          <w:rFonts w:ascii="Times New Roman" w:hAnsi="Times New Roman" w:cs="Times New Roman" w:eastAsia="Times New Roman" w:hint="default"/>
        </w:rPr>
        <w:t>2014 </w:t>
      </w:r>
      <w:r>
        <w:rPr/>
        <w:t>年期末金额增加</w:t>
      </w:r>
      <w:r>
        <w:rPr>
          <w:spacing w:val="-46"/>
        </w:rPr>
        <w:t> </w:t>
      </w:r>
      <w:r>
        <w:rPr>
          <w:rFonts w:ascii="Times New Roman" w:hAnsi="Times New Roman" w:cs="Times New Roman" w:eastAsia="Times New Roman" w:hint="default"/>
        </w:rPr>
        <w:t>74.03%</w:t>
      </w:r>
      <w:r>
        <w:rPr/>
        <w:t>，主要原因是本期盈利较多所致。</w:t>
      </w:r>
    </w:p>
    <w:p>
      <w:pPr>
        <w:pStyle w:val="BodyText"/>
        <w:spacing w:line="302" w:lineRule="auto" w:before="101"/>
        <w:ind w:right="1205" w:firstLine="360"/>
        <w:jc w:val="left"/>
      </w:pPr>
      <w:r>
        <w:rPr>
          <w:rFonts w:ascii="Times New Roman" w:hAnsi="Times New Roman" w:cs="Times New Roman" w:eastAsia="Times New Roman" w:hint="default"/>
        </w:rPr>
        <w:t>20</w:t>
      </w:r>
      <w:r>
        <w:rPr/>
        <w:t>）营业收入：</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年发生金额较</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年发生金额增加</w:t>
      </w:r>
      <w:r>
        <w:rPr>
          <w:spacing w:val="-47"/>
        </w:rPr>
        <w:t> </w:t>
      </w:r>
      <w:r>
        <w:rPr>
          <w:rFonts w:ascii="Times New Roman" w:hAnsi="Times New Roman" w:cs="Times New Roman" w:eastAsia="Times New Roman" w:hint="default"/>
        </w:rPr>
        <w:t>93.40%</w:t>
      </w:r>
      <w:r>
        <w:rPr/>
        <w:t>，主要原因是重庆华宇园林上期仅合并一个月，本期 合并整个会计年度所致。</w:t>
      </w:r>
    </w:p>
    <w:p>
      <w:pPr>
        <w:pStyle w:val="BodyText"/>
        <w:spacing w:line="302" w:lineRule="auto" w:before="69"/>
        <w:ind w:right="1205" w:firstLine="360"/>
        <w:jc w:val="left"/>
      </w:pPr>
      <w:r>
        <w:rPr>
          <w:rFonts w:ascii="Times New Roman" w:hAnsi="Times New Roman" w:cs="Times New Roman" w:eastAsia="Times New Roman" w:hint="default"/>
        </w:rPr>
        <w:t>21</w:t>
      </w:r>
      <w:r>
        <w:rPr/>
        <w:t>）营业成本：</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年发生金额较</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年发生金额增加</w:t>
      </w:r>
      <w:r>
        <w:rPr>
          <w:spacing w:val="-47"/>
        </w:rPr>
        <w:t> </w:t>
      </w:r>
      <w:r>
        <w:rPr>
          <w:rFonts w:ascii="Times New Roman" w:hAnsi="Times New Roman" w:cs="Times New Roman" w:eastAsia="Times New Roman" w:hint="default"/>
        </w:rPr>
        <w:t>91.44%</w:t>
      </w:r>
      <w:r>
        <w:rPr/>
        <w:t>，主要原因是重庆华宇园林上期仅合并一个月，本期 合并整个会计年度所致。</w:t>
      </w:r>
    </w:p>
    <w:p>
      <w:pPr>
        <w:pStyle w:val="BodyText"/>
        <w:spacing w:line="302" w:lineRule="auto" w:before="68"/>
        <w:ind w:left="113" w:right="1117" w:firstLine="360"/>
        <w:jc w:val="left"/>
      </w:pPr>
      <w:r>
        <w:rPr>
          <w:rFonts w:ascii="Times New Roman" w:hAnsi="Times New Roman" w:cs="Times New Roman" w:eastAsia="Times New Roman" w:hint="default"/>
        </w:rPr>
        <w:t>22</w:t>
      </w:r>
      <w:r>
        <w:rPr/>
        <w:t>）营业税金及附加：</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年发生金额较</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年发生金额增加较多，主要原因是重庆华宇园林上期仅合并一个月，本 期合并整个会计年度所致。</w:t>
      </w:r>
    </w:p>
    <w:p>
      <w:pPr>
        <w:pStyle w:val="BodyText"/>
        <w:spacing w:line="302" w:lineRule="auto" w:before="68"/>
        <w:ind w:right="1205" w:firstLine="360"/>
        <w:jc w:val="left"/>
      </w:pPr>
      <w:r>
        <w:rPr>
          <w:rFonts w:ascii="Times New Roman" w:hAnsi="Times New Roman" w:cs="Times New Roman" w:eastAsia="Times New Roman" w:hint="default"/>
        </w:rPr>
        <w:t>23</w:t>
      </w:r>
      <w:r>
        <w:rPr/>
        <w:t>）管理费用：</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年发生金额较</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年发生金额增加</w:t>
      </w:r>
      <w:r>
        <w:rPr>
          <w:spacing w:val="-47"/>
        </w:rPr>
        <w:t> </w:t>
      </w:r>
      <w:r>
        <w:rPr>
          <w:rFonts w:ascii="Times New Roman" w:hAnsi="Times New Roman" w:cs="Times New Roman" w:eastAsia="Times New Roman" w:hint="default"/>
        </w:rPr>
        <w:t>63.33%</w:t>
      </w:r>
      <w:r>
        <w:rPr/>
        <w:t>，主要原因是重庆华宇园林上期仅合并一个月，本期 合并整个会计年度所致。</w:t>
      </w:r>
    </w:p>
    <w:p>
      <w:pPr>
        <w:pStyle w:val="BodyText"/>
        <w:spacing w:line="302" w:lineRule="auto" w:before="69"/>
        <w:ind w:left="113" w:right="1124" w:firstLine="360"/>
        <w:jc w:val="left"/>
      </w:pPr>
      <w:r>
        <w:rPr>
          <w:rFonts w:ascii="Times New Roman" w:hAnsi="Times New Roman" w:cs="Times New Roman" w:eastAsia="Times New Roman" w:hint="default"/>
        </w:rPr>
        <w:t>24</w:t>
      </w:r>
      <w:r>
        <w:rPr/>
        <w:t>）财务费用：</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年发生金额较</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年发生金额减少</w:t>
      </w:r>
      <w:r>
        <w:rPr>
          <w:spacing w:val="-49"/>
        </w:rPr>
        <w:t> </w:t>
      </w:r>
      <w:r>
        <w:rPr>
          <w:rFonts w:ascii="Times New Roman" w:hAnsi="Times New Roman" w:cs="Times New Roman" w:eastAsia="Times New Roman" w:hint="default"/>
        </w:rPr>
        <w:t>135.00%</w:t>
      </w:r>
      <w:r>
        <w:rPr/>
        <w:t>，主要原因是重庆华宇园林长期应收款利息收入增加 较多所致。</w:t>
      </w:r>
    </w:p>
    <w:p>
      <w:pPr>
        <w:pStyle w:val="BodyText"/>
        <w:spacing w:line="302" w:lineRule="auto" w:before="68"/>
        <w:ind w:left="113" w:right="1117" w:firstLine="360"/>
        <w:jc w:val="left"/>
      </w:pPr>
      <w:r>
        <w:rPr>
          <w:rFonts w:ascii="Times New Roman" w:hAnsi="Times New Roman" w:cs="Times New Roman" w:eastAsia="Times New Roman" w:hint="default"/>
        </w:rPr>
        <w:t>25</w:t>
      </w:r>
      <w:r>
        <w:rPr/>
        <w:t>）资产减值损失：</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年发生金额较</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年发生金额增加较多，主要原因是应收工程款增加，计提坏账准备增加较 多所致。</w:t>
      </w:r>
    </w:p>
    <w:p>
      <w:pPr>
        <w:pStyle w:val="BodyText"/>
        <w:spacing w:line="240" w:lineRule="auto" w:before="69"/>
        <w:ind w:left="474" w:right="0"/>
        <w:jc w:val="left"/>
      </w:pPr>
      <w:r>
        <w:rPr>
          <w:rFonts w:ascii="Times New Roman" w:hAnsi="Times New Roman" w:cs="Times New Roman" w:eastAsia="Times New Roman" w:hint="default"/>
        </w:rPr>
        <w:t>26</w:t>
      </w:r>
      <w:r>
        <w:rPr/>
        <w:t>）投资收益：</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年发生金额较</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年发生金额增加较多，主要原因是处置子公司股权所致。</w:t>
      </w:r>
    </w:p>
    <w:p>
      <w:pPr>
        <w:pStyle w:val="BodyText"/>
        <w:spacing w:line="240" w:lineRule="auto" w:before="103"/>
        <w:ind w:left="474" w:right="0"/>
        <w:jc w:val="left"/>
      </w:pPr>
      <w:r>
        <w:rPr>
          <w:rFonts w:ascii="Times New Roman" w:hAnsi="Times New Roman" w:cs="Times New Roman" w:eastAsia="Times New Roman" w:hint="default"/>
        </w:rPr>
        <w:t>27</w:t>
      </w:r>
      <w:r>
        <w:rPr/>
        <w:t>）营业外收入：</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年发生金额较</w:t>
      </w:r>
      <w:r>
        <w:rPr>
          <w:spacing w:val="-46"/>
        </w:rPr>
        <w:t> </w:t>
      </w:r>
      <w:r>
        <w:rPr>
          <w:rFonts w:ascii="Times New Roman" w:hAnsi="Times New Roman" w:cs="Times New Roman" w:eastAsia="Times New Roman" w:hint="default"/>
        </w:rPr>
        <w:t>2014 </w:t>
      </w:r>
      <w:r>
        <w:rPr/>
        <w:t>年发生金额减少</w:t>
      </w:r>
      <w:r>
        <w:rPr>
          <w:spacing w:val="-46"/>
        </w:rPr>
        <w:t> </w:t>
      </w:r>
      <w:r>
        <w:rPr>
          <w:rFonts w:ascii="Times New Roman" w:hAnsi="Times New Roman" w:cs="Times New Roman" w:eastAsia="Times New Roman" w:hint="default"/>
        </w:rPr>
        <w:t>38.41%</w:t>
      </w:r>
      <w:r>
        <w:rPr/>
        <w:t>，主要原因是收到的补贴款减少所致。</w:t>
      </w:r>
    </w:p>
    <w:p>
      <w:pPr>
        <w:pStyle w:val="BodyText"/>
        <w:spacing w:line="240" w:lineRule="auto" w:before="102"/>
        <w:ind w:left="474" w:right="0"/>
        <w:jc w:val="left"/>
      </w:pPr>
      <w:r>
        <w:rPr>
          <w:rFonts w:ascii="Times New Roman" w:hAnsi="Times New Roman" w:cs="Times New Roman" w:eastAsia="Times New Roman" w:hint="default"/>
        </w:rPr>
        <w:t>28</w:t>
      </w:r>
      <w:r>
        <w:rPr/>
        <w:t>）所得税费用：</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年发生金额较</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年发生金额增加</w:t>
      </w:r>
      <w:r>
        <w:rPr>
          <w:spacing w:val="-49"/>
        </w:rPr>
        <w:t> </w:t>
      </w:r>
      <w:r>
        <w:rPr>
          <w:rFonts w:ascii="Times New Roman" w:hAnsi="Times New Roman" w:cs="Times New Roman" w:eastAsia="Times New Roman" w:hint="default"/>
        </w:rPr>
        <w:t>44.55%</w:t>
      </w:r>
      <w:r>
        <w:rPr/>
        <w:t>，主要原因是本期盈利，当期所得税增加较多所致。</w:t>
      </w:r>
    </w:p>
    <w:p>
      <w:pPr>
        <w:spacing w:after="0" w:line="240" w:lineRule="auto"/>
        <w:jc w:val="left"/>
        <w:sectPr>
          <w:pgSz w:w="11910" w:h="16840"/>
          <w:pgMar w:header="907" w:footer="1019" w:top="1100" w:bottom="120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246" w:right="0"/>
        <w:jc w:val="left"/>
        <w:rPr>
          <w:b w:val="0"/>
          <w:bCs w:val="0"/>
        </w:rPr>
      </w:pPr>
      <w:bookmarkStart w:name="第十一节 备查文件目录" w:id="457"/>
      <w:bookmarkEnd w:id="457"/>
      <w:r>
        <w:rPr>
          <w:b w:val="0"/>
          <w:bCs w:val="0"/>
        </w:rPr>
      </w:r>
      <w:bookmarkStart w:name="_bookmark9" w:id="458"/>
      <w:bookmarkEnd w:id="458"/>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Heading4"/>
        <w:spacing w:line="273" w:lineRule="auto"/>
        <w:ind w:left="533" w:right="1513"/>
        <w:jc w:val="left"/>
      </w:pPr>
      <w:r>
        <w:rPr/>
        <w:t>一、载有公司负责人、主管会计工作负责人、会计机构负责人签名并盖章的财务报表 二、载有会计师事务所盖章、注册会计师签名并盖章的审计报告原件 三、报告期内在中国证监会指定信息披露媒体上公开披露过的所有公司文件的正本及公告的原稿 四、载有公司董事长孙鲲鹏先生签名的</w:t>
      </w:r>
      <w:r>
        <w:rPr>
          <w:rFonts w:ascii="宋体" w:hAnsi="宋体" w:cs="宋体" w:eastAsia="宋体" w:hint="default"/>
        </w:rPr>
        <w:t>2015</w:t>
      </w:r>
      <w:r>
        <w:rPr/>
        <w:t>年度报告原件</w:t>
      </w:r>
    </w:p>
    <w:p>
      <w:pPr>
        <w:pStyle w:val="Heading4"/>
        <w:spacing w:line="240" w:lineRule="auto" w:before="7"/>
        <w:ind w:right="0"/>
        <w:jc w:val="left"/>
      </w:pPr>
      <w:r>
        <w:rPr/>
        <w:t>以上文件置备地点：公司证券部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4"/>
        <w:spacing w:line="408" w:lineRule="auto"/>
        <w:ind w:left="7567" w:right="1466" w:hanging="267"/>
        <w:jc w:val="left"/>
      </w:pPr>
      <w:r>
        <w:rPr/>
        <w:t>山东丽鹏股份有限公司 董事长：孙鲲鹏 </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16</w:t>
      </w:r>
      <w:r>
        <w:rPr/>
        <w:t>日</w:t>
      </w:r>
    </w:p>
    <w:sectPr>
      <w:pgSz w:w="11910" w:h="16840"/>
      <w:pgMar w:header="907" w:footer="1019" w:top="110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3056" type="#_x0000_t75" stroked="false">
          <v:imagedata r:id="rId1" o:title=""/>
        </v:shape>
      </w:pict>
    </w:r>
    <w:r>
      <w:rPr/>
      <w:pict>
        <v:shape style="position:absolute;margin-left:55.700001pt;margin-top:793.5979pt;width:6.5pt;height:11pt;mso-position-horizontal-relative:page;mso-position-vertical-relative:page;z-index:-8630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3008" type="#_x0000_t75" stroked="false">
          <v:imagedata r:id="rId1" o:title=""/>
        </v:shape>
      </w:pict>
    </w:r>
    <w:r>
      <w:rPr/>
      <w:pict>
        <v:shape style="position:absolute;margin-left:54.700001pt;margin-top:779.977905pt;width:13pt;height:11pt;mso-position-horizontal-relative:page;mso-position-vertical-relative:page;z-index:-862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2936" type="#_x0000_t75" stroked="false">
          <v:imagedata r:id="rId1" o:title=""/>
        </v:shape>
      </w:pict>
    </w:r>
    <w:r>
      <w:rPr/>
      <w:pict>
        <v:shape style="position:absolute;margin-left:54.700001pt;margin-top:779.977905pt;width:13pt;height:11pt;mso-position-horizontal-relative:page;mso-position-vertical-relative:page;z-index:-862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2888" type="#_x0000_t75" stroked="false">
          <v:imagedata r:id="rId1" o:title=""/>
        </v:shape>
      </w:pict>
    </w:r>
    <w:r>
      <w:rPr/>
      <w:pict>
        <v:shape style="position:absolute;margin-left:55.700001pt;margin-top:779.977905pt;width:15.5pt;height:11pt;mso-position-horizontal-relative:page;mso-position-vertical-relative:page;z-index:-8628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2840" type="#_x0000_t75" stroked="false">
          <v:imagedata r:id="rId1" o:title=""/>
        </v:shape>
      </w:pict>
    </w:r>
    <w:r>
      <w:rPr/>
      <w:pict>
        <v:shape style="position:absolute;margin-left:54.700001pt;margin-top:779.977905pt;width:17.5pt;height:11pt;mso-position-horizontal-relative:page;mso-position-vertical-relative:page;z-index:-862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177.55pt;height:11.5pt;mso-position-horizontal-relative:page;mso-position-vertical-relative:page;z-index:-863080" type="#_x0000_t202" filled="false" stroked="false">
          <v:textbox inset="0,0,0,0">
            <w:txbxContent>
              <w:p>
                <w:pPr>
                  <w:pStyle w:val="BodyText"/>
                  <w:spacing w:line="214" w:lineRule="exact"/>
                  <w:ind w:left="20" w:right="0"/>
                  <w:jc w:val="left"/>
                </w:pPr>
                <w:r>
                  <w:rPr/>
                  <w:t>山东丽鹏股份有限公司</w:t>
                </w:r>
                <w:r>
                  <w:rPr>
                    <w:spacing w:val="-46"/>
                  </w:rPr>
                  <w:t> </w:t>
                </w:r>
                <w:r>
                  <w:rPr>
                    <w:rFonts w:ascii="Times New Roman" w:hAnsi="Times New Roman" w:cs="Times New Roman" w:eastAsia="Times New Roman" w:hint="default"/>
                  </w:rPr>
                  <w:t>2015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177.55pt;height:11.5pt;mso-position-horizontal-relative:page;mso-position-vertical-relative:page;z-index:-862960" type="#_x0000_t202" filled="false" stroked="false">
          <v:textbox inset="0,0,0,0">
            <w:txbxContent>
              <w:p>
                <w:pPr>
                  <w:pStyle w:val="BodyText"/>
                  <w:spacing w:line="214" w:lineRule="exact"/>
                  <w:ind w:left="20" w:right="0"/>
                  <w:jc w:val="left"/>
                </w:pPr>
                <w:r>
                  <w:rPr/>
                  <w:t>山东丽鹏股份有限公司</w:t>
                </w:r>
                <w:r>
                  <w:rPr>
                    <w:spacing w:val="-46"/>
                  </w:rPr>
                  <w:t> </w:t>
                </w:r>
                <w:r>
                  <w:rPr>
                    <w:rFonts w:ascii="Times New Roman" w:hAnsi="Times New Roman" w:cs="Times New Roman" w:eastAsia="Times New Roman" w:hint="default"/>
                  </w:rPr>
                  <w:t>2015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
    </w:pPr>
    <w:rPr>
      <w:rFonts w:ascii="宋体" w:hAnsi="宋体" w:eastAsia="宋体"/>
      <w:b/>
      <w:bCs/>
      <w:sz w:val="24"/>
      <w:szCs w:val="24"/>
    </w:rPr>
  </w:style>
  <w:style w:styleId="BodyText" w:type="paragraph">
    <w:name w:val="Body Text"/>
    <w:basedOn w:val="Normal"/>
    <w:uiPriority w:val="1"/>
    <w:qFormat/>
    <w:pPr>
      <w:ind w:left="114"/>
    </w:pPr>
    <w:rPr>
      <w:rFonts w:ascii="宋体" w:hAnsi="宋体" w:eastAsia="宋体"/>
      <w:sz w:val="18"/>
      <w:szCs w:val="18"/>
    </w:rPr>
  </w:style>
  <w:style w:styleId="Heading1" w:type="paragraph">
    <w:name w:val="Heading 1"/>
    <w:basedOn w:val="Normal"/>
    <w:uiPriority w:val="1"/>
    <w:qFormat/>
    <w:pPr>
      <w:spacing w:before="1"/>
      <w:ind w:left="2303"/>
      <w:outlineLvl w:val="1"/>
    </w:pPr>
    <w:rPr>
      <w:rFonts w:ascii="宋体" w:hAnsi="宋体" w:eastAsia="宋体"/>
      <w:b/>
      <w:bCs/>
      <w:sz w:val="32"/>
      <w:szCs w:val="32"/>
    </w:rPr>
  </w:style>
  <w:style w:styleId="Heading2" w:type="paragraph">
    <w:name w:val="Heading 2"/>
    <w:basedOn w:val="Normal"/>
    <w:uiPriority w:val="1"/>
    <w:qFormat/>
    <w:pPr>
      <w:ind w:left="114"/>
      <w:outlineLvl w:val="2"/>
    </w:pPr>
    <w:rPr>
      <w:rFonts w:ascii="宋体" w:hAnsi="宋体" w:eastAsia="宋体"/>
      <w:b/>
      <w:bCs/>
      <w:sz w:val="24"/>
      <w:szCs w:val="24"/>
    </w:rPr>
  </w:style>
  <w:style w:styleId="Heading3" w:type="paragraph">
    <w:name w:val="Heading 3"/>
    <w:basedOn w:val="Normal"/>
    <w:uiPriority w:val="1"/>
    <w:qFormat/>
    <w:pPr>
      <w:ind w:left="114"/>
      <w:outlineLvl w:val="3"/>
    </w:pPr>
    <w:rPr>
      <w:rFonts w:ascii="宋体" w:hAnsi="宋体" w:eastAsia="宋体"/>
      <w:b/>
      <w:bCs/>
      <w:sz w:val="21"/>
      <w:szCs w:val="21"/>
    </w:rPr>
  </w:style>
  <w:style w:styleId="Heading4" w:type="paragraph">
    <w:name w:val="Heading 4"/>
    <w:basedOn w:val="Normal"/>
    <w:uiPriority w:val="1"/>
    <w:qFormat/>
    <w:pPr>
      <w:ind w:left="534"/>
      <w:outlineLvl w:val="4"/>
    </w:pPr>
    <w:rPr>
      <w:rFonts w:ascii="宋体" w:hAnsi="宋体" w:eastAsia="宋体"/>
      <w:sz w:val="21"/>
      <w:szCs w:val="21"/>
    </w:rPr>
  </w:style>
  <w:style w:styleId="Heading5" w:type="paragraph">
    <w:name w:val="Heading 5"/>
    <w:basedOn w:val="Normal"/>
    <w:uiPriority w:val="1"/>
    <w:qFormat/>
    <w:pPr>
      <w:spacing w:before="58"/>
      <w:ind w:left="476"/>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yperlink" Target="http://www.lp.com.cn/" TargetMode="External"/><Relationship Id="rId10" Type="http://schemas.openxmlformats.org/officeDocument/2006/relationships/hyperlink" Target="mailto:lp@lp.com.cn" TargetMode="External"/><Relationship Id="rId11" Type="http://schemas.openxmlformats.org/officeDocument/2006/relationships/hyperlink" Target="mailto:haixia5229@sina.com" TargetMode="External"/><Relationship Id="rId12" Type="http://schemas.openxmlformats.org/officeDocument/2006/relationships/hyperlink" Target="mailto:zyh8769@126.com"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footer" Target="footer3.xml"/><Relationship Id="rId16" Type="http://schemas.openxmlformats.org/officeDocument/2006/relationships/hyperlink" Target="http://irm.cninfo.com.cn/ircs/sse/sseSu" TargetMode="External"/><Relationship Id="rId17" Type="http://schemas.openxmlformats.org/officeDocument/2006/relationships/image" Target="media/image3.png"/><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jpeg"/><Relationship Id="rId21" Type="http://schemas.openxmlformats.org/officeDocument/2006/relationships/image" Target="media/image7.png"/><Relationship Id="rId22" Type="http://schemas.openxmlformats.org/officeDocument/2006/relationships/image" Target="media/image8.jpeg"/><Relationship Id="rId23" Type="http://schemas.openxmlformats.org/officeDocument/2006/relationships/image" Target="media/image9.png"/><Relationship Id="rId24" Type="http://schemas.openxmlformats.org/officeDocument/2006/relationships/image" Target="media/image10.jpe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footer" Target="footer4.xml"/><Relationship Id="rId28" Type="http://schemas.openxmlformats.org/officeDocument/2006/relationships/footer" Target="footer5.xml"/><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jpe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2020-05-04T13:24:37Z</dcterms:created>
  <dcterms:modified xsi:type="dcterms:W3CDTF">2020-05-04T13:24:37Z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2016-03-15T00:00:00Z</vt:filetime>
  </property>
  <property fmtid="{D5CDD505-2E9C-101B-9397-08002B2CF9AE}" pid="3" name="Creator">
    <vt:lpwstr>Microsoft® Office Word 2007</vt:lpwstr>
  </property>
  <property fmtid="{D5CDD505-2E9C-101B-9397-08002B2CF9AE}" pid="4" name="LastSaved">
    <vt:filetime>2020-05-04T00:00:00Z</vt:filetime>
  </property>
</Properties>
</file>