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p>
      <w:pPr>
        <w:pStyle w:val="Heading3"/>
        <w:tabs>
          <w:tab w:pos="6313" w:val="left" w:leader="none"/>
        </w:tabs>
        <w:spacing w:line="240" w:lineRule="auto" w:before="26"/>
        <w:ind w:left="1393" w:right="982"/>
        <w:jc w:val="left"/>
      </w:pPr>
      <w:r>
        <w:rPr/>
        <w:t>证券代码：</w:t>
      </w:r>
      <w:r>
        <w:rPr>
          <w:rFonts w:ascii="Times New Roman" w:hAnsi="Times New Roman" w:cs="Times New Roman" w:eastAsia="Times New Roman" w:hint="default"/>
        </w:rPr>
        <w:t>002374</w:t>
        <w:tab/>
      </w:r>
      <w:r>
        <w:rPr/>
        <w:t>证券简称：丽鹏股份</w:t>
      </w:r>
    </w:p>
    <w:p>
      <w:pPr>
        <w:spacing w:line="240" w:lineRule="auto" w:before="5"/>
        <w:rPr>
          <w:rFonts w:ascii="宋体" w:hAnsi="宋体" w:cs="宋体" w:eastAsia="宋体" w:hint="default"/>
          <w:sz w:val="21"/>
          <w:szCs w:val="21"/>
        </w:rPr>
      </w:pPr>
    </w:p>
    <w:p>
      <w:pPr>
        <w:pStyle w:val="Heading3"/>
        <w:tabs>
          <w:tab w:pos="6331" w:val="left" w:leader="none"/>
        </w:tabs>
        <w:spacing w:line="240" w:lineRule="auto"/>
        <w:ind w:left="1374" w:right="982"/>
        <w:jc w:val="left"/>
        <w:rPr>
          <w:rFonts w:ascii="Times New Roman" w:hAnsi="Times New Roman" w:cs="Times New Roman" w:eastAsia="Times New Roman" w:hint="default"/>
        </w:rPr>
      </w:pPr>
      <w:r>
        <w:rPr>
          <w:spacing w:val="-1"/>
        </w:rPr>
        <w:t>债券代码</w:t>
      </w:r>
      <w:r>
        <w:rPr>
          <w:rFonts w:ascii="Times New Roman" w:hAnsi="Times New Roman" w:cs="Times New Roman" w:eastAsia="Times New Roman" w:hint="default"/>
          <w:spacing w:val="-1"/>
        </w:rPr>
        <w:t>:112623.SZ</w:t>
        <w:tab/>
      </w:r>
      <w:r>
        <w:rPr/>
        <w:t>债券简称</w:t>
      </w:r>
      <w:r>
        <w:rPr>
          <w:rFonts w:ascii="Times New Roman" w:hAnsi="Times New Roman" w:cs="Times New Roman" w:eastAsia="Times New Roman" w:hint="default"/>
        </w:rPr>
        <w:t>:17 </w:t>
      </w:r>
      <w:r>
        <w:rPr/>
        <w:t>丽鹏</w:t>
      </w:r>
      <w:r>
        <w:rPr>
          <w:spacing w:val="-61"/>
        </w:rPr>
        <w:t> </w:t>
      </w:r>
      <w:r>
        <w:rPr>
          <w:rFonts w:ascii="Times New Roman" w:hAnsi="Times New Roman" w:cs="Times New Roman" w:eastAsia="Times New Roman" w:hint="default"/>
          <w:spacing w:val="-1"/>
        </w:rPr>
        <w:t>G1</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1856" w:lineRule="exact"/>
        <w:ind w:left="362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125.25pt;height:92.85pt;mso-position-horizontal-relative:char;mso-position-vertical-relative:line" coordorigin="0,0" coordsize="2505,1857">
            <v:group style="position:absolute;left:0;top:0;width:2505;height:1857" coordorigin="0,0" coordsize="2505,1857">
              <v:shape style="position:absolute;left:0;top:0;width:2505;height:1857" coordorigin="0,0" coordsize="2505,1857" path="m2306,0l2269,13,2239,27,2202,40,2173,60,2166,87,2136,134,2136,160,2121,207,2136,247,2136,281,2166,321,2173,354,2202,367,2239,381,2269,394,2306,407,2350,394,2372,381,2306,381,2239,367,2188,321,2166,281,2151,207,2166,134,2188,87,2239,40,2306,27,2372,27,2350,13,2306,0xe" filled="true" fillcolor="#005ca1" stroked="false">
                <v:path arrowok="t"/>
                <v:fill type="solid"/>
              </v:shape>
              <v:shape style="position:absolute;left:0;top:0;width:2505;height:1857" coordorigin="0,0" coordsize="2505,1857" path="m2372,27l2306,27,2364,40,2416,87,2453,134,2464,187,2465,220,2453,281,2416,321,2364,367,2306,381,2372,381,2431,354,2453,321,2468,281,2482,247,2482,160,2468,134,2453,87,2431,60,2401,40,2372,27xe" filled="true" fillcolor="#005ca1" stroked="false">
                <v:path arrowok="t"/>
                <v:fill type="solid"/>
              </v:shape>
              <v:shape style="position:absolute;left:0;top:0;width:2505;height:1857" coordorigin="0,0" coordsize="2505,1857" path="m2350,87l2232,87,2232,321,2254,321,2254,220,2335,220,2364,207,2372,187,2254,187,2254,114,2387,114,2372,100,2364,100,2350,87xe" filled="true" fillcolor="#005ca1" stroked="false">
                <v:path arrowok="t"/>
                <v:fill type="solid"/>
              </v:shape>
              <v:shape style="position:absolute;left:0;top:0;width:2505;height:1857" coordorigin="0,0" coordsize="2505,1857" path="m2350,220l2306,220,2350,261,2372,321,2416,321,2372,247,2364,234,2350,220xe" filled="true" fillcolor="#005ca1" stroked="false">
                <v:path arrowok="t"/>
                <v:fill type="solid"/>
              </v:shape>
              <v:shape style="position:absolute;left:0;top:0;width:2505;height:1857" coordorigin="0,0" coordsize="2505,1857" path="m2387,114l2320,114,2350,134,2364,160,2350,174,2306,187,2372,187,2387,174,2387,114xe" filled="true" fillcolor="#005ca1" stroked="false">
                <v:path arrowok="t"/>
                <v:fill type="solid"/>
              </v:shape>
              <v:shape style="position:absolute;left:0;top:0;width:2505;height:1857" coordorigin="0,0" coordsize="2505,1857" path="m825,187l773,187,692,261,626,334,560,427,516,514,479,615,449,721,427,822,429,1069,449,1189,494,1176,560,1142,641,1069,692,942,714,848,759,735,781,615,825,501,862,281,840,207,825,187xe" filled="true" fillcolor="#005ca1" stroked="false">
                <v:path arrowok="t"/>
                <v:fill type="solid"/>
              </v:shape>
              <v:shape style="position:absolute;left:0;top:0;width:2505;height:1857" coordorigin="0,0" coordsize="2505,1857" path="m1311,1069l1245,1069,1274,1142,1304,1189,1311,1176,1311,1069xe" filled="true" fillcolor="#005ca1" stroked="false">
                <v:path arrowok="t"/>
                <v:fill type="solid"/>
              </v:shape>
              <v:shape style="position:absolute;left:0;top:0;width:2505;height:1857" coordorigin="0,0" coordsize="2505,1857" path="m1274,0l1156,13,1039,40,928,87,840,147,847,147,913,160,1039,207,1061,220,1075,247,1090,261,1090,294,1105,354,1105,394,1046,601,994,835,958,969,945,1029,943,1069,958,1102,980,1129,1024,1142,1127,1142,1193,1129,1223,1102,1245,1069,1311,1069,1311,922,1326,835,1370,761,1422,661,1444,628,1539,541,1606,514,1657,501,1702,481,2006,481,1974,427,1871,281,1738,160,1672,114,1525,40,1436,27,1274,0xe" filled="true" fillcolor="#005ca1" stroked="false">
                <v:path arrowok="t"/>
                <v:fill type="solid"/>
              </v:shape>
              <v:shape style="position:absolute;left:0;top:0;width:2505;height:1857" coordorigin="0,0" coordsize="2505,1857" path="m1790,701l1657,701,1620,735,1606,735,1606,748,1591,748,1576,761,1569,775,1554,795,1539,822,1510,882,1510,1142,1989,1142,1989,922,1974,895,1967,848,1922,795,1886,735,1856,721,1834,721,1790,701xe" filled="true" fillcolor="#005ca1" stroked="false">
                <v:path arrowok="t"/>
                <v:fill type="solid"/>
              </v:shape>
              <v:shape style="position:absolute;left:0;top:0;width:2505;height:1857" coordorigin="0,0" coordsize="2505,1857" path="m2107,1029l2099,1115,2104,1069,2107,1029xe" filled="true" fillcolor="#005ca1" stroked="false">
                <v:path arrowok="t"/>
                <v:fill type="solid"/>
              </v:shape>
              <v:shape style="position:absolute;left:0;top:0;width:2505;height:1857" coordorigin="0,0" coordsize="2505,1857" path="m2006,481l1738,481,1819,501,1900,514,1922,541,1967,574,2004,628,2055,701,2070,748,2099,822,2107,895,2105,822,2099,748,2085,661,2040,574,2018,501,2006,481xe" filled="true" fillcolor="#005ca1" stroked="false">
                <v:path arrowok="t"/>
                <v:fill type="solid"/>
              </v:shape>
              <v:shape style="position:absolute;left:0;top:0;width:2505;height:1857" coordorigin="0,0" coordsize="2505,1857" path="m2070,1216l1510,1216,1510,1837,1702,1743,1775,1670,1856,1596,1922,1523,1989,1423,2040,1336,2070,1216xe" filled="true" fillcolor="#005ca1" stroked="false">
                <v:path arrowok="t"/>
                <v:fill type="solid"/>
              </v:shape>
              <v:shape style="position:absolute;left:0;top:0;width:2505;height:1857" coordorigin="0,0" coordsize="2505,1857" path="m449,1202l508,1349,575,1469,663,1583,759,1690,877,1763,994,1817,1108,1857,1304,1857,1311,1216,464,1216,449,1202xe" filled="true" fillcolor="#005ca1" stroked="false">
                <v:path arrowok="t"/>
                <v:fill type="solid"/>
              </v:shape>
              <v:shape style="position:absolute;left:0;top:0;width:2505;height:1857" coordorigin="0,0" coordsize="2505,1857" path="m398,1236l0,1236,0,1276,398,1276,398,1236xe" filled="true" fillcolor="#005ca1" stroked="false">
                <v:path arrowok="t"/>
                <v:fill type="solid"/>
              </v:shape>
              <v:shape style="position:absolute;left:0;top:0;width:2505;height:1857" coordorigin="0,0" coordsize="2505,1857" path="m184,1323l29,1323,29,1643,66,1643,66,1349,184,1349,184,1323xe" filled="true" fillcolor="#005ca1" stroked="false">
                <v:path arrowok="t"/>
                <v:fill type="solid"/>
              </v:shape>
              <v:shape style="position:absolute;left:0;top:0;width:2505;height:1857" coordorigin="0,0" coordsize="2505,1857" path="m177,1616l118,1616,118,1643,162,1643,177,1630,177,1616xe" filled="true" fillcolor="#005ca1" stroked="false">
                <v:path arrowok="t"/>
                <v:fill type="solid"/>
              </v:shape>
              <v:shape style="position:absolute;left:0;top:0;width:2505;height:1857" coordorigin="0,0" coordsize="2505,1857" path="m184,1349l147,1349,147,1596,110,1596,110,1616,184,1616,184,1349xe" filled="true" fillcolor="#005ca1" stroked="false">
                <v:path arrowok="t"/>
                <v:fill type="solid"/>
              </v:shape>
              <v:shape style="position:absolute;left:0;top:0;width:2505;height:1857" coordorigin="0,0" coordsize="2505,1857" path="m118,1396l81,1396,81,1449,96,1469,96,1523,118,1523,118,1510,133,1510,118,1483,118,1396xe" filled="true" fillcolor="#005ca1" stroked="false">
                <v:path arrowok="t"/>
                <v:fill type="solid"/>
              </v:shape>
              <v:shape style="position:absolute;left:0;top:0;width:2505;height:1857" coordorigin="0,0" coordsize="2505,1857" path="m376,1323l214,1323,214,1643,250,1643,250,1349,376,1349,376,1323xe" filled="true" fillcolor="#005ca1" stroked="false">
                <v:path arrowok="t"/>
                <v:fill type="solid"/>
              </v:shape>
              <v:shape style="position:absolute;left:0;top:0;width:2505;height:1857" coordorigin="0,0" coordsize="2505,1857" path="m376,1349l331,1349,331,1596,295,1596,295,1616,309,1630,309,1643,346,1643,346,1630,361,1630,361,1616,376,1616,376,1349xe" filled="true" fillcolor="#005ca1" stroked="false">
                <v:path arrowok="t"/>
                <v:fill type="solid"/>
              </v:shape>
              <v:shape style="position:absolute;left:0;top:0;width:2505;height:1857" coordorigin="0,0" coordsize="2505,1857" path="m309,1396l265,1396,280,1449,280,1523,295,1510,317,1510,317,1469,312,1449,309,1396xe" filled="true" fillcolor="#005ca1" stroked="false">
                <v:path arrowok="t"/>
                <v:fill type="solid"/>
              </v:shape>
              <v:shape style="position:absolute;left:0;top:0;width:2505;height:1857" coordorigin="0,0" coordsize="2505,1857" path="m2217,1236l2121,1236,2121,1483,2107,1483,2107,1583,2099,1583,2099,1616,2085,1630,2099,1630,2099,1643,2107,1643,2121,1656,2121,1630,2136,1616,2136,1570,2151,1570,2151,1496,2217,1496,2217,1449,2151,1449,2151,1376,2217,1376,2217,1349,2151,1349,2151,1262,2217,1262,2217,1236xe" filled="true" fillcolor="#005ca1" stroked="false">
                <v:path arrowok="t"/>
                <v:fill type="solid"/>
              </v:shape>
              <v:shape style="position:absolute;left:0;top:0;width:2505;height:1857" coordorigin="0,0" coordsize="2505,1857" path="m2239,1630l2202,1630,2217,1643,2232,1643,2239,1656,2239,1630xe" filled="true" fillcolor="#005ca1" stroked="false">
                <v:path arrowok="t"/>
                <v:fill type="solid"/>
              </v:shape>
              <v:shape style="position:absolute;left:0;top:0;width:2505;height:1857" coordorigin="0,0" coordsize="2505,1857" path="m2320,1496l2298,1496,2298,1616,2269,1616,2269,1630,2283,1643,2283,1656,2298,1643,2320,1643,2320,1496xe" filled="true" fillcolor="#005ca1" stroked="false">
                <v:path arrowok="t"/>
                <v:fill type="solid"/>
              </v:shape>
              <v:shape style="position:absolute;left:0;top:0;width:2505;height:1857" coordorigin="0,0" coordsize="2505,1857" path="m2482,1249l2335,1249,2335,1483,2453,1483,2453,1616,2387,1616,2401,1630,2401,1643,2416,1656,2453,1656,2453,1643,2482,1643,2482,1630,2497,1630,2497,1469,2504,1449,2364,1449,2364,1289,2482,1289,2482,1249xe" filled="true" fillcolor="#005ca1" stroked="false">
                <v:path arrowok="t"/>
                <v:fill type="solid"/>
              </v:shape>
              <v:shape style="position:absolute;left:0;top:0;width:2505;height:1857" coordorigin="0,0" coordsize="2505,1857" path="m2320,1236l2232,1236,2232,1583,2217,1583,2217,1596,2151,1596,2166,1616,2166,1643,2188,1643,2188,1630,2254,1630,2254,1556,2269,1556,2269,1496,2320,1496,2320,1449,2269,1449,2269,1376,2320,1376,2320,1349,2269,1349,2269,1262,2320,1262,2320,1236xe" filled="true" fillcolor="#005ca1" stroked="false">
                <v:path arrowok="t"/>
                <v:fill type="solid"/>
              </v:shape>
              <v:shape style="position:absolute;left:0;top:0;width:2505;height:1857" coordorigin="0,0" coordsize="2505,1857" path="m2217,1496l2188,1496,2188,1596,2217,1596,2217,1496xe" filled="true" fillcolor="#005ca1" stroked="false">
                <v:path arrowok="t"/>
                <v:fill type="solid"/>
              </v:shape>
              <v:shape style="position:absolute;left:0;top:0;width:2505;height:1857" coordorigin="0,0" coordsize="2505,1857" path="m2438,1523l2320,1523,2320,1570,2438,1570,2438,1523xe" filled="true" fillcolor="#005ca1" stroked="false">
                <v:path arrowok="t"/>
                <v:fill type="solid"/>
              </v:shape>
              <v:shape style="position:absolute;left:0;top:0;width:2505;height:1857" coordorigin="0,0" coordsize="2505,1857" path="m2217,1376l2188,1376,2188,1449,2217,1449,2217,1376xe" filled="true" fillcolor="#005ca1" stroked="false">
                <v:path arrowok="t"/>
                <v:fill type="solid"/>
              </v:shape>
              <v:shape style="position:absolute;left:0;top:0;width:2505;height:1857" coordorigin="0,0" coordsize="2505,1857" path="m2320,1376l2298,1376,2298,1449,2320,1449,2320,1376xe" filled="true" fillcolor="#005ca1" stroked="false">
                <v:path arrowok="t"/>
                <v:fill type="solid"/>
              </v:shape>
              <v:shape style="position:absolute;left:0;top:0;width:2505;height:1857" coordorigin="0,0" coordsize="2505,1857" path="m2482,1289l2438,1289,2438,1376,2401,1376,2416,1396,2416,1423,2468,1423,2468,1409,2482,1409,2482,1289xe" filled="true" fillcolor="#005ca1" stroked="false">
                <v:path arrowok="t"/>
                <v:fill type="solid"/>
              </v:shape>
              <v:shape style="position:absolute;left:0;top:0;width:2505;height:1857" coordorigin="0,0" coordsize="2505,1857" path="m2416,1302l2372,1302,2387,1336,2387,1363,2431,1363,2431,1349,2416,1336,2416,1302xe" filled="true" fillcolor="#005ca1" stroked="false">
                <v:path arrowok="t"/>
                <v:fill type="solid"/>
              </v:shape>
              <v:shape style="position:absolute;left:0;top:0;width:2505;height:1857" coordorigin="0,0" coordsize="2505,1857" path="m2217,1262l2188,1262,2188,1349,2217,1349,2217,1262xe" filled="true" fillcolor="#005ca1" stroked="false">
                <v:path arrowok="t"/>
                <v:fill type="solid"/>
              </v:shape>
              <v:shape style="position:absolute;left:0;top:0;width:2505;height:1857" coordorigin="0,0" coordsize="2505,1857" path="m2320,1262l2298,1262,2298,1349,2320,1349,2320,1262xe" filled="true" fillcolor="#005ca1" stroked="false">
                <v:path arrowok="t"/>
                <v:fill type="solid"/>
              </v:shape>
              <v:shape style="position:absolute;left:0;top:0;width:2505;height:1857" coordorigin="0,0" coordsize="2505,1857" path="m2431,1202l2372,1202,2372,1249,2401,1249,2416,1236,2416,1216,2431,1202xe" filled="true" fillcolor="#005ca1" stroked="false">
                <v:path arrowok="t"/>
                <v:fill type="solid"/>
              </v:shape>
            </v:group>
          </v:group>
        </w:pict>
      </w:r>
      <w:r>
        <w:rPr>
          <w:rFonts w:ascii="Times New Roman" w:hAnsi="Times New Roman" w:cs="Times New Roman" w:eastAsia="Times New Roman" w:hint="default"/>
          <w:position w:val="-36"/>
          <w:sz w:val="20"/>
          <w:szCs w:val="20"/>
        </w:rPr>
      </w:r>
    </w:p>
    <w:p>
      <w:pPr>
        <w:spacing w:line="597" w:lineRule="exact" w:before="0"/>
        <w:ind w:left="1233" w:right="2250" w:firstLine="0"/>
        <w:jc w:val="center"/>
        <w:rPr>
          <w:rFonts w:ascii="宋体" w:hAnsi="宋体" w:cs="宋体" w:eastAsia="宋体" w:hint="default"/>
          <w:sz w:val="52"/>
          <w:szCs w:val="52"/>
        </w:rPr>
      </w:pPr>
      <w:r>
        <w:rPr>
          <w:rFonts w:ascii="宋体" w:hAnsi="宋体" w:cs="宋体" w:eastAsia="宋体" w:hint="default"/>
          <w:b/>
          <w:bCs/>
          <w:sz w:val="52"/>
          <w:szCs w:val="52"/>
        </w:rPr>
        <w:t>山东丽鹏股份有限公司</w:t>
      </w:r>
      <w:r>
        <w:rPr>
          <w:rFonts w:ascii="宋体" w:hAnsi="宋体" w:cs="宋体" w:eastAsia="宋体" w:hint="default"/>
          <w:sz w:val="52"/>
          <w:szCs w:val="52"/>
        </w:rPr>
      </w:r>
    </w:p>
    <w:p>
      <w:pPr>
        <w:spacing w:before="78"/>
        <w:ind w:left="1234" w:right="2250" w:firstLine="0"/>
        <w:jc w:val="center"/>
        <w:rPr>
          <w:rFonts w:ascii="Times New Roman" w:hAnsi="Times New Roman" w:cs="Times New Roman" w:eastAsia="Times New Roman" w:hint="default"/>
          <w:sz w:val="32"/>
          <w:szCs w:val="32"/>
        </w:rPr>
      </w:pPr>
      <w:r>
        <w:rPr>
          <w:rFonts w:ascii="Times New Roman"/>
          <w:b/>
          <w:sz w:val="32"/>
        </w:rPr>
        <w:t>SHANDONG LIPENG CO.,</w:t>
      </w:r>
      <w:r>
        <w:rPr>
          <w:rFonts w:ascii="Times New Roman"/>
          <w:b/>
          <w:spacing w:val="-23"/>
          <w:sz w:val="32"/>
        </w:rPr>
        <w:t> </w:t>
      </w:r>
      <w:r>
        <w:rPr>
          <w:rFonts w:ascii="Times New Roman"/>
          <w:b/>
          <w:spacing w:val="-11"/>
          <w:sz w:val="32"/>
        </w:rPr>
        <w:t>LTD</w:t>
      </w:r>
      <w:r>
        <w:rPr>
          <w:rFonts w:ascii="Times New Roman"/>
          <w:spacing w:val="-11"/>
          <w:sz w:val="32"/>
        </w:rPr>
      </w:r>
    </w:p>
    <w:p>
      <w:pPr>
        <w:spacing w:line="240" w:lineRule="auto" w:before="7"/>
        <w:rPr>
          <w:rFonts w:ascii="Times New Roman" w:hAnsi="Times New Roman" w:cs="Times New Roman" w:eastAsia="Times New Roman" w:hint="default"/>
          <w:b/>
          <w:bCs/>
          <w:sz w:val="28"/>
          <w:szCs w:val="28"/>
        </w:rPr>
      </w:pPr>
    </w:p>
    <w:p>
      <w:pPr>
        <w:spacing w:before="0"/>
        <w:ind w:left="1232" w:right="2250"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2018</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5"/>
        <w:rPr>
          <w:rFonts w:ascii="宋体" w:hAnsi="宋体" w:cs="宋体" w:eastAsia="宋体" w:hint="default"/>
          <w:b/>
          <w:bCs/>
          <w:sz w:val="59"/>
          <w:szCs w:val="59"/>
        </w:rPr>
      </w:pPr>
    </w:p>
    <w:p>
      <w:pPr>
        <w:spacing w:before="0"/>
        <w:ind w:left="1234" w:right="225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5" w:right="98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4" w:right="1139"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公司负责人孙鲲鹏、主管会计工作负责人张国平及会计机构负责人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张国平声明：保证年度报告中财务报告的真实、准确、完整。</w:t>
      </w:r>
      <w:r>
        <w:rPr>
          <w:rFonts w:ascii="宋体" w:hAnsi="宋体" w:cs="宋体" w:eastAsia="宋体" w:hint="default"/>
          <w:sz w:val="28"/>
          <w:szCs w:val="28"/>
        </w:rPr>
      </w:r>
    </w:p>
    <w:p>
      <w:pPr>
        <w:spacing w:line="472" w:lineRule="auto" w:before="147"/>
        <w:ind w:left="676" w:right="98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重大风险提示详见“第四节</w:t>
      </w:r>
      <w:r>
        <w:rPr>
          <w:rFonts w:ascii="宋体" w:hAnsi="宋体" w:cs="宋体" w:eastAsia="宋体" w:hint="default"/>
          <w:b/>
          <w:bCs/>
          <w:spacing w:val="-81"/>
          <w:sz w:val="28"/>
          <w:szCs w:val="28"/>
        </w:rPr>
        <w:t> </w:t>
      </w:r>
      <w:r>
        <w:rPr>
          <w:rFonts w:ascii="宋体" w:hAnsi="宋体" w:cs="宋体" w:eastAsia="宋体" w:hint="default"/>
          <w:b/>
          <w:bCs/>
          <w:sz w:val="28"/>
          <w:szCs w:val="28"/>
        </w:rPr>
        <w:t>经营情况讨论与分析”的第九部分“公司未来</w:t>
      </w:r>
      <w:r>
        <w:rPr>
          <w:rFonts w:ascii="宋体" w:hAnsi="宋体" w:cs="宋体" w:eastAsia="宋体" w:hint="default"/>
          <w:sz w:val="28"/>
          <w:szCs w:val="28"/>
        </w:rPr>
      </w:r>
    </w:p>
    <w:p>
      <w:pPr>
        <w:spacing w:line="475" w:lineRule="auto" w:before="0"/>
        <w:ind w:left="676" w:right="982" w:hanging="562"/>
        <w:jc w:val="left"/>
        <w:rPr>
          <w:rFonts w:ascii="宋体" w:hAnsi="宋体" w:cs="宋体" w:eastAsia="宋体" w:hint="default"/>
          <w:sz w:val="28"/>
          <w:szCs w:val="28"/>
        </w:rPr>
      </w:pPr>
      <w:r>
        <w:rPr>
          <w:rFonts w:ascii="宋体" w:hAnsi="宋体" w:cs="宋体" w:eastAsia="宋体" w:hint="default"/>
          <w:b/>
          <w:bCs/>
          <w:w w:val="95"/>
          <w:sz w:val="28"/>
          <w:szCs w:val="28"/>
        </w:rPr>
        <w:t>发展展望”的相关内容，敬请广大投资者关注，并注意投资风险。</w:t>
      </w:r>
      <w:r>
        <w:rPr>
          <w:rFonts w:ascii="宋体" w:hAnsi="宋体" w:cs="宋体" w:eastAsia="宋体" w:hint="default"/>
          <w:b/>
          <w:bCs/>
          <w:spacing w:val="114"/>
          <w:w w:val="95"/>
          <w:sz w:val="28"/>
          <w:szCs w:val="28"/>
        </w:rPr>
        <w:t> </w:t>
      </w:r>
      <w:r>
        <w:rPr>
          <w:rFonts w:ascii="宋体" w:hAnsi="宋体" w:cs="宋体" w:eastAsia="宋体" w:hint="default"/>
          <w:b/>
          <w:bCs/>
          <w:spacing w:val="114"/>
          <w:w w:val="95"/>
          <w:sz w:val="28"/>
          <w:szCs w:val="28"/>
        </w:rPr>
      </w:r>
      <w:r>
        <w:rPr>
          <w:rFonts w:ascii="宋体" w:hAnsi="宋体" w:cs="宋体" w:eastAsia="宋体" w:hint="default"/>
          <w:b/>
          <w:bCs/>
          <w:w w:val="95"/>
          <w:sz w:val="28"/>
          <w:szCs w:val="28"/>
        </w:rPr>
        <w:t>公司计划不派发现金红利，不送红股，不以公积金转增股本。</w:t>
      </w:r>
      <w:r>
        <w:rPr>
          <w:rFonts w:ascii="宋体" w:hAnsi="宋体" w:cs="宋体" w:eastAsia="宋体" w:hint="default"/>
          <w:sz w:val="28"/>
          <w:szCs w:val="28"/>
        </w:rPr>
      </w:r>
    </w:p>
    <w:p>
      <w:pPr>
        <w:spacing w:after="0" w:line="475" w:lineRule="auto"/>
        <w:jc w:val="left"/>
        <w:rPr>
          <w:rFonts w:ascii="宋体" w:hAnsi="宋体" w:cs="宋体" w:eastAsia="宋体" w:hint="default"/>
          <w:sz w:val="28"/>
          <w:szCs w:val="28"/>
        </w:rPr>
        <w:sectPr>
          <w:footerReference w:type="default" r:id="rId7"/>
          <w:pgSz w:w="11910" w:h="16840"/>
          <w:pgMar w:footer="1019" w:header="786" w:top="110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1234" w:right="22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53"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9753" w:val="right" w:leader="dot"/>
            </w:tabs>
            <w:spacing w:line="240" w:lineRule="auto"/>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6</w:t>
            </w:r>
          </w:hyperlink>
        </w:p>
        <w:p>
          <w:pPr>
            <w:pStyle w:val="TOC1"/>
            <w:tabs>
              <w:tab w:pos="9753" w:val="right" w:leader="dot"/>
            </w:tabs>
            <w:spacing w:line="240" w:lineRule="auto" w:before="272"/>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10</w:t>
            </w:r>
          </w:hyperlink>
        </w:p>
        <w:p>
          <w:pPr>
            <w:pStyle w:val="TOC1"/>
            <w:tabs>
              <w:tab w:pos="9753" w:val="right" w:leader="dot"/>
            </w:tabs>
            <w:spacing w:line="240" w:lineRule="auto"/>
            <w:ind w:right="0"/>
            <w:jc w:val="left"/>
            <w:rPr>
              <w:rFonts w:ascii="宋体" w:hAnsi="宋体" w:cs="宋体" w:eastAsia="宋体" w:hint="default"/>
            </w:rPr>
          </w:pPr>
          <w:hyperlink w:history="true" w:anchor="_bookmark3">
            <w:r>
              <w:rPr/>
              <w:t>第四节 经营情况讨论与分析</w:t>
            </w:r>
            <w:r>
              <w:rPr>
                <w:rFonts w:ascii="宋体" w:hAnsi="宋体" w:cs="宋体" w:eastAsia="宋体" w:hint="default"/>
              </w:rPr>
              <w:tab/>
              <w:t>16</w:t>
            </w:r>
          </w:hyperlink>
        </w:p>
        <w:p>
          <w:pPr>
            <w:pStyle w:val="TOC1"/>
            <w:tabs>
              <w:tab w:pos="9753"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35</w:t>
            </w:r>
          </w:hyperlink>
        </w:p>
        <w:p>
          <w:pPr>
            <w:pStyle w:val="TOC1"/>
            <w:tabs>
              <w:tab w:pos="9753" w:val="right" w:leader="dot"/>
            </w:tabs>
            <w:spacing w:line="240" w:lineRule="auto" w:before="272"/>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49</w:t>
            </w:r>
          </w:hyperlink>
        </w:p>
        <w:p>
          <w:pPr>
            <w:pStyle w:val="TOC1"/>
            <w:tabs>
              <w:tab w:pos="9753" w:val="right" w:leader="dot"/>
            </w:tabs>
            <w:spacing w:line="240" w:lineRule="auto"/>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55</w:t>
            </w:r>
          </w:hyperlink>
        </w:p>
        <w:p>
          <w:pPr>
            <w:pStyle w:val="TOC1"/>
            <w:tabs>
              <w:tab w:pos="9753" w:val="right" w:leader="dot"/>
            </w:tabs>
            <w:spacing w:line="240" w:lineRule="auto"/>
            <w:ind w:right="0"/>
            <w:jc w:val="left"/>
            <w:rPr>
              <w:rFonts w:ascii="宋体" w:hAnsi="宋体" w:cs="宋体" w:eastAsia="宋体" w:hint="default"/>
            </w:rPr>
          </w:pPr>
          <w:hyperlink w:history="true" w:anchor="_bookmark7">
            <w:r>
              <w:rPr/>
              <w:t>第八节 董事、监事、高级管理人员和员工情况</w:t>
            </w:r>
            <w:r>
              <w:rPr>
                <w:rFonts w:ascii="宋体" w:hAnsi="宋体" w:cs="宋体" w:eastAsia="宋体" w:hint="default"/>
              </w:rPr>
              <w:tab/>
              <w:t>56</w:t>
            </w:r>
          </w:hyperlink>
        </w:p>
        <w:p>
          <w:pPr>
            <w:pStyle w:val="TOC1"/>
            <w:tabs>
              <w:tab w:pos="9753" w:val="right" w:leader="dot"/>
            </w:tabs>
            <w:spacing w:line="240" w:lineRule="auto" w:before="272"/>
            <w:ind w:right="0"/>
            <w:jc w:val="left"/>
            <w:rPr>
              <w:rFonts w:ascii="宋体" w:hAnsi="宋体" w:cs="宋体" w:eastAsia="宋体" w:hint="default"/>
            </w:rPr>
          </w:pPr>
          <w:hyperlink w:history="true" w:anchor="_bookmark8">
            <w:r>
              <w:rPr/>
              <w:t>第九节 公司治理</w:t>
            </w:r>
            <w:r>
              <w:rPr>
                <w:rFonts w:ascii="宋体" w:hAnsi="宋体" w:cs="宋体" w:eastAsia="宋体" w:hint="default"/>
              </w:rPr>
              <w:tab/>
              <w:t>65</w:t>
            </w:r>
          </w:hyperlink>
        </w:p>
        <w:p>
          <w:pPr>
            <w:pStyle w:val="TOC1"/>
            <w:tabs>
              <w:tab w:pos="9753" w:val="right" w:leader="dot"/>
            </w:tabs>
            <w:spacing w:line="240" w:lineRule="auto"/>
            <w:ind w:right="0"/>
            <w:jc w:val="left"/>
            <w:rPr>
              <w:rFonts w:ascii="宋体" w:hAnsi="宋体" w:cs="宋体" w:eastAsia="宋体" w:hint="default"/>
            </w:rPr>
          </w:pPr>
          <w:hyperlink w:history="true" w:anchor="_bookmark9">
            <w:r>
              <w:rPr/>
              <w:t>第十节 公司债券相关情况</w:t>
            </w:r>
            <w:r>
              <w:rPr>
                <w:rFonts w:ascii="宋体" w:hAnsi="宋体" w:cs="宋体" w:eastAsia="宋体" w:hint="default"/>
              </w:rPr>
              <w:tab/>
              <w:t>71</w:t>
            </w:r>
          </w:hyperlink>
        </w:p>
        <w:p>
          <w:pPr>
            <w:pStyle w:val="TOC1"/>
            <w:tabs>
              <w:tab w:pos="9753" w:val="right" w:leader="dot"/>
            </w:tabs>
            <w:spacing w:line="240" w:lineRule="auto"/>
            <w:ind w:right="0"/>
            <w:jc w:val="left"/>
            <w:rPr>
              <w:rFonts w:ascii="宋体" w:hAnsi="宋体" w:cs="宋体" w:eastAsia="宋体" w:hint="default"/>
            </w:rPr>
          </w:pPr>
          <w:hyperlink w:history="true" w:anchor="_bookmark10">
            <w:r>
              <w:rPr/>
              <w:t>第十一节 财务报告</w:t>
            </w:r>
            <w:r>
              <w:rPr>
                <w:rFonts w:ascii="宋体" w:hAnsi="宋体" w:cs="宋体" w:eastAsia="宋体" w:hint="default"/>
              </w:rPr>
              <w:tab/>
              <w:t>78</w:t>
            </w:r>
          </w:hyperlink>
        </w:p>
        <w:p>
          <w:pPr>
            <w:pStyle w:val="TOC1"/>
            <w:tabs>
              <w:tab w:pos="9753" w:val="right" w:leader="dot"/>
            </w:tabs>
            <w:spacing w:line="240" w:lineRule="auto" w:before="272"/>
            <w:ind w:right="0"/>
            <w:jc w:val="left"/>
            <w:rPr>
              <w:rFonts w:ascii="宋体" w:hAnsi="宋体" w:cs="宋体" w:eastAsia="宋体" w:hint="default"/>
            </w:rPr>
          </w:pPr>
          <w:hyperlink w:history="true" w:anchor="_bookmark11">
            <w:r>
              <w:rPr/>
              <w:t>第十二节 备查文件目录</w:t>
            </w:r>
            <w:r>
              <w:rPr>
                <w:rFonts w:ascii="宋体" w:hAnsi="宋体" w:cs="宋体" w:eastAsia="宋体" w:hint="default"/>
              </w:rPr>
              <w:tab/>
              <w:t>197</w:t>
            </w:r>
          </w:hyperlink>
        </w:p>
        <w:p>
          <w:pPr/>
          <w:r>
            <w:fldChar w:fldCharType="end"/>
          </w:r>
        </w:p>
      </w:sdtContent>
    </w:sdt>
    <w:p>
      <w:pPr>
        <w:spacing w:after="0"/>
        <w:sectPr>
          <w:pgSz w:w="11910" w:h="16840"/>
          <w:pgMar w:header="786" w:footer="1019" w:top="1100" w:bottom="1200" w:left="1020" w:right="0"/>
        </w:sectPr>
      </w:pPr>
    </w:p>
    <w:p>
      <w:pPr>
        <w:spacing w:line="240" w:lineRule="auto" w:before="0"/>
        <w:rPr>
          <w:rFonts w:ascii="宋体" w:hAnsi="宋体" w:cs="宋体" w:eastAsia="宋体" w:hint="default"/>
          <w:sz w:val="32"/>
          <w:szCs w:val="32"/>
        </w:rPr>
      </w:pPr>
    </w:p>
    <w:p>
      <w:pPr>
        <w:spacing w:line="240" w:lineRule="auto" w:before="13"/>
        <w:rPr>
          <w:rFonts w:ascii="宋体" w:hAnsi="宋体" w:cs="宋体" w:eastAsia="宋体" w:hint="default"/>
          <w:sz w:val="47"/>
          <w:szCs w:val="47"/>
        </w:rPr>
      </w:pPr>
    </w:p>
    <w:p>
      <w:pPr>
        <w:spacing w:before="0"/>
        <w:ind w:left="1234" w:right="225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公司、股份公司、丽鹏股份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丽鹏包装科技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山东丽鹏包装科技有限公司，公司的直接控股子公司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烟台丽鹏投资有限公司，公司的直接控股子公司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华宇园林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北京鹏和祥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北京鹏和祥包装制品有限公司，公司的直接控股子公司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大冶劲鹏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大冶市劲鹏制盖有限公司，公司的直接全资子公司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成都海川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成都海川制盖有限公司，公司的直接全资子公司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新疆军鹏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新疆军鹏制盖有限公司，公司的直接控股子公司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亳州丽鹏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亳州丽鹏制盖有限公司，公司的直接全资子公司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丽鹏国际贸易公司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山东丽鹏国际贸易有限公司，公司的直接全资子公司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泸州丽鹏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四川泸州丽鹏制盖有限公司，公司的直接控股子公司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东飞凯格</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重庆东飞凯格建筑景观设计咨询有限公司，公司的间接控股子公司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成都丽宇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成都丽宇建设工程有限公司，公司的间接全资子公司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鹏科能源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烟台市鹏科能源有限公司，公司的间接全资子公司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华阴市双华城乡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华阴市双华城乡建设工程有限公司，公司的间接控股子公司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安顺华宇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安顺华宇生态建设有限公司，公司的间接控股子公司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巴中华丰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巴中华丰建设发展有限公司，公司的间接控股子公司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重庆秉创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重庆秉创新材料科技有限公司，公司的间接全资子公司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丽鹏生态建设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山东丽鹏生态有限公司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重庆广裕鑫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重庆广裕鑫投资有限公司，公司的间接全资子公司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翠荟生态旅游文化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重庆翠荟生态发展有限公司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中锐智信教育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苏州中锐智信教育投资有限公司，公司的直接全资子公司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锐科教育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上海锐科教育科技有限公司，公司的直接全资子公司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孙世尧及其家族成员于志芬、孙鲲鹏、孙红丽和霍文菊</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新实际控制人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苏州睿畅投资管理有限公司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headerReference w:type="default" r:id="rId8"/>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山东丽鹏股份有限公司监事会</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复合型防伪印刷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both"/>
              <w:rPr>
                <w:rFonts w:ascii="宋体" w:hAnsi="宋体" w:cs="宋体" w:eastAsia="宋体" w:hint="default"/>
                <w:sz w:val="18"/>
                <w:szCs w:val="18"/>
              </w:rPr>
            </w:pPr>
            <w:r>
              <w:rPr>
                <w:rFonts w:ascii="宋体" w:hAnsi="宋体" w:cs="宋体" w:eastAsia="宋体" w:hint="default"/>
                <w:spacing w:val="-1"/>
                <w:sz w:val="18"/>
                <w:szCs w:val="18"/>
              </w:rPr>
              <w:t>使用普通印刷油墨和专色墨、荧光油墨、温变油墨等材料，采用平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版胶印、侧面滚印、丝网印刷等进行多工艺印刷，使产品达到两种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或多种防伪效果的印刷技术。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采用物理或化学技术，在一定范围内能够被准确辨别真伪并不易被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仿制和复制的瓶盖。</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left"/>
              <w:rPr>
                <w:rFonts w:ascii="宋体" w:hAnsi="宋体" w:cs="宋体" w:eastAsia="宋体" w:hint="default"/>
                <w:sz w:val="18"/>
                <w:szCs w:val="18"/>
              </w:rPr>
            </w:pPr>
            <w:r>
              <w:rPr>
                <w:rFonts w:ascii="宋体" w:hAnsi="宋体" w:cs="宋体" w:eastAsia="宋体" w:hint="default"/>
                <w:spacing w:val="-1"/>
                <w:sz w:val="18"/>
                <w:szCs w:val="18"/>
              </w:rPr>
              <w:t>由铝板涂覆品与塑料件组合或各种塑料件组合，经开启使用后，不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能再复原的瓶盖。分为铝塑组合式防伪瓶盖和塑料组合式防伪瓶</w:t>
            </w:r>
            <w:r>
              <w:rPr>
                <w:rFonts w:ascii="宋体" w:hAnsi="宋体" w:cs="宋体" w:eastAsia="宋体" w:hint="default"/>
                <w:sz w:val="18"/>
                <w:szCs w:val="18"/>
              </w:rPr>
              <w:t> 盖。</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Public-Private-Partnership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的字母缩写，是指政府与私人组织之间，</w:t>
            </w:r>
            <w:r>
              <w:rPr>
                <w:rFonts w:ascii="宋体" w:hAnsi="宋体" w:cs="宋体" w:eastAsia="宋体" w:hint="default"/>
                <w:w w:val="99"/>
                <w:sz w:val="18"/>
                <w:szCs w:val="18"/>
              </w:rPr>
              <w:t> </w:t>
            </w:r>
            <w:r>
              <w:rPr>
                <w:rFonts w:ascii="宋体" w:hAnsi="宋体" w:cs="宋体" w:eastAsia="宋体" w:hint="default"/>
                <w:sz w:val="18"/>
                <w:szCs w:val="18"/>
              </w:rPr>
              <w:t>为了合作建设城市基础设施项目。</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二维码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QR</w:t>
            </w:r>
            <w:r>
              <w:rPr>
                <w:rFonts w:ascii="Times New Roman" w:hAnsi="Times New Roman" w:cs="Times New Roman" w:eastAsia="Times New Roman" w:hint="default"/>
                <w:spacing w:val="-4"/>
                <w:sz w:val="18"/>
                <w:szCs w:val="18"/>
              </w:rPr>
              <w:t> Code</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QR</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全称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Quick</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Response</w:t>
            </w:r>
            <w:r>
              <w:rPr>
                <w:rFonts w:ascii="宋体" w:hAnsi="宋体" w:cs="宋体" w:eastAsia="宋体" w:hint="default"/>
                <w:sz w:val="18"/>
                <w:szCs w:val="18"/>
              </w:rPr>
              <w:t>，是一个近几年来移动设备上超 流行的一种编码方式，它比传统的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Bar Code </w:t>
            </w:r>
            <w:r>
              <w:rPr>
                <w:rFonts w:ascii="宋体" w:hAnsi="宋体" w:cs="宋体" w:eastAsia="宋体" w:hint="default"/>
                <w:sz w:val="18"/>
                <w:szCs w:val="18"/>
              </w:rPr>
              <w:t>条形码能存更多的信 息，也能表示更多的数据类型。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1"/>
        <w:spacing w:line="240" w:lineRule="auto"/>
        <w:ind w:left="2604" w:right="982"/>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2"/>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002374</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SHANDONG LIPENG</w:t>
            </w:r>
            <w:r>
              <w:rPr>
                <w:rFonts w:ascii="Times New Roman"/>
                <w:spacing w:val="1"/>
                <w:sz w:val="18"/>
              </w:rPr>
              <w:t> </w:t>
            </w:r>
            <w:r>
              <w:rPr>
                <w:rFonts w:ascii="Times New Roman"/>
                <w:spacing w:val="-3"/>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Lipeng</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264114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264114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www.lp.com.cn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lp@lp.com.cn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8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赵艺徽</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6"/>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 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 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0535-4660587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0535-4660587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haixia5229@sina.com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zyh8769@126.com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8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982"/>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91370600265526403D</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年公司发行股份购买资产，收购重庆华宇园林有限公司，华宇园林成为公 司的全资子公司，公司开启了包装业务和园林业务的双主业发展新模式。</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日苏州睿畅投资管理有限公司通过直接持有、表决权委托方式合 计取得公司股份数量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163,166,132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股的表决权，表决权比例达到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18.6%</w:t>
            </w:r>
            <w:r>
              <w:rPr>
                <w:rFonts w:ascii="宋体" w:hAnsi="宋体" w:cs="宋体" w:eastAsia="宋体" w:hint="default"/>
                <w:sz w:val="18"/>
                <w:szCs w:val="18"/>
              </w:rPr>
              <w:t>，成为公 司拥有单一表决权最大的股东，公司控股股东由孙世尧变更为苏州睿畅投资管 理有限公司。</w:t>
            </w:r>
          </w:p>
        </w:tc>
      </w:tr>
    </w:tbl>
    <w:p>
      <w:pPr>
        <w:spacing w:line="240" w:lineRule="auto" w:before="2"/>
        <w:rPr>
          <w:rFonts w:ascii="宋体" w:hAnsi="宋体" w:cs="宋体" w:eastAsia="宋体" w:hint="default"/>
          <w:b/>
          <w:bCs/>
          <w:sz w:val="18"/>
          <w:szCs w:val="18"/>
        </w:rPr>
      </w:pPr>
    </w:p>
    <w:p>
      <w:pPr>
        <w:pStyle w:val="Heading2"/>
        <w:spacing w:line="240" w:lineRule="auto" w:before="26"/>
        <w:ind w:right="982"/>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济南市历下区经十路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13777 </w:t>
            </w:r>
            <w:r>
              <w:rPr>
                <w:rFonts w:ascii="宋体" w:hAnsi="宋体" w:cs="宋体" w:eastAsia="宋体" w:hint="default"/>
                <w:sz w:val="18"/>
                <w:szCs w:val="18"/>
              </w:rPr>
              <w:t>号中润世纪广场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王丽敏、王建英</w:t>
            </w:r>
          </w:p>
        </w:tc>
      </w:tr>
    </w:tbl>
    <w:p>
      <w:pPr>
        <w:pStyle w:val="BodyText"/>
        <w:spacing w:line="240" w:lineRule="auto" w:before="51"/>
        <w:ind w:right="982"/>
        <w:jc w:val="left"/>
      </w:pPr>
      <w:r>
        <w:rPr/>
        <w:t>公司聘请的报告期内履行持续督导职责的保荐机构</w:t>
      </w:r>
    </w:p>
    <w:p>
      <w:pPr>
        <w:pStyle w:val="BodyText"/>
        <w:spacing w:line="357" w:lineRule="auto" w:before="117"/>
        <w:ind w:right="6792"/>
        <w:jc w:val="left"/>
      </w:pPr>
      <w:r>
        <w:rPr/>
        <w:t>□ 适用 √ 不适用 公司聘请的报告期内履行持续督导职责的财务顾问</w:t>
      </w:r>
    </w:p>
    <w:p>
      <w:pPr>
        <w:pStyle w:val="BodyText"/>
        <w:spacing w:line="240" w:lineRule="auto" w:before="28"/>
        <w:ind w:right="98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2"/>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公司是否需追溯调整或重述以前年度会计数据</w:t>
      </w:r>
    </w:p>
    <w:p>
      <w:pPr>
        <w:pStyle w:val="BodyText"/>
        <w:spacing w:line="360" w:lineRule="auto" w:before="116"/>
        <w:ind w:right="9132"/>
        <w:jc w:val="left"/>
      </w:pPr>
      <w:r>
        <w:rPr/>
        <w:t>√ 是 □ 否 追溯调整或重述原因 同一控制下企业合并</w:t>
      </w:r>
    </w:p>
    <w:tbl>
      <w:tblPr>
        <w:tblW w:w="0" w:type="auto"/>
        <w:jc w:val="left"/>
        <w:tblInd w:w="10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714"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5" w:right="144"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1,247,889,35</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0.41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1,857,817,48</w:t>
            </w:r>
          </w:p>
          <w:p>
            <w:pPr>
              <w:pStyle w:val="TableParagraph"/>
              <w:spacing w:line="240" w:lineRule="auto" w:before="106"/>
              <w:ind w:left="774" w:right="0"/>
              <w:jc w:val="left"/>
              <w:rPr>
                <w:rFonts w:ascii="Times New Roman" w:hAnsi="Times New Roman" w:cs="Times New Roman" w:eastAsia="Times New Roman" w:hint="default"/>
                <w:sz w:val="18"/>
                <w:szCs w:val="18"/>
              </w:rPr>
            </w:pPr>
            <w:r>
              <w:rPr>
                <w:rFonts w:ascii="Times New Roman"/>
                <w:sz w:val="18"/>
              </w:rPr>
              <w:t>8.80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1,857,817,48</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8.80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1,748,926,89</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2.58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1,748,926,89</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2.58</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-789,840,556</w:t>
            </w:r>
            <w:r>
              <w:rPr>
                <w:rFonts w:ascii="Times New Roman"/>
                <w:sz w:val="18"/>
              </w:rPr>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90,057,762.2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90,057,231.1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-977.04%</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155,591,912.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155,591,912.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53</w:t>
            </w:r>
          </w:p>
        </w:tc>
      </w:tr>
      <w:tr>
        <w:trPr>
          <w:trHeight w:val="1026"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-792,540,661</w:t>
            </w:r>
            <w:r>
              <w:rPr>
                <w:rFonts w:ascii="Times New Roman"/>
                <w:sz w:val="18"/>
              </w:rPr>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86,954,066.2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86,953,535.0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-1,011.45%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151,292,314.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151,292,314.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-385,434,540</w:t>
            </w:r>
            <w:r>
              <w:rPr>
                <w:rFonts w:ascii="Times New Roman"/>
                <w:sz w:val="18"/>
              </w:rPr>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-524,567,952</w:t>
            </w:r>
            <w:r>
              <w:rPr>
                <w:rFonts w:ascii="Times New Roman"/>
                <w:sz w:val="18"/>
              </w:rPr>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-524,563,483</w:t>
            </w:r>
            <w:r>
              <w:rPr>
                <w:rFonts w:ascii="Times New Roman"/>
                <w:sz w:val="18"/>
              </w:rPr>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-523,707,287</w:t>
            </w:r>
            <w:r>
              <w:rPr>
                <w:rFonts w:ascii="Times New Roman"/>
                <w:sz w:val="18"/>
              </w:rPr>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-523,707,287</w:t>
            </w:r>
            <w:r>
              <w:rPr>
                <w:rFonts w:ascii="Times New Roman"/>
                <w:sz w:val="18"/>
              </w:rPr>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6.51%</w:t>
            </w:r>
          </w:p>
        </w:tc>
      </w:tr>
      <w:tr>
        <w:trPr>
          <w:trHeight w:val="714"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144"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5,635,306,36</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2.97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6,371,830,52</w:t>
            </w:r>
          </w:p>
          <w:p>
            <w:pPr>
              <w:pStyle w:val="TableParagraph"/>
              <w:spacing w:line="240" w:lineRule="auto" w:before="106"/>
              <w:ind w:left="774" w:right="0"/>
              <w:jc w:val="left"/>
              <w:rPr>
                <w:rFonts w:ascii="Times New Roman" w:hAnsi="Times New Roman" w:cs="Times New Roman" w:eastAsia="Times New Roman" w:hint="default"/>
                <w:sz w:val="18"/>
                <w:szCs w:val="18"/>
              </w:rPr>
            </w:pPr>
            <w:r>
              <w:rPr>
                <w:rFonts w:ascii="Times New Roman"/>
                <w:sz w:val="18"/>
              </w:rPr>
              <w:t>6.34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6,371,834,99</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5.22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5,280,442,29</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9.38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5,280,442,29</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9.38</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2,394,717,81</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8.70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3,184,558,90</w:t>
            </w:r>
          </w:p>
          <w:p>
            <w:pPr>
              <w:pStyle w:val="TableParagraph"/>
              <w:spacing w:line="240" w:lineRule="auto" w:before="106"/>
              <w:ind w:left="774" w:right="0"/>
              <w:jc w:val="left"/>
              <w:rPr>
                <w:rFonts w:ascii="Times New Roman" w:hAnsi="Times New Roman" w:cs="Times New Roman" w:eastAsia="Times New Roman" w:hint="default"/>
                <w:sz w:val="18"/>
                <w:szCs w:val="18"/>
              </w:rPr>
            </w:pPr>
            <w:r>
              <w:rPr>
                <w:rFonts w:ascii="Times New Roman"/>
                <w:sz w:val="18"/>
              </w:rPr>
              <w:t>5.98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3,184,558,37</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4.86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3,120,823,96</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7.78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3,120,823,96</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7.78</w:t>
            </w:r>
          </w:p>
        </w:tc>
      </w:tr>
    </w:tbl>
    <w:p>
      <w:pPr>
        <w:spacing w:line="240" w:lineRule="auto" w:before="2"/>
        <w:rPr>
          <w:rFonts w:ascii="宋体" w:hAnsi="宋体" w:cs="宋体" w:eastAsia="宋体" w:hint="default"/>
          <w:sz w:val="18"/>
          <w:szCs w:val="18"/>
        </w:rPr>
      </w:pPr>
    </w:p>
    <w:p>
      <w:pPr>
        <w:pStyle w:val="Heading2"/>
        <w:spacing w:line="240" w:lineRule="auto" w:before="26"/>
        <w:ind w:right="98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2473"/>
        <w:jc w:val="left"/>
      </w:pPr>
      <w:r>
        <w:rPr/>
        <w:t>□ 适用 √ 不适用 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4"/>
        <w:spacing w:line="240" w:lineRule="auto"/>
        <w:ind w:right="98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982"/>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358,247,496.28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350,097,921.77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260,900,066.33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278,643,866.03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15,500,690.72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22,775,686.47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-15,268,607.23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-812,848,326.12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15,774,539.87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22,347,804.63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-16,375,950.61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-814,287,055.63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-219,954,837.50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-123,572,970.00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-134,187,565.61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92,280,832.63</w:t>
            </w:r>
          </w:p>
        </w:tc>
      </w:tr>
    </w:tbl>
    <w:p>
      <w:pPr>
        <w:pStyle w:val="BodyText"/>
        <w:spacing w:line="240" w:lineRule="auto" w:before="51"/>
        <w:ind w:right="982"/>
        <w:jc w:val="left"/>
      </w:pPr>
      <w:r>
        <w:rPr/>
        <w:t>上述财务指标或其加总数是否与公司已披露季度报告、半年度报告相关财务指标存在重大差异</w:t>
      </w:r>
    </w:p>
    <w:p>
      <w:pPr>
        <w:pStyle w:val="BodyText"/>
        <w:spacing w:line="240" w:lineRule="auto" w:before="117"/>
        <w:ind w:right="982"/>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982"/>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2"/>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-88,796.13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-1,563,749.90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-689,162.73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5,258,846.69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5,633,340.29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7,075,086.02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-1,127,333.31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-956.47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594,607.91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-661,781.05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-248,092.70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-2,139,155.69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660,772.58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711,833.72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669,363.17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19,101.57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5,967.93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-127,586.11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2,700,105.58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3,103,696.04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4,299,598.45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982"/>
        <w:jc w:val="left"/>
      </w:pPr>
      <w:r>
        <w:rPr/>
        <w:t>□ 适用 √ 不适用</w:t>
      </w:r>
    </w:p>
    <w:p>
      <w:pPr>
        <w:pStyle w:val="BodyText"/>
        <w:spacing w:line="302" w:lineRule="auto" w:before="115"/>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2250"/>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2"/>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982"/>
        <w:jc w:val="left"/>
      </w:pPr>
      <w:r>
        <w:rPr/>
        <w:t>土木工程建筑业</w:t>
      </w:r>
    </w:p>
    <w:p>
      <w:pPr>
        <w:pStyle w:val="BodyText"/>
        <w:spacing w:line="340" w:lineRule="auto" w:before="116"/>
        <w:ind w:left="474" w:right="2473" w:hanging="360"/>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 </w:t>
      </w:r>
      <w:r>
        <w:rPr>
          <w:rFonts w:ascii="宋体" w:hAnsi="宋体" w:cs="宋体" w:eastAsia="宋体" w:hint="default"/>
        </w:rPr>
        <w:t>1</w:t>
      </w:r>
      <w:r>
        <w:rPr/>
        <w:t>、园林生态主业</w:t>
      </w:r>
    </w:p>
    <w:p>
      <w:pPr>
        <w:pStyle w:val="BodyText"/>
        <w:spacing w:line="357" w:lineRule="auto" w:before="40"/>
        <w:ind w:left="474" w:right="982"/>
        <w:jc w:val="left"/>
      </w:pPr>
      <w:r>
        <w:rPr>
          <w:rFonts w:ascii="宋体" w:hAnsi="宋体" w:cs="宋体" w:eastAsia="宋体" w:hint="default"/>
        </w:rPr>
        <w:t>1</w:t>
      </w:r>
      <w:r>
        <w:rPr/>
        <w:t>）公司所处行业的宏观经济形势、行业政策环境变化 </w:t>
      </w:r>
      <w:r>
        <w:rPr>
          <w:spacing w:val="-5"/>
        </w:rPr>
        <w:t>公司所处的行业为园林工程行业。根据《上市公司行业分类指引（</w:t>
      </w:r>
      <w:r>
        <w:rPr>
          <w:rFonts w:ascii="宋体" w:hAnsi="宋体" w:cs="宋体" w:eastAsia="宋体" w:hint="default"/>
          <w:spacing w:val="-5"/>
        </w:rPr>
        <w:t>2012</w:t>
      </w:r>
      <w:r>
        <w:rPr>
          <w:spacing w:val="-5"/>
        </w:rPr>
        <w:t>年修订）》（证监会公告</w:t>
      </w:r>
      <w:r>
        <w:rPr>
          <w:rFonts w:ascii="宋体" w:hAnsi="宋体" w:cs="宋体" w:eastAsia="宋体" w:hint="default"/>
          <w:spacing w:val="-5"/>
        </w:rPr>
        <w:t>[2012]31</w:t>
      </w:r>
      <w:r>
        <w:rPr>
          <w:spacing w:val="-5"/>
        </w:rPr>
        <w:t>号）中的分类标</w:t>
      </w:r>
    </w:p>
    <w:p>
      <w:pPr>
        <w:pStyle w:val="BodyText"/>
        <w:spacing w:line="224" w:lineRule="exact"/>
        <w:ind w:right="982"/>
        <w:jc w:val="left"/>
      </w:pPr>
      <w:r>
        <w:rPr/>
        <w:t>准</w:t>
      </w:r>
      <w:r>
        <w:rPr>
          <w:spacing w:val="-13"/>
        </w:rPr>
        <w:t>，</w:t>
      </w:r>
      <w:r>
        <w:rPr/>
        <w:t>公司园林绿化工程属</w:t>
      </w:r>
      <w:r>
        <w:rPr>
          <w:spacing w:val="-12"/>
        </w:rPr>
        <w:t>于</w:t>
      </w:r>
      <w:r>
        <w:rPr/>
        <w:t>“</w:t>
      </w:r>
      <w:r>
        <w:rPr>
          <w:rFonts w:ascii="宋体" w:hAnsi="宋体" w:cs="宋体" w:eastAsia="宋体" w:hint="default"/>
        </w:rPr>
        <w:t>E </w:t>
      </w:r>
      <w:r>
        <w:rPr/>
        <w:t>建筑业</w:t>
      </w:r>
      <w:r>
        <w:rPr>
          <w:spacing w:val="-12"/>
        </w:rPr>
        <w:t>”中</w:t>
      </w:r>
      <w:r>
        <w:rPr/>
        <w:t>“</w:t>
      </w:r>
      <w:r>
        <w:rPr>
          <w:rFonts w:ascii="宋体" w:hAnsi="宋体" w:cs="宋体" w:eastAsia="宋体" w:hint="default"/>
        </w:rPr>
        <w:t>E48 </w:t>
      </w:r>
      <w:r>
        <w:rPr/>
        <w:t>土木工程建筑业</w:t>
      </w:r>
      <w:r>
        <w:rPr>
          <w:spacing w:val="-90"/>
        </w:rPr>
        <w:t>”</w:t>
      </w:r>
      <w:r>
        <w:rPr>
          <w:spacing w:val="-13"/>
        </w:rPr>
        <w:t>。</w:t>
      </w:r>
      <w:r>
        <w:rPr/>
        <w:t>公司从事园林绿化工程设计</w:t>
      </w:r>
      <w:r>
        <w:rPr>
          <w:spacing w:val="-13"/>
        </w:rPr>
        <w:t>、</w:t>
      </w:r>
      <w:r>
        <w:rPr/>
        <w:t>施工</w:t>
      </w:r>
      <w:r>
        <w:rPr>
          <w:spacing w:val="-13"/>
        </w:rPr>
        <w:t>、</w:t>
      </w:r>
      <w:r>
        <w:rPr/>
        <w:t>养护及苗木培</w:t>
      </w:r>
      <w:r>
        <w:rPr>
          <w:spacing w:val="1"/>
        </w:rPr>
        <w:t>育</w:t>
      </w:r>
      <w:r>
        <w:rPr/>
        <w:t>；</w:t>
      </w:r>
    </w:p>
    <w:p>
      <w:pPr>
        <w:pStyle w:val="BodyText"/>
        <w:spacing w:line="357" w:lineRule="auto" w:before="77"/>
        <w:ind w:left="474" w:right="1117" w:hanging="360"/>
        <w:jc w:val="left"/>
      </w:pPr>
      <w:r>
        <w:rPr/>
        <w:t>生态环境综合治理等业务。 </w:t>
      </w:r>
      <w:r>
        <w:rPr>
          <w:spacing w:val="-5"/>
        </w:rPr>
        <w:t>十九大报告中，“美丽”一词加入社会主义现代化奋斗目标，“增强绿水青山就是金山银山的意识”写入了党章，生态文</w:t>
      </w:r>
    </w:p>
    <w:p>
      <w:pPr>
        <w:pStyle w:val="BodyText"/>
        <w:spacing w:line="224" w:lineRule="exact"/>
        <w:ind w:right="982"/>
        <w:jc w:val="left"/>
      </w:pPr>
      <w:r>
        <w:rPr/>
        <w:t>明被提升为中华民族永续发展的千年大计。习近平同志在十九大报告中指出，加快生态文明体制改革，建设美丽中国，明确</w:t>
      </w:r>
    </w:p>
    <w:p>
      <w:pPr>
        <w:pStyle w:val="BodyText"/>
        <w:spacing w:line="319" w:lineRule="auto" w:before="76"/>
        <w:ind w:right="1130"/>
        <w:jc w:val="both"/>
      </w:pPr>
      <w:r>
        <w:rPr>
          <w:spacing w:val="-2"/>
        </w:rPr>
        <w:t>提出“为把我国建设成为富强、民主、文明、和谐、美丽的社会主义现代化强国而奋斗”。社会主义现代化奋斗目标中增加</w:t>
      </w:r>
      <w:r>
        <w:rPr>
          <w:spacing w:val="-72"/>
        </w:rPr>
        <w:t> </w:t>
      </w:r>
      <w:r>
        <w:rPr>
          <w:spacing w:val="-72"/>
        </w:rPr>
      </w:r>
      <w:r>
        <w:rPr>
          <w:spacing w:val="-2"/>
        </w:rPr>
        <w:t>了“美丽”一词，“五位一体”总体布局与现代化建设目标有了更好的对接。十三五是全面建成小康社会的决胜阶段，让良</w:t>
      </w:r>
      <w:r>
        <w:rPr>
          <w:spacing w:val="-72"/>
        </w:rPr>
        <w:t> </w:t>
      </w:r>
      <w:r>
        <w:rPr>
          <w:spacing w:val="-72"/>
        </w:rPr>
      </w:r>
      <w:r>
        <w:rPr>
          <w:spacing w:val="-2"/>
        </w:rPr>
        <w:t>好生态环境成为全面小康社会普惠的公共产品和民生福祉，是全面建成小康社会的应有之义，也是实现“两个一百年”的第</w:t>
      </w:r>
      <w:r>
        <w:rPr>
          <w:spacing w:val="-65"/>
        </w:rPr>
        <w:t> </w:t>
      </w:r>
      <w:r>
        <w:rPr>
          <w:spacing w:val="-65"/>
        </w:rPr>
      </w:r>
      <w:r>
        <w:rPr>
          <w:spacing w:val="-2"/>
        </w:rPr>
        <w:t>一个百年目标的迫切要求。十九大确定的防范化解重大风险、精准脱贫、污染防治仍然是未来三年实现第一个百年目标、全</w:t>
      </w:r>
      <w:r>
        <w:rPr>
          <w:spacing w:val="-66"/>
        </w:rPr>
        <w:t> </w:t>
      </w:r>
      <w:r>
        <w:rPr>
          <w:spacing w:val="-66"/>
        </w:rPr>
      </w:r>
      <w:r>
        <w:rPr/>
        <w:t>面建成小康社会的重中之重。而污染防治作为三大攻坚战之一，将生态环保建设的地位推向了一个新的高度。</w:t>
      </w:r>
    </w:p>
    <w:p>
      <w:pPr>
        <w:pStyle w:val="BodyText"/>
        <w:spacing w:line="319" w:lineRule="auto" w:before="55"/>
        <w:ind w:right="1131" w:firstLine="360"/>
        <w:jc w:val="both"/>
      </w:pPr>
      <w:r>
        <w:rPr>
          <w:spacing w:val="-2"/>
        </w:rPr>
        <w:t>公司紧抓生态园林行业发展的历史机遇，继续积极响应国家推广</w:t>
      </w:r>
      <w:r>
        <w:rPr>
          <w:rFonts w:ascii="宋体" w:hAnsi="宋体" w:cs="宋体" w:eastAsia="宋体" w:hint="default"/>
          <w:spacing w:val="-2"/>
        </w:rPr>
        <w:t>PPP</w:t>
      </w:r>
      <w:r>
        <w:rPr>
          <w:spacing w:val="-2"/>
        </w:rPr>
        <w:t>模式的倡导，全方位推进</w:t>
      </w:r>
      <w:r>
        <w:rPr>
          <w:rFonts w:ascii="宋体" w:hAnsi="宋体" w:cs="宋体" w:eastAsia="宋体" w:hint="default"/>
          <w:spacing w:val="-2"/>
        </w:rPr>
        <w:t>PPP</w:t>
      </w:r>
      <w:r>
        <w:rPr>
          <w:spacing w:val="-2"/>
        </w:rPr>
        <w:t>领域业务布局；不断完</w:t>
      </w:r>
      <w:r>
        <w:rPr/>
        <w:t> </w:t>
      </w:r>
      <w:r>
        <w:rPr>
          <w:spacing w:val="-2"/>
        </w:rPr>
        <w:t>善和提升生态环保、生态景观、乡村建设整体解决方案水平，巩固传统优势，不断拓展生态环保业务的内涵和外延；推进美</w:t>
      </w:r>
      <w:r>
        <w:rPr>
          <w:spacing w:val="-66"/>
        </w:rPr>
        <w:t> </w:t>
      </w:r>
      <w:r>
        <w:rPr>
          <w:spacing w:val="-66"/>
        </w:rPr>
      </w:r>
      <w:r>
        <w:rPr/>
        <w:t>丽乡村建设，在农村人居环境治理领域，为乡村振兴提供更多的解决方案。</w:t>
      </w:r>
    </w:p>
    <w:p>
      <w:pPr>
        <w:pStyle w:val="BodyText"/>
        <w:spacing w:line="319" w:lineRule="auto" w:before="55"/>
        <w:ind w:right="1130" w:firstLine="360"/>
        <w:jc w:val="both"/>
      </w:pPr>
      <w:r>
        <w:rPr>
          <w:spacing w:val="-2"/>
        </w:rPr>
        <w:t>近年来，公司园林业务持续发展，凭借自身优势在激烈的市场竞争中占据了一定的市场份额，在重庆园林及国家园林行</w:t>
      </w:r>
      <w:r>
        <w:rPr/>
        <w:t> </w:t>
      </w:r>
      <w:r>
        <w:rPr>
          <w:spacing w:val="-2"/>
        </w:rPr>
        <w:t>业中具备一定的竞争力。在国家政策和行业背景下，公司围绕“生态修复，低碳造园”的核心竞争力，大力推进园林工程施</w:t>
      </w:r>
      <w:r>
        <w:rPr>
          <w:spacing w:val="-68"/>
        </w:rPr>
        <w:t> </w:t>
      </w:r>
      <w:r>
        <w:rPr>
          <w:spacing w:val="-68"/>
        </w:rPr>
      </w:r>
      <w:r>
        <w:rPr>
          <w:spacing w:val="-2"/>
        </w:rPr>
        <w:t>工建设、生态环境综合治理等业务。公司积极在河道治理、黑臭水体治理、小型污水处理站运营、生态环境修复等方面进行</w:t>
      </w:r>
      <w:r>
        <w:rPr>
          <w:spacing w:val="-66"/>
        </w:rPr>
        <w:t> </w:t>
      </w:r>
      <w:r>
        <w:rPr>
          <w:spacing w:val="-66"/>
        </w:rPr>
      </w:r>
      <w:r>
        <w:rPr>
          <w:spacing w:val="-2"/>
        </w:rPr>
        <w:t>研发及投入，并不断加强专业团队的建设，实现技术与业务的双重突破。公司加大市政基础设施建设及运营投入的同时，在</w:t>
      </w:r>
      <w:r>
        <w:rPr>
          <w:spacing w:val="-66"/>
        </w:rPr>
        <w:t> </w:t>
      </w:r>
      <w:r>
        <w:rPr>
          <w:spacing w:val="-66"/>
        </w:rPr>
      </w:r>
      <w:r>
        <w:rPr>
          <w:spacing w:val="-2"/>
        </w:rPr>
        <w:t>环境治理、美丽乡村的建设方面不断深入研究，不断促进园林工程与生态环境之间的有效结合。国家“十三五”规划制定的</w:t>
      </w:r>
      <w:r>
        <w:rPr>
          <w:spacing w:val="-65"/>
        </w:rPr>
        <w:t> </w:t>
      </w:r>
      <w:r>
        <w:rPr>
          <w:spacing w:val="-65"/>
        </w:rPr>
      </w:r>
      <w:r>
        <w:rPr/>
        <w:t>生态文明建设和</w:t>
      </w:r>
      <w:r>
        <w:rPr>
          <w:rFonts w:ascii="宋体" w:hAnsi="宋体" w:cs="宋体" w:eastAsia="宋体" w:hint="default"/>
        </w:rPr>
        <w:t>PPP</w:t>
      </w:r>
      <w:r>
        <w:rPr/>
        <w:t>政策为生态环境建设指明了发展方向，公司紧紧围绕“成为国内最优秀的风景园林工程和生态环境建设 的领跑者”的企业愿景，紧跟新城镇化发展的步伐，在生态治理、基础设施建设领域加大了开拓力度，成效逐步显现。</w:t>
      </w:r>
    </w:p>
    <w:p>
      <w:pPr>
        <w:pStyle w:val="BodyText"/>
        <w:spacing w:line="319" w:lineRule="auto" w:before="56"/>
        <w:ind w:right="1130" w:firstLine="360"/>
        <w:jc w:val="both"/>
      </w:pPr>
      <w:r>
        <w:rPr>
          <w:spacing w:val="-2"/>
        </w:rPr>
        <w:t>园林行业属于资金推动型行业，受国家政策影响较大。</w:t>
      </w:r>
      <w:r>
        <w:rPr>
          <w:rFonts w:ascii="宋体" w:hAnsi="宋体" w:cs="宋体" w:eastAsia="宋体" w:hint="default"/>
          <w:spacing w:val="-2"/>
        </w:rPr>
        <w:t>2018</w:t>
      </w:r>
      <w:r>
        <w:rPr>
          <w:spacing w:val="-2"/>
        </w:rPr>
        <w:t>年以来，国家调整对</w:t>
      </w:r>
      <w:r>
        <w:rPr>
          <w:rFonts w:ascii="宋体" w:hAnsi="宋体" w:cs="宋体" w:eastAsia="宋体" w:hint="default"/>
          <w:spacing w:val="-2"/>
        </w:rPr>
        <w:t>PPP</w:t>
      </w:r>
      <w:r>
        <w:rPr>
          <w:spacing w:val="-2"/>
        </w:rPr>
        <w:t>项目的政策，</w:t>
      </w:r>
      <w:r>
        <w:rPr>
          <w:rFonts w:ascii="宋体" w:hAnsi="宋体" w:cs="宋体" w:eastAsia="宋体" w:hint="default"/>
          <w:spacing w:val="-2"/>
        </w:rPr>
        <w:t>PPP</w:t>
      </w:r>
      <w:r>
        <w:rPr>
          <w:spacing w:val="-2"/>
        </w:rPr>
        <w:t>项目的实施遇到不</w:t>
      </w:r>
      <w:r>
        <w:rPr/>
        <w:t> 少阻力；另外由于</w:t>
      </w:r>
      <w:r>
        <w:rPr>
          <w:rFonts w:ascii="宋体" w:hAnsi="宋体" w:cs="宋体" w:eastAsia="宋体" w:hint="default"/>
        </w:rPr>
        <w:t>18</w:t>
      </w:r>
      <w:r>
        <w:rPr/>
        <w:t>年以来金融机构对民营企业的融资政策不断收紧，而</w:t>
      </w:r>
      <w:r>
        <w:rPr>
          <w:rFonts w:ascii="宋体" w:hAnsi="宋体" w:cs="宋体" w:eastAsia="宋体" w:hint="default"/>
        </w:rPr>
        <w:t>PPP</w:t>
      </w:r>
      <w:r>
        <w:rPr/>
        <w:t>项目的前期实施需要投入大量资金，公司积极 </w:t>
      </w:r>
      <w:r>
        <w:rPr>
          <w:spacing w:val="-2"/>
        </w:rPr>
        <w:t>应对，加大了工程回款的催收力度，调整生产经营计划，根据资金和融资情况放缓了部分项目的施工进度，使得</w:t>
      </w:r>
      <w:r>
        <w:rPr>
          <w:rFonts w:ascii="宋体" w:hAnsi="宋体" w:cs="宋体" w:eastAsia="宋体" w:hint="default"/>
          <w:spacing w:val="-2"/>
        </w:rPr>
        <w:t>2018</w:t>
      </w:r>
      <w:r>
        <w:rPr>
          <w:spacing w:val="-2"/>
        </w:rPr>
        <w:t>年公司</w:t>
      </w:r>
      <w:r>
        <w:rPr>
          <w:spacing w:val="-62"/>
        </w:rPr>
        <w:t> </w:t>
      </w:r>
      <w:r>
        <w:rPr/>
        <w:t>园林业务的经营业绩出现下滑。</w:t>
      </w:r>
    </w:p>
    <w:p>
      <w:pPr>
        <w:pStyle w:val="BodyText"/>
        <w:spacing w:line="357" w:lineRule="auto" w:before="56"/>
        <w:ind w:left="474" w:right="982"/>
        <w:jc w:val="left"/>
      </w:pPr>
      <w:r>
        <w:rPr>
          <w:rFonts w:ascii="宋体" w:hAnsi="宋体" w:cs="宋体" w:eastAsia="宋体" w:hint="default"/>
        </w:rPr>
        <w:t>2</w:t>
      </w:r>
      <w:r>
        <w:rPr/>
        <w:t>）公司所取得的荣誉 </w:t>
      </w:r>
      <w:r>
        <w:rPr>
          <w:spacing w:val="-9"/>
        </w:rPr>
        <w:t>公司在园林生态行业领域先后被评为“全国用户质量满意企业”、“全国守合同重信用企业”、“重庆市农业综合开发重点</w:t>
      </w:r>
    </w:p>
    <w:p>
      <w:pPr>
        <w:pStyle w:val="BodyText"/>
        <w:spacing w:line="224" w:lineRule="exact"/>
        <w:ind w:right="982"/>
        <w:jc w:val="left"/>
      </w:pPr>
      <w:r>
        <w:rPr/>
        <w:t>龙头企业</w:t>
      </w:r>
      <w:r>
        <w:rPr>
          <w:spacing w:val="-90"/>
        </w:rPr>
        <w:t>”、</w:t>
      </w:r>
      <w:r>
        <w:rPr/>
        <w:t>“中国园艺杯优秀施工企业</w:t>
      </w:r>
      <w:r>
        <w:rPr>
          <w:spacing w:val="-90"/>
        </w:rPr>
        <w:t>”</w:t>
      </w:r>
      <w:r>
        <w:rPr/>
        <w:t>；被认定为“中国园艺杯优质金奖工程</w:t>
      </w:r>
      <w:r>
        <w:rPr>
          <w:spacing w:val="-90"/>
        </w:rPr>
        <w:t>”、</w:t>
      </w:r>
      <w:r>
        <w:rPr/>
        <w:t>“茶花杯优秀园林绿化工程</w:t>
      </w:r>
      <w:r>
        <w:rPr>
          <w:spacing w:val="-90"/>
        </w:rPr>
        <w:t>”、</w:t>
      </w:r>
      <w:r>
        <w:rPr/>
        <w:t>“重庆市著</w:t>
      </w:r>
    </w:p>
    <w:p>
      <w:pPr>
        <w:pStyle w:val="BodyText"/>
        <w:spacing w:line="357" w:lineRule="auto" w:before="77"/>
        <w:ind w:left="474" w:right="982" w:hanging="360"/>
        <w:jc w:val="left"/>
      </w:pPr>
      <w:r>
        <w:rPr>
          <w:spacing w:val="-10"/>
        </w:rPr>
        <w:t>名商标”、“高新技术企业”；荣获重庆市“优秀民营企业”、重庆市“文明单位”、“两新组织党建市级示范点”等荣誉称号。</w:t>
      </w:r>
      <w:r>
        <w:rPr>
          <w:spacing w:val="-60"/>
        </w:rPr>
        <w:t> </w:t>
      </w:r>
      <w:r>
        <w:rPr>
          <w:spacing w:val="-60"/>
        </w:rPr>
      </w:r>
      <w:r>
        <w:rPr>
          <w:rFonts w:ascii="宋体" w:hAnsi="宋体" w:cs="宋体" w:eastAsia="宋体" w:hint="default"/>
        </w:rPr>
        <w:t>3</w:t>
      </w:r>
      <w:r>
        <w:rPr/>
        <w:t>）公司的主要业务模式</w:t>
      </w:r>
    </w:p>
    <w:p>
      <w:pPr>
        <w:pStyle w:val="BodyText"/>
        <w:spacing w:line="240" w:lineRule="auto" w:before="29"/>
        <w:ind w:left="474" w:right="982"/>
        <w:jc w:val="left"/>
      </w:pPr>
      <w:r>
        <w:rPr/>
        <w:t>①采购模式</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474" w:right="982"/>
        <w:jc w:val="left"/>
      </w:pPr>
      <w:r>
        <w:rPr/>
        <w:t>华宇园林采购模式分为集中采购、就地采购、零星采购三种。</w:t>
      </w:r>
    </w:p>
    <w:p>
      <w:pPr>
        <w:pStyle w:val="BodyText"/>
        <w:spacing w:line="360" w:lineRule="auto" w:before="116"/>
        <w:ind w:left="474" w:right="3372"/>
        <w:jc w:val="left"/>
      </w:pPr>
      <w:r>
        <w:rPr/>
        <w:t>②销售模式 公司主要通过参与项目招投标和竞争性谈判（议标）等方式参与各类园林生态工程项目。</w:t>
      </w:r>
    </w:p>
    <w:p>
      <w:pPr>
        <w:pStyle w:val="BodyText"/>
        <w:spacing w:line="357" w:lineRule="auto" w:before="26"/>
        <w:ind w:left="474" w:right="1122"/>
        <w:jc w:val="left"/>
      </w:pPr>
      <w:r>
        <w:rPr/>
        <w:t>③结算模式 </w:t>
      </w:r>
      <w:r>
        <w:rPr>
          <w:rFonts w:ascii="宋体" w:hAnsi="宋体" w:cs="宋体" w:eastAsia="宋体" w:hint="default"/>
        </w:rPr>
        <w:t>A</w:t>
      </w:r>
      <w:r>
        <w:rPr/>
        <w:t>、设计业务。公司签订的园林景观设计合同约定的一般付款方式如下：合同生效后，客户向公司支付设计款作为项目</w:t>
      </w:r>
    </w:p>
    <w:p>
      <w:pPr>
        <w:pStyle w:val="BodyText"/>
        <w:spacing w:line="224" w:lineRule="exact"/>
        <w:ind w:right="982"/>
        <w:jc w:val="left"/>
      </w:pPr>
      <w:r>
        <w:rPr/>
        <w:t>前期运作费；公司向客户提交方案设计成果并经客户确认后，客户向公司支付一定比例的合同价款；公司向客户提交施工图</w:t>
      </w:r>
    </w:p>
    <w:p>
      <w:pPr>
        <w:pStyle w:val="BodyText"/>
        <w:spacing w:line="357" w:lineRule="auto" w:before="77"/>
        <w:ind w:left="474" w:right="1122" w:hanging="360"/>
        <w:jc w:val="left"/>
      </w:pPr>
      <w:r>
        <w:rPr/>
        <w:t>蓝图并经客户确认之后，客户向公司支付一定比例的合同价款；工程竣工验收后，客户向公司支付合同尾款。 </w:t>
      </w:r>
      <w:r>
        <w:rPr>
          <w:rFonts w:ascii="宋体" w:hAnsi="宋体" w:cs="宋体" w:eastAsia="宋体" w:hint="default"/>
        </w:rPr>
        <w:t>B</w:t>
      </w:r>
      <w:r>
        <w:rPr/>
        <w:t>、工程施工业务。根据公司签订的施工合同，在工程施工过程中，客户一般按月或分阶段支付工程进度款；工程竣工</w:t>
      </w:r>
    </w:p>
    <w:p>
      <w:pPr>
        <w:pStyle w:val="BodyText"/>
        <w:spacing w:line="224" w:lineRule="exact"/>
        <w:ind w:right="982"/>
        <w:jc w:val="left"/>
      </w:pPr>
      <w:r>
        <w:rPr/>
        <w:t>验收合格后，客户向公司累计支付一定比例的合同总价；办理工程竣工结算手续后，客户向公司累计支付至工程决算金额的</w:t>
      </w:r>
    </w:p>
    <w:p>
      <w:pPr>
        <w:pStyle w:val="BodyText"/>
        <w:spacing w:line="357" w:lineRule="auto" w:before="77"/>
        <w:ind w:left="474" w:right="5172" w:hanging="360"/>
        <w:jc w:val="left"/>
      </w:pPr>
      <w:r>
        <w:rPr/>
        <w:t>一定比例的工程款；剩余的工程款作为工程质保金在质保期满后收回。 </w:t>
      </w:r>
      <w:r>
        <w:rPr>
          <w:rFonts w:ascii="宋体" w:hAnsi="宋体" w:cs="宋体" w:eastAsia="宋体" w:hint="default"/>
        </w:rPr>
        <w:t>4</w:t>
      </w:r>
      <w:r>
        <w:rPr/>
        <w:t>）公司质量控制体系的执行情况</w:t>
      </w:r>
    </w:p>
    <w:p>
      <w:pPr>
        <w:pStyle w:val="BodyText"/>
        <w:spacing w:line="319" w:lineRule="auto" w:before="26"/>
        <w:ind w:right="1118" w:firstLine="360"/>
        <w:jc w:val="left"/>
      </w:pPr>
      <w:r>
        <w:rPr/>
        <w:t>公司已经通过了</w:t>
      </w:r>
      <w:r>
        <w:rPr>
          <w:rFonts w:ascii="宋体" w:hAnsi="宋体" w:cs="宋体" w:eastAsia="宋体" w:hint="default"/>
        </w:rPr>
        <w:t>ISO9001:2015</w:t>
      </w:r>
      <w:r>
        <w:rPr/>
        <w:t>和</w:t>
      </w:r>
      <w:r>
        <w:rPr>
          <w:rFonts w:ascii="宋体" w:hAnsi="宋体" w:cs="宋体" w:eastAsia="宋体" w:hint="default"/>
        </w:rPr>
        <w:t>GB/T</w:t>
      </w:r>
      <w:r>
        <w:rPr>
          <w:rFonts w:ascii="宋体" w:hAnsi="宋体" w:cs="宋体" w:eastAsia="宋体" w:hint="default"/>
          <w:spacing w:val="-42"/>
        </w:rPr>
        <w:t> </w:t>
      </w:r>
      <w:r>
        <w:rPr>
          <w:rFonts w:ascii="宋体" w:hAnsi="宋体" w:cs="宋体" w:eastAsia="宋体" w:hint="default"/>
          <w:spacing w:val="-1"/>
        </w:rPr>
        <w:t>19001-2016</w:t>
      </w:r>
      <w:r>
        <w:rPr>
          <w:spacing w:val="-1"/>
        </w:rPr>
        <w:t>质量管理认证体系，并在工程施工过程中严格按</w:t>
      </w:r>
      <w:r>
        <w:rPr>
          <w:rFonts w:ascii="宋体" w:hAnsi="宋体" w:cs="宋体" w:eastAsia="宋体" w:hint="default"/>
          <w:spacing w:val="-1"/>
        </w:rPr>
        <w:t>ISO9001</w:t>
      </w:r>
      <w:r>
        <w:rPr>
          <w:spacing w:val="-1"/>
        </w:rPr>
        <w:t>质量管理体系</w:t>
      </w:r>
      <w:r>
        <w:rPr/>
        <w:t> 以质量、环境、职业健康安全一体化要求进行控制和管理。</w:t>
      </w:r>
    </w:p>
    <w:p>
      <w:pPr>
        <w:pStyle w:val="BodyText"/>
        <w:spacing w:line="357" w:lineRule="auto" w:before="58"/>
        <w:ind w:left="474" w:right="982"/>
        <w:jc w:val="left"/>
      </w:pPr>
      <w:r>
        <w:rPr>
          <w:rFonts w:ascii="宋体" w:hAnsi="宋体" w:cs="宋体" w:eastAsia="宋体" w:hint="default"/>
        </w:rPr>
        <w:t>2</w:t>
      </w:r>
      <w:r>
        <w:rPr/>
        <w:t>、防伪包装主业——为消费者食品安全保驾护航 </w:t>
      </w:r>
      <w:r>
        <w:rPr>
          <w:spacing w:val="-2"/>
        </w:rPr>
        <w:t>公司是生产销售复合型防伪印刷铝板、各种铝防伪瓶盖、组合式防伪瓶盖及制作各种防伪瓶盖的高速生产线、电脑创意</w:t>
      </w:r>
    </w:p>
    <w:p>
      <w:pPr>
        <w:pStyle w:val="BodyText"/>
        <w:spacing w:line="224" w:lineRule="exact"/>
        <w:ind w:right="982"/>
        <w:jc w:val="left"/>
      </w:pPr>
      <w:r>
        <w:rPr/>
        <w:t>雕刻、各种冷冲模具、热流道注射模具等关联多元化一条龙服务的专业厂家，产品走俏于全国及世界市场，是规模化的防伪</w:t>
      </w:r>
    </w:p>
    <w:p>
      <w:pPr>
        <w:pStyle w:val="BodyText"/>
        <w:spacing w:line="319" w:lineRule="auto" w:before="76"/>
        <w:ind w:right="1032"/>
        <w:jc w:val="left"/>
      </w:pPr>
      <w:r>
        <w:rPr/>
        <w:t>瓶盖生产基地、铝防伪瓶盖板集散地、铝板复合型防伪印刷基地。公司各类产品已销往全国二十八个省、自治区和直辖市， 下游酒水饮料行业客户达</w:t>
      </w:r>
      <w:r>
        <w:rPr>
          <w:rFonts w:ascii="宋体" w:hAnsi="宋体" w:cs="宋体" w:eastAsia="宋体" w:hint="default"/>
        </w:rPr>
        <w:t>700</w:t>
      </w:r>
      <w:r>
        <w:rPr/>
        <w:t>余家，主要用于白酒、保健酒、啤酒、葡萄酒、医药、橄榄油、高档饮用水、功能性饮品、化 </w:t>
      </w:r>
      <w:r>
        <w:rPr>
          <w:spacing w:val="-2"/>
        </w:rPr>
        <w:t>妆品等行业产品的包装。目标客户主要是下游酿酒企业和制盖企业，国内市场方面，公司主要采用业务、产品、技术相结合</w:t>
      </w:r>
      <w:r>
        <w:rPr>
          <w:spacing w:val="-66"/>
        </w:rPr>
        <w:t> </w:t>
      </w:r>
      <w:r>
        <w:rPr>
          <w:spacing w:val="-66"/>
        </w:rPr>
      </w:r>
      <w:r>
        <w:rPr>
          <w:spacing w:val="-2"/>
        </w:rPr>
        <w:t>的一体化直销方式。国际市场方面，公司主要采用区域代理进行销售的模式，另外公司还通过商务网络平台等其他渠道开发</w:t>
      </w:r>
      <w:r>
        <w:rPr>
          <w:spacing w:val="-66"/>
        </w:rPr>
        <w:t> </w:t>
      </w:r>
      <w:r>
        <w:rPr>
          <w:spacing w:val="-66"/>
        </w:rPr>
      </w:r>
      <w:r>
        <w:rPr/>
        <w:t>国外客户。</w:t>
      </w:r>
    </w:p>
    <w:p>
      <w:pPr>
        <w:pStyle w:val="BodyText"/>
        <w:spacing w:line="319" w:lineRule="auto" w:before="56"/>
        <w:ind w:right="982" w:firstLine="360"/>
        <w:jc w:val="left"/>
      </w:pPr>
      <w:r>
        <w:rPr>
          <w:spacing w:val="-7"/>
        </w:rPr>
        <w:t>公司在包装行业领域先后被中国包装联合会评为“全国先进包装企业”、“中国包装龙头企业”、“中国</w:t>
      </w:r>
      <w:r>
        <w:rPr>
          <w:rFonts w:ascii="宋体" w:hAnsi="宋体" w:cs="宋体" w:eastAsia="宋体" w:hint="default"/>
          <w:spacing w:val="-7"/>
        </w:rPr>
        <w:t>200</w:t>
      </w:r>
      <w:r>
        <w:rPr>
          <w:spacing w:val="-7"/>
        </w:rPr>
        <w:t>强先进包装企</w:t>
      </w:r>
      <w:r>
        <w:rPr/>
        <w:t> </w:t>
      </w:r>
      <w:r>
        <w:rPr>
          <w:spacing w:val="-10"/>
        </w:rPr>
        <w:t>业”，并被认定为“中国包装联合会防伪瓶盖研发中心”；先后获得“全国守合同、重信用企业”、“全国双爱双评先进企业”、</w:t>
      </w:r>
      <w:r>
        <w:rPr>
          <w:spacing w:val="-55"/>
        </w:rPr>
        <w:t> </w:t>
      </w:r>
      <w:r>
        <w:rPr>
          <w:spacing w:val="-55"/>
        </w:rPr>
      </w:r>
      <w:r>
        <w:rPr>
          <w:spacing w:val="-14"/>
        </w:rPr>
        <w:t>“全国创建精神文明工作先进单位”、“全国五四红旗团委标兵”、“全国模范职工之家”、“山东省先进基层党组织”、“山东最</w:t>
      </w:r>
      <w:r>
        <w:rPr>
          <w:spacing w:val="-82"/>
        </w:rPr>
        <w:t> </w:t>
      </w:r>
      <w:r>
        <w:rPr>
          <w:spacing w:val="-82"/>
        </w:rPr>
      </w:r>
      <w:r>
        <w:rPr>
          <w:spacing w:val="-9"/>
        </w:rPr>
        <w:t>佳企业公民”、“中国专利山东明星企业”等荣誉称号及“山东省专利一等奖”、“中国专利优秀奖”。被认定为“国家知识产</w:t>
      </w:r>
      <w:r>
        <w:rPr>
          <w:spacing w:val="-36"/>
        </w:rPr>
        <w:t> </w:t>
      </w:r>
      <w:r>
        <w:rPr>
          <w:spacing w:val="-36"/>
        </w:rPr>
      </w:r>
      <w:r>
        <w:rPr>
          <w:spacing w:val="-14"/>
        </w:rPr>
        <w:t>权示范企业”、“山东省防伪包装生产装备工程技术研究中心”，“山东省企业技术中心”、“中国驰名商标”。“丽鹏”牌防伪瓶</w:t>
      </w:r>
      <w:r>
        <w:rPr>
          <w:spacing w:val="-82"/>
        </w:rPr>
        <w:t> </w:t>
      </w:r>
      <w:r>
        <w:rPr>
          <w:spacing w:val="-82"/>
        </w:rPr>
      </w:r>
      <w:r>
        <w:rPr>
          <w:spacing w:val="-5"/>
        </w:rPr>
        <w:t>盖系列产品被中国包装联合会评定为“中国包装名牌”、“中国包装优秀品牌”。丽鹏公司是中国铝防伪瓶盖、组合式防伪瓶</w:t>
      </w:r>
      <w:r>
        <w:rPr>
          <w:spacing w:val="-85"/>
        </w:rPr>
        <w:t> </w:t>
      </w:r>
      <w:r>
        <w:rPr>
          <w:spacing w:val="-85"/>
        </w:rPr>
      </w:r>
      <w:r>
        <w:rPr/>
        <w:t>盖行业标准的主要起草单位。</w:t>
      </w:r>
    </w:p>
    <w:p>
      <w:pPr>
        <w:pStyle w:val="BodyText"/>
        <w:spacing w:line="319" w:lineRule="auto" w:before="56"/>
        <w:ind w:right="1032" w:firstLine="360"/>
        <w:jc w:val="left"/>
      </w:pPr>
      <w:r>
        <w:rPr/>
        <w:t>公司生产经营受国家政策、下游酿酒企业、原材料价格波动等多种因素影响，为了提升产品竞争力，满足客户的需求， </w:t>
      </w:r>
      <w:r>
        <w:rPr>
          <w:spacing w:val="-2"/>
        </w:rPr>
        <w:t>顺应国家提出的供给侧改革，公司一方面加大了瓶盖生产工艺的改进和优化，降本增效，另一方面致力于智能瓶盖的研究与</w:t>
      </w:r>
      <w:r>
        <w:rPr>
          <w:spacing w:val="-65"/>
        </w:rPr>
        <w:t> </w:t>
      </w:r>
      <w:r>
        <w:rPr>
          <w:spacing w:val="-65"/>
        </w:rPr>
      </w:r>
      <w:r>
        <w:rPr/>
        <w:t>开发，实现产品的转型升级。</w:t>
      </w:r>
      <w:r>
        <w:rPr>
          <w:rFonts w:ascii="宋体" w:hAnsi="宋体" w:cs="宋体" w:eastAsia="宋体" w:hint="default"/>
        </w:rPr>
        <w:t>2018</w:t>
      </w:r>
      <w:r>
        <w:rPr/>
        <w:t>年，公司二维码瓶盖生产进入全新时代。</w:t>
      </w:r>
    </w:p>
    <w:p>
      <w:pPr>
        <w:spacing w:line="240" w:lineRule="auto" w:before="6"/>
        <w:rPr>
          <w:rFonts w:ascii="宋体" w:hAnsi="宋体" w:cs="宋体" w:eastAsia="宋体" w:hint="default"/>
          <w:sz w:val="20"/>
          <w:szCs w:val="20"/>
        </w:rPr>
      </w:pPr>
    </w:p>
    <w:p>
      <w:pPr>
        <w:pStyle w:val="Heading2"/>
        <w:spacing w:line="240" w:lineRule="auto"/>
        <w:ind w:right="982"/>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2"/>
        <w:gridCol w:w="6517"/>
      </w:tblGrid>
      <w:tr>
        <w:trPr>
          <w:trHeight w:val="76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6"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1" w:right="102"/>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日减少</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65.66%</w:t>
            </w:r>
            <w:r>
              <w:rPr>
                <w:rFonts w:ascii="宋体" w:hAnsi="宋体" w:cs="宋体" w:eastAsia="宋体" w:hint="default"/>
                <w:spacing w:val="-5"/>
                <w:sz w:val="18"/>
                <w:szCs w:val="18"/>
              </w:rPr>
              <w:t>，主要是在建工程</w:t>
            </w:r>
            <w:r>
              <w:rPr>
                <w:rFonts w:ascii="宋体" w:hAnsi="宋体" w:cs="宋体" w:eastAsia="宋体" w:hint="default"/>
                <w:sz w:val="18"/>
                <w:szCs w:val="18"/>
              </w:rPr>
              <w:t> 本期竣工转资所致。</w:t>
            </w:r>
          </w:p>
        </w:tc>
      </w:tr>
    </w:tbl>
    <w:p>
      <w:pPr>
        <w:spacing w:after="0" w:line="30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4"/>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spacing w:line="357" w:lineRule="auto" w:before="29"/>
        <w:ind w:left="205" w:right="8221" w:hanging="92"/>
        <w:jc w:val="left"/>
        <w:rPr>
          <w:rFonts w:ascii="宋体" w:hAnsi="宋体" w:cs="宋体" w:eastAsia="宋体" w:hint="default"/>
          <w:sz w:val="18"/>
          <w:szCs w:val="18"/>
        </w:rPr>
      </w:pPr>
      <w:r>
        <w:rPr>
          <w:rFonts w:ascii="宋体" w:hAnsi="宋体" w:cs="宋体" w:eastAsia="宋体" w:hint="default"/>
          <w:sz w:val="18"/>
          <w:szCs w:val="18"/>
        </w:rPr>
        <w:t>土木工程建筑业 </w:t>
      </w:r>
      <w:r>
        <w:rPr>
          <w:rFonts w:ascii="宋体" w:hAnsi="宋体" w:cs="宋体" w:eastAsia="宋体" w:hint="default"/>
          <w:b/>
          <w:bCs/>
          <w:sz w:val="18"/>
          <w:szCs w:val="18"/>
        </w:rPr>
        <w:t>1</w:t>
      </w:r>
      <w:r>
        <w:rPr>
          <w:rFonts w:ascii="宋体" w:hAnsi="宋体" w:cs="宋体" w:eastAsia="宋体" w:hint="default"/>
          <w:b/>
          <w:bCs/>
          <w:sz w:val="18"/>
          <w:szCs w:val="18"/>
        </w:rPr>
        <w:t>、园林绿化业务主要竞争情况</w:t>
      </w:r>
      <w:r>
        <w:rPr>
          <w:rFonts w:ascii="宋体" w:hAnsi="宋体" w:cs="宋体" w:eastAsia="宋体" w:hint="default"/>
          <w:sz w:val="18"/>
          <w:szCs w:val="18"/>
        </w:rPr>
      </w:r>
    </w:p>
    <w:p>
      <w:pPr>
        <w:spacing w:line="357" w:lineRule="auto" w:before="28"/>
        <w:ind w:left="474" w:right="98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）园林绿化业务的市场竞争格局</w:t>
      </w:r>
      <w:r>
        <w:rPr>
          <w:rFonts w:ascii="宋体" w:hAnsi="宋体" w:cs="宋体" w:eastAsia="宋体" w:hint="default"/>
          <w:b/>
          <w:bCs/>
          <w:w w:val="99"/>
          <w:sz w:val="18"/>
          <w:szCs w:val="18"/>
        </w:rPr>
        <w:t> </w:t>
      </w:r>
      <w:r>
        <w:rPr>
          <w:rFonts w:ascii="宋体" w:hAnsi="宋体" w:cs="宋体" w:eastAsia="宋体" w:hint="default"/>
          <w:spacing w:val="-4"/>
          <w:sz w:val="18"/>
          <w:szCs w:val="18"/>
        </w:rPr>
        <w:t>早期的园林行业集中度低，进入园林绿化行业的门槛也相对较低，行业结构较分散，属于较为典型的“大市场、小企业”</w:t>
      </w:r>
    </w:p>
    <w:p>
      <w:pPr>
        <w:pStyle w:val="BodyText"/>
        <w:spacing w:line="224" w:lineRule="exact"/>
        <w:ind w:right="0"/>
        <w:jc w:val="both"/>
      </w:pPr>
      <w:r>
        <w:rPr/>
        <w:t>行业。随着政策有力催化，市场化程度的进一步加深，以及资本市场的助推，行业集中度正在不断提高。从</w:t>
      </w:r>
      <w:r>
        <w:rPr>
          <w:rFonts w:ascii="宋体" w:hAnsi="宋体" w:cs="宋体" w:eastAsia="宋体" w:hint="default"/>
        </w:rPr>
        <w:t>BT</w:t>
      </w:r>
      <w:r>
        <w:rPr/>
        <w:t>模式到</w:t>
      </w:r>
      <w:r>
        <w:rPr>
          <w:rFonts w:ascii="宋体" w:hAnsi="宋体" w:cs="宋体" w:eastAsia="宋体" w:hint="default"/>
        </w:rPr>
        <w:t>PPP</w:t>
      </w:r>
      <w:r>
        <w:rPr/>
        <w:t>模</w:t>
      </w:r>
    </w:p>
    <w:p>
      <w:pPr>
        <w:pStyle w:val="BodyText"/>
        <w:spacing w:line="319" w:lineRule="auto" w:before="76"/>
        <w:ind w:right="1139"/>
        <w:jc w:val="both"/>
      </w:pPr>
      <w:r>
        <w:rPr/>
        <w:t>式，项目规模不断增大，从过去单环节、分段施工到现在设计—投融资—建设施工—运营一体化，大型园林公司承接</w:t>
      </w:r>
      <w:r>
        <w:rPr>
          <w:rFonts w:ascii="宋体" w:hAnsi="宋体" w:cs="宋体" w:eastAsia="宋体" w:hint="default"/>
        </w:rPr>
        <w:t>PPP</w:t>
      </w:r>
      <w:r>
        <w:rPr/>
        <w:t>项 目更占优势，订单加速集中。上市公司融资环节更占优势反过来进一步提升前端拓展</w:t>
      </w:r>
      <w:r>
        <w:rPr>
          <w:rFonts w:ascii="宋体" w:hAnsi="宋体" w:cs="宋体" w:eastAsia="宋体" w:hint="default"/>
        </w:rPr>
        <w:t>PPP</w:t>
      </w:r>
      <w:r>
        <w:rPr/>
        <w:t>订单的能力，项目落地以及业绩确 定性也更高。市场竞争比较充分。</w:t>
      </w:r>
    </w:p>
    <w:p>
      <w:pPr>
        <w:pStyle w:val="BodyText"/>
        <w:spacing w:line="319" w:lineRule="auto" w:before="55"/>
        <w:ind w:right="1131" w:firstLine="360"/>
        <w:jc w:val="both"/>
      </w:pPr>
      <w:r>
        <w:rPr>
          <w:spacing w:val="-2"/>
        </w:rPr>
        <w:t>园林行业的竞争程度存在因区域不同而呈区域性分布。随着经济社会发展水平的不断提升，文化趋于融合、园林技术水</w:t>
      </w:r>
      <w:r>
        <w:rPr/>
        <w:t> </w:t>
      </w:r>
      <w:r>
        <w:rPr>
          <w:spacing w:val="-2"/>
        </w:rPr>
        <w:t>平不断提高，以及国家战略布局，跨区域经营已成为园林企业的发展趋势，行业内部分有实力的企业正在实施全国性的战略</w:t>
      </w:r>
      <w:r>
        <w:rPr>
          <w:spacing w:val="-66"/>
        </w:rPr>
        <w:t> </w:t>
      </w:r>
      <w:r>
        <w:rPr>
          <w:spacing w:val="-66"/>
        </w:rPr>
      </w:r>
      <w:r>
        <w:rPr/>
        <w:t>布局，未来跨区域竞争将进一步凸显。</w:t>
      </w:r>
    </w:p>
    <w:p>
      <w:pPr>
        <w:spacing w:line="357" w:lineRule="auto" w:before="56"/>
        <w:ind w:left="474" w:right="98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）公司在园林绿化业务的市场地位</w:t>
      </w:r>
      <w:r>
        <w:rPr>
          <w:rFonts w:ascii="宋体" w:hAnsi="宋体" w:cs="宋体" w:eastAsia="宋体" w:hint="default"/>
          <w:b/>
          <w:bCs/>
          <w:w w:val="99"/>
          <w:sz w:val="18"/>
          <w:szCs w:val="18"/>
        </w:rPr>
        <w:t> </w:t>
      </w:r>
      <w:r>
        <w:rPr>
          <w:rFonts w:ascii="宋体" w:hAnsi="宋体" w:cs="宋体" w:eastAsia="宋体" w:hint="default"/>
          <w:spacing w:val="-2"/>
          <w:sz w:val="18"/>
          <w:szCs w:val="18"/>
        </w:rPr>
        <w:t>华宇园林作为一家成立早、资质高、业务体系成熟、管理优秀的全产业链综合性园林绿化企业，在重庆园林市场具有广</w:t>
      </w:r>
    </w:p>
    <w:p>
      <w:pPr>
        <w:pStyle w:val="BodyText"/>
        <w:spacing w:line="224" w:lineRule="exact"/>
        <w:ind w:right="0"/>
        <w:jc w:val="both"/>
      </w:pPr>
      <w:r>
        <w:rPr/>
        <w:t>泛的知名度。华宇园林凭借自身优势在激烈的市场竞争中占据了一定的市场份额，公司已在西南、西北等地区建立了较为稳</w:t>
      </w:r>
    </w:p>
    <w:p>
      <w:pPr>
        <w:pStyle w:val="BodyText"/>
        <w:spacing w:line="240" w:lineRule="auto" w:before="77"/>
        <w:ind w:right="0"/>
        <w:jc w:val="both"/>
      </w:pPr>
      <w:r>
        <w:rPr/>
        <w:t>定的业务发展基础，并将积极向华中、华东等经济发达地区发展，公司未来发展具有良好预期。</w:t>
      </w:r>
    </w:p>
    <w:p>
      <w:pPr>
        <w:spacing w:line="357" w:lineRule="auto" w:before="116"/>
        <w:ind w:left="474" w:right="7408"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）公司在园林绿化业务的竞争优势</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）资质和品牌优势</w:t>
      </w:r>
    </w:p>
    <w:p>
      <w:pPr>
        <w:pStyle w:val="BodyText"/>
        <w:spacing w:line="319" w:lineRule="auto" w:before="28"/>
        <w:ind w:right="1032" w:firstLine="360"/>
        <w:jc w:val="left"/>
      </w:pPr>
      <w:r>
        <w:rPr/>
        <w:t>华宇园林拥有城市园林绿化设计甲级资质、 环境污染治理资质、风景园林工程设计专项乙级资质、城市园林绿化管护 </w:t>
      </w:r>
      <w:r>
        <w:rPr>
          <w:spacing w:val="-2"/>
        </w:rPr>
        <w:t>贰级资质、市政公用工程施工总承包贰级资质、水利水电工程施工总承包叁级资质、环保工程专业承包叁级资质、古建筑工</w:t>
      </w:r>
      <w:r>
        <w:rPr>
          <w:spacing w:val="-66"/>
        </w:rPr>
        <w:t> </w:t>
      </w:r>
      <w:r>
        <w:rPr>
          <w:spacing w:val="-66"/>
        </w:rPr>
      </w:r>
      <w:r>
        <w:rPr/>
        <w:t>程专业承包叁级资质、甲级生态修复环保污染治理资质、工业废水处理二级资质等，是国内为数不多的同时拥有园林施工、 </w:t>
      </w:r>
      <w:r>
        <w:rPr>
          <w:spacing w:val="-3"/>
        </w:rPr>
        <w:t>规划设计、环境污染治理（生态修复类别）、园林绿化管护业务资质的园林景观企业。</w:t>
      </w:r>
    </w:p>
    <w:p>
      <w:pPr>
        <w:pStyle w:val="BodyText"/>
        <w:spacing w:line="319" w:lineRule="auto" w:before="55"/>
        <w:ind w:right="1042" w:firstLine="360"/>
        <w:jc w:val="both"/>
      </w:pPr>
      <w:r>
        <w:rPr>
          <w:spacing w:val="-2"/>
        </w:rPr>
        <w:t>华宇园林致力于创造自然美好的人居环境，坚持经济效益、社会效益和生态效益并重的原则，经过多年的积累，已经在</w:t>
      </w:r>
      <w:r>
        <w:rPr/>
        <w:t> </w:t>
      </w:r>
      <w:r>
        <w:rPr>
          <w:spacing w:val="-2"/>
        </w:rPr>
        <w:t>园林生态行业内形成了一定的品牌优势。华宇园林凭借优异的经营业绩和一批精品工程赢得了良好的市场口碑和社会的广泛</w:t>
      </w:r>
      <w:r>
        <w:rPr>
          <w:spacing w:val="-64"/>
        </w:rPr>
        <w:t> </w:t>
      </w:r>
      <w:r>
        <w:rPr>
          <w:spacing w:val="-64"/>
        </w:rPr>
      </w:r>
      <w:r>
        <w:rPr>
          <w:spacing w:val="-9"/>
        </w:rPr>
        <w:t>认可及荣誉。先后获得“全国用户质量满意企业”、“全国守合同重信用企业”、中国园艺杯优秀施工企业”、“城市园林企业</w:t>
      </w:r>
      <w:r>
        <w:rPr>
          <w:spacing w:val="-36"/>
        </w:rPr>
        <w:t> </w:t>
      </w:r>
      <w:r>
        <w:rPr>
          <w:spacing w:val="-36"/>
        </w:rPr>
      </w:r>
      <w:r>
        <w:rPr>
          <w:rFonts w:ascii="宋体" w:hAnsi="宋体" w:cs="宋体" w:eastAsia="宋体" w:hint="default"/>
          <w:spacing w:val="-10"/>
        </w:rPr>
        <w:t>50</w:t>
      </w:r>
      <w:r>
        <w:rPr>
          <w:spacing w:val="-10"/>
        </w:rPr>
        <w:t>强”，多项工程荣获“中国园艺杯优质金奖工程”、“茶花杯优秀园林绿化工程”、“优秀风景园林规划设计一等奖”等称号。</w:t>
      </w:r>
    </w:p>
    <w:p>
      <w:pPr>
        <w:pStyle w:val="BodyText"/>
        <w:spacing w:line="319" w:lineRule="auto" w:before="55"/>
        <w:ind w:right="1032" w:firstLine="360"/>
        <w:jc w:val="left"/>
      </w:pPr>
      <w:r>
        <w:rPr/>
        <w:t>华宇园林经过多年的积累，已经具备了大型项目的承揽和施工能力。</w:t>
      </w:r>
      <w:r>
        <w:rPr>
          <w:rFonts w:ascii="宋体" w:hAnsi="宋体" w:cs="宋体" w:eastAsia="宋体" w:hint="default"/>
        </w:rPr>
        <w:t>2018</w:t>
      </w:r>
      <w:r>
        <w:rPr/>
        <w:t>年，公司持续稳定推进一系列大型园林项目， </w:t>
      </w:r>
      <w:r>
        <w:rPr>
          <w:spacing w:val="-2"/>
        </w:rPr>
        <w:t>如贵州省安顺西秀区生态修复综合治理（</w:t>
      </w:r>
      <w:r>
        <w:rPr>
          <w:rFonts w:ascii="宋体" w:hAnsi="宋体" w:cs="宋体" w:eastAsia="宋体" w:hint="default"/>
          <w:spacing w:val="-2"/>
        </w:rPr>
        <w:t>PPP</w:t>
      </w:r>
      <w:r>
        <w:rPr>
          <w:spacing w:val="-2"/>
        </w:rPr>
        <w:t>）项目、巴中市巴州区津桥湖城市基础设施和生态恢复建设（</w:t>
      </w:r>
      <w:r>
        <w:rPr>
          <w:rFonts w:ascii="宋体" w:hAnsi="宋体" w:cs="宋体" w:eastAsia="宋体" w:hint="default"/>
          <w:spacing w:val="-2"/>
        </w:rPr>
        <w:t>PPP</w:t>
      </w:r>
      <w:r>
        <w:rPr>
          <w:spacing w:val="-2"/>
        </w:rPr>
        <w:t>）项目、简阳</w:t>
      </w:r>
      <w:r>
        <w:rPr>
          <w:spacing w:val="-64"/>
        </w:rPr>
        <w:t> </w:t>
      </w:r>
      <w:r>
        <w:rPr>
          <w:spacing w:val="-64"/>
        </w:rPr>
      </w:r>
      <w:r>
        <w:rPr>
          <w:spacing w:val="-2"/>
        </w:rPr>
        <w:t>市东城新区雄州大道提质改造工程</w:t>
      </w:r>
      <w:r>
        <w:rPr>
          <w:rFonts w:ascii="宋体" w:hAnsi="宋体" w:cs="宋体" w:eastAsia="宋体" w:hint="default"/>
          <w:spacing w:val="-2"/>
        </w:rPr>
        <w:t>BLT+EPC</w:t>
      </w:r>
      <w:r>
        <w:rPr>
          <w:spacing w:val="-2"/>
        </w:rPr>
        <w:t>项目、华阴市城乡环境综合治理</w:t>
      </w:r>
      <w:r>
        <w:rPr>
          <w:rFonts w:ascii="宋体" w:hAnsi="宋体" w:cs="宋体" w:eastAsia="宋体" w:hint="default"/>
          <w:spacing w:val="-2"/>
        </w:rPr>
        <w:t>PPP</w:t>
      </w:r>
      <w:r>
        <w:rPr>
          <w:spacing w:val="-2"/>
        </w:rPr>
        <w:t>项目等。公司近几年承接的大型项目知名度较</w:t>
      </w:r>
      <w:r>
        <w:rPr>
          <w:spacing w:val="-54"/>
        </w:rPr>
        <w:t> </w:t>
      </w:r>
      <w:r>
        <w:rPr>
          <w:spacing w:val="-54"/>
        </w:rPr>
      </w:r>
      <w:r>
        <w:rPr/>
        <w:t>高、合同金额较大，证明了公司在园林绿化施工领域的实力。</w:t>
      </w:r>
    </w:p>
    <w:p>
      <w:pPr>
        <w:pStyle w:val="BodyText"/>
        <w:spacing w:line="357" w:lineRule="auto" w:before="58"/>
        <w:ind w:left="474" w:right="982"/>
        <w:jc w:val="left"/>
      </w:pPr>
      <w:r>
        <w:rPr>
          <w:rFonts w:ascii="宋体" w:hAnsi="宋体" w:cs="宋体" w:eastAsia="宋体" w:hint="default"/>
        </w:rPr>
        <w:t>2</w:t>
      </w:r>
      <w:r>
        <w:rPr/>
        <w:t>）全产业链一体化优势 </w:t>
      </w:r>
      <w:r>
        <w:rPr>
          <w:spacing w:val="-2"/>
        </w:rPr>
        <w:t>华宇园林从园林工程施工逐步发展为涵盖园林工程施工、园林景观规划设计、苗木种植销售、园林养护、生态环境综合</w:t>
      </w:r>
    </w:p>
    <w:p>
      <w:pPr>
        <w:pStyle w:val="BodyText"/>
        <w:spacing w:line="357" w:lineRule="auto"/>
        <w:ind w:left="474" w:right="982" w:hanging="360"/>
        <w:jc w:val="left"/>
      </w:pPr>
      <w:r>
        <w:rPr/>
        <w:t>治理为一体的全产业链综合性园林绿化企业。 </w:t>
      </w:r>
      <w:r>
        <w:rPr>
          <w:spacing w:val="-2"/>
        </w:rPr>
        <w:t>华宇园林主营业务以市政工程、生态绿化工程施工、环境综合治理为主，积累了丰富的项目施工经验。公司工程设计人</w:t>
      </w:r>
    </w:p>
    <w:p>
      <w:pPr>
        <w:pStyle w:val="BodyText"/>
        <w:spacing w:line="224" w:lineRule="exact"/>
        <w:ind w:right="0"/>
        <w:jc w:val="both"/>
      </w:pPr>
      <w:r>
        <w:rPr/>
        <w:t>员大多具有本科以上学历，专业内容涵盖了园林、环艺、植物学研究和建筑学等。通过苗木科技产业园的建设，公司完善了</w:t>
      </w:r>
    </w:p>
    <w:p>
      <w:pPr>
        <w:spacing w:after="0" w:line="224" w:lineRule="exact"/>
        <w:jc w:val="both"/>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74" w:right="982" w:hanging="360"/>
        <w:jc w:val="left"/>
      </w:pPr>
      <w:r>
        <w:rPr/>
        <w:t>苗木种植销售业务；通过养护分公司对外承接养护业务及对公司承建的项目进行养护，逐步健全和完善产业链。 </w:t>
      </w:r>
      <w:r>
        <w:rPr>
          <w:rFonts w:ascii="宋体" w:hAnsi="宋体" w:cs="宋体" w:eastAsia="宋体" w:hint="default"/>
        </w:rPr>
        <w:t>3</w:t>
      </w:r>
      <w:r>
        <w:rPr/>
        <w:t>）跨区域经营优势 </w:t>
      </w:r>
      <w:r>
        <w:rPr>
          <w:spacing w:val="-2"/>
        </w:rPr>
        <w:t>园林企业跨区域经营发展，可以在一定程度上消除季节、气候、地域因素对主营业务的影响，有效分散市场集中度过高</w:t>
      </w:r>
    </w:p>
    <w:p>
      <w:pPr>
        <w:pStyle w:val="BodyText"/>
        <w:spacing w:line="224" w:lineRule="exact"/>
        <w:ind w:right="982"/>
        <w:jc w:val="left"/>
      </w:pPr>
      <w:r>
        <w:rPr/>
        <w:t>带来的经营风险，能有效把握我国经济发展不平衡、不同区域梯次推进的市场扩张机会。目前公司已在全国范围内设立了多</w:t>
      </w:r>
    </w:p>
    <w:p>
      <w:pPr>
        <w:pStyle w:val="BodyText"/>
        <w:spacing w:line="357" w:lineRule="auto" w:before="78"/>
        <w:ind w:left="474" w:right="4812" w:hanging="360"/>
        <w:jc w:val="left"/>
      </w:pPr>
      <w:r>
        <w:rPr/>
        <w:t>个专业分子公司。公司的全国性经营布局合理，跨区域经营能力已经形成。 </w:t>
      </w:r>
      <w:r>
        <w:rPr>
          <w:rFonts w:ascii="宋体" w:hAnsi="宋体" w:cs="宋体" w:eastAsia="宋体" w:hint="default"/>
        </w:rPr>
        <w:t>4</w:t>
      </w:r>
      <w:r>
        <w:rPr/>
        <w:t>）大中型项目施工能力优势</w:t>
      </w:r>
    </w:p>
    <w:p>
      <w:pPr>
        <w:pStyle w:val="BodyText"/>
        <w:spacing w:line="319" w:lineRule="auto" w:before="26"/>
        <w:ind w:right="1050" w:firstLine="360"/>
        <w:jc w:val="both"/>
      </w:pPr>
      <w:r>
        <w:rPr>
          <w:spacing w:val="-2"/>
        </w:rPr>
        <w:t>大中型项目施工能力是园林绿化企业综合实力的体现。园林施工的技术水平、设计力量、艺术效果体现、人员配备、项</w:t>
      </w:r>
      <w:r>
        <w:rPr/>
        <w:t> </w:t>
      </w:r>
      <w:r>
        <w:rPr>
          <w:spacing w:val="-2"/>
        </w:rPr>
        <w:t>目协调、资金实力是决定大中型项目是施工能力的重要因素。华宇园林近年来施工的项目大多数为大中型项目，在国内园林</w:t>
      </w:r>
      <w:r>
        <w:rPr>
          <w:spacing w:val="-66"/>
        </w:rPr>
        <w:t> </w:t>
      </w:r>
      <w:r>
        <w:rPr>
          <w:spacing w:val="-66"/>
        </w:rPr>
      </w:r>
      <w:r>
        <w:rPr/>
        <w:t>绿化市场大中型项目的市场竞争中占据了一定的优势。公司通过多年施工经验的积累，顺利实施了多个大型、综合性工程。</w:t>
      </w:r>
    </w:p>
    <w:p>
      <w:pPr>
        <w:pStyle w:val="BodyText"/>
        <w:spacing w:line="319" w:lineRule="auto" w:before="56"/>
        <w:ind w:right="1133" w:firstLine="360"/>
        <w:jc w:val="both"/>
      </w:pPr>
      <w:r>
        <w:rPr>
          <w:spacing w:val="-2"/>
        </w:rPr>
        <w:t>另外，华宇园林积极顺应园林绿化生态化发展的趋势，在生态环境治理与修复、水环境治理、土壤修复、污水处理等多</w:t>
      </w:r>
      <w:r>
        <w:rPr/>
        <w:t> 个领域都可以施工，凭借生态修复领域的综合优势积极拓展园林绿化领域业务，为公司未来业务发展提供可靠保障。</w:t>
      </w:r>
    </w:p>
    <w:p>
      <w:pPr>
        <w:pStyle w:val="Heading6"/>
        <w:spacing w:line="240" w:lineRule="auto" w:before="56"/>
        <w:ind w:left="476" w:right="982"/>
        <w:jc w:val="left"/>
        <w:rPr>
          <w:b w:val="0"/>
          <w:bCs w:val="0"/>
        </w:rPr>
      </w:pPr>
      <w:r>
        <w:rPr>
          <w:rFonts w:ascii="宋体" w:hAnsi="宋体" w:cs="宋体" w:eastAsia="宋体" w:hint="default"/>
        </w:rPr>
        <w:t>2</w:t>
      </w:r>
      <w:r>
        <w:rPr/>
        <w:t>、铝板复合型防伪印刷和防伪瓶盖业务主要竞争情况</w:t>
      </w:r>
      <w:r>
        <w:rPr>
          <w:b w:val="0"/>
          <w:bCs w:val="0"/>
        </w:rPr>
      </w:r>
    </w:p>
    <w:p>
      <w:pPr>
        <w:spacing w:line="357" w:lineRule="auto" w:before="116"/>
        <w:ind w:left="474" w:right="982" w:hanging="88"/>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）公司在铝板复合型防伪印刷和防伪瓶盖行业的竞争地位</w:t>
      </w:r>
      <w:r>
        <w:rPr>
          <w:rFonts w:ascii="宋体" w:hAnsi="宋体" w:cs="宋体" w:eastAsia="宋体" w:hint="default"/>
          <w:b/>
          <w:bCs/>
          <w:w w:val="99"/>
          <w:sz w:val="18"/>
          <w:szCs w:val="18"/>
        </w:rPr>
        <w:t> </w:t>
      </w:r>
      <w:r>
        <w:rPr>
          <w:rFonts w:ascii="宋体" w:hAnsi="宋体" w:cs="宋体" w:eastAsia="宋体" w:hint="default"/>
          <w:spacing w:val="-10"/>
          <w:sz w:val="18"/>
          <w:szCs w:val="18"/>
        </w:rPr>
        <w:t>公司先后被中国包装联合会评为“中国包装百强企业”、“全国先进包装企业”、“中国包装龙头企业”、“中国</w:t>
      </w:r>
      <w:r>
        <w:rPr>
          <w:rFonts w:ascii="宋体" w:hAnsi="宋体" w:cs="宋体" w:eastAsia="宋体" w:hint="default"/>
          <w:spacing w:val="-10"/>
          <w:sz w:val="18"/>
          <w:szCs w:val="18"/>
        </w:rPr>
        <w:t>200</w:t>
      </w:r>
      <w:r>
        <w:rPr>
          <w:rFonts w:ascii="宋体" w:hAnsi="宋体" w:cs="宋体" w:eastAsia="宋体" w:hint="default"/>
          <w:spacing w:val="-10"/>
          <w:sz w:val="18"/>
          <w:szCs w:val="18"/>
        </w:rPr>
        <w:t>强先进</w:t>
      </w:r>
    </w:p>
    <w:p>
      <w:pPr>
        <w:pStyle w:val="BodyText"/>
        <w:spacing w:line="224" w:lineRule="exact"/>
        <w:ind w:right="982"/>
        <w:jc w:val="left"/>
      </w:pPr>
      <w:r>
        <w:rPr/>
        <w:t>包装企业</w:t>
      </w:r>
      <w:r>
        <w:rPr>
          <w:spacing w:val="-90"/>
        </w:rPr>
        <w:t>”</w:t>
      </w:r>
      <w:r>
        <w:rPr>
          <w:spacing w:val="-14"/>
        </w:rPr>
        <w:t>，</w:t>
      </w:r>
      <w:r>
        <w:rPr/>
        <w:t>并被认定</w:t>
      </w:r>
      <w:r>
        <w:rPr>
          <w:spacing w:val="-14"/>
        </w:rPr>
        <w:t>为</w:t>
      </w:r>
      <w:r>
        <w:rPr/>
        <w:t>“中国包装联合会防伪瓶盖研发中心</w:t>
      </w:r>
      <w:r>
        <w:rPr>
          <w:spacing w:val="-90"/>
        </w:rPr>
        <w:t>”</w:t>
      </w:r>
      <w:r>
        <w:rPr>
          <w:spacing w:val="-14"/>
        </w:rPr>
        <w:t>；</w:t>
      </w:r>
      <w:r>
        <w:rPr/>
        <w:t>先后获</w:t>
      </w:r>
      <w:r>
        <w:rPr>
          <w:spacing w:val="-14"/>
        </w:rPr>
        <w:t>得</w:t>
      </w:r>
      <w:r>
        <w:rPr/>
        <w:t>“全国守合同</w:t>
      </w:r>
      <w:r>
        <w:rPr>
          <w:spacing w:val="-14"/>
        </w:rPr>
        <w:t>、</w:t>
      </w:r>
      <w:r>
        <w:rPr/>
        <w:t>重信用企业</w:t>
      </w:r>
      <w:r>
        <w:rPr>
          <w:spacing w:val="-90"/>
        </w:rPr>
        <w:t>”</w:t>
      </w:r>
      <w:r>
        <w:rPr>
          <w:spacing w:val="-104"/>
        </w:rPr>
        <w:t>、</w:t>
      </w:r>
      <w:r>
        <w:rPr/>
        <w:t>“中国专利山东</w:t>
      </w:r>
      <w:r>
        <w:rPr>
          <w:spacing w:val="-2"/>
        </w:rPr>
        <w:t>明</w:t>
      </w:r>
      <w:r>
        <w:rPr/>
        <w:t>星</w:t>
      </w:r>
    </w:p>
    <w:p>
      <w:pPr>
        <w:pStyle w:val="BodyText"/>
        <w:spacing w:line="319" w:lineRule="auto" w:before="76"/>
        <w:ind w:right="1131"/>
        <w:jc w:val="both"/>
      </w:pPr>
      <w:r>
        <w:rPr/>
        <w:t>企业”等荣誉称号及“山东省专利一等奖</w:t>
      </w:r>
      <w:r>
        <w:rPr>
          <w:spacing w:val="-90"/>
        </w:rPr>
        <w:t>”、</w:t>
      </w:r>
      <w:r>
        <w:rPr/>
        <w:t>“中国专利优秀奖</w:t>
      </w:r>
      <w:r>
        <w:rPr>
          <w:spacing w:val="-90"/>
        </w:rPr>
        <w:t>”</w:t>
      </w:r>
      <w:r>
        <w:rPr/>
        <w:t>。被认定为“国家知识产权示范企业</w:t>
      </w:r>
      <w:r>
        <w:rPr>
          <w:spacing w:val="-90"/>
        </w:rPr>
        <w:t>”、</w:t>
      </w:r>
      <w:r>
        <w:rPr/>
        <w:t>“山东省防伪包装生</w:t>
      </w:r>
      <w:r>
        <w:rPr/>
        <w:t> 产装备工程技术研究中心</w:t>
      </w:r>
      <w:r>
        <w:rPr>
          <w:spacing w:val="-90"/>
        </w:rPr>
        <w:t>”</w:t>
      </w:r>
      <w:r>
        <w:rPr>
          <w:spacing w:val="-111"/>
        </w:rPr>
        <w:t>，</w:t>
      </w:r>
      <w:r>
        <w:rPr/>
        <w:t>“山东省企业技术中心</w:t>
      </w:r>
      <w:r>
        <w:rPr>
          <w:spacing w:val="-90"/>
        </w:rPr>
        <w:t>”</w:t>
      </w:r>
      <w:r>
        <w:rPr>
          <w:spacing w:val="-111"/>
        </w:rPr>
        <w:t>、</w:t>
      </w:r>
      <w:r>
        <w:rPr/>
        <w:t>“中国驰名商标</w:t>
      </w:r>
      <w:r>
        <w:rPr>
          <w:spacing w:val="-90"/>
        </w:rPr>
        <w:t>”</w:t>
      </w:r>
      <w:r>
        <w:rPr>
          <w:spacing w:val="-111"/>
        </w:rPr>
        <w:t>。</w:t>
      </w:r>
      <w:r>
        <w:rPr/>
        <w:t>“丽鹏</w:t>
      </w:r>
      <w:r>
        <w:rPr>
          <w:spacing w:val="-21"/>
        </w:rPr>
        <w:t>”</w:t>
      </w:r>
      <w:r>
        <w:rPr/>
        <w:t>牌防伪瓶盖系列产品被中国包装联合会评定</w:t>
      </w:r>
      <w:r>
        <w:rPr/>
        <w:t> 为“中国包装名牌</w:t>
      </w:r>
      <w:r>
        <w:rPr>
          <w:spacing w:val="-90"/>
        </w:rPr>
        <w:t>”、</w:t>
      </w:r>
      <w:r>
        <w:rPr/>
        <w:t>“中国包装优秀品牌</w:t>
      </w:r>
      <w:r>
        <w:rPr>
          <w:spacing w:val="-90"/>
        </w:rPr>
        <w:t>”</w:t>
      </w:r>
      <w:r>
        <w:rPr/>
        <w:t>。丽鹏公司是中国铝防伪瓶盖、组合式防伪瓶盖行业标准的主要起草单位。</w:t>
      </w:r>
    </w:p>
    <w:p>
      <w:pPr>
        <w:pStyle w:val="BodyText"/>
        <w:spacing w:line="319" w:lineRule="auto" w:before="55"/>
        <w:ind w:right="982" w:firstLine="360"/>
        <w:jc w:val="left"/>
      </w:pPr>
      <w:r>
        <w:rPr>
          <w:spacing w:val="-2"/>
        </w:rPr>
        <w:t>公司自设立以来，产销规模已连续多年占据同行业第一的位置。截至目前，公司各类产品已销往全国二十八个省、自治</w:t>
      </w:r>
      <w:r>
        <w:rPr/>
        <w:t> 区和直辖市，下游酒水饮料行业客户达</w:t>
      </w:r>
      <w:r>
        <w:rPr>
          <w:rFonts w:ascii="宋体" w:hAnsi="宋体" w:cs="宋体" w:eastAsia="宋体" w:hint="default"/>
        </w:rPr>
        <w:t>700</w:t>
      </w:r>
      <w:r>
        <w:rPr/>
        <w:t>余家，主要用于白酒、保健酒、啤酒、葡萄酒、医药、橄榄油、高档饮用水、功 </w:t>
      </w:r>
      <w:r>
        <w:rPr>
          <w:spacing w:val="-8"/>
        </w:rPr>
        <w:t>能性饮品、化妆品等行业产品的包装。包括“北京红星、牛栏山、方庄、燕京啤酒”、“新疆伊力特”、“四川剑南春、泸州老</w:t>
      </w:r>
      <w:r>
        <w:rPr/>
        <w:t> </w:t>
      </w:r>
      <w:r>
        <w:rPr>
          <w:spacing w:val="-17"/>
        </w:rPr>
        <w:t>窖、沱牌、全兴、丰谷”、“山西杏花村、汾阳王”、“湖北劲酒、枝江大曲”、“江苏洋河、双沟”、“江西四特”、“海南椰岛鹿</w:t>
      </w:r>
      <w:r>
        <w:rPr>
          <w:spacing w:val="-77"/>
        </w:rPr>
        <w:t> </w:t>
      </w:r>
      <w:r>
        <w:rPr>
          <w:spacing w:val="-77"/>
        </w:rPr>
      </w:r>
      <w:r>
        <w:rPr>
          <w:spacing w:val="-16"/>
        </w:rPr>
        <w:t>龟”、“湖南金六福、武陵”、“山东兰陵、扳倒井、景芝”、“河北衡水老白干、三井小刀、刘伶醉、板城烧锅、十里香、丛台”、</w:t>
      </w:r>
      <w:r>
        <w:rPr>
          <w:spacing w:val="-40"/>
        </w:rPr>
        <w:t> </w:t>
      </w:r>
      <w:r>
        <w:rPr>
          <w:spacing w:val="-40"/>
        </w:rPr>
      </w:r>
      <w:r>
        <w:rPr>
          <w:spacing w:val="-20"/>
        </w:rPr>
        <w:t>“重庆江小白”、“黑龙江老村长、玉泉”、“辽宁三沟”、“内蒙河套”、“安徽古井贡、金种子、高炉家”、“河南宋河”、“烟台</w:t>
      </w:r>
      <w:r>
        <w:rPr>
          <w:spacing w:val="-57"/>
        </w:rPr>
        <w:t> </w:t>
      </w:r>
      <w:r>
        <w:rPr>
          <w:spacing w:val="-57"/>
        </w:rPr>
      </w:r>
      <w:r>
        <w:rPr>
          <w:spacing w:val="-24"/>
        </w:rPr>
        <w:t>张裕”、“广东蓝带啤酒”、“青岛啤酒”、“燕京啤酒”、“威龙葡萄酒”、“宁夏红”等几十家品牌酒和“广州太阳神”、“安德利”、</w:t>
      </w:r>
      <w:r>
        <w:rPr>
          <w:spacing w:val="-35"/>
        </w:rPr>
        <w:t> </w:t>
      </w:r>
      <w:r>
        <w:rPr>
          <w:spacing w:val="-35"/>
        </w:rPr>
      </w:r>
      <w:r>
        <w:rPr>
          <w:spacing w:val="-26"/>
        </w:rPr>
        <w:t>“吉斯”、“崂山矿泉水”、“大洲新燕”、“忆中品”、“青岛可蓝”、“威海紫光圣果”、“上海巴克斯”、“厦门燕之初健康美燕窝”、</w:t>
      </w:r>
      <w:r>
        <w:rPr>
          <w:spacing w:val="-68"/>
        </w:rPr>
        <w:t> </w:t>
      </w:r>
      <w:r>
        <w:rPr>
          <w:spacing w:val="-68"/>
        </w:rPr>
      </w:r>
      <w:r>
        <w:rPr>
          <w:spacing w:val="-12"/>
        </w:rPr>
        <w:t>“中粮长城”、“养生天下酵素”、“广誉远”等功能饮品以及“恒大粮油”、“加加酱油”。目前，公司防伪瓶盖国内市场占有</w:t>
      </w:r>
      <w:r>
        <w:rPr>
          <w:spacing w:val="-36"/>
        </w:rPr>
        <w:t> </w:t>
      </w:r>
      <w:r>
        <w:rPr>
          <w:spacing w:val="-36"/>
        </w:rPr>
      </w:r>
      <w:r>
        <w:rPr>
          <w:spacing w:val="-2"/>
        </w:rPr>
        <w:t>率稳居第一，并远销美国、俄罗斯、菲律宾、泰国、越南、缅甸、澳大利亚以及非洲、南北美洲等海外市场，广泛应用于白</w:t>
      </w:r>
      <w:r>
        <w:rPr>
          <w:spacing w:val="-69"/>
        </w:rPr>
        <w:t> </w:t>
      </w:r>
      <w:r>
        <w:rPr>
          <w:spacing w:val="-69"/>
        </w:rPr>
      </w:r>
      <w:r>
        <w:rPr/>
        <w:t>兰地、威士忌、葡萄酒、橄榄油、饮料、药品等行业。</w:t>
      </w:r>
    </w:p>
    <w:p>
      <w:pPr>
        <w:spacing w:line="360" w:lineRule="auto" w:before="56"/>
        <w:ind w:left="474" w:right="560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）公司在铝板复合型防伪印刷和防伪瓶盖行业的竞争优势</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）一条龙服务优势</w:t>
      </w:r>
    </w:p>
    <w:p>
      <w:pPr>
        <w:pStyle w:val="BodyText"/>
        <w:spacing w:line="319" w:lineRule="auto" w:before="25"/>
        <w:ind w:right="1131" w:firstLine="360"/>
        <w:jc w:val="both"/>
      </w:pPr>
      <w:r>
        <w:rPr>
          <w:spacing w:val="-2"/>
        </w:rPr>
        <w:t>公司业务涵盖了防伪瓶盖制造领域的各个业务环节，包括铝板复合型防伪印刷、瓶盖制造、制盖机械及模具制造、产品</w:t>
      </w:r>
      <w:r>
        <w:rPr/>
        <w:t> </w:t>
      </w:r>
      <w:r>
        <w:rPr>
          <w:spacing w:val="-2"/>
        </w:rPr>
        <w:t>技术研发和售后技术服务为一体的一条龙服务，已形成制盖行业中完整的业务体系。近年来，下游客户对供应商的要求不断</w:t>
      </w:r>
      <w:r>
        <w:rPr>
          <w:spacing w:val="-66"/>
        </w:rPr>
        <w:t> </w:t>
      </w:r>
      <w:r>
        <w:rPr>
          <w:spacing w:val="-66"/>
        </w:rPr>
      </w:r>
      <w:r>
        <w:rPr>
          <w:spacing w:val="-2"/>
        </w:rPr>
        <w:t>向“高质量、低成本、短交货期”发展。公司充分发挥从设计制版、复合型防伪印刷、模具制造、瓶盖加工一条龙服务的优</w:t>
      </w:r>
      <w:r>
        <w:rPr>
          <w:spacing w:val="-67"/>
        </w:rPr>
        <w:t> </w:t>
      </w:r>
      <w:r>
        <w:rPr>
          <w:spacing w:val="-67"/>
        </w:rPr>
      </w:r>
      <w:r>
        <w:rPr>
          <w:spacing w:val="-2"/>
        </w:rPr>
        <w:t>势，快速、高效地为下游客户提供“一站式”服务，特别是在新样品设计制作、</w:t>
      </w:r>
      <w:r>
        <w:rPr>
          <w:rFonts w:ascii="宋体" w:hAnsi="宋体" w:cs="宋体" w:eastAsia="宋体" w:hint="default"/>
          <w:spacing w:val="-2"/>
        </w:rPr>
        <w:t>3D</w:t>
      </w:r>
      <w:r>
        <w:rPr>
          <w:spacing w:val="-2"/>
        </w:rPr>
        <w:t>设计效果演示、突发订单生产等方面发挥</w:t>
      </w:r>
      <w:r>
        <w:rPr>
          <w:spacing w:val="-67"/>
        </w:rPr>
        <w:t> </w:t>
      </w:r>
      <w:r>
        <w:rPr>
          <w:spacing w:val="-67"/>
        </w:rPr>
      </w:r>
      <w:r>
        <w:rPr>
          <w:spacing w:val="-2"/>
        </w:rPr>
        <w:t>了其他企业无法比拟的优势，切实解决了客户技术难题和燃眉之急。同时公司防伪瓶盖品种齐全，能满足客户对不同防伪瓶</w:t>
      </w:r>
      <w:r>
        <w:rPr>
          <w:spacing w:val="-65"/>
        </w:rPr>
        <w:t> </w:t>
      </w:r>
      <w:r>
        <w:rPr>
          <w:spacing w:val="-65"/>
        </w:rPr>
      </w:r>
      <w:r>
        <w:rPr/>
        <w:t>盖的需求。</w:t>
      </w:r>
    </w:p>
    <w:p>
      <w:pPr>
        <w:pStyle w:val="BodyText"/>
        <w:spacing w:line="319" w:lineRule="auto" w:before="55"/>
        <w:ind w:right="1133" w:firstLine="360"/>
        <w:jc w:val="both"/>
      </w:pPr>
      <w:r>
        <w:rPr>
          <w:spacing w:val="-2"/>
        </w:rPr>
        <w:t>公司完整的产业链不但为下游客户提供了优质、快速的服务，而且还为同行业其他厂家提供从铝板复合型防伪印刷、机</w:t>
      </w:r>
      <w:r>
        <w:rPr/>
        <w:t> </w:t>
      </w:r>
      <w:r>
        <w:rPr>
          <w:spacing w:val="-2"/>
        </w:rPr>
        <w:t>械模具等产品到技术服务等全方位服务，拓宽了公司的业务发展空间，有利于形成新的业绩增长点，进一步巩固公司在同行</w:t>
      </w:r>
      <w:r>
        <w:rPr>
          <w:spacing w:val="-66"/>
        </w:rPr>
        <w:t> </w:t>
      </w:r>
      <w:r>
        <w:rPr>
          <w:spacing w:val="-66"/>
        </w:rPr>
      </w:r>
      <w:r>
        <w:rPr/>
        <w:t>业的领先地位。</w:t>
      </w:r>
    </w:p>
    <w:p>
      <w:pPr>
        <w:pStyle w:val="BodyText"/>
        <w:spacing w:line="357" w:lineRule="auto" w:before="58"/>
        <w:ind w:left="474" w:right="982"/>
        <w:jc w:val="left"/>
      </w:pPr>
      <w:r>
        <w:rPr>
          <w:rFonts w:ascii="宋体" w:hAnsi="宋体" w:cs="宋体" w:eastAsia="宋体" w:hint="default"/>
        </w:rPr>
        <w:t>2</w:t>
      </w:r>
      <w:r>
        <w:rPr/>
        <w:t>）装备优势 </w:t>
      </w:r>
      <w:r>
        <w:rPr>
          <w:spacing w:val="-2"/>
        </w:rPr>
        <w:t>公司拥有国际、国内同行业最先进的生产设备。在铝板复合型防伪印刷环节，公司从国外引进了先进生产线，如意大利</w:t>
      </w:r>
    </w:p>
    <w:p>
      <w:pPr>
        <w:spacing w:after="0" w:line="357"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right="1032"/>
        <w:jc w:val="left"/>
      </w:pPr>
      <w:r>
        <w:rPr>
          <w:rFonts w:ascii="宋体" w:hAnsi="宋体" w:cs="宋体" w:eastAsia="宋体" w:hint="default"/>
          <w:spacing w:val="-2"/>
        </w:rPr>
        <w:t>OMSO</w:t>
      </w:r>
      <w:r>
        <w:rPr>
          <w:spacing w:val="-2"/>
        </w:rPr>
        <w:t>公司和</w:t>
      </w:r>
      <w:r>
        <w:rPr>
          <w:rFonts w:ascii="宋体" w:hAnsi="宋体" w:cs="宋体" w:eastAsia="宋体" w:hint="default"/>
          <w:spacing w:val="-2"/>
        </w:rPr>
        <w:t>CALF</w:t>
      </w:r>
      <w:r>
        <w:rPr>
          <w:spacing w:val="-2"/>
        </w:rPr>
        <w:t>公司的滚涂滚印机，与国外制盖同行装备实力相当；实现了大面积精印，印刷水平与国外同行基本相当，部</w:t>
      </w:r>
      <w:r>
        <w:rPr>
          <w:spacing w:val="-58"/>
        </w:rPr>
        <w:t> </w:t>
      </w:r>
      <w:r>
        <w:rPr>
          <w:spacing w:val="-58"/>
        </w:rPr>
      </w:r>
      <w:r>
        <w:rPr>
          <w:spacing w:val="-4"/>
        </w:rPr>
        <w:t>分高端产品的印刷质量甚至优于国外产品。在瓶盖冲制环节，公司拥有国内外同行业中自动化程度最高的铝防伪瓶盖生产线，</w:t>
      </w:r>
      <w:r>
        <w:rPr>
          <w:spacing w:val="-44"/>
        </w:rPr>
        <w:t> </w:t>
      </w:r>
      <w:r>
        <w:rPr>
          <w:spacing w:val="-44"/>
        </w:rPr>
      </w:r>
      <w:r>
        <w:rPr/>
        <w:t>例如意大利</w:t>
      </w:r>
      <w:r>
        <w:rPr>
          <w:rFonts w:ascii="宋体" w:hAnsi="宋体" w:cs="宋体" w:eastAsia="宋体" w:hint="default"/>
        </w:rPr>
        <w:t>SACMI</w:t>
      </w:r>
      <w:r>
        <w:rPr/>
        <w:t>线、马卡生产线、</w:t>
      </w:r>
      <w:r>
        <w:rPr>
          <w:rFonts w:ascii="宋体" w:hAnsi="宋体" w:cs="宋体" w:eastAsia="宋体" w:hint="default"/>
        </w:rPr>
        <w:t>BK</w:t>
      </w:r>
      <w:r>
        <w:rPr/>
        <w:t>生产线，同时还拥有具有独立知识产权的</w:t>
      </w:r>
      <w:r>
        <w:rPr>
          <w:rFonts w:ascii="宋体" w:hAnsi="宋体" w:cs="宋体" w:eastAsia="宋体" w:hint="default"/>
        </w:rPr>
        <w:t>10</w:t>
      </w:r>
      <w:r>
        <w:rPr/>
        <w:t>头全自动高速瓶盖生产线，拥有与山东大 </w:t>
      </w:r>
      <w:r>
        <w:rPr>
          <w:spacing w:val="-2"/>
        </w:rPr>
        <w:t>学共同开发研制的铝质瓶盖自动检测线，及适应各种规格瓶盖的数控冲床、多头全自动滚轧机和多头全自动加垫机等先进设</w:t>
      </w:r>
      <w:r>
        <w:rPr>
          <w:spacing w:val="-64"/>
        </w:rPr>
        <w:t> </w:t>
      </w:r>
      <w:r>
        <w:rPr>
          <w:spacing w:val="-64"/>
        </w:rPr>
      </w:r>
      <w:r>
        <w:rPr/>
        <w:t>备。公司是国内同行业中首家引进、采用物理发泡生产线生产垫片、全球唯一一家引进柔印机进行印刷的企业。报告期内， 公司引进</w:t>
      </w:r>
      <w:r>
        <w:rPr>
          <w:rFonts w:ascii="宋体" w:hAnsi="宋体" w:cs="宋体" w:eastAsia="宋体" w:hint="default"/>
        </w:rPr>
        <w:t>2838</w:t>
      </w:r>
      <w:r>
        <w:rPr/>
        <w:t>口</w:t>
      </w:r>
      <w:r>
        <w:rPr>
          <w:rFonts w:ascii="宋体" w:hAnsi="宋体" w:cs="宋体" w:eastAsia="宋体" w:hint="default"/>
        </w:rPr>
        <w:t>SCAMI</w:t>
      </w:r>
      <w:r>
        <w:rPr/>
        <w:t>线，北大方正高速赋码设备的陆续到位，公司加大对</w:t>
      </w:r>
      <w:r>
        <w:rPr>
          <w:rFonts w:ascii="宋体" w:hAnsi="宋体" w:cs="宋体" w:eastAsia="宋体" w:hint="default"/>
        </w:rPr>
        <w:t>28</w:t>
      </w:r>
      <w:r>
        <w:rPr/>
        <w:t>口、</w:t>
      </w:r>
      <w:r>
        <w:rPr>
          <w:rFonts w:ascii="宋体" w:hAnsi="宋体" w:cs="宋体" w:eastAsia="宋体" w:hint="default"/>
        </w:rPr>
        <w:t>38</w:t>
      </w:r>
      <w:r>
        <w:rPr/>
        <w:t>口及二维码盖投入力度，公司在实施规 模化生产的优势更加明显。</w:t>
      </w:r>
    </w:p>
    <w:p>
      <w:pPr>
        <w:pStyle w:val="BodyText"/>
        <w:spacing w:line="357" w:lineRule="auto" w:before="56"/>
        <w:ind w:left="474" w:right="1117"/>
        <w:jc w:val="left"/>
      </w:pPr>
      <w:r>
        <w:rPr>
          <w:rFonts w:ascii="宋体" w:hAnsi="宋体" w:cs="宋体" w:eastAsia="宋体" w:hint="default"/>
        </w:rPr>
        <w:t>3</w:t>
      </w:r>
      <w:r>
        <w:rPr/>
        <w:t>）技术创新优势 </w:t>
      </w:r>
      <w:r>
        <w:rPr>
          <w:spacing w:val="-5"/>
        </w:rPr>
        <w:t>创新是引领发展的第一动力，是建设现代化经济体系的战略支撑，创新是公司取得不断发展的巨大推动力。公司提倡“奉</w:t>
      </w:r>
    </w:p>
    <w:p>
      <w:pPr>
        <w:pStyle w:val="BodyText"/>
        <w:spacing w:line="224" w:lineRule="exact"/>
        <w:ind w:right="982"/>
        <w:jc w:val="left"/>
      </w:pPr>
      <w:r>
        <w:rPr/>
        <w:t>献</w:t>
      </w:r>
      <w:r>
        <w:rPr>
          <w:spacing w:val="-9"/>
        </w:rPr>
        <w:t>·</w:t>
      </w:r>
      <w:r>
        <w:rPr/>
        <w:t>创新</w:t>
      </w:r>
      <w:r>
        <w:rPr>
          <w:spacing w:val="-9"/>
        </w:rPr>
        <w:t>”</w:t>
      </w:r>
      <w:r>
        <w:rPr/>
        <w:t>精神</w:t>
      </w:r>
      <w:r>
        <w:rPr>
          <w:spacing w:val="-99"/>
        </w:rPr>
        <w:t>，</w:t>
      </w:r>
      <w:r>
        <w:rPr/>
        <w:t>“敬佩成功</w:t>
      </w:r>
      <w:r>
        <w:rPr>
          <w:spacing w:val="-9"/>
        </w:rPr>
        <w:t>、</w:t>
      </w:r>
      <w:r>
        <w:rPr/>
        <w:t>鼓励冒险</w:t>
      </w:r>
      <w:r>
        <w:rPr>
          <w:spacing w:val="-9"/>
        </w:rPr>
        <w:t>、</w:t>
      </w:r>
      <w:r>
        <w:rPr/>
        <w:t>宽容失败</w:t>
      </w:r>
      <w:r>
        <w:rPr>
          <w:spacing w:val="-90"/>
        </w:rPr>
        <w:t>”</w:t>
      </w:r>
      <w:r>
        <w:rPr>
          <w:spacing w:val="-9"/>
        </w:rPr>
        <w:t>，</w:t>
      </w:r>
      <w:r>
        <w:rPr/>
        <w:t>做到用人所长</w:t>
      </w:r>
      <w:r>
        <w:rPr>
          <w:spacing w:val="-9"/>
        </w:rPr>
        <w:t>、</w:t>
      </w:r>
      <w:r>
        <w:rPr/>
        <w:t>用人所愿</w:t>
      </w:r>
      <w:r>
        <w:rPr>
          <w:spacing w:val="-9"/>
        </w:rPr>
        <w:t>、</w:t>
      </w:r>
      <w:r>
        <w:rPr/>
        <w:t>人尽其才</w:t>
      </w:r>
      <w:r>
        <w:rPr>
          <w:spacing w:val="-9"/>
        </w:rPr>
        <w:t>。</w:t>
      </w:r>
      <w:r>
        <w:rPr/>
        <w:t>公司从经营理念</w:t>
      </w:r>
      <w:r>
        <w:rPr>
          <w:spacing w:val="-9"/>
        </w:rPr>
        <w:t>、</w:t>
      </w:r>
      <w:r>
        <w:rPr/>
        <w:t>管理制</w:t>
      </w:r>
      <w:r>
        <w:rPr>
          <w:spacing w:val="1"/>
        </w:rPr>
        <w:t>度</w:t>
      </w:r>
      <w:r>
        <w:rPr/>
        <w:t>和</w:t>
      </w:r>
    </w:p>
    <w:p>
      <w:pPr>
        <w:pStyle w:val="BodyText"/>
        <w:spacing w:line="319" w:lineRule="auto" w:before="76"/>
        <w:ind w:right="1029"/>
        <w:jc w:val="left"/>
      </w:pPr>
      <w:r>
        <w:rPr>
          <w:spacing w:val="-2"/>
        </w:rPr>
        <w:t>激励机制等方面营造了鼓励全员创新的氛围，建立了基层一线技术人员、研发中心与科研院所、高等院校开展合作的多层次</w:t>
      </w:r>
      <w:r>
        <w:rPr>
          <w:spacing w:val="-66"/>
        </w:rPr>
        <w:t> </w:t>
      </w:r>
      <w:r>
        <w:rPr>
          <w:spacing w:val="-66"/>
        </w:rPr>
      </w:r>
      <w:r>
        <w:rPr>
          <w:spacing w:val="-2"/>
        </w:rPr>
        <w:t>的研发体系。在多年的生产实践中，公司围绕着瓶盖生产过程所涉及的各个技术环节，进行了不断的改进与革新。引领同行</w:t>
      </w:r>
      <w:r>
        <w:rPr>
          <w:spacing w:val="-66"/>
        </w:rPr>
        <w:t> </w:t>
      </w:r>
      <w:r>
        <w:rPr>
          <w:spacing w:val="-66"/>
        </w:rPr>
      </w:r>
      <w:r>
        <w:rPr>
          <w:spacing w:val="-2"/>
        </w:rPr>
        <w:t>业先进水平和技术潮流。</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日，公司被山东省科技厅认定为“山东省防伪包装生产装备工程技术研究中心”。公</w:t>
      </w:r>
      <w:r>
        <w:rPr>
          <w:spacing w:val="-64"/>
        </w:rPr>
        <w:t> </w:t>
      </w:r>
      <w:r>
        <w:rPr>
          <w:spacing w:val="-64"/>
        </w:rPr>
      </w:r>
      <w:r>
        <w:rPr>
          <w:spacing w:val="-3"/>
        </w:rPr>
        <w:t>司还被山东省科技厅、山东省知识产权局评为“中国专利山东明星企业”。</w:t>
      </w: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9</w:t>
      </w:r>
      <w:r>
        <w:rPr>
          <w:spacing w:val="-3"/>
        </w:rPr>
        <w:t>日，公司被山东省经济和信息化委员</w:t>
      </w:r>
      <w:r>
        <w:rPr/>
        <w:t> </w:t>
      </w:r>
      <w:r>
        <w:rPr>
          <w:spacing w:val="-2"/>
        </w:rPr>
        <w:t>会认定为山东省第十八批企业技术中心。多年来的持续创新使公司在同行业始终处于领先地位。</w:t>
      </w:r>
      <w:r>
        <w:rPr>
          <w:rFonts w:ascii="宋体" w:hAnsi="宋体" w:cs="宋体" w:eastAsia="宋体" w:hint="default"/>
          <w:spacing w:val="-2"/>
        </w:rPr>
        <w:t>2010</w:t>
      </w:r>
      <w:r>
        <w:rPr>
          <w:spacing w:val="-2"/>
        </w:rPr>
        <w:t>年</w:t>
      </w:r>
      <w:r>
        <w:rPr>
          <w:rFonts w:ascii="宋体" w:hAnsi="宋体" w:cs="宋体" w:eastAsia="宋体" w:hint="default"/>
          <w:spacing w:val="-2"/>
        </w:rPr>
        <w:t>11</w:t>
      </w:r>
      <w:r>
        <w:rPr>
          <w:spacing w:val="-2"/>
        </w:rPr>
        <w:t>月，公司被山东省</w:t>
      </w:r>
      <w:r>
        <w:rPr>
          <w:spacing w:val="-59"/>
        </w:rPr>
        <w:t> </w:t>
      </w:r>
      <w:r>
        <w:rPr>
          <w:spacing w:val="-59"/>
        </w:rPr>
      </w:r>
      <w:r>
        <w:rPr>
          <w:spacing w:val="-3"/>
        </w:rPr>
        <w:t>科学技术厅、山东省知识产权局认定为山东明星企业。</w:t>
      </w:r>
      <w:r>
        <w:rPr>
          <w:rFonts w:ascii="宋体" w:hAnsi="宋体" w:cs="宋体" w:eastAsia="宋体" w:hint="default"/>
          <w:spacing w:val="-3"/>
        </w:rPr>
        <w:t>2014</w:t>
      </w:r>
      <w:r>
        <w:rPr>
          <w:spacing w:val="-3"/>
        </w:rPr>
        <w:t>年</w:t>
      </w:r>
      <w:r>
        <w:rPr>
          <w:rFonts w:ascii="宋体" w:hAnsi="宋体" w:cs="宋体" w:eastAsia="宋体" w:hint="default"/>
          <w:spacing w:val="-3"/>
        </w:rPr>
        <w:t>9</w:t>
      </w:r>
      <w:r>
        <w:rPr>
          <w:spacing w:val="-3"/>
        </w:rPr>
        <w:t>月，公司使用在商品包装上注册证号为</w:t>
      </w:r>
      <w:r>
        <w:rPr>
          <w:rFonts w:ascii="宋体" w:hAnsi="宋体" w:cs="宋体" w:eastAsia="宋体" w:hint="default"/>
          <w:spacing w:val="-3"/>
        </w:rPr>
        <w:t>1221990</w:t>
      </w:r>
      <w:r>
        <w:rPr>
          <w:spacing w:val="-3"/>
        </w:rPr>
        <w:t>的“丽鹏及图”</w:t>
      </w:r>
      <w:r>
        <w:rPr>
          <w:spacing w:val="-82"/>
        </w:rPr>
        <w:t> </w:t>
      </w:r>
      <w:r>
        <w:rPr>
          <w:spacing w:val="-82"/>
        </w:rPr>
      </w:r>
      <w:r>
        <w:rPr>
          <w:spacing w:val="-8"/>
        </w:rPr>
        <w:t>商标被国家工商行政管理总局认定为“中国驰名商标”。</w:t>
      </w:r>
      <w:r>
        <w:rPr>
          <w:rFonts w:ascii="宋体" w:hAnsi="宋体" w:cs="宋体" w:eastAsia="宋体" w:hint="default"/>
          <w:spacing w:val="-8"/>
        </w:rPr>
        <w:t>2010</w:t>
      </w:r>
      <w:r>
        <w:rPr>
          <w:spacing w:val="-8"/>
        </w:rPr>
        <w:t>年</w:t>
      </w:r>
      <w:r>
        <w:rPr>
          <w:rFonts w:ascii="宋体" w:hAnsi="宋体" w:cs="宋体" w:eastAsia="宋体" w:hint="default"/>
          <w:spacing w:val="-8"/>
        </w:rPr>
        <w:t>12</w:t>
      </w:r>
      <w:r>
        <w:rPr>
          <w:spacing w:val="-8"/>
        </w:rPr>
        <w:t>月，公司“全自动瓶盖装箱机”被中国包装联合会评为“</w:t>
      </w:r>
      <w:r>
        <w:rPr>
          <w:rFonts w:ascii="宋体" w:hAnsi="宋体" w:cs="宋体" w:eastAsia="宋体" w:hint="default"/>
          <w:spacing w:val="-8"/>
        </w:rPr>
        <w:t>2010</w:t>
      </w:r>
      <w:r>
        <w:rPr>
          <w:rFonts w:ascii="宋体" w:hAnsi="宋体" w:cs="宋体" w:eastAsia="宋体" w:hint="default"/>
          <w:spacing w:val="-46"/>
        </w:rPr>
        <w:t> </w:t>
      </w:r>
      <w:r>
        <w:rPr>
          <w:spacing w:val="-3"/>
        </w:rPr>
        <w:t>中国包装科技创新优秀奖”。</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28</w:t>
      </w:r>
      <w:r>
        <w:rPr>
          <w:spacing w:val="-3"/>
        </w:rPr>
        <w:t>日，公司通过了知识产权管理体系认证。</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月被中国包装联合会授予“中国</w:t>
      </w:r>
      <w:r>
        <w:rPr>
          <w:spacing w:val="-81"/>
        </w:rPr>
        <w:t> </w:t>
      </w:r>
      <w:r>
        <w:rPr>
          <w:spacing w:val="-81"/>
        </w:rPr>
      </w:r>
      <w:r>
        <w:rPr>
          <w:spacing w:val="-3"/>
        </w:rPr>
        <w:t>包装优秀研发中心”荣誉称号。</w:t>
      </w:r>
      <w:r>
        <w:rPr>
          <w:rFonts w:ascii="宋体" w:hAnsi="宋体" w:cs="宋体" w:eastAsia="宋体" w:hint="default"/>
          <w:spacing w:val="-3"/>
        </w:rPr>
        <w:t>2017</w:t>
      </w:r>
      <w:r>
        <w:rPr>
          <w:spacing w:val="-3"/>
        </w:rPr>
        <w:t>年</w:t>
      </w:r>
      <w:r>
        <w:rPr>
          <w:rFonts w:ascii="宋体" w:hAnsi="宋体" w:cs="宋体" w:eastAsia="宋体" w:hint="default"/>
          <w:spacing w:val="-3"/>
        </w:rPr>
        <w:t>11</w:t>
      </w:r>
      <w:r>
        <w:rPr>
          <w:spacing w:val="-3"/>
        </w:rPr>
        <w:t>月，公司“二维码</w:t>
      </w:r>
      <w:r>
        <w:rPr>
          <w:rFonts w:ascii="宋体" w:hAnsi="宋体" w:cs="宋体" w:eastAsia="宋体" w:hint="default"/>
          <w:spacing w:val="-3"/>
        </w:rPr>
        <w:t>PE</w:t>
      </w:r>
      <w:r>
        <w:rPr>
          <w:spacing w:val="-3"/>
        </w:rPr>
        <w:t>板材喷印工艺及创新”项目获中国包装联合会科学技术三等奖；</w:t>
      </w:r>
      <w:r>
        <w:rPr>
          <w:spacing w:val="-87"/>
        </w:rPr>
        <w:t> </w:t>
      </w:r>
      <w:r>
        <w:rPr>
          <w:spacing w:val="-87"/>
        </w:rPr>
      </w:r>
      <w:r>
        <w:rPr>
          <w:spacing w:val="-2"/>
        </w:rPr>
        <w:t>公司被中国包装联合会评为“中国包装百强企业”。</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月，获得中国印刷技术协会凹版印刷分会颁发的“凌云杯”包</w:t>
      </w:r>
      <w:r>
        <w:rPr>
          <w:spacing w:val="-66"/>
        </w:rPr>
        <w:t> </w:t>
      </w:r>
      <w:r>
        <w:rPr/>
        <w:t>装印刷技术创新作品大奖、包装印刷作品大奖赛一等奖。</w:t>
      </w:r>
    </w:p>
    <w:p>
      <w:pPr>
        <w:pStyle w:val="BodyText"/>
        <w:spacing w:line="357" w:lineRule="auto" w:before="56"/>
        <w:ind w:left="474" w:right="1122"/>
        <w:jc w:val="left"/>
      </w:pPr>
      <w:r>
        <w:rPr>
          <w:rFonts w:ascii="宋体" w:hAnsi="宋体" w:cs="宋体" w:eastAsia="宋体" w:hint="default"/>
          <w:spacing w:val="-7"/>
        </w:rPr>
        <w:t>4</w:t>
      </w:r>
      <w:r>
        <w:rPr>
          <w:spacing w:val="-7"/>
        </w:rPr>
        <w:t>）“互联网</w:t>
      </w:r>
      <w:r>
        <w:rPr>
          <w:rFonts w:ascii="宋体" w:hAnsi="宋体" w:cs="宋体" w:eastAsia="宋体" w:hint="default"/>
          <w:spacing w:val="-7"/>
        </w:rPr>
        <w:t>+</w:t>
      </w:r>
      <w:r>
        <w:rPr>
          <w:spacing w:val="-7"/>
        </w:rPr>
        <w:t>”制造业的优势</w:t>
      </w:r>
      <w:r>
        <w:rPr>
          <w:spacing w:val="-82"/>
        </w:rPr>
        <w:t> </w:t>
      </w:r>
      <w:r>
        <w:rPr/>
        <w:t>科技时代，二维码广泛应用在各个领域。二维码具有存储信息量大、容错能力强、译码可靠程度高等特点。 在国内，假酒横行一直是困扰着酒企，影响着消费者的食品安全和生命健康。丽鹏股份现有客户</w:t>
      </w:r>
      <w:r>
        <w:rPr>
          <w:rFonts w:ascii="宋体" w:hAnsi="宋体" w:cs="宋体" w:eastAsia="宋体" w:hint="default"/>
        </w:rPr>
        <w:t>700</w:t>
      </w:r>
      <w:r>
        <w:rPr/>
        <w:t>余家，年瓶盖产量</w:t>
      </w:r>
    </w:p>
    <w:p>
      <w:pPr>
        <w:pStyle w:val="BodyText"/>
        <w:spacing w:line="224" w:lineRule="exact"/>
        <w:ind w:right="982"/>
        <w:jc w:val="left"/>
      </w:pPr>
      <w:r>
        <w:rPr/>
        <w:t>高达</w:t>
      </w:r>
      <w:r>
        <w:rPr>
          <w:rFonts w:ascii="宋体" w:hAnsi="宋体" w:cs="宋体" w:eastAsia="宋体" w:hint="default"/>
        </w:rPr>
        <w:t>20</w:t>
      </w:r>
      <w:r>
        <w:rPr/>
        <w:t>亿余只，通过在防伪瓶盖内外印刷二维码，为客户提供防伪打假、产品追溯、防窜货等增值服务，同时利用互联网平</w:t>
      </w:r>
    </w:p>
    <w:p>
      <w:pPr>
        <w:pStyle w:val="BodyText"/>
        <w:spacing w:line="319" w:lineRule="auto" w:before="76"/>
        <w:ind w:right="982"/>
        <w:jc w:val="left"/>
      </w:pPr>
      <w:r>
        <w:rPr>
          <w:spacing w:val="-2"/>
        </w:rPr>
        <w:t>台，发挥现有的客户渠道资源优势，向客户提供整合营销和数据分析处理等商品流、数据流和信息流等方向转化，实现由传</w:t>
      </w:r>
      <w:r>
        <w:rPr>
          <w:spacing w:val="-66"/>
        </w:rPr>
        <w:t> </w:t>
      </w:r>
      <w:r>
        <w:rPr>
          <w:spacing w:val="-66"/>
        </w:rPr>
      </w:r>
      <w:r>
        <w:rPr/>
        <w:t>统制造业向“互联网</w:t>
      </w:r>
      <w:r>
        <w:rPr>
          <w:rFonts w:ascii="宋体" w:hAnsi="宋体" w:cs="宋体" w:eastAsia="宋体" w:hint="default"/>
        </w:rPr>
        <w:t>+</w:t>
      </w:r>
      <w:r>
        <w:rPr/>
        <w:t>制造业”的转型，在实现相应的经济效益的同时，为人民百姓的食品安全保驾护航。</w:t>
      </w:r>
    </w:p>
    <w:p>
      <w:pPr>
        <w:pStyle w:val="BodyText"/>
        <w:spacing w:line="357" w:lineRule="auto" w:before="56"/>
        <w:ind w:left="474" w:right="982"/>
        <w:jc w:val="left"/>
      </w:pPr>
      <w:r>
        <w:rPr>
          <w:rFonts w:ascii="宋体" w:hAnsi="宋体" w:cs="宋体" w:eastAsia="宋体" w:hint="default"/>
        </w:rPr>
        <w:t>5</w:t>
      </w:r>
      <w:r>
        <w:rPr/>
        <w:t>）占据国内铝板复合型防伪印刷制高点的战略优势 公司是国内同行业中规模最大的铝板复合型防伪印刷企业，其生产规模占据同行业</w:t>
      </w:r>
      <w:r>
        <w:rPr>
          <w:rFonts w:ascii="宋体" w:hAnsi="宋体" w:cs="宋体" w:eastAsia="宋体" w:hint="default"/>
        </w:rPr>
        <w:t>30%</w:t>
      </w:r>
      <w:r>
        <w:rPr/>
        <w:t>左右的市场份额。 </w:t>
      </w:r>
      <w:r>
        <w:rPr>
          <w:spacing w:val="-2"/>
        </w:rPr>
        <w:t>铝板复合型防伪印刷是生产铝防伪瓶盖的中间环节，由于我国铝板防伪印刷设备尚依赖于从国外进口以及所存在的资金</w:t>
      </w:r>
    </w:p>
    <w:p>
      <w:pPr>
        <w:pStyle w:val="BodyText"/>
        <w:spacing w:line="224" w:lineRule="exact"/>
        <w:ind w:right="982"/>
        <w:jc w:val="left"/>
      </w:pPr>
      <w:r>
        <w:rPr/>
        <w:t>与技术壁垒等因素，我国仅有少数制盖企业拥有铝板防伪印刷装备。公司在为下游行业提供瓶盖产品的同时，为同行业其他</w:t>
      </w:r>
    </w:p>
    <w:p>
      <w:pPr>
        <w:pStyle w:val="BodyText"/>
        <w:spacing w:line="319" w:lineRule="auto" w:before="76"/>
        <w:ind w:right="982"/>
        <w:jc w:val="left"/>
      </w:pPr>
      <w:r>
        <w:rPr>
          <w:spacing w:val="-2"/>
        </w:rPr>
        <w:t>制盖企业提供防伪印刷铝板，有利于调节和稳定防伪印刷铝板的市场供应，进一步增强公司在同行业中的影响力，战略优势</w:t>
      </w:r>
      <w:r>
        <w:rPr>
          <w:spacing w:val="-66"/>
        </w:rPr>
        <w:t> </w:t>
      </w:r>
      <w:r>
        <w:rPr>
          <w:spacing w:val="-66"/>
        </w:rPr>
      </w:r>
      <w:r>
        <w:rPr/>
        <w:t>明显。</w:t>
      </w:r>
    </w:p>
    <w:p>
      <w:pPr>
        <w:pStyle w:val="BodyText"/>
        <w:spacing w:line="357" w:lineRule="auto" w:before="56"/>
        <w:ind w:left="474" w:right="982"/>
        <w:jc w:val="left"/>
      </w:pPr>
      <w:r>
        <w:rPr>
          <w:rFonts w:ascii="宋体" w:hAnsi="宋体" w:cs="宋体" w:eastAsia="宋体" w:hint="default"/>
        </w:rPr>
        <w:t>6</w:t>
      </w:r>
      <w:r>
        <w:rPr/>
        <w:t>）品牌及客户资源优势 </w:t>
      </w:r>
      <w:r>
        <w:rPr>
          <w:spacing w:val="-2"/>
        </w:rPr>
        <w:t>多年来，公司致力于为国内大型酿酒企业提供封装用防伪瓶盖。截至目前，公司各类产品已销往全国二十八个省、自治</w:t>
      </w:r>
    </w:p>
    <w:p>
      <w:pPr>
        <w:pStyle w:val="BodyText"/>
        <w:spacing w:line="224" w:lineRule="exact"/>
        <w:ind w:right="982"/>
        <w:jc w:val="left"/>
      </w:pPr>
      <w:r>
        <w:rPr/>
        <w:t>区和直辖市，下游酒水饮料行业客户达</w:t>
      </w:r>
      <w:r>
        <w:rPr>
          <w:rFonts w:ascii="宋体" w:hAnsi="宋体" w:cs="宋体" w:eastAsia="宋体" w:hint="default"/>
        </w:rPr>
        <w:t>700</w:t>
      </w:r>
      <w:r>
        <w:rPr/>
        <w:t>余家，主要用于白酒、保健酒、啤酒、葡萄酒、医药、橄榄油、高档饮用水、功</w:t>
      </w:r>
    </w:p>
    <w:p>
      <w:pPr>
        <w:pStyle w:val="BodyText"/>
        <w:spacing w:line="319" w:lineRule="auto" w:before="76"/>
        <w:ind w:right="1025"/>
        <w:jc w:val="left"/>
      </w:pPr>
      <w:r>
        <w:rPr/>
        <w:t>能性饮品</w:t>
      </w:r>
      <w:r>
        <w:rPr>
          <w:spacing w:val="-10"/>
        </w:rPr>
        <w:t>、</w:t>
      </w:r>
      <w:r>
        <w:rPr/>
        <w:t>化妆品等行业产品的包装</w:t>
      </w:r>
      <w:r>
        <w:rPr>
          <w:spacing w:val="-10"/>
        </w:rPr>
        <w:t>。</w:t>
      </w:r>
      <w:r>
        <w:rPr/>
        <w:t>包</w:t>
      </w:r>
      <w:r>
        <w:rPr>
          <w:spacing w:val="-10"/>
        </w:rPr>
        <w:t>括</w:t>
      </w:r>
      <w:r>
        <w:rPr/>
        <w:t>“北京红星</w:t>
      </w:r>
      <w:r>
        <w:rPr>
          <w:spacing w:val="-10"/>
        </w:rPr>
        <w:t>、</w:t>
      </w:r>
      <w:r>
        <w:rPr/>
        <w:t>牛栏山</w:t>
      </w:r>
      <w:r>
        <w:rPr>
          <w:spacing w:val="-10"/>
        </w:rPr>
        <w:t>、</w:t>
      </w:r>
      <w:r>
        <w:rPr>
          <w:spacing w:val="1"/>
        </w:rPr>
        <w:t>方</w:t>
      </w:r>
      <w:r>
        <w:rPr/>
        <w:t>庄</w:t>
      </w:r>
      <w:r>
        <w:rPr>
          <w:spacing w:val="-10"/>
        </w:rPr>
        <w:t>、</w:t>
      </w:r>
      <w:r>
        <w:rPr/>
        <w:t>燕京啤酒</w:t>
      </w:r>
      <w:r>
        <w:rPr>
          <w:spacing w:val="-90"/>
        </w:rPr>
        <w:t>”</w:t>
      </w:r>
      <w:r>
        <w:rPr>
          <w:spacing w:val="-100"/>
        </w:rPr>
        <w:t>、</w:t>
      </w:r>
      <w:r>
        <w:rPr/>
        <w:t>“新疆伊力特</w:t>
      </w:r>
      <w:r>
        <w:rPr>
          <w:spacing w:val="-90"/>
        </w:rPr>
        <w:t>”</w:t>
      </w:r>
      <w:r>
        <w:rPr>
          <w:spacing w:val="-100"/>
        </w:rPr>
        <w:t>、</w:t>
      </w:r>
      <w:r>
        <w:rPr/>
        <w:t>“四川剑南春</w:t>
      </w:r>
      <w:r>
        <w:rPr>
          <w:spacing w:val="-10"/>
        </w:rPr>
        <w:t>、</w:t>
      </w:r>
      <w:r>
        <w:rPr>
          <w:spacing w:val="1"/>
        </w:rPr>
        <w:t>泸州</w:t>
      </w:r>
      <w:r>
        <w:rPr/>
        <w:t>老</w:t>
      </w:r>
      <w:r>
        <w:rPr/>
        <w:t> 窖</w:t>
      </w:r>
      <w:r>
        <w:rPr>
          <w:spacing w:val="-8"/>
        </w:rPr>
        <w:t>、</w:t>
      </w:r>
      <w:r>
        <w:rPr/>
        <w:t>沱牌</w:t>
      </w:r>
      <w:r>
        <w:rPr>
          <w:spacing w:val="-8"/>
        </w:rPr>
        <w:t>、</w:t>
      </w:r>
      <w:r>
        <w:rPr/>
        <w:t>全兴</w:t>
      </w:r>
      <w:r>
        <w:rPr>
          <w:spacing w:val="-8"/>
        </w:rPr>
        <w:t>、</w:t>
      </w:r>
      <w:r>
        <w:rPr/>
        <w:t>丰谷</w:t>
      </w:r>
      <w:r>
        <w:rPr>
          <w:spacing w:val="-90"/>
        </w:rPr>
        <w:t>”</w:t>
      </w:r>
      <w:r>
        <w:rPr>
          <w:spacing w:val="-98"/>
        </w:rPr>
        <w:t>、</w:t>
      </w:r>
      <w:r>
        <w:rPr/>
        <w:t>“山西杏花村</w:t>
      </w:r>
      <w:r>
        <w:rPr>
          <w:spacing w:val="-8"/>
        </w:rPr>
        <w:t>、</w:t>
      </w:r>
      <w:r>
        <w:rPr/>
        <w:t>汾阳王</w:t>
      </w:r>
      <w:r>
        <w:rPr>
          <w:spacing w:val="-90"/>
        </w:rPr>
        <w:t>”</w:t>
      </w:r>
      <w:r>
        <w:rPr>
          <w:spacing w:val="-98"/>
        </w:rPr>
        <w:t>、</w:t>
      </w:r>
      <w:r>
        <w:rPr/>
        <w:t>“湖北劲酒</w:t>
      </w:r>
      <w:r>
        <w:rPr>
          <w:spacing w:val="-8"/>
        </w:rPr>
        <w:t>、</w:t>
      </w:r>
      <w:r>
        <w:rPr/>
        <w:t>枝江大曲</w:t>
      </w:r>
      <w:r>
        <w:rPr>
          <w:spacing w:val="-90"/>
        </w:rPr>
        <w:t>”</w:t>
      </w:r>
      <w:r>
        <w:rPr>
          <w:spacing w:val="-98"/>
        </w:rPr>
        <w:t>、</w:t>
      </w:r>
      <w:r>
        <w:rPr/>
        <w:t>“江苏洋河</w:t>
      </w:r>
      <w:r>
        <w:rPr>
          <w:spacing w:val="-8"/>
        </w:rPr>
        <w:t>、</w:t>
      </w:r>
      <w:r>
        <w:rPr/>
        <w:t>双沟</w:t>
      </w:r>
      <w:r>
        <w:rPr>
          <w:spacing w:val="-90"/>
        </w:rPr>
        <w:t>”</w:t>
      </w:r>
      <w:r>
        <w:rPr>
          <w:spacing w:val="-98"/>
        </w:rPr>
        <w:t>、</w:t>
      </w:r>
      <w:r>
        <w:rPr/>
        <w:t>“江西四特</w:t>
      </w:r>
      <w:r>
        <w:rPr>
          <w:spacing w:val="-90"/>
        </w:rPr>
        <w:t>”</w:t>
      </w:r>
      <w:r>
        <w:rPr>
          <w:spacing w:val="-98"/>
        </w:rPr>
        <w:t>、</w:t>
      </w:r>
      <w:r>
        <w:rPr/>
        <w:t>“海南椰</w:t>
      </w:r>
      <w:r>
        <w:rPr>
          <w:spacing w:val="-2"/>
        </w:rPr>
        <w:t>岛</w:t>
      </w:r>
      <w:r>
        <w:rPr/>
        <w:t>鹿</w:t>
      </w:r>
      <w:r>
        <w:rPr/>
        <w:t> 龟</w:t>
      </w:r>
      <w:r>
        <w:rPr>
          <w:spacing w:val="-90"/>
        </w:rPr>
        <w:t>”</w:t>
      </w:r>
      <w:r>
        <w:rPr>
          <w:spacing w:val="-114"/>
        </w:rPr>
        <w:t>、</w:t>
      </w:r>
      <w:r>
        <w:rPr/>
        <w:t>“湖南金六福</w:t>
      </w:r>
      <w:r>
        <w:rPr>
          <w:spacing w:val="-24"/>
        </w:rPr>
        <w:t>、</w:t>
      </w:r>
      <w:r>
        <w:rPr/>
        <w:t>武</w:t>
      </w:r>
      <w:r>
        <w:rPr>
          <w:spacing w:val="-1"/>
        </w:rPr>
        <w:t>陵</w:t>
      </w:r>
      <w:r>
        <w:rPr>
          <w:spacing w:val="-90"/>
        </w:rPr>
        <w:t>”</w:t>
      </w:r>
      <w:r>
        <w:rPr>
          <w:spacing w:val="-114"/>
        </w:rPr>
        <w:t>、</w:t>
      </w:r>
      <w:r>
        <w:rPr/>
        <w:t>“山东兰陵</w:t>
      </w:r>
      <w:r>
        <w:rPr>
          <w:spacing w:val="-24"/>
        </w:rPr>
        <w:t>、</w:t>
      </w:r>
      <w:r>
        <w:rPr/>
        <w:t>扳倒井</w:t>
      </w:r>
      <w:r>
        <w:rPr>
          <w:spacing w:val="-24"/>
        </w:rPr>
        <w:t>、</w:t>
      </w:r>
      <w:r>
        <w:rPr/>
        <w:t>景芝</w:t>
      </w:r>
      <w:r>
        <w:rPr>
          <w:spacing w:val="-90"/>
        </w:rPr>
        <w:t>”</w:t>
      </w:r>
      <w:r>
        <w:rPr>
          <w:spacing w:val="-114"/>
        </w:rPr>
        <w:t>、</w:t>
      </w:r>
      <w:r>
        <w:rPr/>
        <w:t>“河北衡水老白干</w:t>
      </w:r>
      <w:r>
        <w:rPr>
          <w:spacing w:val="-24"/>
        </w:rPr>
        <w:t>、</w:t>
      </w:r>
      <w:r>
        <w:rPr/>
        <w:t>三井小刀</w:t>
      </w:r>
      <w:r>
        <w:rPr>
          <w:spacing w:val="-24"/>
        </w:rPr>
        <w:t>、</w:t>
      </w:r>
      <w:r>
        <w:rPr/>
        <w:t>刘伶醉</w:t>
      </w:r>
      <w:r>
        <w:rPr>
          <w:spacing w:val="-24"/>
        </w:rPr>
        <w:t>、</w:t>
      </w:r>
      <w:r>
        <w:rPr/>
        <w:t>板城烧锅</w:t>
      </w:r>
      <w:r>
        <w:rPr>
          <w:spacing w:val="-24"/>
        </w:rPr>
        <w:t>、</w:t>
      </w:r>
      <w:r>
        <w:rPr/>
        <w:t>十里香</w:t>
      </w:r>
      <w:r>
        <w:rPr>
          <w:spacing w:val="-24"/>
        </w:rPr>
        <w:t>、</w:t>
      </w:r>
      <w:r>
        <w:rPr/>
        <w:t>丛</w:t>
      </w:r>
      <w:r>
        <w:rPr>
          <w:spacing w:val="-1"/>
        </w:rPr>
        <w:t>台</w:t>
      </w:r>
      <w:r>
        <w:rPr>
          <w:spacing w:val="-89"/>
        </w:rPr>
        <w:t>”</w:t>
      </w:r>
      <w:r>
        <w:rPr/>
        <w:t>、</w:t>
      </w:r>
      <w:r>
        <w:rPr/>
        <w:t> “重庆江小白</w:t>
      </w:r>
      <w:r>
        <w:rPr>
          <w:spacing w:val="-90"/>
        </w:rPr>
        <w:t>”</w:t>
      </w:r>
      <w:r>
        <w:rPr>
          <w:spacing w:val="-100"/>
        </w:rPr>
        <w:t>、</w:t>
      </w:r>
      <w:r>
        <w:rPr/>
        <w:t>“黑龙江老村长</w:t>
      </w:r>
      <w:r>
        <w:rPr>
          <w:spacing w:val="-10"/>
        </w:rPr>
        <w:t>、</w:t>
      </w:r>
      <w:r>
        <w:rPr/>
        <w:t>玉</w:t>
      </w:r>
      <w:r>
        <w:rPr>
          <w:spacing w:val="-1"/>
        </w:rPr>
        <w:t>泉</w:t>
      </w:r>
      <w:r>
        <w:rPr>
          <w:spacing w:val="-90"/>
        </w:rPr>
        <w:t>”</w:t>
      </w:r>
      <w:r>
        <w:rPr>
          <w:spacing w:val="-100"/>
        </w:rPr>
        <w:t>、</w:t>
      </w:r>
      <w:r>
        <w:rPr>
          <w:spacing w:val="1"/>
        </w:rPr>
        <w:t>“</w:t>
      </w:r>
      <w:r>
        <w:rPr/>
        <w:t>辽宁三沟</w:t>
      </w:r>
      <w:r>
        <w:rPr>
          <w:spacing w:val="-90"/>
        </w:rPr>
        <w:t>”</w:t>
      </w:r>
      <w:r>
        <w:rPr>
          <w:spacing w:val="-100"/>
        </w:rPr>
        <w:t>、</w:t>
      </w:r>
      <w:r>
        <w:rPr/>
        <w:t>“内蒙河套</w:t>
      </w:r>
      <w:r>
        <w:rPr>
          <w:spacing w:val="-90"/>
        </w:rPr>
        <w:t>”</w:t>
      </w:r>
      <w:r>
        <w:rPr>
          <w:spacing w:val="-100"/>
        </w:rPr>
        <w:t>、</w:t>
      </w:r>
      <w:r>
        <w:rPr/>
        <w:t>“安徽古井贡</w:t>
      </w:r>
      <w:r>
        <w:rPr>
          <w:spacing w:val="-10"/>
        </w:rPr>
        <w:t>、</w:t>
      </w:r>
      <w:r>
        <w:rPr/>
        <w:t>金种子</w:t>
      </w:r>
      <w:r>
        <w:rPr>
          <w:spacing w:val="-10"/>
        </w:rPr>
        <w:t>、</w:t>
      </w:r>
      <w:r>
        <w:rPr/>
        <w:t>高炉家</w:t>
      </w:r>
      <w:r>
        <w:rPr>
          <w:spacing w:val="-90"/>
        </w:rPr>
        <w:t>”</w:t>
      </w:r>
      <w:r>
        <w:rPr>
          <w:spacing w:val="-100"/>
        </w:rPr>
        <w:t>、</w:t>
      </w:r>
      <w:r>
        <w:rPr/>
        <w:t>“河南宋河</w:t>
      </w:r>
      <w:r>
        <w:rPr>
          <w:spacing w:val="-90"/>
        </w:rPr>
        <w:t>”</w:t>
      </w:r>
      <w:r>
        <w:rPr>
          <w:spacing w:val="-100"/>
        </w:rPr>
        <w:t>、</w:t>
      </w:r>
      <w:r>
        <w:rPr>
          <w:spacing w:val="1"/>
        </w:rPr>
        <w:t>“烟台</w:t>
      </w:r>
      <w:r>
        <w:rPr>
          <w:spacing w:val="1"/>
        </w:rPr>
        <w:t> </w:t>
      </w:r>
      <w:r>
        <w:rPr/>
        <w:t>张裕</w:t>
      </w:r>
      <w:r>
        <w:rPr>
          <w:spacing w:val="-90"/>
        </w:rPr>
        <w:t>”</w:t>
      </w:r>
      <w:r>
        <w:rPr>
          <w:spacing w:val="-122"/>
        </w:rPr>
        <w:t>、</w:t>
      </w:r>
      <w:r>
        <w:rPr/>
        <w:t>“广东蓝带啤酒</w:t>
      </w:r>
      <w:r>
        <w:rPr>
          <w:spacing w:val="-90"/>
        </w:rPr>
        <w:t>”</w:t>
      </w:r>
      <w:r>
        <w:rPr>
          <w:spacing w:val="-123"/>
        </w:rPr>
        <w:t>、</w:t>
      </w:r>
      <w:r>
        <w:rPr/>
        <w:t>“青岛啤酒</w:t>
      </w:r>
      <w:r>
        <w:rPr>
          <w:spacing w:val="-90"/>
        </w:rPr>
        <w:t>”</w:t>
      </w:r>
      <w:r>
        <w:rPr>
          <w:spacing w:val="-123"/>
        </w:rPr>
        <w:t>、</w:t>
      </w:r>
      <w:r>
        <w:rPr/>
        <w:t>“燕京啤酒</w:t>
      </w:r>
      <w:r>
        <w:rPr>
          <w:spacing w:val="-90"/>
        </w:rPr>
        <w:t>”</w:t>
      </w:r>
      <w:r>
        <w:rPr>
          <w:spacing w:val="-123"/>
        </w:rPr>
        <w:t>、</w:t>
      </w:r>
      <w:r>
        <w:rPr/>
        <w:t>“威龙葡萄酒</w:t>
      </w:r>
      <w:r>
        <w:rPr>
          <w:spacing w:val="-90"/>
        </w:rPr>
        <w:t>”</w:t>
      </w:r>
      <w:r>
        <w:rPr>
          <w:spacing w:val="-123"/>
        </w:rPr>
        <w:t>、</w:t>
      </w:r>
      <w:r>
        <w:rPr/>
        <w:t>“宁夏红</w:t>
      </w:r>
      <w:r>
        <w:rPr>
          <w:spacing w:val="-34"/>
        </w:rPr>
        <w:t>”</w:t>
      </w:r>
      <w:r>
        <w:rPr/>
        <w:t>等几十家品牌酒</w:t>
      </w:r>
      <w:r>
        <w:rPr>
          <w:spacing w:val="-32"/>
        </w:rPr>
        <w:t>和</w:t>
      </w:r>
      <w:r>
        <w:rPr/>
        <w:t>“广州太阳神</w:t>
      </w:r>
      <w:r>
        <w:rPr>
          <w:spacing w:val="-90"/>
        </w:rPr>
        <w:t>”</w:t>
      </w:r>
      <w:r>
        <w:rPr>
          <w:spacing w:val="-123"/>
        </w:rPr>
        <w:t>、</w:t>
      </w:r>
      <w:r>
        <w:rPr/>
        <w:t>“安德利</w:t>
      </w:r>
      <w:r>
        <w:rPr>
          <w:spacing w:val="-90"/>
        </w:rPr>
        <w:t>”</w:t>
      </w:r>
      <w:r>
        <w:rPr/>
        <w:t>、</w:t>
      </w:r>
      <w:r>
        <w:rPr/>
        <w:t> “吉斯</w:t>
      </w:r>
      <w:r>
        <w:rPr>
          <w:spacing w:val="-90"/>
        </w:rPr>
        <w:t>”</w:t>
      </w:r>
      <w:r>
        <w:rPr>
          <w:spacing w:val="-128"/>
        </w:rPr>
        <w:t>、</w:t>
      </w:r>
      <w:r>
        <w:rPr/>
        <w:t>“崂山矿泉水</w:t>
      </w:r>
      <w:r>
        <w:rPr>
          <w:spacing w:val="-90"/>
        </w:rPr>
        <w:t>”</w:t>
      </w:r>
      <w:r>
        <w:rPr>
          <w:spacing w:val="-128"/>
        </w:rPr>
        <w:t>、</w:t>
      </w:r>
      <w:r>
        <w:rPr/>
        <w:t>“大洲新燕</w:t>
      </w:r>
      <w:r>
        <w:rPr>
          <w:spacing w:val="-90"/>
        </w:rPr>
        <w:t>”</w:t>
      </w:r>
      <w:r>
        <w:rPr>
          <w:spacing w:val="-128"/>
        </w:rPr>
        <w:t>、</w:t>
      </w:r>
      <w:r>
        <w:rPr/>
        <w:t>“忆中品</w:t>
      </w:r>
      <w:r>
        <w:rPr>
          <w:spacing w:val="-90"/>
        </w:rPr>
        <w:t>”</w:t>
      </w:r>
      <w:r>
        <w:rPr>
          <w:spacing w:val="-128"/>
        </w:rPr>
        <w:t>、</w:t>
      </w:r>
      <w:r>
        <w:rPr/>
        <w:t>“青岛可蓝</w:t>
      </w:r>
      <w:r>
        <w:rPr>
          <w:spacing w:val="-90"/>
        </w:rPr>
        <w:t>”</w:t>
      </w:r>
      <w:r>
        <w:rPr>
          <w:spacing w:val="-128"/>
        </w:rPr>
        <w:t>、</w:t>
      </w:r>
      <w:r>
        <w:rPr/>
        <w:t>“威海紫光圣果</w:t>
      </w:r>
      <w:r>
        <w:rPr>
          <w:spacing w:val="-90"/>
        </w:rPr>
        <w:t>”</w:t>
      </w:r>
      <w:r>
        <w:rPr>
          <w:spacing w:val="-128"/>
        </w:rPr>
        <w:t>、</w:t>
      </w:r>
      <w:r>
        <w:rPr/>
        <w:t>“上海巴克斯</w:t>
      </w:r>
      <w:r>
        <w:rPr>
          <w:spacing w:val="-90"/>
        </w:rPr>
        <w:t>”</w:t>
      </w:r>
      <w:r>
        <w:rPr>
          <w:spacing w:val="-128"/>
        </w:rPr>
        <w:t>、</w:t>
      </w:r>
      <w:r>
        <w:rPr/>
        <w:t>“厦门燕之初健康美燕窝</w:t>
      </w:r>
      <w:r>
        <w:rPr>
          <w:spacing w:val="-90"/>
        </w:rPr>
        <w:t>”</w:t>
      </w:r>
      <w:r>
        <w:rPr/>
        <w:t>、</w:t>
      </w:r>
      <w:r>
        <w:rPr/>
        <w:t> “中粮长城</w:t>
      </w:r>
      <w:r>
        <w:rPr>
          <w:spacing w:val="-90"/>
        </w:rPr>
        <w:t>”、</w:t>
      </w:r>
      <w:r>
        <w:rPr/>
        <w:t>“养生天下酵素</w:t>
      </w:r>
      <w:r>
        <w:rPr>
          <w:spacing w:val="-90"/>
        </w:rPr>
        <w:t>”、</w:t>
      </w:r>
      <w:r>
        <w:rPr/>
        <w:t>“广誉远”等功能饮品以及“恒大粮油</w:t>
      </w:r>
      <w:r>
        <w:rPr>
          <w:spacing w:val="-90"/>
        </w:rPr>
        <w:t>”、</w:t>
      </w:r>
      <w:r>
        <w:rPr/>
        <w:t>“加加酱油</w:t>
      </w:r>
      <w:r>
        <w:rPr>
          <w:spacing w:val="-90"/>
        </w:rPr>
        <w:t>”</w:t>
      </w:r>
      <w:r>
        <w:rPr/>
        <w:t>。</w:t>
      </w:r>
    </w:p>
    <w:p>
      <w:pPr>
        <w:spacing w:after="0" w:line="319"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74" w:right="982"/>
        <w:jc w:val="left"/>
      </w:pPr>
      <w:r>
        <w:rPr>
          <w:rFonts w:ascii="宋体" w:hAnsi="宋体" w:cs="宋体" w:eastAsia="宋体" w:hint="default"/>
        </w:rPr>
        <w:t>7</w:t>
      </w:r>
      <w:r>
        <w:rPr/>
        <w:t>）市场开拓优势 </w:t>
      </w:r>
      <w:r>
        <w:rPr>
          <w:spacing w:val="-2"/>
        </w:rPr>
        <w:t>公司依托强大的业务体系后盾，在传统直销的基础上，以“零距离服务、就近服务”的理念，进一步发展了在“北京红</w:t>
      </w:r>
    </w:p>
    <w:p>
      <w:pPr>
        <w:pStyle w:val="BodyText"/>
        <w:spacing w:line="224" w:lineRule="exact"/>
        <w:ind w:right="0"/>
        <w:jc w:val="both"/>
      </w:pPr>
      <w:r>
        <w:rPr/>
        <w:t>星</w:t>
      </w:r>
      <w:r>
        <w:rPr>
          <w:spacing w:val="-8"/>
        </w:rPr>
        <w:t>、</w:t>
      </w:r>
      <w:r>
        <w:rPr/>
        <w:t>牛栏山</w:t>
      </w:r>
      <w:r>
        <w:rPr>
          <w:spacing w:val="-90"/>
        </w:rPr>
        <w:t>”</w:t>
      </w:r>
      <w:r>
        <w:rPr>
          <w:spacing w:val="-98"/>
        </w:rPr>
        <w:t>、</w:t>
      </w:r>
      <w:r>
        <w:rPr/>
        <w:t>“四川剑南春</w:t>
      </w:r>
      <w:r>
        <w:rPr>
          <w:spacing w:val="-8"/>
        </w:rPr>
        <w:t>、</w:t>
      </w:r>
      <w:r>
        <w:rPr/>
        <w:t>全兴</w:t>
      </w:r>
      <w:r>
        <w:rPr>
          <w:spacing w:val="-8"/>
        </w:rPr>
        <w:t>、</w:t>
      </w:r>
      <w:r>
        <w:rPr/>
        <w:t>泸州老窖</w:t>
      </w:r>
      <w:r>
        <w:rPr>
          <w:spacing w:val="-8"/>
        </w:rPr>
        <w:t>、</w:t>
      </w:r>
      <w:r>
        <w:rPr/>
        <w:t>沱牌</w:t>
      </w:r>
      <w:r>
        <w:rPr>
          <w:spacing w:val="-8"/>
        </w:rPr>
        <w:t>、</w:t>
      </w:r>
      <w:r>
        <w:rPr/>
        <w:t>丰谷</w:t>
      </w:r>
      <w:r>
        <w:rPr>
          <w:spacing w:val="-90"/>
        </w:rPr>
        <w:t>”</w:t>
      </w:r>
      <w:r>
        <w:rPr>
          <w:spacing w:val="-98"/>
        </w:rPr>
        <w:t>、</w:t>
      </w:r>
      <w:r>
        <w:rPr/>
        <w:t>“湖北劲酒</w:t>
      </w:r>
      <w:r>
        <w:rPr>
          <w:spacing w:val="-8"/>
        </w:rPr>
        <w:t>、</w:t>
      </w:r>
      <w:r>
        <w:rPr/>
        <w:t>枝江大曲</w:t>
      </w:r>
      <w:r>
        <w:rPr>
          <w:spacing w:val="-90"/>
        </w:rPr>
        <w:t>”</w:t>
      </w:r>
      <w:r>
        <w:rPr>
          <w:spacing w:val="-98"/>
        </w:rPr>
        <w:t>、</w:t>
      </w:r>
      <w:r>
        <w:rPr/>
        <w:t>“新疆伊力特</w:t>
      </w:r>
      <w:r>
        <w:rPr>
          <w:spacing w:val="-90"/>
        </w:rPr>
        <w:t>”</w:t>
      </w:r>
      <w:r>
        <w:rPr>
          <w:spacing w:val="-98"/>
        </w:rPr>
        <w:t>、</w:t>
      </w:r>
      <w:r>
        <w:rPr/>
        <w:t>“安徽古井贡</w:t>
      </w:r>
      <w:r>
        <w:rPr>
          <w:spacing w:val="-8"/>
        </w:rPr>
        <w:t>、</w:t>
      </w:r>
      <w:r>
        <w:rPr>
          <w:spacing w:val="-2"/>
        </w:rPr>
        <w:t>金</w:t>
      </w:r>
      <w:r>
        <w:rPr/>
        <w:t>种</w:t>
      </w:r>
    </w:p>
    <w:p>
      <w:pPr>
        <w:pStyle w:val="BodyText"/>
        <w:spacing w:line="357" w:lineRule="auto" w:before="77"/>
        <w:ind w:left="474" w:right="982" w:hanging="360"/>
        <w:jc w:val="left"/>
      </w:pPr>
      <w:r>
        <w:rPr/>
        <w:t>子、迎驾贡酒”等大客户所在地设厂的经营模式，形成了以点带面的区域市场开拓体系。 </w:t>
      </w:r>
      <w:r>
        <w:rPr>
          <w:spacing w:val="-2"/>
        </w:rPr>
        <w:t>同时，公司充分发挥所形成的技术优势积极开发国际市场，公司出口业务逐年上升，公司的复合型防伪印刷铝板和防伪</w:t>
      </w:r>
    </w:p>
    <w:p>
      <w:pPr>
        <w:pStyle w:val="BodyText"/>
        <w:spacing w:line="357" w:lineRule="auto"/>
        <w:ind w:left="474" w:right="982" w:hanging="360"/>
        <w:jc w:val="left"/>
      </w:pPr>
      <w:r>
        <w:rPr/>
        <w:t>瓶盖已进入俄罗斯、东南亚、中亚、澳大利亚、非洲、南北美洲等海外市场。 </w:t>
      </w:r>
      <w:r>
        <w:rPr>
          <w:spacing w:val="-2"/>
        </w:rPr>
        <w:t>另外，公司密切关注铝防伪瓶盖在国外发达国家啤酒、葡萄酒、高档食用油、高档矿泉水、功能性饮品等包装领域的应</w:t>
      </w:r>
    </w:p>
    <w:p>
      <w:pPr>
        <w:pStyle w:val="BodyText"/>
        <w:spacing w:line="224" w:lineRule="exact"/>
        <w:ind w:right="0"/>
        <w:jc w:val="both"/>
      </w:pPr>
      <w:r>
        <w:rPr/>
        <w:t>用与发展趋势，积极推动铝防伪瓶盖在我国相关领域的市场开拓。近年来，公司引进国际流行的</w:t>
      </w:r>
      <w:r>
        <w:rPr>
          <w:rFonts w:ascii="宋体" w:hAnsi="宋体" w:cs="宋体" w:eastAsia="宋体" w:hint="default"/>
        </w:rPr>
        <w:t>28</w:t>
      </w:r>
      <w:r>
        <w:rPr/>
        <w:t>口盖、</w:t>
      </w:r>
      <w:r>
        <w:rPr>
          <w:rFonts w:ascii="宋体" w:hAnsi="宋体" w:cs="宋体" w:eastAsia="宋体" w:hint="default"/>
        </w:rPr>
        <w:t>38</w:t>
      </w:r>
      <w:r>
        <w:rPr/>
        <w:t>口盖设备，已成</w:t>
      </w:r>
    </w:p>
    <w:p>
      <w:pPr>
        <w:pStyle w:val="BodyText"/>
        <w:spacing w:line="357" w:lineRule="auto" w:before="77"/>
        <w:ind w:left="474" w:right="4092" w:hanging="360"/>
        <w:jc w:val="left"/>
      </w:pPr>
      <w:r>
        <w:rPr/>
        <w:t>功为蓝带啤酒、燕京啤酒、燕之初燕窝、大洲新燕、崂山矿泉水佩戴上美丽的皇冠。 </w:t>
      </w:r>
      <w:r>
        <w:rPr>
          <w:rFonts w:ascii="宋体" w:hAnsi="宋体" w:cs="宋体" w:eastAsia="宋体" w:hint="default"/>
        </w:rPr>
        <w:t>8</w:t>
      </w:r>
      <w:r>
        <w:rPr/>
        <w:t>）管理团队优势</w:t>
      </w:r>
    </w:p>
    <w:p>
      <w:pPr>
        <w:pStyle w:val="BodyText"/>
        <w:spacing w:line="319" w:lineRule="auto" w:before="28"/>
        <w:ind w:right="982" w:firstLine="360"/>
        <w:jc w:val="left"/>
      </w:pPr>
      <w:r>
        <w:rPr>
          <w:spacing w:val="-2"/>
        </w:rPr>
        <w:t>公司拥有高素质的管理团队，管理层的经营理念、专业经验、协作精神对公司的发展起到了决定性作用。管理团队成员</w:t>
      </w:r>
      <w:r>
        <w:rPr/>
        <w:t> </w:t>
      </w:r>
      <w:r>
        <w:rPr>
          <w:spacing w:val="-2"/>
        </w:rPr>
        <w:t>主要由两部分人员组成，一是具有行业经营经验的专家，他们对行业发展趋势的把握及企业经营理念的贯彻在一定程度上影</w:t>
      </w:r>
      <w:r>
        <w:rPr>
          <w:spacing w:val="-64"/>
        </w:rPr>
        <w:t> </w:t>
      </w:r>
      <w:r>
        <w:rPr>
          <w:spacing w:val="-64"/>
        </w:rPr>
      </w:r>
      <w:r>
        <w:rPr>
          <w:spacing w:val="-2"/>
        </w:rPr>
        <w:t>响着国内同行业的发展；二是公司</w:t>
      </w:r>
      <w:r>
        <w:rPr>
          <w:rFonts w:ascii="宋体" w:hAnsi="宋体" w:cs="宋体" w:eastAsia="宋体" w:hint="default"/>
          <w:spacing w:val="-2"/>
        </w:rPr>
        <w:t>1998</w:t>
      </w:r>
      <w:r>
        <w:rPr>
          <w:spacing w:val="-2"/>
        </w:rPr>
        <w:t>年以来储备了一大批年轻化、专业化、知识化的大中专毕业生，已在公司管理团队中</w:t>
      </w:r>
      <w:r>
        <w:rPr>
          <w:spacing w:val="-62"/>
        </w:rPr>
        <w:t> </w:t>
      </w:r>
      <w:r>
        <w:rPr>
          <w:spacing w:val="-62"/>
        </w:rPr>
      </w:r>
      <w:r>
        <w:rPr>
          <w:spacing w:val="-2"/>
        </w:rPr>
        <w:t>发挥着举足轻重的作用，为公司的可持续发展奠定了良好的人才基础。聚天下英才而用之，以识才的慧眼、爱才的诚意、用</w:t>
      </w:r>
      <w:r>
        <w:rPr>
          <w:spacing w:val="-66"/>
        </w:rPr>
        <w:t> </w:t>
      </w:r>
      <w:r>
        <w:rPr>
          <w:spacing w:val="-66"/>
        </w:rPr>
      </w:r>
      <w:r>
        <w:rPr>
          <w:spacing w:val="-4"/>
        </w:rPr>
        <w:t>才的胆识、容才的雅量、聚才的良方，把各方面的优秀人才集聚到丽鹏伟大的奋斗中。正是基于这样一支强有力的新老结合、</w:t>
      </w:r>
      <w:r>
        <w:rPr>
          <w:spacing w:val="-46"/>
        </w:rPr>
        <w:t> </w:t>
      </w:r>
      <w:r>
        <w:rPr>
          <w:spacing w:val="-46"/>
        </w:rPr>
      </w:r>
      <w:r>
        <w:rPr>
          <w:spacing w:val="-2"/>
        </w:rPr>
        <w:t>同心同德的管理团队，促进了公司业绩快速增长，同时公司管理团队的长期稳定、有效的内部协作与分工，充分保证了公司</w:t>
      </w:r>
      <w:r>
        <w:rPr>
          <w:spacing w:val="-66"/>
        </w:rPr>
        <w:t> </w:t>
      </w:r>
      <w:r>
        <w:rPr>
          <w:spacing w:val="-66"/>
        </w:rPr>
      </w:r>
      <w:r>
        <w:rPr/>
        <w:t>的运营、决策效率。</w:t>
      </w:r>
    </w:p>
    <w:p>
      <w:pPr>
        <w:pStyle w:val="BodyText"/>
        <w:spacing w:line="357" w:lineRule="auto" w:before="56"/>
        <w:ind w:left="474" w:right="982"/>
        <w:jc w:val="left"/>
      </w:pPr>
      <w:r>
        <w:rPr>
          <w:rFonts w:ascii="宋体" w:hAnsi="宋体" w:cs="宋体" w:eastAsia="宋体" w:hint="default"/>
        </w:rPr>
        <w:t>9</w:t>
      </w:r>
      <w:r>
        <w:rPr/>
        <w:t>）企业文化优势 </w:t>
      </w:r>
      <w:r>
        <w:rPr>
          <w:spacing w:val="-2"/>
        </w:rPr>
        <w:t>以“尊重知识、重视人才、同心同德、诚信做事”为核心内涵的企业文化是公司长期稳步发展的根本所在。公司以“立</w:t>
      </w:r>
    </w:p>
    <w:p>
      <w:pPr>
        <w:pStyle w:val="BodyText"/>
        <w:spacing w:line="224" w:lineRule="exact"/>
        <w:ind w:right="0"/>
        <w:jc w:val="both"/>
      </w:pPr>
      <w:r>
        <w:rPr/>
        <w:t>足报国、服务社会、回报股东、造福职工”为宗旨，努力把公司打造成“一处工厂、一所学校、一座军营、一个家庭</w:t>
      </w:r>
      <w:r>
        <w:rPr>
          <w:spacing w:val="-90"/>
        </w:rPr>
        <w:t>”</w:t>
      </w:r>
      <w:r>
        <w:rPr/>
        <w:t>。丽</w:t>
      </w:r>
    </w:p>
    <w:p>
      <w:pPr>
        <w:pStyle w:val="BodyText"/>
        <w:spacing w:line="319" w:lineRule="auto" w:before="76"/>
        <w:ind w:right="1133"/>
        <w:jc w:val="both"/>
      </w:pPr>
      <w:r>
        <w:rPr>
          <w:spacing w:val="-2"/>
        </w:rPr>
        <w:t>鹏文化，是丽鹏全体员工共同智慧的结晶，是丽鹏公司在发展的征程中一点一滴积累，一步一步提高，一遍一遍总结，一次</w:t>
      </w:r>
      <w:r>
        <w:rPr>
          <w:spacing w:val="-66"/>
        </w:rPr>
        <w:t> </w:t>
      </w:r>
      <w:r>
        <w:rPr>
          <w:spacing w:val="-66"/>
        </w:rPr>
      </w:r>
      <w:r>
        <w:rPr>
          <w:spacing w:val="-2"/>
        </w:rPr>
        <w:t>一次升华的产物。它把伟大的中华文化的精髓、社会主义核心价值观、超前的经营理念、先进的管理思想、工作的方式方法</w:t>
      </w:r>
      <w:r>
        <w:rPr>
          <w:spacing w:val="-66"/>
        </w:rPr>
        <w:t> </w:t>
      </w:r>
      <w:r>
        <w:rPr>
          <w:spacing w:val="-66"/>
        </w:rPr>
      </w:r>
      <w:r>
        <w:rPr>
          <w:spacing w:val="-2"/>
        </w:rPr>
        <w:t>等不停顿地渗透到每位员工的心里、脑海中，成为全体丽鹏人的灵魂，成为全体丽鹏人行为的准则、工作的力量、前进的方</w:t>
      </w:r>
      <w:r>
        <w:rPr>
          <w:spacing w:val="-66"/>
        </w:rPr>
        <w:t> </w:t>
      </w:r>
      <w:r>
        <w:rPr>
          <w:spacing w:val="-66"/>
        </w:rPr>
      </w:r>
      <w:r>
        <w:rPr/>
        <w:t>向。藉此，公司赢得了客户、供应商、债权人、公司员工、同行业、行业协会和社区的信赖与认同。</w:t>
      </w:r>
    </w:p>
    <w:p>
      <w:pPr>
        <w:pStyle w:val="BodyText"/>
        <w:spacing w:line="357" w:lineRule="auto" w:before="58"/>
        <w:ind w:left="474" w:right="1032"/>
        <w:jc w:val="left"/>
      </w:pPr>
      <w:r>
        <w:rPr>
          <w:rFonts w:ascii="宋体" w:hAnsi="宋体" w:cs="宋体" w:eastAsia="宋体" w:hint="default"/>
        </w:rPr>
        <w:t>10</w:t>
      </w:r>
      <w:r>
        <w:rPr/>
        <w:t>）信息化管理优势 公司多年从事铝防伪瓶盖生产和铝板复合型防伪印刷业务，建立了一系列相应的采购、生产、销售信息系统。</w:t>
      </w:r>
      <w:r>
        <w:rPr>
          <w:rFonts w:ascii="宋体" w:hAnsi="宋体" w:cs="宋体" w:eastAsia="宋体" w:hint="default"/>
        </w:rPr>
        <w:t>2000</w:t>
      </w:r>
      <w:r>
        <w:rPr/>
        <w:t>年，</w:t>
      </w:r>
    </w:p>
    <w:p>
      <w:pPr>
        <w:pStyle w:val="BodyText"/>
        <w:spacing w:line="224" w:lineRule="exact"/>
        <w:ind w:right="0"/>
        <w:jc w:val="both"/>
      </w:pPr>
      <w:r>
        <w:rPr/>
        <w:t>公司开始应用自行开发的信息化数据库系统，公司的各项内部、外部信息都可以快速的进行收集与反馈，方便公司内部管理</w:t>
      </w:r>
    </w:p>
    <w:p>
      <w:pPr>
        <w:pStyle w:val="BodyText"/>
        <w:spacing w:line="319" w:lineRule="auto" w:before="76"/>
        <w:ind w:right="1131"/>
        <w:jc w:val="both"/>
      </w:pPr>
      <w:r>
        <w:rPr>
          <w:spacing w:val="-2"/>
        </w:rPr>
        <w:t>的沟通和信息资源的共享，从而提高了公司的管理效率。</w:t>
      </w:r>
      <w:r>
        <w:rPr>
          <w:rFonts w:ascii="宋体" w:hAnsi="宋体" w:cs="宋体" w:eastAsia="宋体" w:hint="default"/>
          <w:spacing w:val="-2"/>
        </w:rPr>
        <w:t>2003</w:t>
      </w:r>
      <w:r>
        <w:rPr>
          <w:spacing w:val="-2"/>
        </w:rPr>
        <w:t>年，公司建设了财务网络平台，在公司本部及其各子公司应用</w:t>
      </w:r>
      <w:r>
        <w:rPr>
          <w:spacing w:val="-61"/>
        </w:rPr>
        <w:t> </w:t>
      </w:r>
      <w:r>
        <w:rPr>
          <w:spacing w:val="-61"/>
        </w:rPr>
      </w:r>
      <w:r>
        <w:rPr>
          <w:spacing w:val="-2"/>
        </w:rPr>
        <w:t>了用友财务系统，主要进行财务和库存管理，使公司的财务数据快速形成，库存管理方面更加完善。</w:t>
      </w:r>
      <w:r>
        <w:rPr>
          <w:rFonts w:ascii="宋体" w:hAnsi="宋体" w:cs="宋体" w:eastAsia="宋体" w:hint="default"/>
          <w:spacing w:val="-2"/>
        </w:rPr>
        <w:t>2007</w:t>
      </w:r>
      <w:r>
        <w:rPr>
          <w:spacing w:val="-2"/>
        </w:rPr>
        <w:t>年，公司全面应用</w:t>
      </w:r>
      <w:r>
        <w:rPr>
          <w:spacing w:val="-61"/>
        </w:rPr>
        <w:t> </w:t>
      </w:r>
      <w:r>
        <w:rPr>
          <w:spacing w:val="-61"/>
        </w:rPr>
      </w:r>
      <w:r>
        <w:rPr/>
        <w:t>用友</w:t>
      </w:r>
      <w:r>
        <w:rPr>
          <w:rFonts w:ascii="宋体" w:hAnsi="宋体" w:cs="宋体" w:eastAsia="宋体" w:hint="default"/>
        </w:rPr>
        <w:t>ERP</w:t>
      </w:r>
      <w:r>
        <w:rPr/>
        <w:t>系统，开始对公司内、外部资源进行有效整合与管理，使公司经营管理迈上新的台阶。</w:t>
      </w:r>
    </w:p>
    <w:p>
      <w:pPr>
        <w:pStyle w:val="BodyText"/>
        <w:spacing w:line="357" w:lineRule="auto" w:before="56"/>
        <w:ind w:left="474" w:right="982"/>
        <w:jc w:val="left"/>
      </w:pPr>
      <w:r>
        <w:rPr>
          <w:rFonts w:ascii="宋体" w:hAnsi="宋体" w:cs="宋体" w:eastAsia="宋体" w:hint="default"/>
        </w:rPr>
        <w:t>11</w:t>
      </w:r>
      <w:r>
        <w:rPr/>
        <w:t>）认证优势 </w:t>
      </w:r>
      <w:r>
        <w:rPr>
          <w:spacing w:val="-2"/>
        </w:rPr>
        <w:t>公司先后通过了</w:t>
      </w:r>
      <w:r>
        <w:rPr>
          <w:rFonts w:ascii="宋体" w:hAnsi="宋体" w:cs="宋体" w:eastAsia="宋体" w:hint="default"/>
          <w:spacing w:val="-2"/>
        </w:rPr>
        <w:t>ISO9001:2000</w:t>
      </w:r>
      <w:r>
        <w:rPr>
          <w:spacing w:val="-2"/>
        </w:rPr>
        <w:t>质量管理体系认证、</w:t>
      </w:r>
      <w:r>
        <w:rPr>
          <w:rFonts w:ascii="宋体" w:hAnsi="宋体" w:cs="宋体" w:eastAsia="宋体" w:hint="default"/>
          <w:spacing w:val="-2"/>
        </w:rPr>
        <w:t>OHSAS18001:1999</w:t>
      </w:r>
      <w:r>
        <w:rPr>
          <w:spacing w:val="-2"/>
        </w:rPr>
        <w:t>职业健康安全认证和</w:t>
      </w:r>
      <w:r>
        <w:rPr>
          <w:rFonts w:ascii="宋体" w:hAnsi="宋体" w:cs="宋体" w:eastAsia="宋体" w:hint="default"/>
          <w:spacing w:val="-2"/>
        </w:rPr>
        <w:t>ISO14001:2004</w:t>
      </w:r>
      <w:r>
        <w:rPr>
          <w:spacing w:val="-2"/>
        </w:rPr>
        <w:t>环境管理体系认</w:t>
      </w:r>
    </w:p>
    <w:p>
      <w:pPr>
        <w:pStyle w:val="BodyText"/>
        <w:spacing w:line="224" w:lineRule="exact"/>
        <w:ind w:right="0"/>
        <w:jc w:val="both"/>
      </w:pPr>
      <w:r>
        <w:rPr/>
        <w:t>证、全国工业产品生产许可证、印刷经营许可证、知识产权管理体系认证，使公司的管理水平、产品与技术服务水平逐步与</w:t>
      </w:r>
    </w:p>
    <w:p>
      <w:pPr>
        <w:pStyle w:val="BodyText"/>
        <w:spacing w:line="319" w:lineRule="auto" w:before="76"/>
        <w:ind w:right="1139"/>
        <w:jc w:val="both"/>
      </w:pPr>
      <w:r>
        <w:rPr/>
        <w:t>国际接轨，有利于增强公司在国际市场中的整体竞争力。</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28</w:t>
      </w:r>
      <w:r>
        <w:rPr/>
        <w:t>日，公司通过了国家知识产权管理体系认证；</w:t>
      </w:r>
      <w:r>
        <w:rPr>
          <w:rFonts w:ascii="宋体" w:hAnsi="宋体" w:cs="宋体" w:eastAsia="宋体" w:hint="default"/>
        </w:rPr>
        <w:t>2017</w:t>
      </w:r>
      <w:r>
        <w:rPr/>
        <w:t>年 </w:t>
      </w:r>
      <w:r>
        <w:rPr>
          <w:rFonts w:ascii="宋体" w:hAnsi="宋体" w:cs="宋体" w:eastAsia="宋体" w:hint="default"/>
        </w:rPr>
        <w:t>12</w:t>
      </w:r>
      <w:r>
        <w:rPr/>
        <w:t>月，公司被国家知识产权局认定为国家知识产权示范企业。</w:t>
      </w:r>
    </w:p>
    <w:p>
      <w:pPr>
        <w:spacing w:after="0" w:line="319" w:lineRule="auto"/>
        <w:jc w:val="both"/>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6" w:right="982"/>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2"/>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474" w:right="982"/>
        <w:jc w:val="left"/>
        <w:rPr>
          <w:b w:val="0"/>
          <w:bCs w:val="0"/>
        </w:rPr>
      </w:pPr>
      <w:r>
        <w:rPr>
          <w:rFonts w:ascii="宋体" w:hAnsi="宋体" w:cs="宋体" w:eastAsia="宋体" w:hint="default"/>
          <w:spacing w:val="1"/>
          <w:w w:val="99"/>
        </w:rPr>
        <w:t>1</w:t>
      </w:r>
      <w:r>
        <w:rPr>
          <w:spacing w:val="1"/>
          <w:w w:val="99"/>
        </w:rPr>
        <w:t>、</w:t>
      </w:r>
      <w:r>
        <w:rPr>
          <w:w w:val="99"/>
        </w:rPr>
        <w:t>园</w:t>
      </w:r>
      <w:r>
        <w:rPr>
          <w:spacing w:val="1"/>
          <w:w w:val="99"/>
        </w:rPr>
        <w:t>林</w:t>
      </w:r>
      <w:r>
        <w:rPr>
          <w:w w:val="99"/>
        </w:rPr>
        <w:t>生</w:t>
      </w:r>
      <w:r>
        <w:rPr>
          <w:spacing w:val="1"/>
          <w:w w:val="99"/>
        </w:rPr>
        <w:t>态</w:t>
      </w:r>
      <w:r>
        <w:rPr>
          <w:w w:val="99"/>
        </w:rPr>
        <w:t>主</w:t>
      </w:r>
      <w:r>
        <w:rPr>
          <w:spacing w:val="1"/>
          <w:w w:val="99"/>
        </w:rPr>
        <w:t>业—</w:t>
      </w:r>
      <w:r>
        <w:rPr>
          <w:w w:val="99"/>
        </w:rPr>
        <w:t>—</w:t>
      </w:r>
      <w:r>
        <w:rPr>
          <w:spacing w:val="1"/>
          <w:w w:val="99"/>
        </w:rPr>
        <w:t>致</w:t>
      </w:r>
      <w:r>
        <w:rPr>
          <w:w w:val="99"/>
        </w:rPr>
        <w:t>力于</w:t>
      </w:r>
      <w:r>
        <w:rPr>
          <w:spacing w:val="1"/>
          <w:w w:val="99"/>
        </w:rPr>
        <w:t>“乡</w:t>
      </w:r>
      <w:r>
        <w:rPr>
          <w:w w:val="99"/>
        </w:rPr>
        <w:t>村</w:t>
      </w:r>
      <w:r>
        <w:rPr>
          <w:spacing w:val="1"/>
          <w:w w:val="99"/>
        </w:rPr>
        <w:t>振</w:t>
      </w:r>
      <w:r>
        <w:rPr>
          <w:w w:val="99"/>
        </w:rPr>
        <w:t>兴</w:t>
      </w:r>
      <w:r>
        <w:rPr>
          <w:spacing w:val="-89"/>
          <w:w w:val="99"/>
        </w:rPr>
        <w:t>”</w:t>
      </w:r>
      <w:r>
        <w:rPr>
          <w:w w:val="99"/>
        </w:rPr>
        <w:t>，</w:t>
      </w:r>
      <w:r>
        <w:rPr>
          <w:spacing w:val="1"/>
          <w:w w:val="99"/>
        </w:rPr>
        <w:t>推动</w:t>
      </w:r>
      <w:r>
        <w:rPr>
          <w:w w:val="99"/>
        </w:rPr>
        <w:t>“</w:t>
      </w:r>
      <w:r>
        <w:rPr>
          <w:spacing w:val="1"/>
          <w:w w:val="99"/>
        </w:rPr>
        <w:t>大</w:t>
      </w:r>
      <w:r>
        <w:rPr>
          <w:w w:val="99"/>
        </w:rPr>
        <w:t>生态</w:t>
      </w:r>
      <w:r>
        <w:rPr>
          <w:spacing w:val="1"/>
          <w:w w:val="99"/>
        </w:rPr>
        <w:t>、大</w:t>
      </w:r>
      <w:r>
        <w:rPr>
          <w:w w:val="99"/>
        </w:rPr>
        <w:t>环</w:t>
      </w:r>
      <w:r>
        <w:rPr>
          <w:spacing w:val="1"/>
          <w:w w:val="99"/>
        </w:rPr>
        <w:t>保</w:t>
      </w:r>
      <w:r>
        <w:rPr>
          <w:w w:val="99"/>
        </w:rPr>
        <w:t>”事</w:t>
      </w:r>
      <w:r>
        <w:rPr>
          <w:spacing w:val="1"/>
          <w:w w:val="99"/>
        </w:rPr>
        <w:t>业发</w:t>
      </w:r>
      <w:r>
        <w:rPr>
          <w:w w:val="99"/>
        </w:rPr>
        <w:t>展</w:t>
      </w:r>
      <w:r>
        <w:rPr>
          <w:b w:val="0"/>
          <w:bCs w:val="0"/>
        </w:rPr>
      </w:r>
    </w:p>
    <w:p>
      <w:pPr>
        <w:pStyle w:val="BodyText"/>
        <w:spacing w:line="316" w:lineRule="auto" w:before="76"/>
        <w:ind w:right="1042" w:firstLine="360"/>
        <w:jc w:val="both"/>
      </w:pPr>
      <w:r>
        <w:rPr>
          <w:rFonts w:ascii="宋体" w:hAnsi="宋体" w:cs="宋体" w:eastAsia="宋体" w:hint="default"/>
        </w:rPr>
        <w:t>2018</w:t>
      </w:r>
      <w:r>
        <w:rPr/>
        <w:t>年是全面贯彻落实施的十九大精神的开局之年，是改革开放四十周年，是决胜全面建成小康社会、实施“十三五” </w:t>
      </w:r>
      <w:r>
        <w:rPr>
          <w:spacing w:val="-4"/>
        </w:rPr>
        <w:t>规划承上启下的关键一年。十九大报告将建设生态文明提升为“千年大计”，将“建设美丽中国”纳入国家现代化目标之中。</w:t>
      </w:r>
      <w:r>
        <w:rPr>
          <w:spacing w:val="-44"/>
        </w:rPr>
        <w:t> </w:t>
      </w:r>
      <w:r>
        <w:rPr>
          <w:spacing w:val="-44"/>
        </w:rPr>
      </w:r>
      <w:r>
        <w:rPr/>
        <w:t>同时首次提出实施乡村振兴战略，将乡村振兴上升为国家重要战略。</w:t>
      </w:r>
    </w:p>
    <w:p>
      <w:pPr>
        <w:pStyle w:val="BodyText"/>
        <w:spacing w:line="316" w:lineRule="auto" w:before="19"/>
        <w:ind w:right="1032" w:firstLine="360"/>
        <w:jc w:val="left"/>
      </w:pPr>
      <w:r>
        <w:rPr/>
        <w:t>华宇园林致力于乡村振兴，继续提升公司在生态环境治理领域的综合能力，打造专业化技术服务团队，积极开拓市场， </w:t>
      </w:r>
      <w:r>
        <w:rPr>
          <w:spacing w:val="-2"/>
        </w:rPr>
        <w:t>组建运营团队，挖掘优质客户，提高项目效益。公司加快推进转型升级发展，从单一型园林工程公司向综合型生态公司转型</w:t>
      </w:r>
      <w:r>
        <w:rPr>
          <w:spacing w:val="-66"/>
        </w:rPr>
        <w:t> </w:t>
      </w:r>
      <w:r>
        <w:rPr>
          <w:spacing w:val="-66"/>
        </w:rPr>
      </w:r>
      <w:r>
        <w:rPr/>
        <w:t>发展；报告期内，公司逐步调整内部管理结构，注重提高项目投融资能力，改善融资结构，完善工程项目施工的合法合规， 确保园林业务的稳步发展。</w:t>
      </w:r>
    </w:p>
    <w:p>
      <w:pPr>
        <w:pStyle w:val="BodyText"/>
        <w:spacing w:line="316" w:lineRule="auto" w:before="19"/>
        <w:ind w:right="1122" w:firstLine="360"/>
        <w:jc w:val="left"/>
      </w:pPr>
      <w:r>
        <w:rPr>
          <w:spacing w:val="-2"/>
        </w:rPr>
        <w:t>但</w:t>
      </w:r>
      <w:r>
        <w:rPr>
          <w:rFonts w:ascii="宋体" w:hAnsi="宋体" w:cs="宋体" w:eastAsia="宋体" w:hint="default"/>
          <w:spacing w:val="-2"/>
        </w:rPr>
        <w:t>2018</w:t>
      </w:r>
      <w:r>
        <w:rPr>
          <w:spacing w:val="-2"/>
        </w:rPr>
        <w:t>年以来，国家调整对</w:t>
      </w:r>
      <w:r>
        <w:rPr>
          <w:rFonts w:ascii="宋体" w:hAnsi="宋体" w:cs="宋体" w:eastAsia="宋体" w:hint="default"/>
          <w:spacing w:val="-2"/>
        </w:rPr>
        <w:t>PPP</w:t>
      </w:r>
      <w:r>
        <w:rPr>
          <w:spacing w:val="-2"/>
        </w:rPr>
        <w:t>项目的政策，</w:t>
      </w:r>
      <w:r>
        <w:rPr>
          <w:rFonts w:ascii="宋体" w:hAnsi="宋体" w:cs="宋体" w:eastAsia="宋体" w:hint="default"/>
          <w:spacing w:val="-2"/>
        </w:rPr>
        <w:t>PPP</w:t>
      </w:r>
      <w:r>
        <w:rPr>
          <w:spacing w:val="-2"/>
        </w:rPr>
        <w:t>项目的实施遇到不少阻力；另外由于</w:t>
      </w:r>
      <w:r>
        <w:rPr>
          <w:rFonts w:ascii="宋体" w:hAnsi="宋体" w:cs="宋体" w:eastAsia="宋体" w:hint="default"/>
          <w:spacing w:val="-2"/>
        </w:rPr>
        <w:t>2018</w:t>
      </w:r>
      <w:r>
        <w:rPr>
          <w:spacing w:val="-2"/>
        </w:rPr>
        <w:t>年以来金融机构对民营企业的</w:t>
      </w:r>
      <w:r>
        <w:rPr/>
        <w:t> 融资政策不断收紧，而</w:t>
      </w:r>
      <w:r>
        <w:rPr>
          <w:rFonts w:ascii="宋体" w:hAnsi="宋体" w:cs="宋体" w:eastAsia="宋体" w:hint="default"/>
        </w:rPr>
        <w:t>PPP</w:t>
      </w:r>
      <w:r>
        <w:rPr/>
        <w:t>项目的前期实施需要投入大量资金，受此影响公司积极应对，调整生产经营计划，根据资金和融 资情况放缓了部分项目的施工进度，使得</w:t>
      </w:r>
      <w:r>
        <w:rPr>
          <w:rFonts w:ascii="宋体" w:hAnsi="宋体" w:cs="宋体" w:eastAsia="宋体" w:hint="default"/>
        </w:rPr>
        <w:t>2018</w:t>
      </w:r>
      <w:r>
        <w:rPr/>
        <w:t>年公司园林业务的经营业绩出现下滑。报告期完成主营业务收入 </w:t>
      </w:r>
      <w:r>
        <w:rPr>
          <w:rFonts w:ascii="宋体" w:hAnsi="宋体" w:cs="宋体" w:eastAsia="宋体" w:hint="default"/>
        </w:rPr>
        <w:t>606,963,063.77</w:t>
      </w:r>
      <w:r>
        <w:rPr/>
        <w:t>元</w:t>
      </w:r>
      <w:r>
        <w:rPr>
          <w:rFonts w:ascii="宋体" w:hAnsi="宋体" w:cs="宋体" w:eastAsia="宋体" w:hint="default"/>
        </w:rPr>
        <w:t>,</w:t>
      </w:r>
      <w:r>
        <w:rPr/>
        <w:t>同比下降</w:t>
      </w:r>
      <w:r>
        <w:rPr>
          <w:rFonts w:ascii="宋体" w:hAnsi="宋体" w:cs="宋体" w:eastAsia="宋体" w:hint="default"/>
        </w:rPr>
        <w:t>51.00%</w:t>
      </w:r>
      <w:r>
        <w:rPr/>
        <w:t>；</w:t>
      </w:r>
    </w:p>
    <w:p>
      <w:pPr>
        <w:pStyle w:val="BodyText"/>
        <w:spacing w:line="319" w:lineRule="auto" w:before="59"/>
        <w:ind w:right="1129" w:firstLine="360"/>
        <w:jc w:val="both"/>
      </w:pPr>
      <w:r>
        <w:rPr>
          <w:spacing w:val="-2"/>
        </w:rPr>
        <w:t>公司专注于园林行业的技术研究开发并在公司所承接的项目中推广应用，并拥有多项专利。截至报告期，公司园林业务</w:t>
      </w:r>
      <w:r>
        <w:rPr/>
        <w:t> 共拥有专利</w:t>
      </w:r>
      <w:r>
        <w:rPr>
          <w:rFonts w:ascii="宋体" w:hAnsi="宋体" w:cs="宋体" w:eastAsia="宋体" w:hint="default"/>
        </w:rPr>
        <w:t>28</w:t>
      </w:r>
      <w:r>
        <w:rPr/>
        <w:t>项，其中发明专利</w:t>
      </w:r>
      <w:r>
        <w:rPr>
          <w:rFonts w:ascii="宋体" w:hAnsi="宋体" w:cs="宋体" w:eastAsia="宋体" w:hint="default"/>
        </w:rPr>
        <w:t>8</w:t>
      </w:r>
      <w:r>
        <w:rPr/>
        <w:t>项，实用新型专利</w:t>
      </w:r>
      <w:r>
        <w:rPr>
          <w:rFonts w:ascii="宋体" w:hAnsi="宋体" w:cs="宋体" w:eastAsia="宋体" w:hint="default"/>
        </w:rPr>
        <w:t>20</w:t>
      </w:r>
      <w:r>
        <w:rPr/>
        <w:t>项。报告期内，重庆华宇园林有限公司被选为重庆市梅花腊梅分会二 </w:t>
      </w:r>
      <w:r>
        <w:rPr>
          <w:spacing w:val="-2"/>
        </w:rPr>
        <w:t>届理事会副会长单位、公司承建的“肥城市引汶入城及两侧滨水带治理工程”荣获“茶花杯”优秀园林绿化工程金奖、重庆</w:t>
      </w:r>
      <w:r>
        <w:rPr>
          <w:spacing w:val="-67"/>
        </w:rPr>
        <w:t> </w:t>
      </w:r>
      <w:r>
        <w:rPr>
          <w:spacing w:val="-67"/>
        </w:rPr>
      </w:r>
      <w:r>
        <w:rPr/>
        <w:t>市江北区守法诚信企业等荣誉，彰显出强劲的综合实力和市场竞争力。</w:t>
      </w:r>
    </w:p>
    <w:p>
      <w:pPr>
        <w:pStyle w:val="Heading6"/>
        <w:spacing w:line="240" w:lineRule="auto" w:before="56"/>
        <w:ind w:left="566" w:right="982"/>
        <w:jc w:val="left"/>
        <w:rPr>
          <w:b w:val="0"/>
          <w:bCs w:val="0"/>
        </w:rPr>
      </w:pPr>
      <w:r>
        <w:rPr>
          <w:rFonts w:ascii="宋体" w:hAnsi="宋体" w:cs="宋体" w:eastAsia="宋体" w:hint="default"/>
        </w:rPr>
        <w:t>2</w:t>
      </w:r>
      <w:r>
        <w:rPr/>
        <w:t>、防伪包装主业——包装行业细分龙头，引领食品安全发展新方向</w:t>
      </w:r>
      <w:r>
        <w:rPr>
          <w:b w:val="0"/>
          <w:bCs w:val="0"/>
        </w:rPr>
      </w:r>
    </w:p>
    <w:p>
      <w:pPr>
        <w:pStyle w:val="BodyText"/>
        <w:spacing w:line="357" w:lineRule="auto" w:before="117"/>
        <w:ind w:left="474" w:right="982"/>
        <w:jc w:val="left"/>
      </w:pPr>
      <w:r>
        <w:rPr/>
        <w:t>（</w:t>
      </w:r>
      <w:r>
        <w:rPr>
          <w:rFonts w:ascii="宋体" w:hAnsi="宋体" w:cs="宋体" w:eastAsia="宋体" w:hint="default"/>
        </w:rPr>
        <w:t>1</w:t>
      </w:r>
      <w:r>
        <w:rPr/>
        <w:t>）加快新旧动能转换，二维码智能瓶盖维护消费者食品安全。 </w:t>
      </w:r>
      <w:r>
        <w:rPr>
          <w:spacing w:val="-2"/>
        </w:rPr>
        <w:t>二维码智能瓶盖的主要功能为防伪打假、积分兑奖、防窜货、广告宣传、大数据分析。二维码智能瓶盖将改变传统酒行</w:t>
      </w:r>
    </w:p>
    <w:p>
      <w:pPr>
        <w:pStyle w:val="BodyText"/>
        <w:spacing w:line="224" w:lineRule="exact"/>
        <w:ind w:right="982"/>
        <w:jc w:val="left"/>
      </w:pPr>
      <w:r>
        <w:rPr/>
        <w:t>业的生产、经营、销售、仓储、物流、市场激励等各个环节，同时给消费者带来新的消费体验，为公司各生产厂带来新的生</w:t>
      </w:r>
    </w:p>
    <w:p>
      <w:pPr>
        <w:pStyle w:val="BodyText"/>
        <w:spacing w:line="319" w:lineRule="auto" w:before="76"/>
        <w:ind w:right="982"/>
        <w:jc w:val="left"/>
      </w:pPr>
      <w:r>
        <w:rPr>
          <w:spacing w:val="-2"/>
        </w:rPr>
        <w:t>产革命和利润增长点。报告期内，江小白、牛栏山、北京梁大侠、辽宁力克制药、山东颐阳、椰岛鹿龟、三井酒业、欧隆宝</w:t>
      </w:r>
      <w:r>
        <w:rPr>
          <w:spacing w:val="-69"/>
        </w:rPr>
        <w:t> </w:t>
      </w:r>
      <w:r>
        <w:rPr>
          <w:spacing w:val="-69"/>
        </w:rPr>
      </w:r>
      <w:r>
        <w:rPr>
          <w:spacing w:val="-4"/>
        </w:rPr>
        <w:t>酒业、湘窖酒业、长春大曲、利人酒业、沂蒙山酒业、老龙口、枫林酒业、北京红星、我客酒、钓鱼台、积德泉、九江酒厂、</w:t>
      </w:r>
      <w:r>
        <w:rPr>
          <w:spacing w:val="-46"/>
        </w:rPr>
        <w:t> </w:t>
      </w:r>
      <w:r>
        <w:rPr>
          <w:spacing w:val="-46"/>
        </w:rPr>
      </w:r>
      <w:r>
        <w:rPr/>
        <w:t>北京二锅头、蓝带啤酒等客户与公司开展了广泛合作，</w:t>
      </w:r>
      <w:r>
        <w:rPr>
          <w:rFonts w:ascii="宋体" w:hAnsi="宋体" w:cs="宋体" w:eastAsia="宋体" w:hint="default"/>
        </w:rPr>
        <w:t>2018</w:t>
      </w:r>
      <w:r>
        <w:rPr/>
        <w:t>年公司共生产二维码瓶盖</w:t>
      </w:r>
      <w:r>
        <w:rPr>
          <w:rFonts w:ascii="宋体" w:hAnsi="宋体" w:cs="宋体" w:eastAsia="宋体" w:hint="default"/>
        </w:rPr>
        <w:t>6200</w:t>
      </w:r>
      <w:r>
        <w:rPr/>
        <w:t>多万只。</w:t>
      </w:r>
    </w:p>
    <w:p>
      <w:pPr>
        <w:pStyle w:val="BodyText"/>
        <w:spacing w:line="357" w:lineRule="auto" w:before="56"/>
        <w:ind w:left="474" w:right="982"/>
        <w:jc w:val="left"/>
      </w:pPr>
      <w:r>
        <w:rPr/>
        <w:t>（</w:t>
      </w:r>
      <w:r>
        <w:rPr>
          <w:rFonts w:ascii="宋体" w:hAnsi="宋体" w:cs="宋体" w:eastAsia="宋体" w:hint="default"/>
        </w:rPr>
        <w:t>2</w:t>
      </w:r>
      <w:r>
        <w:rPr/>
        <w:t>）积极拓展防伪瓶盖应用领域，转变营销思路，开拓非白酒市场饮品领域。 </w:t>
      </w:r>
      <w:r>
        <w:rPr>
          <w:spacing w:val="-2"/>
        </w:rPr>
        <w:t>随着国内酒类消费者日益年轻化，葡萄酒、啤酒、预调酒、个性饮料等非白酒市场渐成新宠，公司顺应趋势，在非白酒</w:t>
      </w:r>
    </w:p>
    <w:p>
      <w:pPr>
        <w:pStyle w:val="BodyText"/>
        <w:spacing w:line="224" w:lineRule="exact"/>
        <w:ind w:right="982"/>
        <w:jc w:val="left"/>
      </w:pPr>
      <w:r>
        <w:rPr/>
        <w:t>市场积极开拓，现已进入啤酒、葡萄酒、高档矿泉水、保健酒、果汁、高档食用油、功能性饮品、保健品、药品、化妆品等</w:t>
      </w:r>
    </w:p>
    <w:p>
      <w:pPr>
        <w:pStyle w:val="BodyText"/>
        <w:spacing w:line="240" w:lineRule="auto" w:before="77"/>
        <w:ind w:right="982"/>
        <w:jc w:val="left"/>
      </w:pPr>
      <w:r>
        <w:rPr/>
        <w:t>领域，在平抑白酒市场波动性的同时进入更为广阔的快消品蓝海。</w:t>
      </w:r>
    </w:p>
    <w:p>
      <w:pPr>
        <w:pStyle w:val="BodyText"/>
        <w:spacing w:line="357" w:lineRule="auto" w:before="116"/>
        <w:ind w:left="474" w:right="982"/>
        <w:jc w:val="left"/>
      </w:pPr>
      <w:r>
        <w:rPr/>
        <w:t>（</w:t>
      </w:r>
      <w:r>
        <w:rPr>
          <w:rFonts w:ascii="宋体" w:hAnsi="宋体" w:cs="宋体" w:eastAsia="宋体" w:hint="default"/>
        </w:rPr>
        <w:t>3</w:t>
      </w:r>
      <w:r>
        <w:rPr/>
        <w:t>）大力研发国际流行的防伪瓶盖新品种，引领防伪包装行业发展新方向。 </w:t>
      </w:r>
      <w:r>
        <w:rPr>
          <w:spacing w:val="-4"/>
        </w:rPr>
        <w:t>利用公司强大的防伪瓶盖研发能力，大力开发</w:t>
      </w:r>
      <w:r>
        <w:rPr>
          <w:rFonts w:ascii="宋体" w:hAnsi="宋体" w:cs="宋体" w:eastAsia="宋体" w:hint="default"/>
          <w:spacing w:val="-4"/>
        </w:rPr>
        <w:t>28</w:t>
      </w:r>
      <w:r>
        <w:rPr>
          <w:spacing w:val="-4"/>
        </w:rPr>
        <w:t>口、</w:t>
      </w:r>
      <w:r>
        <w:rPr>
          <w:rFonts w:ascii="宋体" w:hAnsi="宋体" w:cs="宋体" w:eastAsia="宋体" w:hint="default"/>
          <w:spacing w:val="-4"/>
        </w:rPr>
        <w:t>38</w:t>
      </w:r>
      <w:r>
        <w:rPr>
          <w:spacing w:val="-4"/>
        </w:rPr>
        <w:t>口模塑盖。近年来，</w:t>
      </w:r>
      <w:r>
        <w:rPr>
          <w:rFonts w:ascii="宋体" w:hAnsi="宋体" w:cs="宋体" w:eastAsia="宋体" w:hint="default"/>
          <w:spacing w:val="-4"/>
        </w:rPr>
        <w:t>28</w:t>
      </w:r>
      <w:r>
        <w:rPr>
          <w:spacing w:val="-4"/>
        </w:rPr>
        <w:t>口盖、</w:t>
      </w:r>
      <w:r>
        <w:rPr>
          <w:rFonts w:ascii="宋体" w:hAnsi="宋体" w:cs="宋体" w:eastAsia="宋体" w:hint="default"/>
          <w:spacing w:val="-4"/>
        </w:rPr>
        <w:t>38</w:t>
      </w:r>
      <w:r>
        <w:rPr>
          <w:spacing w:val="-4"/>
        </w:rPr>
        <w:t>口盖在国际饮品市场上崭露头角，</w:t>
      </w:r>
    </w:p>
    <w:p>
      <w:pPr>
        <w:pStyle w:val="BodyText"/>
        <w:spacing w:line="224" w:lineRule="exact"/>
        <w:ind w:right="982"/>
        <w:jc w:val="left"/>
      </w:pPr>
      <w:r>
        <w:rPr>
          <w:spacing w:val="-3"/>
        </w:rPr>
        <w:t>“罐</w:t>
      </w:r>
      <w:r>
        <w:rPr>
          <w:rFonts w:ascii="宋体" w:hAnsi="宋体" w:cs="宋体" w:eastAsia="宋体" w:hint="default"/>
          <w:spacing w:val="-3"/>
        </w:rPr>
        <w:t>+</w:t>
      </w:r>
      <w:r>
        <w:rPr>
          <w:spacing w:val="-3"/>
        </w:rPr>
        <w:t>盖”这一新的包装形式得到消费者的认可。报告期内，伴随年内</w:t>
      </w:r>
      <w:r>
        <w:rPr>
          <w:rFonts w:ascii="宋体" w:hAnsi="宋体" w:cs="宋体" w:eastAsia="宋体" w:hint="default"/>
          <w:spacing w:val="-3"/>
        </w:rPr>
        <w:t>28</w:t>
      </w:r>
      <w:r>
        <w:rPr>
          <w:spacing w:val="-3"/>
        </w:rPr>
        <w:t>、</w:t>
      </w:r>
      <w:r>
        <w:rPr>
          <w:rFonts w:ascii="宋体" w:hAnsi="宋体" w:cs="宋体" w:eastAsia="宋体" w:hint="default"/>
          <w:spacing w:val="-3"/>
        </w:rPr>
        <w:t>38</w:t>
      </w:r>
      <w:r>
        <w:rPr>
          <w:spacing w:val="-3"/>
        </w:rPr>
        <w:t>口</w:t>
      </w:r>
      <w:r>
        <w:rPr>
          <w:rFonts w:ascii="宋体" w:hAnsi="宋体" w:cs="宋体" w:eastAsia="宋体" w:hint="default"/>
          <w:spacing w:val="-3"/>
        </w:rPr>
        <w:t>SCAMI</w:t>
      </w:r>
      <w:r>
        <w:rPr>
          <w:spacing w:val="-3"/>
        </w:rPr>
        <w:t>线的引进投产，在蓝带啤酒、漓泉啤酒、</w:t>
      </w:r>
    </w:p>
    <w:p>
      <w:pPr>
        <w:pStyle w:val="BodyText"/>
        <w:spacing w:line="240" w:lineRule="auto" w:before="77"/>
        <w:ind w:right="982"/>
        <w:jc w:val="left"/>
      </w:pPr>
      <w:r>
        <w:rPr/>
        <w:t>太阳神、崂山矿泉水、德乐诗等客户的基础上，进一步开发了大洲新燕、辽宁力克等新客户。</w:t>
      </w:r>
    </w:p>
    <w:p>
      <w:pPr>
        <w:pStyle w:val="BodyText"/>
        <w:spacing w:line="357" w:lineRule="auto" w:before="116"/>
        <w:ind w:left="474" w:right="982"/>
        <w:jc w:val="left"/>
      </w:pPr>
      <w:r>
        <w:rPr/>
        <w:t>（</w:t>
      </w:r>
      <w:r>
        <w:rPr>
          <w:rFonts w:ascii="宋体" w:hAnsi="宋体" w:cs="宋体" w:eastAsia="宋体" w:hint="default"/>
        </w:rPr>
        <w:t>4</w:t>
      </w:r>
      <w:r>
        <w:rPr/>
        <w:t>）国际业务以“为客户提供一站式包装服务”为使命，争做全球知名全产业链服务商。 </w:t>
      </w:r>
      <w:r>
        <w:rPr>
          <w:spacing w:val="-2"/>
        </w:rPr>
        <w:t>针对国内外白酒市场的变化，公司将国际业务划分公司自产产品销售和非公司自产产品销售两大模块，两条腿走路，不</w:t>
      </w:r>
    </w:p>
    <w:p>
      <w:pPr>
        <w:pStyle w:val="BodyText"/>
        <w:spacing w:line="225" w:lineRule="exact"/>
        <w:ind w:right="982"/>
        <w:jc w:val="left"/>
      </w:pPr>
      <w:r>
        <w:rPr/>
        <w:t>再单独依赖自产产品的销售。除销售防伪瓶盖、复合型防伪印刷铝板及机械模具之外，为各类客户提供全产业链优质服务。</w:t>
      </w:r>
    </w:p>
    <w:p>
      <w:pPr>
        <w:pStyle w:val="BodyText"/>
        <w:spacing w:line="357" w:lineRule="auto" w:before="116"/>
        <w:ind w:left="474" w:right="982"/>
        <w:jc w:val="left"/>
      </w:pPr>
      <w:r>
        <w:rPr/>
        <w:t>（</w:t>
      </w:r>
      <w:r>
        <w:rPr>
          <w:rFonts w:ascii="宋体" w:hAnsi="宋体" w:cs="宋体" w:eastAsia="宋体" w:hint="default"/>
        </w:rPr>
        <w:t>5</w:t>
      </w:r>
      <w:r>
        <w:rPr/>
        <w:t>）实施精细化管理，降本增效，保持公司可持续的发展 </w:t>
      </w:r>
      <w:r>
        <w:rPr>
          <w:spacing w:val="-2"/>
        </w:rPr>
        <w:t>为增强公司持续发展的内生动力，</w:t>
      </w:r>
      <w:r>
        <w:rPr>
          <w:rFonts w:ascii="宋体" w:hAnsi="宋体" w:cs="宋体" w:eastAsia="宋体" w:hint="default"/>
          <w:spacing w:val="-2"/>
        </w:rPr>
        <w:t>2018</w:t>
      </w:r>
      <w:r>
        <w:rPr>
          <w:spacing w:val="-2"/>
        </w:rPr>
        <w:t>年围绕公司精益管理，以降本增效为主题，以人力降本采购降本质量降本、制造</w:t>
      </w:r>
    </w:p>
    <w:p>
      <w:pPr>
        <w:spacing w:after="0" w:line="357"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74" w:right="982" w:hanging="360"/>
        <w:jc w:val="left"/>
      </w:pPr>
      <w:r>
        <w:rPr>
          <w:spacing w:val="-4"/>
        </w:rPr>
        <w:t>费用降本等作为工作重点，通过市场拓展、管理提升、降本增效、指标分解、激烈机制等措施，向科学化、精细化管理迈进。</w:t>
      </w:r>
      <w:r>
        <w:rPr>
          <w:spacing w:val="-47"/>
        </w:rPr>
        <w:t> </w:t>
      </w:r>
      <w:r>
        <w:rPr>
          <w:spacing w:val="-47"/>
        </w:rPr>
      </w:r>
      <w:r>
        <w:rPr>
          <w:spacing w:val="-4"/>
        </w:rPr>
        <w:t>公司围绕着瓶盖生产过程所涉及的各个技术环节，进行了不断的改进与革新，研发多项实用设备及防伪瓶盖并申请专利。</w:t>
      </w:r>
    </w:p>
    <w:p>
      <w:pPr>
        <w:pStyle w:val="BodyText"/>
        <w:spacing w:line="224" w:lineRule="exact"/>
        <w:ind w:right="0"/>
        <w:jc w:val="both"/>
      </w:pPr>
      <w:r>
        <w:rPr/>
        <w:t>截至报告期，公司防伪包装业务共拥有专利</w:t>
      </w:r>
      <w:r>
        <w:rPr>
          <w:rFonts w:ascii="宋体" w:hAnsi="宋体" w:cs="宋体" w:eastAsia="宋体" w:hint="default"/>
        </w:rPr>
        <w:t>166</w:t>
      </w:r>
      <w:r>
        <w:rPr/>
        <w:t>项，其中发明专利</w:t>
      </w:r>
      <w:r>
        <w:rPr>
          <w:rFonts w:ascii="宋体" w:hAnsi="宋体" w:cs="宋体" w:eastAsia="宋体" w:hint="default"/>
        </w:rPr>
        <w:t>32</w:t>
      </w:r>
      <w:r>
        <w:rPr/>
        <w:t>项，实用新型专利</w:t>
      </w:r>
      <w:r>
        <w:rPr>
          <w:rFonts w:ascii="宋体" w:hAnsi="宋体" w:cs="宋体" w:eastAsia="宋体" w:hint="default"/>
        </w:rPr>
        <w:t>116</w:t>
      </w:r>
      <w:r>
        <w:rPr/>
        <w:t>项，外观设计专利</w:t>
      </w:r>
      <w:r>
        <w:rPr>
          <w:rFonts w:ascii="宋体" w:hAnsi="宋体" w:cs="宋体" w:eastAsia="宋体" w:hint="default"/>
        </w:rPr>
        <w:t>18</w:t>
      </w:r>
      <w:r>
        <w:rPr/>
        <w:t>项。获得山东</w:t>
      </w:r>
    </w:p>
    <w:p>
      <w:pPr>
        <w:pStyle w:val="BodyText"/>
        <w:spacing w:line="319" w:lineRule="auto" w:before="76"/>
        <w:ind w:right="1129"/>
        <w:jc w:val="both"/>
      </w:pPr>
      <w:r>
        <w:rPr>
          <w:spacing w:val="-2"/>
        </w:rPr>
        <w:t>省包装行业功勋企业荣誉、获得中国印刷技术协会凹版印刷分会颁发的</w:t>
      </w:r>
      <w:r>
        <w:rPr>
          <w:rFonts w:ascii="宋体" w:hAnsi="宋体" w:cs="宋体" w:eastAsia="宋体" w:hint="default"/>
          <w:spacing w:val="-2"/>
        </w:rPr>
        <w:t>2018</w:t>
      </w:r>
      <w:r>
        <w:rPr>
          <w:spacing w:val="-2"/>
        </w:rPr>
        <w:t>第六届“凌云杯”印刷质量管理大奖、包装印刷</w:t>
      </w:r>
      <w:r>
        <w:rPr>
          <w:spacing w:val="-62"/>
        </w:rPr>
        <w:t> </w:t>
      </w:r>
      <w:r>
        <w:rPr>
          <w:spacing w:val="-62"/>
        </w:rPr>
      </w:r>
      <w:r>
        <w:rPr>
          <w:spacing w:val="-6"/>
        </w:rPr>
        <w:t>技术创新作品大奖、包装印刷作品大奖赛一等奖。</w:t>
      </w:r>
      <w:r>
        <w:rPr>
          <w:rFonts w:ascii="宋体" w:hAnsi="宋体" w:cs="宋体" w:eastAsia="宋体" w:hint="default"/>
          <w:spacing w:val="-6"/>
        </w:rPr>
        <w:t>2018</w:t>
      </w:r>
      <w:r>
        <w:rPr>
          <w:spacing w:val="-6"/>
        </w:rPr>
        <w:t>年度，公司共生产防伪瓶盖约</w:t>
      </w:r>
      <w:r>
        <w:rPr>
          <w:rFonts w:ascii="宋体" w:hAnsi="宋体" w:cs="宋体" w:eastAsia="宋体" w:hint="default"/>
          <w:spacing w:val="-6"/>
        </w:rPr>
        <w:t>25.25</w:t>
      </w:r>
      <w:r>
        <w:rPr>
          <w:spacing w:val="-6"/>
        </w:rPr>
        <w:t>亿只，完成营业收入</w:t>
      </w:r>
      <w:r>
        <w:rPr>
          <w:rFonts w:ascii="宋体" w:hAnsi="宋体" w:cs="宋体" w:eastAsia="宋体" w:hint="default"/>
          <w:spacing w:val="-6"/>
        </w:rPr>
        <w:t>493,965,851.08</w:t>
      </w:r>
      <w:r>
        <w:rPr>
          <w:rFonts w:ascii="宋体" w:hAnsi="宋体" w:cs="宋体" w:eastAsia="宋体" w:hint="default"/>
          <w:spacing w:val="-39"/>
        </w:rPr>
        <w:t> </w:t>
      </w:r>
      <w:r>
        <w:rPr/>
        <w:t>元</w:t>
      </w:r>
      <w:r>
        <w:rPr>
          <w:rFonts w:ascii="宋体" w:hAnsi="宋体" w:cs="宋体" w:eastAsia="宋体" w:hint="default"/>
        </w:rPr>
        <w:t>,</w:t>
      </w:r>
      <w:r>
        <w:rPr/>
        <w:t>同比增长</w:t>
      </w:r>
      <w:r>
        <w:rPr>
          <w:rFonts w:ascii="宋体" w:hAnsi="宋体" w:cs="宋体" w:eastAsia="宋体" w:hint="default"/>
        </w:rPr>
        <w:t>6.80%</w:t>
      </w:r>
      <w:r>
        <w:rPr/>
        <w:t>；共生产复合型防伪印刷铝板</w:t>
      </w:r>
      <w:r>
        <w:rPr>
          <w:rFonts w:ascii="宋体" w:hAnsi="宋体" w:cs="宋体" w:eastAsia="宋体" w:hint="default"/>
        </w:rPr>
        <w:t>7666.00</w:t>
      </w:r>
      <w:r>
        <w:rPr/>
        <w:t>吨，完成营业收入</w:t>
      </w:r>
      <w:r>
        <w:rPr>
          <w:rFonts w:ascii="宋体" w:hAnsi="宋体" w:cs="宋体" w:eastAsia="宋体" w:hint="default"/>
        </w:rPr>
        <w:t>71,931,009.00</w:t>
      </w:r>
      <w:r>
        <w:rPr/>
        <w:t>元，同比下降</w:t>
      </w:r>
      <w:r>
        <w:rPr>
          <w:rFonts w:ascii="宋体" w:hAnsi="宋体" w:cs="宋体" w:eastAsia="宋体" w:hint="default"/>
        </w:rPr>
        <w:t>10.63%</w:t>
      </w:r>
      <w:r>
        <w:rPr/>
        <w:t>。</w:t>
      </w:r>
    </w:p>
    <w:p>
      <w:pPr>
        <w:pStyle w:val="Heading6"/>
        <w:spacing w:line="240" w:lineRule="auto" w:before="58"/>
        <w:ind w:right="982"/>
        <w:jc w:val="left"/>
        <w:rPr>
          <w:b w:val="0"/>
          <w:bCs w:val="0"/>
        </w:rPr>
      </w:pPr>
      <w:r>
        <w:rPr>
          <w:rFonts w:ascii="宋体" w:hAnsi="宋体" w:cs="宋体" w:eastAsia="宋体" w:hint="default"/>
        </w:rPr>
        <w:t>3</w:t>
      </w:r>
      <w:r>
        <w:rPr/>
        <w:t>、布局教育业务——改善公司盈利能力，增加新的赢利点</w:t>
      </w:r>
      <w:r>
        <w:rPr>
          <w:b w:val="0"/>
          <w:bCs w:val="0"/>
        </w:rPr>
      </w:r>
    </w:p>
    <w:p>
      <w:pPr>
        <w:pStyle w:val="BodyText"/>
        <w:spacing w:line="319" w:lineRule="auto" w:before="115"/>
        <w:ind w:right="982" w:firstLine="360"/>
        <w:jc w:val="left"/>
      </w:pPr>
      <w:r>
        <w:rPr>
          <w:rFonts w:ascii="宋体" w:hAnsi="宋体" w:cs="宋体" w:eastAsia="宋体" w:hint="default"/>
          <w:spacing w:val="-2"/>
        </w:rPr>
        <w:t>2018</w:t>
      </w:r>
      <w:r>
        <w:rPr>
          <w:spacing w:val="-2"/>
        </w:rPr>
        <w:t>年中国经济进入了寒冬。在外部贸易摩擦，美元加息等冲击下，国内多年积累的内部矛盾和问题充分暴露，带来宏</w:t>
      </w:r>
      <w:r>
        <w:rPr/>
        <w:t> </w:t>
      </w:r>
      <w:r>
        <w:rPr>
          <w:spacing w:val="-4"/>
        </w:rPr>
        <w:t>观决策的严峻考验。中国民营经济遇到了“三座大山”：市场的冰山、融资的高山、转型的火山。在内外部环境变化影响下，</w:t>
      </w:r>
      <w:r>
        <w:rPr>
          <w:spacing w:val="-44"/>
        </w:rPr>
        <w:t> </w:t>
      </w:r>
      <w:r>
        <w:rPr>
          <w:spacing w:val="-44"/>
        </w:rPr>
      </w:r>
      <w:r>
        <w:rPr>
          <w:spacing w:val="-2"/>
        </w:rPr>
        <w:t>公司实际控制人发生变更。为了进一步充实公司业务范围，发挥实际控制人的优势，营建新的盈利点。</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月，公司注</w:t>
      </w:r>
      <w:r>
        <w:rPr>
          <w:spacing w:val="-59"/>
        </w:rPr>
        <w:t> </w:t>
      </w:r>
      <w:r>
        <w:rPr>
          <w:spacing w:val="-59"/>
        </w:rPr>
      </w:r>
      <w:r>
        <w:rPr>
          <w:spacing w:val="-2"/>
        </w:rPr>
        <w:t>册成立了全资子公司上海锐科教育科技有限公司，同时受让了关联方下属的苏州中锐智信教育投资有限公司，开始布局教育</w:t>
      </w:r>
      <w:r>
        <w:rPr>
          <w:spacing w:val="-64"/>
        </w:rPr>
        <w:t> </w:t>
      </w:r>
      <w:r>
        <w:rPr>
          <w:spacing w:val="-64"/>
        </w:rPr>
      </w:r>
      <w:r>
        <w:rPr/>
        <w:t>业务。</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参见“经营情况讨论与分析”中的“一、概述”相关内容。</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1,247,889,350.41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1,857,817,488.80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-32.83%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493,965,851.08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462,507,765.07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复合型防伪印刷 铝板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71,931,009.00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80,485,361.57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606,963,063.77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1,238,636,295.77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75,029,426.56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76,188,066.39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163,469,332.39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181,060,120.13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330,496,518.69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281,447,644.94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17.43%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复合型防伪印刷 铝板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71,931,009.00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80,485,361.57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606,963,063.77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1,238,636,295.77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75,029,426.56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76,188,066.39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134,440,893.45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145,123,710.80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1,113,448,456.96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1,712,693,778.00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-34.99%</w:t>
            </w:r>
          </w:p>
        </w:tc>
      </w:tr>
    </w:tbl>
    <w:p>
      <w:pPr>
        <w:spacing w:line="240" w:lineRule="auto" w:before="3"/>
        <w:rPr>
          <w:rFonts w:ascii="宋体" w:hAnsi="宋体" w:cs="宋体" w:eastAsia="宋体" w:hint="default"/>
          <w:sz w:val="19"/>
          <w:szCs w:val="19"/>
        </w:rPr>
      </w:pPr>
    </w:p>
    <w:p>
      <w:pPr>
        <w:pStyle w:val="Heading4"/>
        <w:spacing w:line="240" w:lineRule="auto" w:before="35"/>
        <w:ind w:right="982"/>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60" w:lineRule="auto" w:before="44"/>
        <w:ind w:right="-20"/>
        <w:jc w:val="left"/>
      </w:pPr>
      <w:r>
        <w:rPr/>
        <w:t>√ 适用 □ 不适用 公司是否需要遵守特殊行业的披露要求 是</w:t>
      </w:r>
    </w:p>
    <w:p>
      <w:pPr>
        <w:pStyle w:val="BodyText"/>
        <w:spacing w:line="240" w:lineRule="auto" w:before="26"/>
        <w:ind w:right="-20"/>
        <w:jc w:val="left"/>
      </w:pPr>
      <w:r>
        <w:rPr/>
        <w:t>土木工程建筑业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2" w:equalWidth="0">
            <w:col w:w="3175" w:space="5745"/>
            <w:col w:w="197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493,965,851.08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441,579,039.79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复合型防伪印 刷铝板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71,931,009.00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67,701,406.59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606,963,063.77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546,275,509.49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75,029,426.56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59,842,414.65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163,469,332.39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140,496,859.05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组合防伪盖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330,496,518.69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301,082,180.74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复合型防伪印 刷铝板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71,931,009.00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67,701,406.59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606,963,063.77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546,275,509.49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75,029,426.56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59,842,414.65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134,440,893.45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130,363,490.81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1,113,448,456.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985,034,879.71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w:t>
            </w:r>
          </w:p>
        </w:tc>
      </w:tr>
    </w:tbl>
    <w:p>
      <w:pPr>
        <w:pStyle w:val="BodyText"/>
        <w:spacing w:line="240" w:lineRule="auto" w:before="51"/>
        <w:ind w:right="98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是 √ 否</w:t>
      </w:r>
    </w:p>
    <w:p>
      <w:pPr>
        <w:spacing w:after="0" w:line="240" w:lineRule="auto"/>
        <w:jc w:val="left"/>
        <w:sectPr>
          <w:type w:val="continuous"/>
          <w:pgSz w:w="11910" w:h="16840"/>
          <w:pgMar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692"/>
        <w:jc w:val="left"/>
      </w:pPr>
      <w:r>
        <w:rPr/>
        <w:t>√ 适用 □ 不适用 公司是否需要遵守特殊行业的披露要求 是</w:t>
      </w:r>
    </w:p>
    <w:p>
      <w:pPr>
        <w:pStyle w:val="BodyText"/>
        <w:spacing w:line="240" w:lineRule="auto" w:before="26"/>
        <w:ind w:right="982"/>
        <w:jc w:val="left"/>
      </w:pPr>
      <w:r>
        <w:rPr/>
        <w:t>土木工程建筑业</w:t>
      </w:r>
    </w:p>
    <w:p>
      <w:pPr>
        <w:pStyle w:val="BodyText"/>
        <w:spacing w:line="240" w:lineRule="auto" w:before="116"/>
        <w:ind w:right="982"/>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74"/>
        <w:gridCol w:w="961"/>
        <w:gridCol w:w="718"/>
        <w:gridCol w:w="719"/>
        <w:gridCol w:w="718"/>
        <w:gridCol w:w="718"/>
        <w:gridCol w:w="838"/>
        <w:gridCol w:w="836"/>
        <w:gridCol w:w="1076"/>
        <w:gridCol w:w="838"/>
        <w:gridCol w:w="1074"/>
      </w:tblGrid>
      <w:tr>
        <w:trPr>
          <w:trHeight w:val="1338"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重大项目</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业务模式</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3" w:right="173"/>
              <w:jc w:val="left"/>
              <w:rPr>
                <w:rFonts w:ascii="宋体" w:hAnsi="宋体" w:cs="宋体" w:eastAsia="宋体" w:hint="default"/>
                <w:sz w:val="18"/>
                <w:szCs w:val="18"/>
              </w:rPr>
            </w:pPr>
            <w:r>
              <w:rPr>
                <w:rFonts w:ascii="宋体" w:hAnsi="宋体" w:cs="宋体" w:eastAsia="宋体" w:hint="default"/>
                <w:sz w:val="18"/>
                <w:szCs w:val="18"/>
              </w:rPr>
              <w:t>定价 机制</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3" w:right="173"/>
              <w:jc w:val="left"/>
              <w:rPr>
                <w:rFonts w:ascii="宋体" w:hAnsi="宋体" w:cs="宋体" w:eastAsia="宋体" w:hint="default"/>
                <w:sz w:val="18"/>
                <w:szCs w:val="18"/>
              </w:rPr>
            </w:pPr>
            <w:r>
              <w:rPr>
                <w:rFonts w:ascii="宋体" w:hAnsi="宋体" w:cs="宋体" w:eastAsia="宋体" w:hint="default"/>
                <w:sz w:val="18"/>
                <w:szCs w:val="18"/>
              </w:rPr>
              <w:t>回款 安排</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2" w:right="173"/>
              <w:jc w:val="left"/>
              <w:rPr>
                <w:rFonts w:ascii="宋体" w:hAnsi="宋体" w:cs="宋体" w:eastAsia="宋体" w:hint="default"/>
                <w:sz w:val="18"/>
                <w:szCs w:val="18"/>
              </w:rPr>
            </w:pPr>
            <w:r>
              <w:rPr>
                <w:rFonts w:ascii="宋体" w:hAnsi="宋体" w:cs="宋体" w:eastAsia="宋体" w:hint="default"/>
                <w:sz w:val="18"/>
                <w:szCs w:val="18"/>
              </w:rPr>
              <w:t>融资 方式</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3" w:right="173"/>
              <w:jc w:val="left"/>
              <w:rPr>
                <w:rFonts w:ascii="宋体" w:hAnsi="宋体" w:cs="宋体" w:eastAsia="宋体" w:hint="default"/>
                <w:sz w:val="18"/>
                <w:szCs w:val="18"/>
              </w:rPr>
            </w:pPr>
            <w:r>
              <w:rPr>
                <w:rFonts w:ascii="宋体" w:hAnsi="宋体" w:cs="宋体" w:eastAsia="宋体" w:hint="default"/>
                <w:sz w:val="18"/>
                <w:szCs w:val="18"/>
              </w:rPr>
              <w:t>政策 优惠</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特许经 营（如 适用）</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4" w:right="140"/>
              <w:jc w:val="both"/>
              <w:rPr>
                <w:rFonts w:ascii="宋体" w:hAnsi="宋体" w:cs="宋体" w:eastAsia="宋体" w:hint="default"/>
                <w:sz w:val="18"/>
                <w:szCs w:val="18"/>
              </w:rPr>
            </w:pPr>
            <w:r>
              <w:rPr>
                <w:rFonts w:ascii="宋体" w:hAnsi="宋体" w:cs="宋体" w:eastAsia="宋体" w:hint="default"/>
                <w:sz w:val="18"/>
                <w:szCs w:val="18"/>
              </w:rPr>
              <w:t>运营期 限（如 适用）</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center"/>
              <w:rPr>
                <w:rFonts w:ascii="宋体" w:hAnsi="宋体" w:cs="宋体" w:eastAsia="宋体" w:hint="default"/>
                <w:sz w:val="18"/>
                <w:szCs w:val="18"/>
              </w:rPr>
            </w:pPr>
            <w:r>
              <w:rPr>
                <w:rFonts w:ascii="宋体" w:hAnsi="宋体" w:cs="宋体" w:eastAsia="宋体" w:hint="default"/>
                <w:sz w:val="18"/>
                <w:szCs w:val="18"/>
              </w:rPr>
              <w:t>收入来源 </w:t>
            </w:r>
            <w:r>
              <w:rPr>
                <w:rFonts w:ascii="宋体" w:hAnsi="宋体" w:cs="宋体" w:eastAsia="宋体" w:hint="default"/>
                <w:spacing w:val="-9"/>
                <w:sz w:val="18"/>
                <w:szCs w:val="18"/>
              </w:rPr>
              <w:t>及归属（如</w:t>
            </w:r>
            <w:r>
              <w:rPr>
                <w:rFonts w:ascii="宋体" w:hAnsi="宋体" w:cs="宋体" w:eastAsia="宋体" w:hint="default"/>
                <w:sz w:val="18"/>
                <w:szCs w:val="18"/>
              </w:rPr>
              <w:t> 适用）</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143" w:hanging="90"/>
              <w:jc w:val="left"/>
              <w:rPr>
                <w:rFonts w:ascii="宋体" w:hAnsi="宋体" w:cs="宋体" w:eastAsia="宋体" w:hint="default"/>
                <w:sz w:val="18"/>
                <w:szCs w:val="18"/>
              </w:rPr>
            </w:pPr>
            <w:r>
              <w:rPr>
                <w:rFonts w:ascii="宋体" w:hAnsi="宋体" w:cs="宋体" w:eastAsia="宋体" w:hint="default"/>
                <w:sz w:val="18"/>
                <w:szCs w:val="18"/>
              </w:rPr>
              <w:t>保底运 营量</w:t>
            </w:r>
          </w:p>
          <w:p>
            <w:pPr>
              <w:pStyle w:val="TableParagraph"/>
              <w:spacing w:line="319" w:lineRule="auto" w:before="19"/>
              <w:ind w:left="233" w:right="143" w:hanging="90"/>
              <w:jc w:val="left"/>
              <w:rPr>
                <w:rFonts w:ascii="宋体" w:hAnsi="宋体" w:cs="宋体" w:eastAsia="宋体" w:hint="default"/>
                <w:sz w:val="18"/>
                <w:szCs w:val="18"/>
              </w:rPr>
            </w:pPr>
            <w:r>
              <w:rPr>
                <w:rFonts w:ascii="宋体" w:hAnsi="宋体" w:cs="宋体" w:eastAsia="宋体" w:hint="default"/>
                <w:sz w:val="18"/>
                <w:szCs w:val="18"/>
              </w:rPr>
              <w:t>（如适 用）</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0"/>
              <w:jc w:val="center"/>
              <w:rPr>
                <w:rFonts w:ascii="宋体" w:hAnsi="宋体" w:cs="宋体" w:eastAsia="宋体" w:hint="default"/>
                <w:sz w:val="18"/>
                <w:szCs w:val="18"/>
              </w:rPr>
            </w:pPr>
            <w:r>
              <w:rPr>
                <w:rFonts w:ascii="宋体" w:hAnsi="宋体" w:cs="宋体" w:eastAsia="宋体" w:hint="default"/>
                <w:sz w:val="18"/>
                <w:szCs w:val="18"/>
              </w:rPr>
              <w:t>投资收益 的保障措 施（如适 用）</w:t>
            </w:r>
          </w:p>
        </w:tc>
      </w:tr>
      <w:tr>
        <w:trPr>
          <w:trHeight w:val="352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103" w:right="12"/>
              <w:jc w:val="left"/>
              <w:rPr>
                <w:rFonts w:ascii="宋体" w:hAnsi="宋体" w:cs="宋体" w:eastAsia="宋体" w:hint="default"/>
                <w:sz w:val="18"/>
                <w:szCs w:val="18"/>
              </w:rPr>
            </w:pPr>
            <w:r>
              <w:rPr>
                <w:rFonts w:ascii="宋体" w:hAnsi="宋体" w:cs="宋体" w:eastAsia="宋体" w:hint="default"/>
                <w:sz w:val="18"/>
                <w:szCs w:val="18"/>
              </w:rPr>
              <w:t>巴中市巴 州区津桥 湖城市基 础设施和 生态恢复 </w:t>
            </w:r>
            <w:r>
              <w:rPr>
                <w:rFonts w:ascii="宋体" w:hAnsi="宋体" w:cs="宋体" w:eastAsia="宋体" w:hint="default"/>
                <w:spacing w:val="-11"/>
                <w:sz w:val="18"/>
                <w:szCs w:val="18"/>
              </w:rPr>
              <w:t>建设（</w:t>
            </w:r>
            <w:r>
              <w:rPr>
                <w:rFonts w:ascii="Times New Roman" w:hAnsi="Times New Roman" w:cs="Times New Roman" w:eastAsia="Times New Roman" w:hint="default"/>
                <w:spacing w:val="-11"/>
                <w:sz w:val="18"/>
                <w:szCs w:val="18"/>
              </w:rPr>
              <w:t>PPP</w:t>
            </w:r>
            <w:r>
              <w:rPr>
                <w:rFonts w:ascii="宋体" w:hAnsi="宋体" w:cs="宋体" w:eastAsia="宋体" w:hint="default"/>
                <w:spacing w:val="-11"/>
                <w:sz w:val="18"/>
                <w:szCs w:val="18"/>
              </w:rPr>
              <w:t>）</w:t>
            </w:r>
            <w:r>
              <w:rPr>
                <w:rFonts w:ascii="宋体" w:hAnsi="宋体" w:cs="宋体" w:eastAsia="宋体" w:hint="default"/>
                <w:sz w:val="18"/>
                <w:szCs w:val="18"/>
              </w:rPr>
              <w:t> 项目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103" w:right="141"/>
              <w:jc w:val="left"/>
              <w:rPr>
                <w:rFonts w:ascii="宋体" w:hAnsi="宋体" w:cs="宋体" w:eastAsia="宋体" w:hint="default"/>
                <w:sz w:val="18"/>
                <w:szCs w:val="18"/>
              </w:rPr>
            </w:pPr>
            <w:r>
              <w:rPr>
                <w:rFonts w:ascii="宋体" w:hAnsi="宋体" w:cs="宋体" w:eastAsia="宋体" w:hint="default"/>
                <w:sz w:val="18"/>
                <w:szCs w:val="18"/>
              </w:rPr>
              <w:t>固定 利率</w:t>
            </w:r>
            <w:r>
              <w:rPr>
                <w:rFonts w:ascii="Times New Roman" w:hAnsi="Times New Roman" w:cs="Times New Roman" w:eastAsia="Times New Roman" w:hint="default"/>
                <w:sz w:val="18"/>
                <w:szCs w:val="18"/>
              </w:rPr>
              <w:t>+ </w:t>
            </w:r>
            <w:r>
              <w:rPr>
                <w:rFonts w:ascii="宋体" w:hAnsi="宋体" w:cs="宋体" w:eastAsia="宋体" w:hint="default"/>
                <w:sz w:val="18"/>
                <w:szCs w:val="18"/>
              </w:rPr>
              <w:t>浮动 收益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各单 位工 程竣 工验 收合 格之 日开 始每 年支 付一 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1" w:right="24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240"/>
              <w:jc w:val="both"/>
              <w:rPr>
                <w:rFonts w:ascii="宋体" w:hAnsi="宋体" w:cs="宋体" w:eastAsia="宋体" w:hint="default"/>
                <w:sz w:val="18"/>
                <w:szCs w:val="18"/>
              </w:rPr>
            </w:pPr>
            <w:r>
              <w:rPr>
                <w:rFonts w:ascii="宋体" w:hAnsi="宋体" w:cs="宋体" w:eastAsia="宋体" w:hint="default"/>
                <w:sz w:val="18"/>
                <w:szCs w:val="18"/>
              </w:rPr>
              <w:t>可用性服 务费及运 营绩效服 务费</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1" w:right="240"/>
              <w:jc w:val="both"/>
              <w:rPr>
                <w:rFonts w:ascii="宋体" w:hAnsi="宋体" w:cs="宋体" w:eastAsia="宋体" w:hint="default"/>
                <w:sz w:val="18"/>
                <w:szCs w:val="18"/>
              </w:rPr>
            </w:pPr>
            <w:r>
              <w:rPr>
                <w:rFonts w:ascii="宋体" w:hAnsi="宋体" w:cs="宋体" w:eastAsia="宋体" w:hint="default"/>
                <w:sz w:val="18"/>
                <w:szCs w:val="18"/>
              </w:rPr>
              <w:t>政府付费 纳入财政 预算</w:t>
            </w:r>
          </w:p>
        </w:tc>
      </w:tr>
      <w:tr>
        <w:trPr>
          <w:trHeight w:val="289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39"/>
              <w:jc w:val="both"/>
              <w:rPr>
                <w:rFonts w:ascii="宋体" w:hAnsi="宋体" w:cs="宋体" w:eastAsia="宋体" w:hint="default"/>
                <w:sz w:val="18"/>
                <w:szCs w:val="18"/>
              </w:rPr>
            </w:pPr>
            <w:r>
              <w:rPr>
                <w:rFonts w:ascii="宋体" w:hAnsi="宋体" w:cs="宋体" w:eastAsia="宋体" w:hint="default"/>
                <w:sz w:val="18"/>
                <w:szCs w:val="18"/>
              </w:rPr>
              <w:t>遵义苟坝 红色文化 旅游创新 区建设项 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242"/>
              <w:jc w:val="both"/>
              <w:rPr>
                <w:rFonts w:ascii="宋体" w:hAnsi="宋体" w:cs="宋体" w:eastAsia="宋体" w:hint="default"/>
                <w:sz w:val="18"/>
                <w:szCs w:val="18"/>
              </w:rPr>
            </w:pPr>
            <w:r>
              <w:rPr>
                <w:rFonts w:ascii="宋体" w:hAnsi="宋体" w:cs="宋体" w:eastAsia="宋体" w:hint="default"/>
                <w:sz w:val="18"/>
                <w:szCs w:val="18"/>
              </w:rPr>
              <w:t>固定 利率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单个 项目 竣工 验收 合格 之日 起进 入回 购期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1" w:right="24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103" w:right="138"/>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 </w:t>
            </w:r>
            <w:r>
              <w:rPr>
                <w:rFonts w:ascii="宋体" w:hAnsi="宋体" w:cs="宋体" w:eastAsia="宋体" w:hint="default"/>
                <w:sz w:val="18"/>
                <w:szCs w:val="18"/>
              </w:rPr>
              <w:t>投资回报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1" w:right="240"/>
              <w:jc w:val="left"/>
              <w:rPr>
                <w:rFonts w:ascii="宋体" w:hAnsi="宋体" w:cs="宋体" w:eastAsia="宋体" w:hint="default"/>
                <w:sz w:val="18"/>
                <w:szCs w:val="18"/>
              </w:rPr>
            </w:pPr>
            <w:r>
              <w:rPr>
                <w:rFonts w:ascii="宋体" w:hAnsi="宋体" w:cs="宋体" w:eastAsia="宋体" w:hint="default"/>
                <w:sz w:val="18"/>
                <w:szCs w:val="18"/>
              </w:rPr>
              <w:t>甲方履约 担保</w:t>
            </w:r>
          </w:p>
        </w:tc>
      </w:tr>
      <w:tr>
        <w:trPr>
          <w:trHeight w:val="289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政府与社 会资本合 作（</w:t>
            </w:r>
            <w:r>
              <w:rPr>
                <w:rFonts w:ascii="Times New Roman" w:hAnsi="Times New Roman" w:cs="Times New Roman" w:eastAsia="Times New Roman" w:hint="default"/>
                <w:sz w:val="18"/>
                <w:szCs w:val="18"/>
              </w:rPr>
              <w:t>PPP</w:t>
            </w:r>
            <w:r>
              <w:rPr>
                <w:rFonts w:ascii="宋体" w:hAnsi="宋体" w:cs="宋体" w:eastAsia="宋体" w:hint="default"/>
                <w:sz w:val="18"/>
                <w:szCs w:val="18"/>
              </w:rPr>
              <w:t>） 西秀区生 态修复综 </w:t>
            </w:r>
            <w:r>
              <w:rPr>
                <w:rFonts w:ascii="宋体" w:hAnsi="宋体" w:cs="宋体" w:eastAsia="宋体" w:hint="default"/>
                <w:spacing w:val="-9"/>
                <w:sz w:val="18"/>
                <w:szCs w:val="18"/>
              </w:rPr>
              <w:t>合治理（二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期）项目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103" w:right="141"/>
              <w:jc w:val="left"/>
              <w:rPr>
                <w:rFonts w:ascii="宋体" w:hAnsi="宋体" w:cs="宋体" w:eastAsia="宋体" w:hint="default"/>
                <w:sz w:val="18"/>
                <w:szCs w:val="18"/>
              </w:rPr>
            </w:pPr>
            <w:r>
              <w:rPr>
                <w:rFonts w:ascii="宋体" w:hAnsi="宋体" w:cs="宋体" w:eastAsia="宋体" w:hint="default"/>
                <w:sz w:val="18"/>
                <w:szCs w:val="18"/>
              </w:rPr>
              <w:t>固定 利率</w:t>
            </w:r>
            <w:r>
              <w:rPr>
                <w:rFonts w:ascii="Times New Roman" w:hAnsi="Times New Roman" w:cs="Times New Roman" w:eastAsia="Times New Roman" w:hint="default"/>
                <w:sz w:val="18"/>
                <w:szCs w:val="18"/>
              </w:rPr>
              <w:t>+ </w:t>
            </w:r>
            <w:r>
              <w:rPr>
                <w:rFonts w:ascii="宋体" w:hAnsi="宋体" w:cs="宋体" w:eastAsia="宋体" w:hint="default"/>
                <w:sz w:val="18"/>
                <w:szCs w:val="18"/>
              </w:rPr>
              <w:t>浮动 收益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单个 项目 竣工 验收 合格 之日 起进 入运 营期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4"/>
              <w:ind w:left="101" w:right="14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r>
              <w:rPr>
                <w:rFonts w:ascii="宋体" w:hAnsi="宋体" w:cs="宋体" w:eastAsia="宋体" w:hint="default"/>
                <w:sz w:val="18"/>
                <w:szCs w:val="18"/>
              </w:rPr>
              <w:t>外部 融资</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240"/>
              <w:jc w:val="both"/>
              <w:rPr>
                <w:rFonts w:ascii="宋体" w:hAnsi="宋体" w:cs="宋体" w:eastAsia="宋体" w:hint="default"/>
                <w:sz w:val="18"/>
                <w:szCs w:val="18"/>
              </w:rPr>
            </w:pPr>
            <w:r>
              <w:rPr>
                <w:rFonts w:ascii="宋体" w:hAnsi="宋体" w:cs="宋体" w:eastAsia="宋体" w:hint="default"/>
                <w:sz w:val="18"/>
                <w:szCs w:val="18"/>
              </w:rPr>
              <w:t>可用性服 务费及运 营绩效服 务费</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1" w:right="240"/>
              <w:jc w:val="left"/>
              <w:rPr>
                <w:rFonts w:ascii="宋体" w:hAnsi="宋体" w:cs="宋体" w:eastAsia="宋体" w:hint="default"/>
                <w:sz w:val="18"/>
                <w:szCs w:val="18"/>
              </w:rPr>
            </w:pPr>
            <w:r>
              <w:rPr>
                <w:rFonts w:ascii="宋体" w:hAnsi="宋体" w:cs="宋体" w:eastAsia="宋体" w:hint="default"/>
                <w:sz w:val="18"/>
                <w:szCs w:val="18"/>
              </w:rPr>
              <w:t>纳入财政 预算</w:t>
            </w:r>
          </w:p>
        </w:tc>
      </w:tr>
      <w:tr>
        <w:trPr>
          <w:trHeight w:val="71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39"/>
              <w:jc w:val="left"/>
              <w:rPr>
                <w:rFonts w:ascii="宋体" w:hAnsi="宋体" w:cs="宋体" w:eastAsia="宋体" w:hint="default"/>
                <w:sz w:val="18"/>
                <w:szCs w:val="18"/>
              </w:rPr>
            </w:pPr>
            <w:r>
              <w:rPr>
                <w:rFonts w:ascii="宋体" w:hAnsi="宋体" w:cs="宋体" w:eastAsia="宋体" w:hint="default"/>
                <w:sz w:val="18"/>
                <w:szCs w:val="18"/>
              </w:rPr>
              <w:t>简阳市东 城新区雄</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42"/>
              <w:jc w:val="left"/>
              <w:rPr>
                <w:rFonts w:ascii="宋体" w:hAnsi="宋体" w:cs="宋体" w:eastAsia="宋体" w:hint="default"/>
                <w:sz w:val="18"/>
                <w:szCs w:val="18"/>
              </w:rPr>
            </w:pPr>
            <w:r>
              <w:rPr>
                <w:rFonts w:ascii="宋体" w:hAnsi="宋体" w:cs="宋体" w:eastAsia="宋体" w:hint="default"/>
                <w:sz w:val="18"/>
                <w:szCs w:val="18"/>
              </w:rPr>
              <w:t>固定 利率</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45"/>
              <w:jc w:val="left"/>
              <w:rPr>
                <w:rFonts w:ascii="宋体" w:hAnsi="宋体" w:cs="宋体" w:eastAsia="宋体" w:hint="default"/>
                <w:sz w:val="18"/>
                <w:szCs w:val="18"/>
              </w:rPr>
            </w:pPr>
            <w:r>
              <w:rPr>
                <w:rFonts w:ascii="宋体" w:hAnsi="宋体" w:cs="宋体" w:eastAsia="宋体" w:hint="default"/>
                <w:sz w:val="18"/>
                <w:szCs w:val="18"/>
              </w:rPr>
              <w:t>单个 项目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1" w:right="142"/>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 </w:t>
            </w:r>
            <w:r>
              <w:rPr>
                <w:rFonts w:ascii="宋体" w:hAnsi="宋体" w:cs="宋体" w:eastAsia="宋体" w:hint="default"/>
                <w:sz w:val="18"/>
                <w:szCs w:val="18"/>
              </w:rPr>
              <w:t>投资补偿</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0"/>
              <w:jc w:val="left"/>
              <w:rPr>
                <w:rFonts w:ascii="宋体" w:hAnsi="宋体" w:cs="宋体" w:eastAsia="宋体" w:hint="default"/>
                <w:sz w:val="18"/>
                <w:szCs w:val="18"/>
              </w:rPr>
            </w:pPr>
            <w:r>
              <w:rPr>
                <w:rFonts w:ascii="宋体" w:hAnsi="宋体" w:cs="宋体" w:eastAsia="宋体" w:hint="default"/>
                <w:sz w:val="18"/>
                <w:szCs w:val="18"/>
              </w:rPr>
              <w:t>纳入财政 预算</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74"/>
        <w:gridCol w:w="961"/>
        <w:gridCol w:w="718"/>
        <w:gridCol w:w="719"/>
        <w:gridCol w:w="718"/>
        <w:gridCol w:w="718"/>
        <w:gridCol w:w="838"/>
        <w:gridCol w:w="836"/>
        <w:gridCol w:w="1076"/>
        <w:gridCol w:w="838"/>
        <w:gridCol w:w="1074"/>
      </w:tblGrid>
      <w:tr>
        <w:trPr>
          <w:trHeight w:val="2235"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3"/>
              <w:jc w:val="both"/>
              <w:rPr>
                <w:rFonts w:ascii="宋体" w:hAnsi="宋体" w:cs="宋体" w:eastAsia="宋体" w:hint="default"/>
                <w:sz w:val="18"/>
                <w:szCs w:val="18"/>
              </w:rPr>
            </w:pPr>
            <w:r>
              <w:rPr>
                <w:rFonts w:ascii="宋体" w:hAnsi="宋体" w:cs="宋体" w:eastAsia="宋体" w:hint="default"/>
                <w:sz w:val="18"/>
                <w:szCs w:val="18"/>
              </w:rPr>
              <w:t>州大道提 质改造工 程</w:t>
            </w:r>
          </w:p>
          <w:p>
            <w:pPr>
              <w:pStyle w:val="TableParagraph"/>
              <w:spacing w:line="240" w:lineRule="auto" w:before="58"/>
              <w:ind w:left="103" w:right="0"/>
              <w:jc w:val="both"/>
              <w:rPr>
                <w:rFonts w:ascii="Times New Roman" w:hAnsi="Times New Roman" w:cs="Times New Roman" w:eastAsia="Times New Roman" w:hint="default"/>
                <w:sz w:val="18"/>
                <w:szCs w:val="18"/>
              </w:rPr>
            </w:pPr>
            <w:r>
              <w:rPr>
                <w:rFonts w:ascii="Times New Roman"/>
                <w:spacing w:val="-3"/>
                <w:sz w:val="18"/>
              </w:rPr>
              <w:t>BLT+EPC</w:t>
            </w:r>
          </w:p>
          <w:p>
            <w:pPr>
              <w:pStyle w:val="TableParagraph"/>
              <w:spacing w:line="240" w:lineRule="auto" w:before="67"/>
              <w:ind w:left="103"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96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45"/>
              <w:jc w:val="both"/>
              <w:rPr>
                <w:rFonts w:ascii="宋体" w:hAnsi="宋体" w:cs="宋体" w:eastAsia="宋体" w:hint="default"/>
                <w:sz w:val="18"/>
                <w:szCs w:val="18"/>
              </w:rPr>
            </w:pPr>
            <w:r>
              <w:rPr>
                <w:rFonts w:ascii="宋体" w:hAnsi="宋体" w:cs="宋体" w:eastAsia="宋体" w:hint="default"/>
                <w:sz w:val="18"/>
                <w:szCs w:val="18"/>
              </w:rPr>
              <w:t>竣工 验收 合格 之日 起进 入租 赁期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244"/>
              <w:jc w:val="left"/>
              <w:rPr>
                <w:rFonts w:ascii="宋体" w:hAnsi="宋体" w:cs="宋体" w:eastAsia="宋体" w:hint="default"/>
                <w:sz w:val="18"/>
                <w:szCs w:val="18"/>
              </w:rPr>
            </w:pPr>
            <w:r>
              <w:rPr>
                <w:rFonts w:ascii="宋体" w:hAnsi="宋体" w:cs="宋体" w:eastAsia="宋体" w:hint="default"/>
                <w:sz w:val="18"/>
                <w:szCs w:val="18"/>
              </w:rPr>
              <w:t>外部 融资</w:t>
            </w:r>
          </w:p>
        </w:tc>
        <w:tc>
          <w:tcPr>
            <w:tcW w:w="71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9"/>
              <w:jc w:val="both"/>
              <w:rPr>
                <w:rFonts w:ascii="宋体" w:hAnsi="宋体" w:cs="宋体" w:eastAsia="宋体" w:hint="default"/>
                <w:sz w:val="18"/>
                <w:szCs w:val="18"/>
              </w:rPr>
            </w:pPr>
            <w:r>
              <w:rPr>
                <w:rFonts w:ascii="宋体" w:hAnsi="宋体" w:cs="宋体" w:eastAsia="宋体" w:hint="default"/>
                <w:sz w:val="18"/>
                <w:szCs w:val="18"/>
              </w:rPr>
              <w:t>蒲江县西 河河滨景 观建设项 目 投资</w:t>
            </w:r>
          </w:p>
          <w:p>
            <w:pPr>
              <w:pStyle w:val="TableParagraph"/>
              <w:spacing w:line="312" w:lineRule="auto" w:before="19"/>
              <w:ind w:left="103" w:right="8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BLT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勘察设计 施工总承 包（</w:t>
            </w:r>
            <w:r>
              <w:rPr>
                <w:rFonts w:ascii="Times New Roman" w:hAnsi="Times New Roman" w:cs="Times New Roman" w:eastAsia="Times New Roman" w:hint="default"/>
                <w:sz w:val="18"/>
                <w:szCs w:val="18"/>
              </w:rPr>
              <w:t>EPC</w:t>
            </w:r>
            <w:r>
              <w:rPr>
                <w:rFonts w:ascii="宋体" w:hAnsi="宋体" w:cs="宋体" w:eastAsia="宋体" w:hint="default"/>
                <w:sz w:val="18"/>
                <w:szCs w:val="18"/>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42"/>
              <w:jc w:val="both"/>
              <w:rPr>
                <w:rFonts w:ascii="宋体" w:hAnsi="宋体" w:cs="宋体" w:eastAsia="宋体" w:hint="default"/>
                <w:sz w:val="18"/>
                <w:szCs w:val="18"/>
              </w:rPr>
            </w:pPr>
            <w:r>
              <w:rPr>
                <w:rFonts w:ascii="宋体" w:hAnsi="宋体" w:cs="宋体" w:eastAsia="宋体" w:hint="default"/>
                <w:sz w:val="18"/>
                <w:szCs w:val="18"/>
              </w:rPr>
              <w:t>固定 利率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在项 目竣 工验 收合 格且 项目 移交 后进 入租 赁期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1" w:right="24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103" w:right="138"/>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 </w:t>
            </w:r>
            <w:r>
              <w:rPr>
                <w:rFonts w:ascii="宋体" w:hAnsi="宋体" w:cs="宋体" w:eastAsia="宋体" w:hint="default"/>
                <w:sz w:val="18"/>
                <w:szCs w:val="18"/>
              </w:rPr>
              <w:t>投资补偿</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1" w:right="240"/>
              <w:jc w:val="left"/>
              <w:rPr>
                <w:rFonts w:ascii="宋体" w:hAnsi="宋体" w:cs="宋体" w:eastAsia="宋体" w:hint="default"/>
                <w:sz w:val="18"/>
                <w:szCs w:val="18"/>
              </w:rPr>
            </w:pPr>
            <w:r>
              <w:rPr>
                <w:rFonts w:ascii="宋体" w:hAnsi="宋体" w:cs="宋体" w:eastAsia="宋体" w:hint="default"/>
                <w:sz w:val="18"/>
                <w:szCs w:val="18"/>
              </w:rPr>
              <w:t>纳入财政 预算</w:t>
            </w:r>
          </w:p>
        </w:tc>
      </w:tr>
      <w:tr>
        <w:trPr>
          <w:trHeight w:val="601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239"/>
              <w:jc w:val="both"/>
              <w:rPr>
                <w:rFonts w:ascii="宋体" w:hAnsi="宋体" w:cs="宋体" w:eastAsia="宋体" w:hint="default"/>
                <w:sz w:val="18"/>
                <w:szCs w:val="18"/>
              </w:rPr>
            </w:pPr>
            <w:r>
              <w:rPr>
                <w:rFonts w:ascii="宋体" w:hAnsi="宋体" w:cs="宋体" w:eastAsia="宋体" w:hint="default"/>
                <w:sz w:val="18"/>
                <w:szCs w:val="18"/>
              </w:rPr>
              <w:t>万盛经开 区青年工 业园区一 期投融资 合作建设 项目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3" w:right="242"/>
              <w:jc w:val="both"/>
              <w:rPr>
                <w:rFonts w:ascii="宋体" w:hAnsi="宋体" w:cs="宋体" w:eastAsia="宋体" w:hint="default"/>
                <w:sz w:val="18"/>
                <w:szCs w:val="18"/>
              </w:rPr>
            </w:pPr>
            <w:r>
              <w:rPr>
                <w:rFonts w:ascii="宋体" w:hAnsi="宋体" w:cs="宋体" w:eastAsia="宋体" w:hint="default"/>
                <w:sz w:val="18"/>
                <w:szCs w:val="18"/>
              </w:rPr>
              <w:t>固定 利率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9"/>
              <w:jc w:val="left"/>
              <w:rPr>
                <w:rFonts w:ascii="宋体" w:hAnsi="宋体" w:cs="宋体" w:eastAsia="宋体" w:hint="default"/>
                <w:sz w:val="18"/>
                <w:szCs w:val="18"/>
              </w:rPr>
            </w:pPr>
            <w:r>
              <w:rPr>
                <w:rFonts w:ascii="宋体" w:hAnsi="宋体" w:cs="宋体" w:eastAsia="宋体" w:hint="default"/>
                <w:sz w:val="18"/>
                <w:szCs w:val="18"/>
              </w:rPr>
              <w:t>第一 期款 项进 入项 目公 司账 户之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年期 届满 之次 日起 算至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年期 届满 之日 内分 期回 购</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1" w:right="24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00" w:lineRule="auto"/>
              <w:ind w:left="103" w:right="138"/>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 </w:t>
            </w:r>
            <w:r>
              <w:rPr>
                <w:rFonts w:ascii="宋体" w:hAnsi="宋体" w:cs="宋体" w:eastAsia="宋体" w:hint="default"/>
                <w:sz w:val="18"/>
                <w:szCs w:val="18"/>
              </w:rPr>
              <w:t>投资收益</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1" w:right="240"/>
              <w:jc w:val="left"/>
              <w:rPr>
                <w:rFonts w:ascii="宋体" w:hAnsi="宋体" w:cs="宋体" w:eastAsia="宋体" w:hint="default"/>
                <w:sz w:val="18"/>
                <w:szCs w:val="18"/>
              </w:rPr>
            </w:pPr>
            <w:r>
              <w:rPr>
                <w:rFonts w:ascii="宋体" w:hAnsi="宋体" w:cs="宋体" w:eastAsia="宋体" w:hint="default"/>
                <w:sz w:val="18"/>
                <w:szCs w:val="18"/>
              </w:rPr>
              <w:t>分阶段回 购股权</w:t>
            </w:r>
          </w:p>
        </w:tc>
      </w:tr>
      <w:tr>
        <w:trPr>
          <w:trHeight w:val="2235"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4" w:lineRule="auto"/>
              <w:ind w:left="103" w:right="239"/>
              <w:jc w:val="both"/>
              <w:rPr>
                <w:rFonts w:ascii="宋体" w:hAnsi="宋体" w:cs="宋体" w:eastAsia="宋体" w:hint="default"/>
                <w:sz w:val="18"/>
                <w:szCs w:val="18"/>
              </w:rPr>
            </w:pPr>
            <w:r>
              <w:rPr>
                <w:rFonts w:ascii="宋体" w:hAnsi="宋体" w:cs="宋体" w:eastAsia="宋体" w:hint="default"/>
                <w:sz w:val="18"/>
                <w:szCs w:val="18"/>
              </w:rPr>
              <w:t>铜鼓县河 湖水系生 态保护与 综合治理 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3" w:right="126"/>
              <w:jc w:val="left"/>
              <w:rPr>
                <w:rFonts w:ascii="宋体" w:hAnsi="宋体" w:cs="宋体" w:eastAsia="宋体" w:hint="default"/>
                <w:sz w:val="18"/>
                <w:szCs w:val="18"/>
              </w:rPr>
            </w:pPr>
            <w:r>
              <w:rPr>
                <w:rFonts w:ascii="宋体" w:hAnsi="宋体" w:cs="宋体" w:eastAsia="宋体" w:hint="default"/>
                <w:sz w:val="18"/>
                <w:szCs w:val="18"/>
              </w:rPr>
              <w:t>融资合同 模式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6"/>
              <w:ind w:left="103" w:right="141"/>
              <w:jc w:val="left"/>
              <w:rPr>
                <w:rFonts w:ascii="宋体" w:hAnsi="宋体" w:cs="宋体" w:eastAsia="宋体" w:hint="default"/>
                <w:sz w:val="18"/>
                <w:szCs w:val="18"/>
              </w:rPr>
            </w:pPr>
            <w:r>
              <w:rPr>
                <w:rFonts w:ascii="宋体" w:hAnsi="宋体" w:cs="宋体" w:eastAsia="宋体" w:hint="default"/>
                <w:sz w:val="18"/>
                <w:szCs w:val="18"/>
              </w:rPr>
              <w:t>固定 利率</w:t>
            </w:r>
            <w:r>
              <w:rPr>
                <w:rFonts w:ascii="Times New Roman" w:hAnsi="Times New Roman" w:cs="Times New Roman" w:eastAsia="Times New Roman" w:hint="default"/>
                <w:sz w:val="18"/>
                <w:szCs w:val="18"/>
              </w:rPr>
              <w:t>+ </w:t>
            </w:r>
            <w:r>
              <w:rPr>
                <w:rFonts w:ascii="宋体" w:hAnsi="宋体" w:cs="宋体" w:eastAsia="宋体" w:hint="default"/>
                <w:sz w:val="18"/>
                <w:szCs w:val="18"/>
              </w:rPr>
              <w:t>浮动 收益 定价</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项目 完工 验收 </w:t>
            </w:r>
            <w:r>
              <w:rPr>
                <w:rFonts w:ascii="宋体" w:hAnsi="宋体" w:cs="宋体" w:eastAsia="宋体" w:hint="default"/>
                <w:spacing w:val="-13"/>
                <w:sz w:val="18"/>
                <w:szCs w:val="18"/>
              </w:rPr>
              <w:t>后，即</w:t>
            </w:r>
            <w:r>
              <w:rPr>
                <w:rFonts w:ascii="宋体" w:hAnsi="宋体" w:cs="宋体" w:eastAsia="宋体" w:hint="default"/>
                <w:sz w:val="18"/>
                <w:szCs w:val="18"/>
              </w:rPr>
              <w:t> 项目 正式 运营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2" w:lineRule="auto"/>
              <w:ind w:left="101" w:right="142"/>
              <w:jc w:val="left"/>
              <w:rPr>
                <w:rFonts w:ascii="宋体" w:hAnsi="宋体" w:cs="宋体" w:eastAsia="宋体"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r>
              <w:rPr>
                <w:rFonts w:ascii="宋体" w:hAnsi="宋体" w:cs="宋体" w:eastAsia="宋体" w:hint="default"/>
                <w:sz w:val="18"/>
                <w:szCs w:val="18"/>
              </w:rPr>
              <w:t>外部 融资</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240"/>
              <w:jc w:val="both"/>
              <w:rPr>
                <w:rFonts w:ascii="宋体" w:hAnsi="宋体" w:cs="宋体" w:eastAsia="宋体" w:hint="default"/>
                <w:sz w:val="18"/>
                <w:szCs w:val="18"/>
              </w:rPr>
            </w:pPr>
            <w:r>
              <w:rPr>
                <w:rFonts w:ascii="宋体" w:hAnsi="宋体" w:cs="宋体" w:eastAsia="宋体" w:hint="default"/>
                <w:sz w:val="18"/>
                <w:szCs w:val="18"/>
              </w:rPr>
              <w:t>可用性服 务费及运 维绩效服 务费及使 用者付费</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1" w:right="240"/>
              <w:jc w:val="left"/>
              <w:rPr>
                <w:rFonts w:ascii="宋体" w:hAnsi="宋体" w:cs="宋体" w:eastAsia="宋体" w:hint="default"/>
                <w:sz w:val="18"/>
                <w:szCs w:val="18"/>
              </w:rPr>
            </w:pPr>
            <w:r>
              <w:rPr>
                <w:rFonts w:ascii="宋体" w:hAnsi="宋体" w:cs="宋体" w:eastAsia="宋体" w:hint="default"/>
                <w:sz w:val="18"/>
                <w:szCs w:val="18"/>
              </w:rPr>
              <w:t>纳入财政 预算</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74"/>
        <w:gridCol w:w="961"/>
        <w:gridCol w:w="718"/>
        <w:gridCol w:w="719"/>
        <w:gridCol w:w="718"/>
        <w:gridCol w:w="718"/>
        <w:gridCol w:w="838"/>
        <w:gridCol w:w="836"/>
        <w:gridCol w:w="1076"/>
        <w:gridCol w:w="838"/>
        <w:gridCol w:w="1074"/>
      </w:tblGrid>
      <w:tr>
        <w:trPr>
          <w:trHeight w:val="1611"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45"/>
              <w:jc w:val="both"/>
              <w:rPr>
                <w:rFonts w:ascii="宋体" w:hAnsi="宋体" w:cs="宋体" w:eastAsia="宋体" w:hint="default"/>
                <w:sz w:val="18"/>
                <w:szCs w:val="18"/>
              </w:rPr>
            </w:pPr>
            <w:r>
              <w:rPr>
                <w:rFonts w:ascii="宋体" w:hAnsi="宋体" w:cs="宋体" w:eastAsia="宋体" w:hint="default"/>
                <w:sz w:val="18"/>
                <w:szCs w:val="18"/>
              </w:rPr>
              <w:t>之日 起按 照季 度付 费</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报告期内完工（已竣工验收）项目的情况：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218"/>
        <w:gridCol w:w="1220"/>
        <w:gridCol w:w="1218"/>
        <w:gridCol w:w="1565"/>
        <w:gridCol w:w="1218"/>
        <w:gridCol w:w="1218"/>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业务模式</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项目数量</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验收情况</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收入确认情况</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结算情况</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回款情况</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8"/>
              <w:jc w:val="right"/>
              <w:rPr>
                <w:rFonts w:ascii="宋体" w:hAnsi="宋体" w:cs="宋体" w:eastAsia="宋体" w:hint="default"/>
                <w:sz w:val="18"/>
                <w:szCs w:val="18"/>
              </w:rPr>
            </w:pPr>
            <w:r>
              <w:rPr>
                <w:rFonts w:ascii="宋体" w:hAnsi="宋体" w:cs="宋体" w:eastAsia="宋体" w:hint="default"/>
                <w:sz w:val="18"/>
                <w:szCs w:val="18"/>
              </w:rPr>
              <w:t>非融资合同模式</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106,508,860.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35</w:t>
            </w:r>
          </w:p>
        </w:tc>
        <w:tc>
          <w:tcPr>
            <w:tcW w:w="121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101,435,353.08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21,870,272.6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12,636,574.2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982"/>
        <w:jc w:val="left"/>
      </w:pPr>
      <w:r>
        <w:rPr/>
        <w:t>报告期内未完工项目的情况：</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11"/>
        <w:gridCol w:w="1811"/>
        <w:gridCol w:w="1804"/>
        <w:gridCol w:w="2158"/>
        <w:gridCol w:w="1985"/>
      </w:tblGrid>
      <w:tr>
        <w:trPr>
          <w:trHeight w:val="401" w:hRule="exact"/>
        </w:trPr>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业务模式</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项目数量</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5"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3" w:right="0"/>
              <w:jc w:val="left"/>
              <w:rPr>
                <w:rFonts w:ascii="宋体" w:hAnsi="宋体" w:cs="宋体" w:eastAsia="宋体" w:hint="default"/>
                <w:sz w:val="18"/>
                <w:szCs w:val="18"/>
              </w:rPr>
            </w:pPr>
            <w:r>
              <w:rPr>
                <w:rFonts w:ascii="宋体" w:hAnsi="宋体" w:cs="宋体" w:eastAsia="宋体" w:hint="default"/>
                <w:sz w:val="18"/>
                <w:szCs w:val="18"/>
              </w:rPr>
              <w:t>累计确认收入</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7" w:right="0"/>
              <w:jc w:val="left"/>
              <w:rPr>
                <w:rFonts w:ascii="宋体" w:hAnsi="宋体" w:cs="宋体" w:eastAsia="宋体" w:hint="default"/>
                <w:sz w:val="18"/>
                <w:szCs w:val="18"/>
              </w:rPr>
            </w:pPr>
            <w:r>
              <w:rPr>
                <w:rFonts w:ascii="宋体" w:hAnsi="宋体" w:cs="宋体" w:eastAsia="宋体" w:hint="default"/>
                <w:sz w:val="18"/>
                <w:szCs w:val="18"/>
              </w:rPr>
              <w:t>未完工部分金额</w:t>
            </w:r>
          </w:p>
        </w:tc>
      </w:tr>
      <w:tr>
        <w:trPr>
          <w:trHeight w:val="402"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非融资合同模式</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32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576,739,133.42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430,657,123.25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125,622,876.16</w:t>
            </w:r>
          </w:p>
        </w:tc>
      </w:tr>
      <w:tr>
        <w:trPr>
          <w:trHeight w:val="402"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融资合同模式</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4,468,083,435.18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1,913,370,495.94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2,452,799,322.02</w:t>
            </w:r>
          </w:p>
        </w:tc>
      </w:tr>
      <w:tr>
        <w:trPr>
          <w:trHeight w:val="403" w:hRule="exact"/>
        </w:trPr>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42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5,044,822,568.60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2,344,027,619.19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2,578,422,198.18</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64"/>
        <w:gridCol w:w="908"/>
        <w:gridCol w:w="905"/>
        <w:gridCol w:w="776"/>
        <w:gridCol w:w="647"/>
        <w:gridCol w:w="1034"/>
        <w:gridCol w:w="1164"/>
        <w:gridCol w:w="1163"/>
        <w:gridCol w:w="775"/>
        <w:gridCol w:w="1034"/>
      </w:tblGrid>
      <w:tr>
        <w:trPr>
          <w:trHeight w:val="71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8" w:right="179" w:hanging="180"/>
              <w:jc w:val="left"/>
              <w:rPr>
                <w:rFonts w:ascii="宋体" w:hAnsi="宋体" w:cs="宋体" w:eastAsia="宋体" w:hint="default"/>
                <w:sz w:val="18"/>
                <w:szCs w:val="18"/>
              </w:rPr>
            </w:pPr>
            <w:r>
              <w:rPr>
                <w:rFonts w:ascii="宋体" w:hAnsi="宋体" w:cs="宋体" w:eastAsia="宋体" w:hint="default"/>
                <w:sz w:val="18"/>
                <w:szCs w:val="18"/>
              </w:rPr>
              <w:t>项目金 额</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7" w:right="175" w:hanging="180"/>
              <w:jc w:val="left"/>
              <w:rPr>
                <w:rFonts w:ascii="宋体" w:hAnsi="宋体" w:cs="宋体" w:eastAsia="宋体" w:hint="default"/>
                <w:sz w:val="18"/>
                <w:szCs w:val="18"/>
              </w:rPr>
            </w:pPr>
            <w:r>
              <w:rPr>
                <w:rFonts w:ascii="宋体" w:hAnsi="宋体" w:cs="宋体" w:eastAsia="宋体" w:hint="default"/>
                <w:sz w:val="18"/>
                <w:szCs w:val="18"/>
              </w:rPr>
              <w:t>业务模 式</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111" w:hanging="180"/>
              <w:jc w:val="left"/>
              <w:rPr>
                <w:rFonts w:ascii="宋体" w:hAnsi="宋体" w:cs="宋体" w:eastAsia="宋体" w:hint="default"/>
                <w:sz w:val="18"/>
                <w:szCs w:val="18"/>
              </w:rPr>
            </w:pPr>
            <w:r>
              <w:rPr>
                <w:rFonts w:ascii="宋体" w:hAnsi="宋体" w:cs="宋体" w:eastAsia="宋体" w:hint="default"/>
                <w:sz w:val="18"/>
                <w:szCs w:val="18"/>
              </w:rPr>
              <w:t>开工日 期</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工期</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22" w:right="150" w:hanging="270"/>
              <w:jc w:val="left"/>
              <w:rPr>
                <w:rFonts w:ascii="宋体" w:hAnsi="宋体" w:cs="宋体" w:eastAsia="宋体" w:hint="default"/>
                <w:sz w:val="18"/>
                <w:szCs w:val="18"/>
              </w:rPr>
            </w:pPr>
            <w:r>
              <w:rPr>
                <w:rFonts w:ascii="宋体" w:hAnsi="宋体" w:cs="宋体" w:eastAsia="宋体" w:hint="default"/>
                <w:sz w:val="18"/>
                <w:szCs w:val="18"/>
              </w:rPr>
              <w:t>完工百分 比</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5" w:right="126"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5" w:right="126" w:hanging="361"/>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110" w:hanging="180"/>
              <w:jc w:val="left"/>
              <w:rPr>
                <w:rFonts w:ascii="宋体" w:hAnsi="宋体" w:cs="宋体" w:eastAsia="宋体" w:hint="default"/>
                <w:sz w:val="18"/>
                <w:szCs w:val="18"/>
              </w:rPr>
            </w:pPr>
            <w:r>
              <w:rPr>
                <w:rFonts w:ascii="宋体" w:hAnsi="宋体" w:cs="宋体" w:eastAsia="宋体" w:hint="default"/>
                <w:sz w:val="18"/>
                <w:szCs w:val="18"/>
              </w:rPr>
              <w:t>回款情 况</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2" w:right="150" w:hanging="180"/>
              <w:jc w:val="left"/>
              <w:rPr>
                <w:rFonts w:ascii="宋体" w:hAnsi="宋体" w:cs="宋体" w:eastAsia="宋体" w:hint="default"/>
                <w:sz w:val="18"/>
                <w:szCs w:val="18"/>
              </w:rPr>
            </w:pPr>
            <w:r>
              <w:rPr>
                <w:rFonts w:ascii="宋体" w:hAnsi="宋体" w:cs="宋体" w:eastAsia="宋体" w:hint="default"/>
                <w:sz w:val="18"/>
                <w:szCs w:val="18"/>
              </w:rPr>
              <w:t>应收账款 余额</w:t>
            </w:r>
          </w:p>
        </w:tc>
      </w:tr>
      <w:tr>
        <w:trPr>
          <w:trHeight w:val="196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30"/>
              <w:jc w:val="left"/>
              <w:rPr>
                <w:rFonts w:ascii="宋体" w:hAnsi="宋体" w:cs="宋体" w:eastAsia="宋体" w:hint="default"/>
                <w:sz w:val="18"/>
                <w:szCs w:val="18"/>
              </w:rPr>
            </w:pPr>
            <w:r>
              <w:rPr>
                <w:rFonts w:ascii="宋体" w:hAnsi="宋体" w:cs="宋体" w:eastAsia="宋体" w:hint="default"/>
                <w:sz w:val="18"/>
                <w:szCs w:val="18"/>
              </w:rPr>
              <w:t>巴中市巴州 区津桥湖城 市基础设施 和生态恢复 建设（</w:t>
            </w:r>
            <w:r>
              <w:rPr>
                <w:rFonts w:ascii="Times New Roman" w:hAnsi="Times New Roman" w:cs="Times New Roman" w:eastAsia="Times New Roman" w:hint="default"/>
                <w:sz w:val="18"/>
                <w:szCs w:val="18"/>
              </w:rPr>
              <w:t>PPP</w:t>
            </w:r>
            <w:r>
              <w:rPr>
                <w:rFonts w:ascii="宋体" w:hAnsi="宋体" w:cs="宋体" w:eastAsia="宋体" w:hint="default"/>
                <w:sz w:val="18"/>
                <w:szCs w:val="18"/>
              </w:rPr>
              <w:t>） 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456,000,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03"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96,929,627.5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285,033,651.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233,91</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3,095.2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33,031,912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9"/>
              <w:jc w:val="both"/>
              <w:rPr>
                <w:rFonts w:ascii="宋体" w:hAnsi="宋体" w:cs="宋体" w:eastAsia="宋体" w:hint="default"/>
                <w:sz w:val="18"/>
                <w:szCs w:val="18"/>
              </w:rPr>
            </w:pPr>
            <w:r>
              <w:rPr>
                <w:rFonts w:ascii="宋体" w:hAnsi="宋体" w:cs="宋体" w:eastAsia="宋体" w:hint="default"/>
                <w:sz w:val="18"/>
                <w:szCs w:val="18"/>
              </w:rPr>
              <w:t>遵义苟坝红 色文化旅游 创新区建设 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103"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87.40%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61,179,142.5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174,793,607.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233,547,05</w:t>
            </w:r>
          </w:p>
          <w:p>
            <w:pPr>
              <w:pStyle w:val="TableParagraph"/>
              <w:spacing w:line="240" w:lineRule="auto" w:before="105"/>
              <w:ind w:left="607" w:right="0"/>
              <w:jc w:val="left"/>
              <w:rPr>
                <w:rFonts w:ascii="Times New Roman" w:hAnsi="Times New Roman" w:cs="Times New Roman" w:eastAsia="Times New Roman" w:hint="default"/>
                <w:sz w:val="18"/>
                <w:szCs w:val="18"/>
              </w:rPr>
            </w:pPr>
            <w:r>
              <w:rPr>
                <w:rFonts w:ascii="Times New Roman"/>
                <w:sz w:val="18"/>
              </w:rPr>
              <w:t>6.45</w:t>
            </w:r>
          </w:p>
        </w:tc>
      </w:tr>
      <w:tr>
        <w:trPr>
          <w:trHeight w:val="227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9"/>
              <w:jc w:val="both"/>
              <w:rPr>
                <w:rFonts w:ascii="宋体" w:hAnsi="宋体" w:cs="宋体" w:eastAsia="宋体" w:hint="default"/>
                <w:sz w:val="18"/>
                <w:szCs w:val="18"/>
              </w:rPr>
            </w:pPr>
            <w:r>
              <w:rPr>
                <w:rFonts w:ascii="宋体" w:hAnsi="宋体" w:cs="宋体" w:eastAsia="宋体" w:hint="default"/>
                <w:sz w:val="18"/>
                <w:szCs w:val="18"/>
              </w:rPr>
              <w:t>政府与社会 资本合作</w:t>
            </w:r>
          </w:p>
          <w:p>
            <w:pPr>
              <w:pStyle w:val="TableParagraph"/>
              <w:spacing w:line="309" w:lineRule="auto" w:before="19"/>
              <w:ind w:left="103" w:right="102"/>
              <w:jc w:val="both"/>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PPP</w:t>
            </w:r>
            <w:r>
              <w:rPr>
                <w:rFonts w:ascii="宋体" w:hAnsi="宋体" w:cs="宋体" w:eastAsia="宋体" w:hint="default"/>
                <w:spacing w:val="-11"/>
                <w:sz w:val="18"/>
                <w:szCs w:val="18"/>
              </w:rPr>
              <w:t>）西秀</w:t>
            </w:r>
            <w:r>
              <w:rPr>
                <w:rFonts w:ascii="宋体" w:hAnsi="宋体" w:cs="宋体" w:eastAsia="宋体" w:hint="default"/>
                <w:sz w:val="18"/>
                <w:szCs w:val="18"/>
              </w:rPr>
              <w:t> 区生态修复 综合治理</w:t>
            </w:r>
          </w:p>
          <w:p>
            <w:pPr>
              <w:pStyle w:val="TableParagraph"/>
              <w:spacing w:line="319" w:lineRule="auto" w:before="24"/>
              <w:ind w:left="103" w:right="149"/>
              <w:jc w:val="both"/>
              <w:rPr>
                <w:rFonts w:ascii="宋体" w:hAnsi="宋体" w:cs="宋体" w:eastAsia="宋体" w:hint="default"/>
                <w:sz w:val="18"/>
                <w:szCs w:val="18"/>
              </w:rPr>
            </w:pPr>
            <w:r>
              <w:rPr>
                <w:rFonts w:ascii="宋体" w:hAnsi="宋体" w:cs="宋体" w:eastAsia="宋体" w:hint="default"/>
                <w:sz w:val="18"/>
                <w:szCs w:val="18"/>
              </w:rPr>
              <w:t>（二期）项 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1,403,99</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9,000.00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103"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65.24%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86,449,148.9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916,031,304.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457,15</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3,385.8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377,168,65</w:t>
            </w:r>
          </w:p>
          <w:p>
            <w:pPr>
              <w:pStyle w:val="TableParagraph"/>
              <w:spacing w:line="240" w:lineRule="auto" w:before="105"/>
              <w:ind w:left="607" w:right="0"/>
              <w:jc w:val="left"/>
              <w:rPr>
                <w:rFonts w:ascii="Times New Roman" w:hAnsi="Times New Roman" w:cs="Times New Roman" w:eastAsia="Times New Roman" w:hint="default"/>
                <w:sz w:val="18"/>
                <w:szCs w:val="18"/>
              </w:rPr>
            </w:pPr>
            <w:r>
              <w:rPr>
                <w:rFonts w:ascii="Times New Roman"/>
                <w:sz w:val="18"/>
              </w:rPr>
              <w:t>6.59</w:t>
            </w:r>
          </w:p>
        </w:tc>
      </w:tr>
      <w:tr>
        <w:trPr>
          <w:trHeight w:val="134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49"/>
              <w:jc w:val="both"/>
              <w:rPr>
                <w:rFonts w:ascii="宋体" w:hAnsi="宋体" w:cs="宋体" w:eastAsia="宋体" w:hint="default"/>
                <w:sz w:val="18"/>
                <w:szCs w:val="18"/>
              </w:rPr>
            </w:pPr>
            <w:r>
              <w:rPr>
                <w:rFonts w:ascii="宋体" w:hAnsi="宋体" w:cs="宋体" w:eastAsia="宋体" w:hint="default"/>
                <w:sz w:val="18"/>
                <w:szCs w:val="18"/>
              </w:rPr>
              <w:t>简阳市东城 新区雄州大 道提质改造 工程</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263,000,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124,540,843.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244,854,059.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137,78</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3,736.0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16,220,317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64"/>
        <w:gridCol w:w="908"/>
        <w:gridCol w:w="905"/>
        <w:gridCol w:w="776"/>
        <w:gridCol w:w="647"/>
        <w:gridCol w:w="1034"/>
        <w:gridCol w:w="1164"/>
        <w:gridCol w:w="1163"/>
        <w:gridCol w:w="775"/>
        <w:gridCol w:w="1034"/>
      </w:tblGrid>
      <w:tr>
        <w:trPr>
          <w:trHeight w:val="67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pacing w:val="-3"/>
                <w:sz w:val="18"/>
              </w:rPr>
              <w:t>BLT+EPC</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0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蒲江县西河 河滨景观建 设项目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807,618,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200.00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0.18%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622,679.92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1,415,472.71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万盛经开区 青年工业园 区一期投融 资合作建设 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03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铜鼓县河湖 水系生态保 护与综合治 理工程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1,205,00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融资合 同模式</w:t>
            </w:r>
          </w:p>
        </w:tc>
        <w:tc>
          <w:tcPr>
            <w:tcW w:w="77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03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pStyle w:val="BodyText"/>
        <w:spacing w:line="240" w:lineRule="auto" w:before="51"/>
        <w:ind w:right="-20"/>
        <w:jc w:val="left"/>
      </w:pPr>
      <w:r>
        <w:rPr/>
        <w:t>其他说明</w:t>
      </w:r>
    </w:p>
    <w:p>
      <w:pPr>
        <w:pStyle w:val="BodyText"/>
        <w:spacing w:line="357" w:lineRule="auto" w:before="117"/>
        <w:ind w:right="-20"/>
        <w:jc w:val="left"/>
      </w:pPr>
      <w:r>
        <w:rPr/>
        <w:t>□ 适用 √ 不适用 存货中已完工未结算项目的情况：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2" w:equalWidth="0">
            <w:col w:w="2815" w:space="6105"/>
            <w:col w:w="197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49"/>
        <w:gridCol w:w="1947"/>
        <w:gridCol w:w="1682"/>
        <w:gridCol w:w="1919"/>
        <w:gridCol w:w="2072"/>
      </w:tblGrid>
      <w:tr>
        <w:trPr>
          <w:trHeight w:val="40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预计损失</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已完工未结算的余额</w:t>
            </w:r>
          </w:p>
        </w:tc>
      </w:tr>
      <w:tr>
        <w:trPr>
          <w:trHeight w:val="402"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2,465,941,374.78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9" w:right="0"/>
              <w:jc w:val="left"/>
              <w:rPr>
                <w:rFonts w:ascii="Times New Roman" w:hAnsi="Times New Roman" w:cs="Times New Roman" w:eastAsia="Times New Roman" w:hint="default"/>
                <w:sz w:val="18"/>
                <w:szCs w:val="18"/>
              </w:rPr>
            </w:pPr>
            <w:r>
              <w:rPr>
                <w:rFonts w:ascii="Times New Roman"/>
                <w:sz w:val="18"/>
              </w:rPr>
              <w:t>708,949,498.52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2,440,543,745.09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734,347,128.21</w:t>
            </w:r>
          </w:p>
        </w:tc>
      </w:tr>
    </w:tbl>
    <w:p>
      <w:pPr>
        <w:pStyle w:val="BodyText"/>
        <w:spacing w:line="240" w:lineRule="auto" w:before="51"/>
        <w:ind w:right="982"/>
        <w:jc w:val="left"/>
      </w:pPr>
      <w:r>
        <w:rPr/>
        <w:t>其他说明</w:t>
      </w:r>
    </w:p>
    <w:p>
      <w:pPr>
        <w:pStyle w:val="BodyText"/>
        <w:spacing w:line="357" w:lineRule="auto" w:before="117"/>
        <w:ind w:right="8952"/>
        <w:jc w:val="left"/>
      </w:pPr>
      <w:r>
        <w:rPr/>
        <w:t>□ 适用 √ 不适用 公司是否开展境外项目</w:t>
      </w:r>
    </w:p>
    <w:p>
      <w:pPr>
        <w:pStyle w:val="BodyText"/>
        <w:spacing w:line="240" w:lineRule="auto" w:before="28"/>
        <w:ind w:right="982"/>
        <w:jc w:val="left"/>
      </w:pPr>
      <w:r>
        <w:rPr/>
        <w:t>□ 是 √ 否</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0"/>
        </w:sectPr>
      </w:pPr>
    </w:p>
    <w:p>
      <w:pPr>
        <w:pStyle w:val="BodyText"/>
        <w:spacing w:line="340"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2" w:equalWidth="0">
            <w:col w:w="8395" w:space="524"/>
            <w:col w:w="197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绿化苗木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71,678,115.21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153,437,301.57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-53.29%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劳务及其他分包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234,892,800.67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505,020,476.74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-53.49%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181,658,749.86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303,087,021.02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机械租赁及耗费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55,290,408.62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67,216,318.49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-17.74%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2,755,435.13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21,990,715.92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-87.47%</w:t>
            </w:r>
          </w:p>
        </w:tc>
      </w:tr>
    </w:tbl>
    <w:p>
      <w:pPr>
        <w:pStyle w:val="BodyText"/>
        <w:spacing w:line="240" w:lineRule="auto" w:before="51"/>
        <w:ind w:right="982"/>
        <w:jc w:val="left"/>
      </w:pPr>
      <w:r>
        <w:rPr/>
        <w:t>行业分类</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2"/>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323,544,962.45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295,644,141.79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42,479,903.63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38,586,796.71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75,554,173.71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68,553,995.82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绿化苗木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71,678,115.21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153,437,301.57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劳务及其他分 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234,892,800.67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505,020,476.74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-53.49%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181,658,749.86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303,087,021.02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机械租赁及耗 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55,290,408.62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67,216,318.49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2,755,435.13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21,990,715.92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-87.47%</w:t>
            </w:r>
          </w:p>
        </w:tc>
      </w:tr>
    </w:tbl>
    <w:p>
      <w:pPr>
        <w:pStyle w:val="BodyText"/>
        <w:spacing w:line="240" w:lineRule="auto" w:before="51"/>
        <w:ind w:right="982"/>
        <w:jc w:val="left"/>
      </w:pPr>
      <w:r>
        <w:rPr/>
        <w:t>说明</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是 □ 否</w:t>
      </w:r>
    </w:p>
    <w:p>
      <w:pPr>
        <w:pStyle w:val="Heading4"/>
        <w:spacing w:line="240" w:lineRule="auto" w:before="90"/>
        <w:ind w:left="540" w:right="982"/>
        <w:jc w:val="left"/>
        <w:rPr>
          <w:b w:val="0"/>
          <w:bCs w:val="0"/>
        </w:rPr>
      </w:pPr>
      <w:r>
        <w:rPr>
          <w:rFonts w:ascii="宋体" w:hAnsi="宋体" w:cs="宋体" w:eastAsia="宋体" w:hint="default"/>
        </w:rPr>
        <w:t>1</w:t>
      </w:r>
      <w:r>
        <w:rPr/>
        <w:t>）新设子公司</w:t>
      </w:r>
      <w:r>
        <w:rPr>
          <w:b w:val="0"/>
          <w:bCs w:val="0"/>
        </w:rPr>
      </w:r>
    </w:p>
    <w:p>
      <w:pPr>
        <w:spacing w:line="240" w:lineRule="auto" w:before="6"/>
        <w:rPr>
          <w:rFonts w:ascii="宋体" w:hAnsi="宋体" w:cs="宋体" w:eastAsia="宋体" w:hint="default"/>
          <w:b/>
          <w:bCs/>
          <w:sz w:val="15"/>
          <w:szCs w:val="15"/>
        </w:rPr>
      </w:pPr>
    </w:p>
    <w:tbl>
      <w:tblPr>
        <w:tblW w:w="0" w:type="auto"/>
        <w:jc w:val="left"/>
        <w:tblInd w:w="440" w:type="dxa"/>
        <w:tblLayout w:type="fixed"/>
        <w:tblCellMar>
          <w:top w:w="0" w:type="dxa"/>
          <w:left w:w="0" w:type="dxa"/>
          <w:bottom w:w="0" w:type="dxa"/>
          <w:right w:w="0" w:type="dxa"/>
        </w:tblCellMar>
        <w:tblLook w:val="01E0"/>
      </w:tblPr>
      <w:tblGrid>
        <w:gridCol w:w="1762"/>
        <w:gridCol w:w="1134"/>
        <w:gridCol w:w="1275"/>
        <w:gridCol w:w="994"/>
        <w:gridCol w:w="1417"/>
        <w:gridCol w:w="1347"/>
        <w:gridCol w:w="1043"/>
      </w:tblGrid>
      <w:tr>
        <w:trPr>
          <w:trHeight w:val="667" w:hRule="exact"/>
        </w:trPr>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b/>
                <w:bCs/>
                <w:sz w:val="18"/>
                <w:szCs w:val="18"/>
              </w:rPr>
              <w:t>新设子公司名称</w:t>
            </w:r>
            <w:r>
              <w:rPr>
                <w:rFonts w:ascii="宋体" w:hAnsi="宋体" w:cs="宋体" w:eastAsia="宋体" w:hint="default"/>
                <w:sz w:val="18"/>
                <w:szCs w:val="18"/>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7" w:right="0"/>
              <w:jc w:val="left"/>
              <w:rPr>
                <w:rFonts w:ascii="宋体" w:hAnsi="宋体" w:cs="宋体" w:eastAsia="宋体" w:hint="default"/>
                <w:sz w:val="18"/>
                <w:szCs w:val="18"/>
              </w:rPr>
            </w:pPr>
            <w:r>
              <w:rPr>
                <w:rFonts w:ascii="宋体" w:hAnsi="宋体" w:cs="宋体" w:eastAsia="宋体" w:hint="default"/>
                <w:b/>
                <w:bCs/>
                <w:sz w:val="18"/>
                <w:szCs w:val="18"/>
              </w:rPr>
              <w:t>成立日期</w:t>
            </w:r>
            <w:r>
              <w:rPr>
                <w:rFonts w:ascii="宋体" w:hAnsi="宋体" w:cs="宋体" w:eastAsia="宋体" w:hint="default"/>
                <w:sz w:val="18"/>
                <w:szCs w:val="18"/>
              </w:rPr>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48" w:right="87" w:hanging="362"/>
              <w:jc w:val="left"/>
              <w:rPr>
                <w:rFonts w:ascii="宋体" w:hAnsi="宋体" w:cs="宋体" w:eastAsia="宋体" w:hint="default"/>
                <w:sz w:val="18"/>
                <w:szCs w:val="18"/>
              </w:rPr>
            </w:pPr>
            <w:r>
              <w:rPr>
                <w:rFonts w:ascii="宋体" w:hAnsi="宋体" w:cs="宋体" w:eastAsia="宋体" w:hint="default"/>
                <w:b/>
                <w:bCs/>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73" w:right="35" w:hanging="136"/>
              <w:jc w:val="left"/>
              <w:rPr>
                <w:rFonts w:ascii="宋体" w:hAnsi="宋体" w:cs="宋体" w:eastAsia="宋体" w:hint="default"/>
                <w:sz w:val="18"/>
                <w:szCs w:val="18"/>
              </w:rPr>
            </w:pPr>
            <w:r>
              <w:rPr>
                <w:rFonts w:ascii="宋体" w:hAnsi="宋体" w:cs="宋体" w:eastAsia="宋体" w:hint="default"/>
                <w:b/>
                <w:bCs/>
                <w:sz w:val="18"/>
                <w:szCs w:val="18"/>
              </w:rPr>
              <w:t>股权取得比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13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b/>
                <w:bCs/>
                <w:sz w:val="18"/>
                <w:szCs w:val="18"/>
              </w:rPr>
              <w:t>实际经营地</w:t>
            </w:r>
            <w:r>
              <w:rPr>
                <w:rFonts w:ascii="宋体" w:hAnsi="宋体" w:cs="宋体" w:eastAsia="宋体" w:hint="default"/>
                <w:sz w:val="18"/>
                <w:szCs w:val="18"/>
              </w:rPr>
            </w:r>
          </w:p>
        </w:tc>
        <w:tc>
          <w:tcPr>
            <w:tcW w:w="10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r>
      <w:tr>
        <w:trPr>
          <w:trHeight w:val="976"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山东丽鹏包装科技有</w:t>
            </w:r>
            <w:r>
              <w:rPr>
                <w:rFonts w:ascii="宋体" w:hAnsi="宋体" w:cs="宋体" w:eastAsia="宋体" w:hint="default"/>
                <w:sz w:val="18"/>
                <w:szCs w:val="18"/>
              </w:rPr>
              <w:t> 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2018.8.28</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0" w:right="71"/>
              <w:jc w:val="center"/>
              <w:rPr>
                <w:rFonts w:ascii="宋体" w:hAnsi="宋体" w:cs="宋体" w:eastAsia="宋体" w:hint="default"/>
                <w:sz w:val="18"/>
                <w:szCs w:val="18"/>
              </w:rPr>
            </w:pPr>
            <w:r>
              <w:rPr>
                <w:rFonts w:ascii="宋体" w:hAnsi="宋体" w:cs="宋体" w:eastAsia="宋体" w:hint="default"/>
                <w:sz w:val="18"/>
                <w:szCs w:val="18"/>
              </w:rPr>
              <w:t>山东省烟台市牟 平区姜格庄街道 丽鹏路</w:t>
            </w:r>
            <w:r>
              <w:rPr>
                <w:rFonts w:ascii="宋体" w:hAnsi="宋体" w:cs="宋体" w:eastAsia="宋体" w:hint="default"/>
                <w:sz w:val="18"/>
                <w:szCs w:val="18"/>
              </w:rPr>
              <w:t>1</w:t>
            </w:r>
            <w:r>
              <w:rPr>
                <w:rFonts w:ascii="宋体" w:hAnsi="宋体" w:cs="宋体" w:eastAsia="宋体" w:hint="default"/>
                <w:sz w:val="18"/>
                <w:szCs w:val="18"/>
              </w:rPr>
              <w:t>号</w:t>
            </w:r>
          </w:p>
        </w:tc>
        <w:tc>
          <w:tcPr>
            <w:tcW w:w="134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6" w:right="34"/>
              <w:jc w:val="center"/>
              <w:rPr>
                <w:rFonts w:ascii="宋体" w:hAnsi="宋体" w:cs="宋体" w:eastAsia="宋体" w:hint="default"/>
                <w:sz w:val="18"/>
                <w:szCs w:val="18"/>
              </w:rPr>
            </w:pPr>
            <w:r>
              <w:rPr>
                <w:rFonts w:ascii="宋体" w:hAnsi="宋体" w:cs="宋体" w:eastAsia="宋体" w:hint="default"/>
                <w:sz w:val="18"/>
                <w:szCs w:val="18"/>
              </w:rPr>
              <w:t>山东省烟台市牟 平区姜格庄街道 丽鹏路</w:t>
            </w:r>
            <w:r>
              <w:rPr>
                <w:rFonts w:ascii="宋体" w:hAnsi="宋体" w:cs="宋体" w:eastAsia="宋体" w:hint="default"/>
                <w:sz w:val="18"/>
                <w:szCs w:val="18"/>
              </w:rPr>
              <w:t>1</w:t>
            </w:r>
            <w:r>
              <w:rPr>
                <w:rFonts w:ascii="宋体" w:hAnsi="宋体" w:cs="宋体" w:eastAsia="宋体" w:hint="default"/>
                <w:sz w:val="18"/>
                <w:szCs w:val="18"/>
              </w:rPr>
              <w:t>号</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生产型</w:t>
            </w:r>
          </w:p>
        </w:tc>
      </w:tr>
      <w:tr>
        <w:trPr>
          <w:trHeight w:val="1289"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华阴市双华城乡建设</w:t>
            </w:r>
            <w:r>
              <w:rPr>
                <w:rFonts w:ascii="宋体" w:hAnsi="宋体" w:cs="宋体" w:eastAsia="宋体" w:hint="default"/>
                <w:sz w:val="18"/>
                <w:szCs w:val="18"/>
              </w:rPr>
              <w:t> 工程有限公司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2018.6.28</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9,869.20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79.88</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0" w:right="71"/>
              <w:jc w:val="center"/>
              <w:rPr>
                <w:rFonts w:ascii="宋体" w:hAnsi="宋体" w:cs="宋体" w:eastAsia="宋体" w:hint="default"/>
                <w:sz w:val="18"/>
                <w:szCs w:val="18"/>
              </w:rPr>
            </w:pPr>
            <w:r>
              <w:rPr>
                <w:rFonts w:ascii="宋体" w:hAnsi="宋体" w:cs="宋体" w:eastAsia="宋体" w:hint="default"/>
                <w:sz w:val="18"/>
                <w:szCs w:val="18"/>
              </w:rPr>
              <w:t>陕西省渭南市华 阴市东岳路政府 广场东侧嘉阳国 际</w:t>
            </w:r>
          </w:p>
        </w:tc>
        <w:tc>
          <w:tcPr>
            <w:tcW w:w="134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6" w:right="34"/>
              <w:jc w:val="center"/>
              <w:rPr>
                <w:rFonts w:ascii="宋体" w:hAnsi="宋体" w:cs="宋体" w:eastAsia="宋体" w:hint="default"/>
                <w:sz w:val="18"/>
                <w:szCs w:val="18"/>
              </w:rPr>
            </w:pPr>
            <w:r>
              <w:rPr>
                <w:rFonts w:ascii="宋体" w:hAnsi="宋体" w:cs="宋体" w:eastAsia="宋体" w:hint="default"/>
                <w:sz w:val="18"/>
                <w:szCs w:val="18"/>
              </w:rPr>
              <w:t>陕西省渭南市华 阴市东岳路政府 广场东侧嘉阳国 际</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64" w:right="6" w:hanging="62"/>
              <w:jc w:val="left"/>
              <w:rPr>
                <w:rFonts w:ascii="宋体" w:hAnsi="宋体" w:cs="宋体" w:eastAsia="宋体" w:hint="default"/>
                <w:sz w:val="18"/>
                <w:szCs w:val="18"/>
              </w:rPr>
            </w:pPr>
            <w:r>
              <w:rPr>
                <w:rFonts w:ascii="宋体" w:hAnsi="宋体" w:cs="宋体" w:eastAsia="宋体" w:hint="default"/>
                <w:spacing w:val="-10"/>
                <w:sz w:val="18"/>
                <w:szCs w:val="18"/>
              </w:rPr>
              <w:t>施工建设、绿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化、苗木等</w:t>
            </w:r>
          </w:p>
        </w:tc>
      </w:tr>
      <w:tr>
        <w:trPr>
          <w:trHeight w:val="976"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4"/>
              <w:jc w:val="left"/>
              <w:rPr>
                <w:rFonts w:ascii="宋体" w:hAnsi="宋体" w:cs="宋体" w:eastAsia="宋体" w:hint="default"/>
                <w:sz w:val="18"/>
                <w:szCs w:val="18"/>
              </w:rPr>
            </w:pPr>
            <w:r>
              <w:rPr>
                <w:rFonts w:ascii="宋体" w:hAnsi="宋体" w:cs="宋体" w:eastAsia="宋体" w:hint="default"/>
                <w:spacing w:val="14"/>
                <w:sz w:val="18"/>
                <w:szCs w:val="18"/>
              </w:rPr>
              <w:t>成都丽宇建设工程有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2018.2.7</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20,000.00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5" w:right="25" w:firstLine="1"/>
              <w:jc w:val="center"/>
              <w:rPr>
                <w:rFonts w:ascii="宋体" w:hAnsi="宋体" w:cs="宋体" w:eastAsia="宋体" w:hint="default"/>
                <w:sz w:val="18"/>
                <w:szCs w:val="18"/>
              </w:rPr>
            </w:pPr>
            <w:r>
              <w:rPr>
                <w:rFonts w:ascii="宋体" w:hAnsi="宋体" w:cs="宋体" w:eastAsia="宋体" w:hint="default"/>
                <w:sz w:val="18"/>
                <w:szCs w:val="18"/>
              </w:rPr>
              <w:t>成都市蒲江县鹤 山街道盐井路</w:t>
            </w:r>
            <w:r>
              <w:rPr>
                <w:rFonts w:ascii="宋体" w:hAnsi="宋体" w:cs="宋体" w:eastAsia="宋体" w:hint="default"/>
                <w:sz w:val="18"/>
                <w:szCs w:val="18"/>
              </w:rPr>
              <w:t>144 </w:t>
            </w:r>
            <w:r>
              <w:rPr>
                <w:rFonts w:ascii="宋体" w:hAnsi="宋体" w:cs="宋体" w:eastAsia="宋体" w:hint="default"/>
                <w:sz w:val="18"/>
                <w:szCs w:val="18"/>
              </w:rPr>
              <w:t>号</w:t>
            </w:r>
          </w:p>
        </w:tc>
        <w:tc>
          <w:tcPr>
            <w:tcW w:w="134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6" w:right="34"/>
              <w:jc w:val="center"/>
              <w:rPr>
                <w:rFonts w:ascii="宋体" w:hAnsi="宋体" w:cs="宋体" w:eastAsia="宋体" w:hint="default"/>
                <w:sz w:val="18"/>
                <w:szCs w:val="18"/>
              </w:rPr>
            </w:pPr>
            <w:r>
              <w:rPr>
                <w:rFonts w:ascii="宋体" w:hAnsi="宋体" w:cs="宋体" w:eastAsia="宋体" w:hint="default"/>
                <w:sz w:val="18"/>
                <w:szCs w:val="18"/>
              </w:rPr>
              <w:t>成都市蒲江县鹤 山街道盐井路 </w:t>
            </w:r>
            <w:r>
              <w:rPr>
                <w:rFonts w:ascii="宋体" w:hAnsi="宋体" w:cs="宋体" w:eastAsia="宋体" w:hint="default"/>
                <w:sz w:val="18"/>
                <w:szCs w:val="18"/>
              </w:rPr>
              <w:t>144</w:t>
            </w:r>
            <w:r>
              <w:rPr>
                <w:rFonts w:ascii="宋体" w:hAnsi="宋体" w:cs="宋体" w:eastAsia="宋体" w:hint="default"/>
                <w:sz w:val="18"/>
                <w:szCs w:val="18"/>
              </w:rPr>
              <w:t>号</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64" w:right="6" w:hanging="62"/>
              <w:jc w:val="left"/>
              <w:rPr>
                <w:rFonts w:ascii="宋体" w:hAnsi="宋体" w:cs="宋体" w:eastAsia="宋体" w:hint="default"/>
                <w:sz w:val="18"/>
                <w:szCs w:val="18"/>
              </w:rPr>
            </w:pPr>
            <w:r>
              <w:rPr>
                <w:rFonts w:ascii="宋体" w:hAnsi="宋体" w:cs="宋体" w:eastAsia="宋体" w:hint="default"/>
                <w:spacing w:val="-10"/>
                <w:sz w:val="18"/>
                <w:szCs w:val="18"/>
              </w:rPr>
              <w:t>施工建设、绿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化、苗木等</w:t>
            </w:r>
          </w:p>
        </w:tc>
      </w:tr>
      <w:tr>
        <w:trPr>
          <w:trHeight w:val="976"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上海锐科教育科技有</w:t>
            </w:r>
            <w:r>
              <w:rPr>
                <w:rFonts w:ascii="宋体" w:hAnsi="宋体" w:cs="宋体" w:eastAsia="宋体" w:hint="default"/>
                <w:sz w:val="18"/>
                <w:szCs w:val="18"/>
              </w:rPr>
              <w:t> 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2018.12.3</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0" w:right="71"/>
              <w:jc w:val="center"/>
              <w:rPr>
                <w:rFonts w:ascii="宋体" w:hAnsi="宋体" w:cs="宋体" w:eastAsia="宋体" w:hint="default"/>
                <w:sz w:val="18"/>
                <w:szCs w:val="18"/>
              </w:rPr>
            </w:pPr>
            <w:r>
              <w:rPr>
                <w:rFonts w:ascii="宋体" w:hAnsi="宋体" w:cs="宋体" w:eastAsia="宋体" w:hint="default"/>
                <w:sz w:val="18"/>
                <w:szCs w:val="18"/>
              </w:rPr>
              <w:t>上海市长宁区金 钟路</w:t>
            </w:r>
            <w:r>
              <w:rPr>
                <w:rFonts w:ascii="宋体" w:hAnsi="宋体" w:cs="宋体" w:eastAsia="宋体" w:hint="default"/>
                <w:sz w:val="18"/>
                <w:szCs w:val="18"/>
              </w:rPr>
              <w:t>767</w:t>
            </w:r>
            <w:r>
              <w:rPr>
                <w:rFonts w:ascii="宋体" w:hAnsi="宋体" w:cs="宋体" w:eastAsia="宋体" w:hint="default"/>
                <w:sz w:val="18"/>
                <w:szCs w:val="18"/>
              </w:rPr>
              <w:t>弄</w:t>
            </w:r>
            <w:r>
              <w:rPr>
                <w:rFonts w:ascii="宋体" w:hAnsi="宋体" w:cs="宋体" w:eastAsia="宋体" w:hint="default"/>
                <w:sz w:val="18"/>
                <w:szCs w:val="18"/>
              </w:rPr>
              <w:t>2</w:t>
            </w:r>
            <w:r>
              <w:rPr>
                <w:rFonts w:ascii="宋体" w:hAnsi="宋体" w:cs="宋体" w:eastAsia="宋体" w:hint="default"/>
                <w:sz w:val="18"/>
                <w:szCs w:val="18"/>
              </w:rPr>
              <w:t>号 </w:t>
            </w:r>
            <w:r>
              <w:rPr>
                <w:rFonts w:ascii="宋体" w:hAnsi="宋体" w:cs="宋体" w:eastAsia="宋体" w:hint="default"/>
                <w:sz w:val="18"/>
                <w:szCs w:val="18"/>
              </w:rPr>
              <w:t>509B</w:t>
            </w:r>
            <w:r>
              <w:rPr>
                <w:rFonts w:ascii="宋体" w:hAnsi="宋体" w:cs="宋体" w:eastAsia="宋体" w:hint="default"/>
                <w:sz w:val="18"/>
                <w:szCs w:val="18"/>
              </w:rPr>
              <w:t>室</w:t>
            </w:r>
          </w:p>
        </w:tc>
        <w:tc>
          <w:tcPr>
            <w:tcW w:w="134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6" w:right="34"/>
              <w:jc w:val="center"/>
              <w:rPr>
                <w:rFonts w:ascii="宋体" w:hAnsi="宋体" w:cs="宋体" w:eastAsia="宋体" w:hint="default"/>
                <w:sz w:val="18"/>
                <w:szCs w:val="18"/>
              </w:rPr>
            </w:pPr>
            <w:r>
              <w:rPr>
                <w:rFonts w:ascii="宋体" w:hAnsi="宋体" w:cs="宋体" w:eastAsia="宋体" w:hint="default"/>
                <w:sz w:val="18"/>
                <w:szCs w:val="18"/>
              </w:rPr>
              <w:t>上海市长宁区金 钟路</w:t>
            </w:r>
            <w:r>
              <w:rPr>
                <w:rFonts w:ascii="宋体" w:hAnsi="宋体" w:cs="宋体" w:eastAsia="宋体" w:hint="default"/>
                <w:sz w:val="18"/>
                <w:szCs w:val="18"/>
              </w:rPr>
              <w:t>767</w:t>
            </w:r>
            <w:r>
              <w:rPr>
                <w:rFonts w:ascii="宋体" w:hAnsi="宋体" w:cs="宋体" w:eastAsia="宋体" w:hint="default"/>
                <w:sz w:val="18"/>
                <w:szCs w:val="18"/>
              </w:rPr>
              <w:t>弄</w:t>
            </w:r>
            <w:r>
              <w:rPr>
                <w:rFonts w:ascii="宋体" w:hAnsi="宋体" w:cs="宋体" w:eastAsia="宋体" w:hint="default"/>
                <w:sz w:val="18"/>
                <w:szCs w:val="18"/>
              </w:rPr>
              <w:t>2</w:t>
            </w:r>
            <w:r>
              <w:rPr>
                <w:rFonts w:ascii="宋体" w:hAnsi="宋体" w:cs="宋体" w:eastAsia="宋体" w:hint="default"/>
                <w:sz w:val="18"/>
                <w:szCs w:val="18"/>
              </w:rPr>
              <w:t>号 </w:t>
            </w:r>
            <w:r>
              <w:rPr>
                <w:rFonts w:ascii="宋体" w:hAnsi="宋体" w:cs="宋体" w:eastAsia="宋体" w:hint="default"/>
                <w:sz w:val="18"/>
                <w:szCs w:val="18"/>
              </w:rPr>
              <w:t>509B</w:t>
            </w:r>
            <w:r>
              <w:rPr>
                <w:rFonts w:ascii="宋体" w:hAnsi="宋体" w:cs="宋体" w:eastAsia="宋体" w:hint="default"/>
                <w:sz w:val="18"/>
                <w:szCs w:val="18"/>
              </w:rPr>
              <w:t>室</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154" w:right="6" w:hanging="152"/>
              <w:jc w:val="left"/>
              <w:rPr>
                <w:rFonts w:ascii="宋体" w:hAnsi="宋体" w:cs="宋体" w:eastAsia="宋体" w:hint="default"/>
                <w:sz w:val="18"/>
                <w:szCs w:val="18"/>
              </w:rPr>
            </w:pPr>
            <w:r>
              <w:rPr>
                <w:rFonts w:ascii="宋体" w:hAnsi="宋体" w:cs="宋体" w:eastAsia="宋体" w:hint="default"/>
                <w:spacing w:val="-10"/>
                <w:sz w:val="18"/>
                <w:szCs w:val="18"/>
              </w:rPr>
              <w:t>教育咨询、计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算机网络</w:t>
            </w:r>
          </w:p>
        </w:tc>
      </w:tr>
    </w:tbl>
    <w:p>
      <w:pPr>
        <w:spacing w:line="240" w:lineRule="auto" w:before="8"/>
        <w:rPr>
          <w:rFonts w:ascii="宋体" w:hAnsi="宋体" w:cs="宋体" w:eastAsia="宋体" w:hint="default"/>
          <w:b/>
          <w:bCs/>
          <w:sz w:val="7"/>
          <w:szCs w:val="7"/>
        </w:rPr>
      </w:pPr>
    </w:p>
    <w:p>
      <w:pPr>
        <w:pStyle w:val="Heading4"/>
        <w:spacing w:line="240" w:lineRule="auto" w:before="35"/>
        <w:ind w:left="549" w:right="982"/>
        <w:jc w:val="left"/>
        <w:rPr>
          <w:b w:val="0"/>
          <w:bCs w:val="0"/>
        </w:rPr>
      </w:pPr>
      <w:r>
        <w:rPr>
          <w:rFonts w:ascii="宋体" w:hAnsi="宋体" w:cs="宋体" w:eastAsia="宋体" w:hint="default"/>
        </w:rPr>
        <w:t>2</w:t>
      </w:r>
      <w:r>
        <w:rPr/>
        <w:t>）同一控制下企业合并</w:t>
      </w:r>
      <w:r>
        <w:rPr>
          <w:b w:val="0"/>
          <w:bCs w:val="0"/>
        </w:rPr>
      </w:r>
    </w:p>
    <w:p>
      <w:pPr>
        <w:pStyle w:val="Heading5"/>
        <w:spacing w:line="240" w:lineRule="auto"/>
        <w:ind w:left="549" w:right="982"/>
        <w:jc w:val="left"/>
      </w:pPr>
      <w:r>
        <w:rPr>
          <w:rFonts w:ascii="Calibri" w:hAnsi="Calibri" w:cs="Calibri" w:eastAsia="Calibri" w:hint="default"/>
        </w:rPr>
        <w:t>①</w:t>
      </w:r>
      <w:r>
        <w:rPr/>
        <w:t>本期发生的同一控制下企业合并</w:t>
      </w:r>
    </w:p>
    <w:p>
      <w:pPr>
        <w:spacing w:after="0" w:line="240"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014"/>
        <w:gridCol w:w="1638"/>
        <w:gridCol w:w="1986"/>
        <w:gridCol w:w="1842"/>
        <w:gridCol w:w="1877"/>
      </w:tblGrid>
      <w:tr>
        <w:trPr>
          <w:trHeight w:val="867" w:hRule="exact"/>
        </w:trPr>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b/>
                <w:bCs/>
                <w:sz w:val="18"/>
                <w:szCs w:val="18"/>
              </w:rPr>
              <w:t>被合并方名称</w:t>
            </w:r>
            <w:r>
              <w:rPr>
                <w:rFonts w:ascii="宋体" w:hAnsi="宋体" w:cs="宋体" w:eastAsia="宋体" w:hint="default"/>
                <w:sz w:val="18"/>
                <w:szCs w:val="18"/>
              </w:rPr>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450" w:right="88" w:hanging="362"/>
              <w:jc w:val="left"/>
              <w:rPr>
                <w:rFonts w:ascii="宋体" w:hAnsi="宋体" w:cs="宋体" w:eastAsia="宋体" w:hint="default"/>
                <w:sz w:val="18"/>
                <w:szCs w:val="18"/>
              </w:rPr>
            </w:pPr>
            <w:r>
              <w:rPr>
                <w:rFonts w:ascii="宋体" w:hAnsi="宋体" w:cs="宋体" w:eastAsia="宋体" w:hint="default"/>
                <w:b/>
                <w:bCs/>
                <w:sz w:val="18"/>
                <w:szCs w:val="18"/>
              </w:rPr>
              <w:t>企业合并中取得的</w:t>
            </w:r>
            <w:r>
              <w:rPr>
                <w:rFonts w:ascii="宋体" w:hAnsi="宋体" w:cs="宋体" w:eastAsia="宋体" w:hint="default"/>
                <w:b/>
                <w:bCs/>
                <w:w w:val="99"/>
                <w:sz w:val="18"/>
                <w:szCs w:val="18"/>
              </w:rPr>
              <w:t> </w:t>
            </w:r>
            <w:r>
              <w:rPr>
                <w:rFonts w:ascii="宋体" w:hAnsi="宋体" w:cs="宋体" w:eastAsia="宋体" w:hint="default"/>
                <w:b/>
                <w:bCs/>
                <w:sz w:val="18"/>
                <w:szCs w:val="18"/>
              </w:rPr>
              <w:t>权益比例</w:t>
            </w:r>
            <w:r>
              <w:rPr>
                <w:rFonts w:ascii="宋体" w:hAnsi="宋体" w:cs="宋体" w:eastAsia="宋体" w:hint="default"/>
                <w:sz w:val="18"/>
                <w:szCs w:val="18"/>
              </w:rPr>
            </w:r>
          </w:p>
        </w:tc>
        <w:tc>
          <w:tcPr>
            <w:tcW w:w="1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444" w:right="81" w:hanging="362"/>
              <w:jc w:val="left"/>
              <w:rPr>
                <w:rFonts w:ascii="宋体" w:hAnsi="宋体" w:cs="宋体" w:eastAsia="宋体" w:hint="default"/>
                <w:sz w:val="18"/>
                <w:szCs w:val="18"/>
              </w:rPr>
            </w:pPr>
            <w:r>
              <w:rPr>
                <w:rFonts w:ascii="宋体" w:hAnsi="宋体" w:cs="宋体" w:eastAsia="宋体" w:hint="default"/>
                <w:b/>
                <w:bCs/>
                <w:sz w:val="18"/>
                <w:szCs w:val="18"/>
              </w:rPr>
              <w:t>交易构成同一控制下企</w:t>
            </w:r>
            <w:r>
              <w:rPr>
                <w:rFonts w:ascii="宋体" w:hAnsi="宋体" w:cs="宋体" w:eastAsia="宋体" w:hint="default"/>
                <w:b/>
                <w:bCs/>
                <w:w w:val="99"/>
                <w:sz w:val="18"/>
                <w:szCs w:val="18"/>
              </w:rPr>
              <w:t> </w:t>
            </w:r>
            <w:r>
              <w:rPr>
                <w:rFonts w:ascii="宋体" w:hAnsi="宋体" w:cs="宋体" w:eastAsia="宋体" w:hint="default"/>
                <w:b/>
                <w:bCs/>
                <w:sz w:val="18"/>
                <w:szCs w:val="18"/>
              </w:rPr>
              <w:t>业合并的依据</w:t>
            </w:r>
            <w:r>
              <w:rPr>
                <w:rFonts w:ascii="宋体" w:hAnsi="宋体" w:cs="宋体" w:eastAsia="宋体" w:hint="default"/>
                <w:sz w:val="18"/>
                <w:szCs w:val="18"/>
              </w:rPr>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sz w:val="18"/>
                <w:szCs w:val="18"/>
              </w:rPr>
            </w:r>
          </w:p>
        </w:tc>
        <w:tc>
          <w:tcPr>
            <w:tcW w:w="18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合并日的确定依据</w:t>
            </w:r>
            <w:r>
              <w:rPr>
                <w:rFonts w:ascii="宋体" w:hAnsi="宋体" w:cs="宋体" w:eastAsia="宋体" w:hint="default"/>
                <w:sz w:val="18"/>
                <w:szCs w:val="18"/>
              </w:rPr>
            </w:r>
          </w:p>
        </w:tc>
      </w:tr>
      <w:tr>
        <w:trPr>
          <w:trHeight w:val="864"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60"/>
              <w:ind w:left="2" w:right="1"/>
              <w:jc w:val="left"/>
              <w:rPr>
                <w:rFonts w:ascii="宋体" w:hAnsi="宋体" w:cs="宋体" w:eastAsia="宋体" w:hint="default"/>
                <w:sz w:val="18"/>
                <w:szCs w:val="18"/>
              </w:rPr>
            </w:pPr>
            <w:r>
              <w:rPr>
                <w:rFonts w:ascii="宋体" w:hAnsi="宋体" w:cs="宋体" w:eastAsia="宋体" w:hint="default"/>
                <w:sz w:val="18"/>
                <w:szCs w:val="18"/>
              </w:rPr>
              <w:t>苏州中锐智信教育投资有</w:t>
            </w:r>
            <w:r>
              <w:rPr>
                <w:rFonts w:ascii="宋体" w:hAnsi="宋体" w:cs="宋体" w:eastAsia="宋体" w:hint="default"/>
                <w:spacing w:val="-80"/>
                <w:sz w:val="18"/>
                <w:szCs w:val="18"/>
              </w:rPr>
              <w:t> </w:t>
            </w:r>
            <w:r>
              <w:rPr>
                <w:rFonts w:ascii="宋体" w:hAnsi="宋体" w:cs="宋体" w:eastAsia="宋体" w:hint="default"/>
                <w:sz w:val="18"/>
                <w:szCs w:val="18"/>
              </w:rPr>
              <w:t>限公司</w:t>
            </w:r>
          </w:p>
        </w:tc>
        <w:tc>
          <w:tcPr>
            <w:tcW w:w="1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706" w:right="0"/>
              <w:jc w:val="left"/>
              <w:rPr>
                <w:rFonts w:ascii="宋体" w:hAnsi="宋体" w:cs="宋体" w:eastAsia="宋体" w:hint="default"/>
                <w:sz w:val="18"/>
                <w:szCs w:val="18"/>
              </w:rPr>
            </w:pPr>
            <w:r>
              <w:rPr>
                <w:rFonts w:ascii="宋体"/>
                <w:sz w:val="18"/>
              </w:rPr>
              <w:t>100.00%</w:t>
            </w:r>
          </w:p>
        </w:tc>
        <w:tc>
          <w:tcPr>
            <w:tcW w:w="1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356"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0"/>
              <w:ind w:right="5"/>
              <w:jc w:val="center"/>
              <w:rPr>
                <w:rFonts w:ascii="宋体" w:hAnsi="宋体" w:cs="宋体" w:eastAsia="宋体" w:hint="default"/>
                <w:sz w:val="18"/>
                <w:szCs w:val="18"/>
              </w:rPr>
            </w:pPr>
            <w:r>
              <w:rPr>
                <w:rFonts w:ascii="宋体" w:hAnsi="宋体" w:cs="宋体" w:eastAsia="宋体" w:hint="default"/>
                <w:sz w:val="18"/>
                <w:szCs w:val="18"/>
              </w:rPr>
              <w:t>取得实际控制权</w:t>
            </w:r>
          </w:p>
        </w:tc>
      </w:tr>
    </w:tbl>
    <w:p>
      <w:pPr>
        <w:spacing w:line="240" w:lineRule="auto" w:before="8"/>
        <w:rPr>
          <w:rFonts w:ascii="宋体" w:hAnsi="宋体" w:cs="宋体" w:eastAsia="宋体" w:hint="default"/>
          <w:sz w:val="7"/>
          <w:szCs w:val="7"/>
        </w:rPr>
      </w:pPr>
    </w:p>
    <w:p>
      <w:pPr>
        <w:pStyle w:val="Heading5"/>
        <w:spacing w:line="240" w:lineRule="auto" w:before="35"/>
        <w:ind w:left="549" w:right="982"/>
        <w:jc w:val="left"/>
      </w:pPr>
      <w:r>
        <w:rPr/>
        <w:t>续表</w:t>
      </w:r>
    </w:p>
    <w:p>
      <w:pPr>
        <w:spacing w:line="240" w:lineRule="auto" w:before="6"/>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014"/>
        <w:gridCol w:w="1923"/>
        <w:gridCol w:w="2126"/>
        <w:gridCol w:w="1418"/>
        <w:gridCol w:w="1877"/>
      </w:tblGrid>
      <w:tr>
        <w:trPr>
          <w:trHeight w:val="867" w:hRule="exact"/>
        </w:trPr>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b/>
                <w:bCs/>
                <w:sz w:val="18"/>
                <w:szCs w:val="18"/>
              </w:rPr>
              <w:t>被合并方名称</w:t>
            </w:r>
            <w:r>
              <w:rPr>
                <w:rFonts w:ascii="宋体" w:hAnsi="宋体" w:cs="宋体" w:eastAsia="宋体" w:hint="default"/>
                <w:sz w:val="18"/>
                <w:szCs w:val="18"/>
              </w:rPr>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b/>
                <w:bCs/>
                <w:sz w:val="18"/>
                <w:szCs w:val="18"/>
              </w:rPr>
              <w:t>合并当期期初至合并日</w:t>
            </w:r>
            <w:r>
              <w:rPr>
                <w:rFonts w:ascii="宋体" w:hAnsi="宋体" w:cs="宋体" w:eastAsia="宋体" w:hint="default"/>
                <w:b/>
                <w:bCs/>
                <w:w w:val="99"/>
                <w:sz w:val="18"/>
                <w:szCs w:val="18"/>
              </w:rPr>
              <w:t> </w:t>
            </w:r>
            <w:r>
              <w:rPr>
                <w:rFonts w:ascii="宋体" w:hAnsi="宋体" w:cs="宋体" w:eastAsia="宋体" w:hint="default"/>
                <w:b/>
                <w:bCs/>
                <w:sz w:val="18"/>
                <w:szCs w:val="18"/>
              </w:rPr>
              <w:t>被合并方的收入</w:t>
            </w:r>
            <w:r>
              <w:rPr>
                <w:rFonts w:ascii="宋体" w:hAnsi="宋体" w:cs="宋体" w:eastAsia="宋体" w:hint="default"/>
                <w:sz w:val="18"/>
                <w:szCs w:val="18"/>
              </w:rPr>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422" w:right="62" w:hanging="362"/>
              <w:jc w:val="left"/>
              <w:rPr>
                <w:rFonts w:ascii="宋体" w:hAnsi="宋体" w:cs="宋体" w:eastAsia="宋体" w:hint="default"/>
                <w:sz w:val="18"/>
                <w:szCs w:val="18"/>
              </w:rPr>
            </w:pPr>
            <w:r>
              <w:rPr>
                <w:rFonts w:ascii="宋体" w:hAnsi="宋体" w:cs="宋体" w:eastAsia="宋体" w:hint="default"/>
                <w:b/>
                <w:bCs/>
                <w:sz w:val="18"/>
                <w:szCs w:val="18"/>
              </w:rPr>
              <w:t>合并当期期初至合并日被</w:t>
            </w:r>
            <w:r>
              <w:rPr>
                <w:rFonts w:ascii="宋体" w:hAnsi="宋体" w:cs="宋体" w:eastAsia="宋体" w:hint="default"/>
                <w:b/>
                <w:bCs/>
                <w:w w:val="99"/>
                <w:sz w:val="18"/>
                <w:szCs w:val="18"/>
              </w:rPr>
              <w:t> </w:t>
            </w:r>
            <w:r>
              <w:rPr>
                <w:rFonts w:ascii="宋体" w:hAnsi="宋体" w:cs="宋体" w:eastAsia="宋体" w:hint="default"/>
                <w:b/>
                <w:bCs/>
                <w:sz w:val="18"/>
                <w:szCs w:val="18"/>
              </w:rPr>
              <w:t>合并方的净利润</w:t>
            </w:r>
            <w:r>
              <w:rPr>
                <w:rFonts w:ascii="宋体" w:hAnsi="宋体" w:cs="宋体" w:eastAsia="宋体" w:hint="default"/>
                <w:sz w:val="18"/>
                <w:szCs w:val="18"/>
              </w:rPr>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9" w:right="69" w:hanging="272"/>
              <w:jc w:val="left"/>
              <w:rPr>
                <w:rFonts w:ascii="宋体" w:hAnsi="宋体" w:cs="宋体" w:eastAsia="宋体" w:hint="default"/>
                <w:sz w:val="18"/>
                <w:szCs w:val="18"/>
              </w:rPr>
            </w:pPr>
            <w:r>
              <w:rPr>
                <w:rFonts w:ascii="宋体" w:hAnsi="宋体" w:cs="宋体" w:eastAsia="宋体" w:hint="default"/>
                <w:b/>
                <w:bCs/>
                <w:sz w:val="18"/>
                <w:szCs w:val="18"/>
              </w:rPr>
              <w:t>比较期间被合并</w:t>
            </w:r>
            <w:r>
              <w:rPr>
                <w:rFonts w:ascii="宋体" w:hAnsi="宋体" w:cs="宋体" w:eastAsia="宋体" w:hint="default"/>
                <w:b/>
                <w:bCs/>
                <w:w w:val="99"/>
                <w:sz w:val="18"/>
                <w:szCs w:val="18"/>
              </w:rPr>
              <w:t> </w:t>
            </w:r>
            <w:r>
              <w:rPr>
                <w:rFonts w:ascii="宋体" w:hAnsi="宋体" w:cs="宋体" w:eastAsia="宋体" w:hint="default"/>
                <w:b/>
                <w:bCs/>
                <w:sz w:val="18"/>
                <w:szCs w:val="18"/>
              </w:rPr>
              <w:t>方的收入</w:t>
            </w:r>
            <w:r>
              <w:rPr>
                <w:rFonts w:ascii="宋体" w:hAnsi="宋体" w:cs="宋体" w:eastAsia="宋体" w:hint="default"/>
                <w:sz w:val="18"/>
                <w:szCs w:val="18"/>
              </w:rPr>
            </w:r>
          </w:p>
        </w:tc>
        <w:tc>
          <w:tcPr>
            <w:tcW w:w="18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750" w:right="34" w:hanging="723"/>
              <w:jc w:val="left"/>
              <w:rPr>
                <w:rFonts w:ascii="宋体" w:hAnsi="宋体" w:cs="宋体" w:eastAsia="宋体" w:hint="default"/>
                <w:sz w:val="18"/>
                <w:szCs w:val="18"/>
              </w:rPr>
            </w:pPr>
            <w:r>
              <w:rPr>
                <w:rFonts w:ascii="宋体" w:hAnsi="宋体" w:cs="宋体" w:eastAsia="宋体" w:hint="default"/>
                <w:b/>
                <w:bCs/>
                <w:sz w:val="18"/>
                <w:szCs w:val="18"/>
              </w:rPr>
              <w:t>比较期间被合并方的净</w:t>
            </w:r>
            <w:r>
              <w:rPr>
                <w:rFonts w:ascii="宋体" w:hAnsi="宋体" w:cs="宋体" w:eastAsia="宋体" w:hint="default"/>
                <w:b/>
                <w:bCs/>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r>
      <w:tr>
        <w:trPr>
          <w:trHeight w:val="864"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60"/>
              <w:ind w:left="2" w:right="3"/>
              <w:jc w:val="left"/>
              <w:rPr>
                <w:rFonts w:ascii="宋体" w:hAnsi="宋体" w:cs="宋体" w:eastAsia="宋体" w:hint="default"/>
                <w:sz w:val="18"/>
                <w:szCs w:val="18"/>
              </w:rPr>
            </w:pPr>
            <w:r>
              <w:rPr>
                <w:rFonts w:ascii="宋体" w:hAnsi="宋体" w:cs="宋体" w:eastAsia="宋体" w:hint="default"/>
                <w:sz w:val="18"/>
                <w:szCs w:val="18"/>
              </w:rPr>
              <w:t>苏州中锐智信教育投资有</w:t>
            </w:r>
            <w:r>
              <w:rPr>
                <w:rFonts w:ascii="宋体" w:hAnsi="宋体" w:cs="宋体" w:eastAsia="宋体" w:hint="default"/>
                <w:spacing w:val="-80"/>
                <w:sz w:val="18"/>
                <w:szCs w:val="18"/>
              </w:rPr>
              <w:t> </w:t>
            </w:r>
            <w:r>
              <w:rPr>
                <w:rFonts w:ascii="宋体" w:hAnsi="宋体" w:cs="宋体" w:eastAsia="宋体" w:hint="default"/>
                <w:sz w:val="18"/>
                <w:szCs w:val="18"/>
              </w:rPr>
              <w:t>限公司</w:t>
            </w:r>
          </w:p>
        </w:tc>
        <w:tc>
          <w:tcPr>
            <w:tcW w:w="1923" w:type="dxa"/>
            <w:tcBorders>
              <w:top w:val="single" w:sz="12" w:space="0" w:color="000000"/>
              <w:left w:val="single" w:sz="6" w:space="0" w:color="000000"/>
              <w:bottom w:val="single" w:sz="12" w:space="0" w:color="000000"/>
              <w:right w:val="single" w:sz="6" w:space="0" w:color="000000"/>
            </w:tcBorders>
          </w:tcPr>
          <w:p>
            <w:pP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right="1"/>
              <w:jc w:val="center"/>
              <w:rPr>
                <w:rFonts w:ascii="宋体" w:hAnsi="宋体" w:cs="宋体" w:eastAsia="宋体" w:hint="default"/>
                <w:sz w:val="18"/>
                <w:szCs w:val="18"/>
              </w:rPr>
            </w:pPr>
            <w:r>
              <w:rPr>
                <w:rFonts w:ascii="宋体"/>
                <w:sz w:val="18"/>
              </w:rPr>
              <w:t>-956.47</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0"/>
              <w:ind w:left="615" w:right="0"/>
              <w:jc w:val="left"/>
              <w:rPr>
                <w:rFonts w:ascii="宋体" w:hAnsi="宋体" w:cs="宋体" w:eastAsia="宋体" w:hint="default"/>
                <w:sz w:val="18"/>
                <w:szCs w:val="18"/>
              </w:rPr>
            </w:pPr>
            <w:r>
              <w:rPr>
                <w:rFonts w:ascii="宋体"/>
                <w:sz w:val="18"/>
              </w:rPr>
              <w:t>-532.12</w:t>
            </w:r>
          </w:p>
        </w:tc>
      </w:tr>
    </w:tbl>
    <w:p>
      <w:pPr>
        <w:spacing w:line="240" w:lineRule="auto" w:before="8"/>
        <w:rPr>
          <w:rFonts w:ascii="宋体" w:hAnsi="宋体" w:cs="宋体" w:eastAsia="宋体" w:hint="default"/>
          <w:sz w:val="7"/>
          <w:szCs w:val="7"/>
        </w:rPr>
      </w:pPr>
    </w:p>
    <w:p>
      <w:pPr>
        <w:pStyle w:val="Heading5"/>
        <w:spacing w:line="247" w:lineRule="auto" w:before="35"/>
        <w:ind w:left="549" w:right="1123"/>
        <w:jc w:val="left"/>
      </w:pPr>
      <w:r>
        <w:rPr>
          <w:rFonts w:ascii="Calibri" w:hAnsi="Calibri" w:cs="Calibri" w:eastAsia="Calibri" w:hint="default"/>
        </w:rPr>
        <w:t>②</w:t>
      </w:r>
      <w:r>
        <w:rPr/>
        <w:t>合并成本</w:t>
      </w:r>
      <w:r>
        <w:rPr>
          <w:w w:val="99"/>
        </w:rPr>
        <w:t> </w:t>
      </w:r>
      <w:r>
        <w:rPr>
          <w:spacing w:val="-1"/>
        </w:rPr>
        <w:t>丽鹏公司零元受让苏州中锐智信教育投资有限公司</w:t>
      </w:r>
      <w:r>
        <w:rPr>
          <w:rFonts w:ascii="宋体" w:hAnsi="宋体" w:cs="宋体" w:eastAsia="宋体" w:hint="default"/>
          <w:spacing w:val="-1"/>
        </w:rPr>
        <w:t>100%</w:t>
      </w:r>
      <w:r>
        <w:rPr>
          <w:spacing w:val="-1"/>
        </w:rPr>
        <w:t>的股权，苏州中锐智信教育投资有限公司的注</w:t>
      </w:r>
    </w:p>
    <w:p>
      <w:pPr>
        <w:pStyle w:val="Heading5"/>
        <w:spacing w:line="240" w:lineRule="auto" w:before="31"/>
        <w:ind w:left="114" w:right="982"/>
        <w:jc w:val="left"/>
      </w:pPr>
      <w:r>
        <w:rPr/>
        <w:t>册资本</w:t>
      </w:r>
      <w:r>
        <w:rPr>
          <w:rFonts w:ascii="宋体" w:hAnsi="宋体" w:cs="宋体" w:eastAsia="宋体" w:hint="default"/>
        </w:rPr>
        <w:t>10,000</w:t>
      </w:r>
      <w:r>
        <w:rPr/>
        <w:t>万元未实缴，丽鹏公司受让股权后注册资本由丽鹏公司认缴。</w:t>
      </w:r>
    </w:p>
    <w:p>
      <w:pPr>
        <w:pStyle w:val="Heading5"/>
        <w:spacing w:line="240" w:lineRule="auto"/>
        <w:ind w:left="549" w:right="982"/>
        <w:jc w:val="left"/>
      </w:pPr>
      <w:r>
        <w:rPr>
          <w:rFonts w:ascii="Calibri" w:hAnsi="Calibri" w:cs="Calibri" w:eastAsia="Calibri" w:hint="default"/>
        </w:rPr>
        <w:t>③</w:t>
      </w:r>
      <w:r>
        <w:rPr/>
        <w:t>合并日被合并方的资产、负债</w:t>
      </w:r>
    </w:p>
    <w:p>
      <w:pPr>
        <w:spacing w:line="240" w:lineRule="auto" w:before="5"/>
        <w:rPr>
          <w:rFonts w:ascii="宋体" w:hAnsi="宋体" w:cs="宋体" w:eastAsia="宋体" w:hint="default"/>
          <w:sz w:val="13"/>
          <w:szCs w:val="13"/>
        </w:rPr>
      </w:pPr>
    </w:p>
    <w:tbl>
      <w:tblPr>
        <w:tblW w:w="0" w:type="auto"/>
        <w:jc w:val="left"/>
        <w:tblInd w:w="181" w:type="dxa"/>
        <w:tblLayout w:type="fixed"/>
        <w:tblCellMar>
          <w:top w:w="0" w:type="dxa"/>
          <w:left w:w="0" w:type="dxa"/>
          <w:bottom w:w="0" w:type="dxa"/>
          <w:right w:w="0" w:type="dxa"/>
        </w:tblCellMar>
        <w:tblLook w:val="01E0"/>
      </w:tblPr>
      <w:tblGrid>
        <w:gridCol w:w="3544"/>
        <w:gridCol w:w="2836"/>
        <w:gridCol w:w="2643"/>
      </w:tblGrid>
      <w:tr>
        <w:trPr>
          <w:trHeight w:val="554" w:hRule="exact"/>
        </w:trPr>
        <w:tc>
          <w:tcPr>
            <w:tcW w:w="35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419"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547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676" w:right="0"/>
              <w:jc w:val="left"/>
              <w:rPr>
                <w:rFonts w:ascii="宋体" w:hAnsi="宋体" w:cs="宋体" w:eastAsia="宋体" w:hint="default"/>
                <w:sz w:val="18"/>
                <w:szCs w:val="18"/>
              </w:rPr>
            </w:pPr>
            <w:r>
              <w:rPr>
                <w:rFonts w:ascii="宋体" w:hAnsi="宋体" w:cs="宋体" w:eastAsia="宋体" w:hint="default"/>
                <w:b/>
                <w:bCs/>
                <w:sz w:val="18"/>
                <w:szCs w:val="18"/>
              </w:rPr>
              <w:t>苏州中锐智信教育投资有限公司</w:t>
            </w:r>
            <w:r>
              <w:rPr>
                <w:rFonts w:ascii="宋体" w:hAnsi="宋体" w:cs="宋体" w:eastAsia="宋体" w:hint="default"/>
                <w:sz w:val="18"/>
                <w:szCs w:val="18"/>
              </w:rPr>
            </w:r>
          </w:p>
        </w:tc>
      </w:tr>
      <w:tr>
        <w:trPr>
          <w:trHeight w:val="552" w:hRule="exact"/>
        </w:trPr>
        <w:tc>
          <w:tcPr>
            <w:tcW w:w="3544" w:type="dxa"/>
            <w:vMerge/>
            <w:tcBorders>
              <w:left w:val="single" w:sz="6" w:space="0" w:color="000000"/>
              <w:bottom w:val="single" w:sz="12" w:space="0" w:color="000000"/>
              <w:right w:val="single" w:sz="6" w:space="0" w:color="000000"/>
            </w:tcBorders>
          </w:tcPr>
          <w:p>
            <w:pP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1349"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sz w:val="18"/>
                <w:szCs w:val="18"/>
              </w:rPr>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0"/>
              <w:ind w:right="5"/>
              <w:jc w:val="center"/>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sz w:val="18"/>
                <w:szCs w:val="18"/>
              </w:rPr>
            </w: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4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23,512.41</w:t>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4,468.88</w:t>
            </w: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4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right="1"/>
              <w:jc w:val="right"/>
              <w:rPr>
                <w:rFonts w:ascii="宋体" w:hAnsi="宋体" w:cs="宋体" w:eastAsia="宋体" w:hint="default"/>
                <w:sz w:val="18"/>
                <w:szCs w:val="18"/>
              </w:rPr>
            </w:pPr>
            <w:r>
              <w:rPr>
                <w:rFonts w:ascii="宋体"/>
                <w:sz w:val="18"/>
              </w:rPr>
              <w:t>25,000.00</w:t>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0"/>
              <w:ind w:right="7"/>
              <w:jc w:val="right"/>
              <w:rPr>
                <w:rFonts w:ascii="宋体" w:hAnsi="宋体" w:cs="宋体" w:eastAsia="宋体" w:hint="default"/>
                <w:sz w:val="18"/>
                <w:szCs w:val="18"/>
              </w:rPr>
            </w:pPr>
            <w:r>
              <w:rPr>
                <w:rFonts w:ascii="宋体"/>
                <w:sz w:val="18"/>
              </w:rPr>
              <w:t>5,000.00</w:t>
            </w: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42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-1,487.59</w:t>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-531.12</w:t>
            </w: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42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42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-1,487.59</w:t>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-531.12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right="98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2"/>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491,739,994.41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39.41%</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02"/>
        <w:gridCol w:w="3302"/>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148,566,015.37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11.91%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124,540,843.18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96,929,627.52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61,179,142.59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60,524,365.75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491,739,994.41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39.41%</w:t>
            </w:r>
          </w:p>
        </w:tc>
      </w:tr>
    </w:tbl>
    <w:p>
      <w:pPr>
        <w:pStyle w:val="BodyText"/>
        <w:spacing w:line="240" w:lineRule="auto" w:before="51"/>
        <w:ind w:right="982"/>
        <w:jc w:val="left"/>
      </w:pPr>
      <w:r>
        <w:rPr/>
        <w:t>主要客户其他情况说明</w:t>
      </w:r>
    </w:p>
    <w:p>
      <w:pPr>
        <w:pStyle w:val="BodyText"/>
        <w:spacing w:line="360" w:lineRule="auto" w:before="116"/>
        <w:ind w:right="9132"/>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206,345,495.69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98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49,406,334.14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49,304,300.00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42,039,041.19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36,822,820.36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28,773,000.00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206,345,495.69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20.99%</w:t>
            </w:r>
          </w:p>
        </w:tc>
      </w:tr>
    </w:tbl>
    <w:p>
      <w:pPr>
        <w:pStyle w:val="BodyText"/>
        <w:spacing w:line="240" w:lineRule="auto" w:before="51"/>
        <w:ind w:right="982"/>
        <w:jc w:val="left"/>
      </w:pPr>
      <w:r>
        <w:rPr/>
        <w:t>主要供应商其他情况说明</w:t>
      </w:r>
    </w:p>
    <w:p>
      <w:pPr>
        <w:pStyle w:val="BodyText"/>
        <w:spacing w:line="240" w:lineRule="auto" w:before="117"/>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45,565,996.08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26,539,693.64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主要是本期因质量问题形成扣款损 失增加所致。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105,926,943.99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95,268,290.56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-1,565,896.49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-14,310,790.42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主要是本期受融资成本变化利息支 出增加所致。</w:t>
            </w:r>
          </w:p>
        </w:tc>
      </w:tr>
      <w:tr>
        <w:trPr>
          <w:trHeight w:val="106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4,414,748.04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7,290,050.40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主要是受市场变化及营收规模下降 所致。</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pStyle w:val="BodyText"/>
        <w:spacing w:line="340" w:lineRule="auto" w:before="115"/>
        <w:ind w:right="2300"/>
        <w:jc w:val="left"/>
      </w:pPr>
      <w:r>
        <w:rPr/>
        <w:t>截至报告期末，公司共拥有专利</w:t>
      </w:r>
      <w:r>
        <w:rPr>
          <w:spacing w:val="-46"/>
        </w:rPr>
        <w:t> </w:t>
      </w:r>
      <w:r>
        <w:rPr>
          <w:rFonts w:ascii="Times New Roman" w:hAnsi="Times New Roman" w:cs="Times New Roman" w:eastAsia="Times New Roman" w:hint="default"/>
        </w:rPr>
        <w:t>194</w:t>
      </w:r>
      <w:r>
        <w:rPr>
          <w:rFonts w:ascii="Times New Roman" w:hAnsi="Times New Roman" w:cs="Times New Roman" w:eastAsia="Times New Roman" w:hint="default"/>
          <w:spacing w:val="-1"/>
        </w:rPr>
        <w:t> </w:t>
      </w:r>
      <w:r>
        <w:rPr/>
        <w:t>项，其中发明专利</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项，实用新型专利</w:t>
      </w:r>
      <w:r>
        <w:rPr>
          <w:spacing w:val="-46"/>
        </w:rPr>
        <w:t> </w:t>
      </w:r>
      <w:r>
        <w:rPr>
          <w:rFonts w:ascii="Times New Roman" w:hAnsi="Times New Roman" w:cs="Times New Roman" w:eastAsia="Times New Roman" w:hint="default"/>
        </w:rPr>
        <w:t>136</w:t>
      </w:r>
      <w:r>
        <w:rPr>
          <w:rFonts w:ascii="Times New Roman" w:hAnsi="Times New Roman" w:cs="Times New Roman" w:eastAsia="Times New Roman" w:hint="default"/>
          <w:spacing w:val="-1"/>
        </w:rPr>
        <w:t> </w:t>
      </w:r>
      <w:r>
        <w:rPr/>
        <w:t>项，外观设计专利</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项。 公司研发投入情况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31,718,650.91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51,512,768.50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2"/>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8"/>
        <w:ind w:right="982"/>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1,436,432,018.84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1,225,719,869.10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1,821,866,559.32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1,750,283,352.90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-385,434,540.48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-524,563,483.80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74,702,600.03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11,337,107.92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558.92%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381,819,111.10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254,857,958.51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-307,116,511.07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-243,520,850.59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-26.12%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2,042,369,429.23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1,922,190,208.00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1,901,403,596.40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1,269,975,288.26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49.72%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140,965,832.83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652,214,919.74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-551,241,706.94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-117,369,139.08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-369.66%</w:t>
            </w:r>
            <w:r>
              <w:rPr>
                <w:rFonts w:ascii="Times New Roman"/>
                <w:sz w:val="18"/>
              </w:rPr>
            </w:r>
          </w:p>
        </w:tc>
      </w:tr>
    </w:tbl>
    <w:p>
      <w:pPr>
        <w:pStyle w:val="BodyText"/>
        <w:spacing w:line="240" w:lineRule="auto" w:before="51"/>
        <w:ind w:right="982"/>
        <w:jc w:val="left"/>
      </w:pPr>
      <w:r>
        <w:rPr/>
        <w:t>相关数据同比发生重大变动的主要影响因素说明</w:t>
      </w:r>
    </w:p>
    <w:p>
      <w:pPr>
        <w:pStyle w:val="BodyText"/>
        <w:spacing w:line="240" w:lineRule="auto" w:before="117"/>
        <w:ind w:right="982"/>
        <w:jc w:val="left"/>
      </w:pPr>
      <w:r>
        <w:rPr/>
        <w:t>√ 适用 □ 不适用</w:t>
      </w:r>
    </w:p>
    <w:p>
      <w:pPr>
        <w:pStyle w:val="Heading5"/>
        <w:spacing w:line="240" w:lineRule="auto" w:before="90"/>
        <w:ind w:left="114" w:right="982"/>
        <w:jc w:val="left"/>
      </w:pPr>
      <w:r>
        <w:rPr>
          <w:rFonts w:ascii="宋体" w:hAnsi="宋体" w:cs="宋体" w:eastAsia="宋体" w:hint="default"/>
        </w:rPr>
        <w:t>1</w:t>
      </w:r>
      <w:r>
        <w:rPr/>
        <w:t>、筹资活动产生的现金流量净额较去年减少</w:t>
      </w:r>
      <w:r>
        <w:rPr>
          <w:rFonts w:ascii="宋体" w:hAnsi="宋体" w:cs="宋体" w:eastAsia="宋体" w:hint="default"/>
        </w:rPr>
        <w:t>78.39%</w:t>
      </w:r>
      <w:r>
        <w:rPr/>
        <w:t>，主要是本期公司偿还短期债务较多所致。</w:t>
      </w:r>
    </w:p>
    <w:p>
      <w:pPr>
        <w:pStyle w:val="Heading5"/>
        <w:spacing w:line="240" w:lineRule="auto" w:before="76"/>
        <w:ind w:left="114" w:right="982"/>
        <w:jc w:val="left"/>
      </w:pPr>
      <w:r>
        <w:rPr>
          <w:rFonts w:ascii="宋体" w:hAnsi="宋体" w:cs="宋体" w:eastAsia="宋体" w:hint="default"/>
        </w:rPr>
        <w:t>2</w:t>
      </w:r>
      <w:r>
        <w:rPr/>
        <w:t>、现金及现金等价物净增加额较去年减少</w:t>
      </w:r>
      <w:r>
        <w:rPr>
          <w:rFonts w:ascii="宋体" w:hAnsi="宋体" w:cs="宋体" w:eastAsia="宋体" w:hint="default"/>
        </w:rPr>
        <w:t>369.66%</w:t>
      </w:r>
      <w:r>
        <w:rPr/>
        <w:t>，主要是本期公司偿还短期债务较多所致。</w:t>
      </w:r>
    </w:p>
    <w:p>
      <w:pPr>
        <w:pStyle w:val="BodyText"/>
        <w:spacing w:line="240" w:lineRule="auto" w:before="103"/>
        <w:ind w:right="982"/>
        <w:jc w:val="left"/>
      </w:pPr>
      <w:r>
        <w:rPr/>
        <w:t>报告期内公司经营活动产生的现金净流量与本年度净利润存在重大差异的原因说明</w:t>
      </w:r>
    </w:p>
    <w:p>
      <w:pPr>
        <w:pStyle w:val="BodyText"/>
        <w:spacing w:line="338" w:lineRule="auto" w:before="116"/>
        <w:ind w:right="1212"/>
        <w:jc w:val="left"/>
      </w:pPr>
      <w:r>
        <w:rPr/>
        <w:t>√ 适用 □ 不适用 报告期内公司经营活动产生的现金净流量与本年度净利润存在重大差异的主要原因是本年度公司按照规定计提了商誉等大 额减值损失。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6"/>
        <w:ind w:right="982"/>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982"/>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-1,127,333.31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0.14%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权益法核算的长期股权投 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750,071,381.90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-95.82%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主要是商誉及长期资产的 减值计提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273,999.71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主要是除政府补助以外的 其他收益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1,158,277.77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-0.15%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主要是捐赠支出和非流动 资产毁损报废损失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982"/>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174,383,618.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6" w:right="0"/>
              <w:jc w:val="left"/>
              <w:rPr>
                <w:rFonts w:ascii="Times New Roman" w:hAnsi="Times New Roman" w:cs="Times New Roman" w:eastAsia="Times New Roman" w:hint="default"/>
                <w:sz w:val="18"/>
                <w:szCs w:val="18"/>
              </w:rPr>
            </w:pPr>
            <w:r>
              <w:rPr>
                <w:rFonts w:ascii="Times New Roman"/>
                <w:sz w:val="18"/>
              </w:rPr>
              <w:t>3.09%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center"/>
              <w:rPr>
                <w:rFonts w:ascii="Times New Roman" w:hAnsi="Times New Roman" w:cs="Times New Roman" w:eastAsia="Times New Roman" w:hint="default"/>
                <w:sz w:val="18"/>
                <w:szCs w:val="18"/>
              </w:rPr>
            </w:pPr>
            <w:r>
              <w:rPr>
                <w:rFonts w:ascii="Times New Roman"/>
                <w:sz w:val="18"/>
              </w:rPr>
              <w:t>716,912,382.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11.25%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-8.16%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996,498,508.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698,600,128.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911,417,260.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1,327,531,06</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4.83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12,546,381.1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3,466,950.84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4,094,282.02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3,761,615.33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679,107,843.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681,030,053.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27,235,874.3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79,318,080.7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942,111,426.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1,206,034,20</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506" w:lineRule="auto"/>
        <w:ind w:left="549" w:right="7275" w:hanging="436"/>
        <w:jc w:val="left"/>
        <w:rPr>
          <w:b w:val="0"/>
          <w:bCs w:val="0"/>
        </w:rPr>
      </w:pPr>
      <w:r>
        <w:rPr/>
        <w:pict>
          <v:shape style="position:absolute;margin-left:56.34pt;margin-top:54.503674pt;width:448.75pt;height:143.8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9"/>
                    <w:gridCol w:w="2979"/>
                    <w:gridCol w:w="2980"/>
                  </w:tblGrid>
                  <w:tr>
                    <w:trPr>
                      <w:trHeight w:val="362"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tabs>
                            <w:tab w:pos="452" w:val="left" w:leader="none"/>
                          </w:tabs>
                          <w:spacing w:line="240" w:lineRule="auto" w:before="20"/>
                          <w:ind w:right="1164"/>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9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673"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86,801,249.67</w:t>
                        </w:r>
                      </w:p>
                    </w:tc>
                    <w:tc>
                      <w:tcPr>
                        <w:tcW w:w="298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20"/>
                          <w:ind w:left="583" w:right="47" w:hanging="540"/>
                          <w:jc w:val="left"/>
                          <w:rPr>
                            <w:rFonts w:ascii="宋体" w:hAnsi="宋体" w:cs="宋体" w:eastAsia="宋体" w:hint="default"/>
                            <w:sz w:val="18"/>
                            <w:szCs w:val="18"/>
                          </w:rPr>
                        </w:pPr>
                        <w:r>
                          <w:rPr>
                            <w:rFonts w:ascii="宋体" w:hAnsi="宋体" w:cs="宋体" w:eastAsia="宋体" w:hint="default"/>
                            <w:sz w:val="18"/>
                            <w:szCs w:val="18"/>
                          </w:rPr>
                          <w:t>借款质押、保证金冻结、票据及借款 保证金、银行存款冻结</w:t>
                        </w:r>
                      </w:p>
                    </w:tc>
                  </w:tr>
                  <w:tr>
                    <w:trPr>
                      <w:trHeight w:val="362"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64,652,517.13</w:t>
                        </w:r>
                      </w:p>
                    </w:tc>
                    <w:tc>
                      <w:tcPr>
                        <w:tcW w:w="29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借款质押、冻结</w:t>
                        </w:r>
                      </w:p>
                    </w:tc>
                  </w:tr>
                  <w:tr>
                    <w:trPr>
                      <w:trHeight w:val="362"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79,454,770.86</w:t>
                        </w:r>
                      </w:p>
                    </w:tc>
                    <w:tc>
                      <w:tcPr>
                        <w:tcW w:w="29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借款抵押</w:t>
                        </w:r>
                      </w:p>
                    </w:tc>
                  </w:tr>
                  <w:tr>
                    <w:trPr>
                      <w:trHeight w:val="361"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313,847,420.00</w:t>
                        </w:r>
                      </w:p>
                    </w:tc>
                    <w:tc>
                      <w:tcPr>
                        <w:tcW w:w="29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借款质押</w:t>
                        </w:r>
                      </w:p>
                    </w:tc>
                  </w:tr>
                  <w:tr>
                    <w:trPr>
                      <w:trHeight w:val="362"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9,162,874.74</w:t>
                        </w:r>
                      </w:p>
                    </w:tc>
                    <w:tc>
                      <w:tcPr>
                        <w:tcW w:w="29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借款抵押</w:t>
                        </w:r>
                      </w:p>
                    </w:tc>
                  </w:tr>
                  <w:tr>
                    <w:trPr>
                      <w:trHeight w:val="362" w:hRule="exact"/>
                    </w:trPr>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211"/>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b/>
                            <w:w w:val="95"/>
                            <w:sz w:val="18"/>
                          </w:rPr>
                          <w:t>553,918,832.40</w:t>
                        </w:r>
                        <w:r>
                          <w:rPr>
                            <w:rFonts w:ascii="宋体"/>
                            <w:sz w:val="18"/>
                          </w:rPr>
                        </w:r>
                      </w:p>
                    </w:tc>
                    <w:tc>
                      <w:tcPr>
                        <w:tcW w:w="2980" w:type="dxa"/>
                        <w:tcBorders>
                          <w:top w:val="single" w:sz="12" w:space="0" w:color="000000"/>
                          <w:left w:val="single" w:sz="6" w:space="0" w:color="000000"/>
                          <w:bottom w:val="single" w:sz="12" w:space="0" w:color="000000"/>
                          <w:right w:val="nil" w:sz="6" w:space="0" w:color="auto"/>
                        </w:tcBorders>
                      </w:tcPr>
                      <w:p>
                        <w:pPr/>
                      </w:p>
                    </w:tc>
                  </w:tr>
                </w:tbl>
                <w:p>
                  <w:pPr/>
                </w:p>
              </w:txbxContent>
            </v:textbox>
            <w10:wrap type="none"/>
          </v:shape>
        </w:pict>
      </w: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w w:val="99"/>
        </w:rPr>
        <w:t> </w:t>
      </w:r>
      <w:r>
        <w:rPr/>
        <w:t>所有权或使用权受到限制的资产</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BodyText"/>
        <w:spacing w:line="240" w:lineRule="auto" w:before="44"/>
        <w:ind w:right="982"/>
        <w:jc w:val="left"/>
      </w:pPr>
      <w:r>
        <w:rPr/>
        <w:t>注：应收账款</w:t>
      </w:r>
      <w:r>
        <w:rPr>
          <w:spacing w:val="-46"/>
        </w:rPr>
        <w:t> </w:t>
      </w:r>
      <w:r>
        <w:rPr>
          <w:rFonts w:ascii="Times New Roman" w:hAnsi="Times New Roman" w:cs="Times New Roman" w:eastAsia="Times New Roman" w:hint="default"/>
        </w:rPr>
        <w:t>4,843.22</w:t>
      </w:r>
      <w:r>
        <w:rPr>
          <w:rFonts w:ascii="Times New Roman" w:hAnsi="Times New Roman" w:cs="Times New Roman" w:eastAsia="Times New Roman" w:hint="default"/>
          <w:spacing w:val="-1"/>
        </w:rPr>
        <w:t> </w:t>
      </w:r>
      <w:r>
        <w:rPr/>
        <w:t>万元于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29 </w:t>
      </w:r>
      <w:r>
        <w:rPr/>
        <w:t>日已解冻；货币资金中</w:t>
      </w:r>
      <w:r>
        <w:rPr>
          <w:spacing w:val="-46"/>
        </w:rPr>
        <w:t> </w:t>
      </w:r>
      <w:r>
        <w:rPr>
          <w:rFonts w:ascii="Times New Roman" w:hAnsi="Times New Roman" w:cs="Times New Roman" w:eastAsia="Times New Roman" w:hint="default"/>
        </w:rPr>
        <w:t>4,570,213.18</w:t>
      </w:r>
      <w:r>
        <w:rPr>
          <w:rFonts w:ascii="Times New Roman" w:hAnsi="Times New Roman" w:cs="Times New Roman" w:eastAsia="Times New Roman" w:hint="default"/>
          <w:spacing w:val="-1"/>
        </w:rPr>
        <w:t> </w:t>
      </w:r>
      <w:r>
        <w:rPr/>
        <w:t>元银行存款于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日已解冻。</w:t>
      </w:r>
    </w:p>
    <w:p>
      <w:pPr>
        <w:spacing w:line="240" w:lineRule="auto" w:before="1"/>
        <w:rPr>
          <w:rFonts w:ascii="宋体" w:hAnsi="宋体" w:cs="宋体" w:eastAsia="宋体" w:hint="default"/>
          <w:sz w:val="24"/>
          <w:szCs w:val="24"/>
        </w:rPr>
      </w:pPr>
    </w:p>
    <w:p>
      <w:pPr>
        <w:pStyle w:val="Heading2"/>
        <w:spacing w:line="240" w:lineRule="auto"/>
        <w:ind w:right="982"/>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2"/>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09"/>
              <w:jc w:val="left"/>
              <w:rPr>
                <w:rFonts w:ascii="宋体" w:hAnsi="宋体" w:cs="宋体" w:eastAsia="宋体" w:hint="default"/>
                <w:sz w:val="18"/>
                <w:szCs w:val="18"/>
              </w:rPr>
            </w:pPr>
            <w:r>
              <w:rPr>
                <w:rFonts w:ascii="宋体" w:hAnsi="宋体" w:cs="宋体" w:eastAsia="宋体" w:hint="default"/>
                <w:sz w:val="18"/>
                <w:szCs w:val="18"/>
              </w:rPr>
              <w:t>定向发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26,742.8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26,730.5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永久性 补充流 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22,871.3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22,878.5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76,372.6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11,660.3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66,375.3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9,997.26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暂时补 充流动 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125,986.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11,660.3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w w:val="95"/>
                <w:sz w:val="18"/>
              </w:rPr>
              <w:t>115,984.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年度募集资金存放与实际使用情况：公司审计机构山东和信会计师事务所（特殊普通合伙）出具了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《山东丽鹏股份有限公司募集资金年度存放与实际使用情况的鉴证报告》和信专字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000202</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号，公司董事会出具</w:t>
            </w:r>
          </w:p>
          <w:p>
            <w:pPr>
              <w:pStyle w:val="TableParagraph"/>
              <w:spacing w:line="302" w:lineRule="auto" w:before="63"/>
              <w:ind w:left="103" w:right="180"/>
              <w:jc w:val="left"/>
              <w:rPr>
                <w:rFonts w:ascii="宋体" w:hAnsi="宋体" w:cs="宋体" w:eastAsia="宋体" w:hint="default"/>
                <w:sz w:val="18"/>
                <w:szCs w:val="18"/>
              </w:rPr>
            </w:pPr>
            <w:r>
              <w:rPr>
                <w:rFonts w:ascii="宋体" w:hAnsi="宋体" w:cs="宋体" w:eastAsia="宋体" w:hint="default"/>
                <w:spacing w:val="-3"/>
                <w:sz w:val="18"/>
                <w:szCs w:val="18"/>
              </w:rPr>
              <w:t>了《关于公司募集资金存放与实际使用情况的专项报告》，具体内容请见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日公司刊登于巨潮资讯网上的 相关公告。</w:t>
            </w:r>
          </w:p>
        </w:tc>
      </w:tr>
    </w:tbl>
    <w:p>
      <w:pPr>
        <w:spacing w:after="0" w:line="302"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2"/>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4"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发行股份及支付现 金购买资产并募集 配套资金项目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26,742.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26,742.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26,730.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99.95%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巴中市巴州区津桥 湖城市基础设施和 生态恢复建设</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33,000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27,502.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83.34%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2,656.6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安顺市西秀区生态 修复综合治理</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29,000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29,004.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3,948.4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瓶盖二维码技术升 级改造项目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24.93%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-47.79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22,871.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22,871.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22,878.</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8,372.6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8,372.6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8,372.6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125,98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125,98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11,660.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115,98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6,557.3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125,98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125,98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11,660.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115,98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6,557.3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月，公司以募集资金置换了巴中市巴州区津桥湖城市基础设施和生态恢复建设（</w:t>
            </w:r>
            <w:r>
              <w:rPr>
                <w:rFonts w:ascii="Times New Roman" w:hAnsi="Times New Roman" w:cs="Times New Roman" w:eastAsia="Times New Roman" w:hint="default"/>
                <w:sz w:val="18"/>
                <w:szCs w:val="18"/>
              </w:rPr>
              <w:t>PPP</w:t>
            </w:r>
            <w:r>
              <w:rPr>
                <w:rFonts w:ascii="宋体" w:hAnsi="宋体" w:cs="宋体" w:eastAsia="宋体" w:hint="default"/>
                <w:sz w:val="18"/>
                <w:szCs w:val="18"/>
              </w:rPr>
              <w:t>）</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项目前期投入资金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万元，安顺市西秀区生态修复综合治理（</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项目前期投入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22,421.34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万元，瓶盖二维码技术升级改造项目前期投入资金为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485.37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万元，偿还银行贷款前期投入资金为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8,372.61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月完成募集资金置换。</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6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日，公司第四届董事会第十三次会议通过拟使用部分闲置募集资金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时补充流动资金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9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发</w:t>
            </w:r>
            <w:r>
              <w:rPr>
                <w:rFonts w:ascii="宋体" w:hAnsi="宋体" w:cs="宋体" w:eastAsia="宋体" w:hint="default"/>
                <w:sz w:val="18"/>
                <w:szCs w:val="18"/>
              </w:rPr>
              <w:t>行股份及支付现金购买资产并募集配套资金项目”用于收购汤于等</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 </w:t>
            </w:r>
            <w:r>
              <w:rPr>
                <w:rFonts w:ascii="宋体" w:hAnsi="宋体" w:cs="宋体" w:eastAsia="宋体" w:hint="default"/>
                <w:sz w:val="18"/>
                <w:szCs w:val="18"/>
              </w:rPr>
              <w:t>名华宇园林全体股东持有华宇园林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的股份及补充华宇流动资金项目累计使用募集资金</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267,305,055.99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元，银行手续费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2,981.24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48,651.08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元，募集资金账户节余净额</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168,989.15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元结转补充流动资金。</w:t>
            </w:r>
          </w:p>
        </w:tc>
      </w:tr>
      <w:tr>
        <w:trPr>
          <w:trHeight w:val="75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暂时补充流动资金</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公司报告期不存在募集资金变更项目情况。</w:t>
      </w:r>
    </w:p>
    <w:p>
      <w:pPr>
        <w:spacing w:line="240" w:lineRule="auto" w:before="3"/>
        <w:rPr>
          <w:rFonts w:ascii="宋体" w:hAnsi="宋体" w:cs="宋体" w:eastAsia="宋体" w:hint="default"/>
          <w:sz w:val="18"/>
          <w:szCs w:val="18"/>
        </w:rPr>
      </w:pPr>
    </w:p>
    <w:p>
      <w:pPr>
        <w:pStyle w:val="Heading2"/>
        <w:spacing w:line="240" w:lineRule="auto"/>
        <w:ind w:right="982"/>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2"/>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2"/>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2" w:equalWidth="0">
            <w:col w:w="4809" w:space="4110"/>
            <w:col w:w="197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重庆华宇 园林有限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工程施工、 </w:t>
            </w:r>
            <w:r>
              <w:rPr>
                <w:rFonts w:ascii="宋体" w:hAnsi="宋体" w:cs="宋体" w:eastAsia="宋体" w:hint="default"/>
                <w:spacing w:val="-15"/>
                <w:sz w:val="18"/>
                <w:szCs w:val="18"/>
              </w:rPr>
              <w:t>设计、苗木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种植等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4,440,920,</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458.88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1,727,738,</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282.60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610,297,02</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1.04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-274,137,4</w:t>
            </w:r>
          </w:p>
          <w:p>
            <w:pPr>
              <w:pStyle w:val="TableParagraph"/>
              <w:spacing w:line="240" w:lineRule="auto" w:before="106"/>
              <w:ind w:left="527" w:right="0"/>
              <w:jc w:val="left"/>
              <w:rPr>
                <w:rFonts w:ascii="Times New Roman" w:hAnsi="Times New Roman" w:cs="Times New Roman" w:eastAsia="Times New Roman" w:hint="default"/>
                <w:sz w:val="18"/>
                <w:szCs w:val="18"/>
              </w:rPr>
            </w:pPr>
            <w:r>
              <w:rPr>
                <w:rFonts w:ascii="Times New Roman"/>
                <w:sz w:val="18"/>
              </w:rPr>
              <w:t>68.49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-240,936,3</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38.02</w:t>
            </w:r>
          </w:p>
        </w:tc>
      </w:tr>
    </w:tbl>
    <w:p>
      <w:pPr>
        <w:pStyle w:val="BodyText"/>
        <w:spacing w:line="240" w:lineRule="auto" w:before="51"/>
        <w:ind w:right="982"/>
        <w:jc w:val="left"/>
      </w:pPr>
      <w:r>
        <w:rPr/>
        <w:t>报告期内取得和处置子公司的情况</w:t>
      </w:r>
    </w:p>
    <w:p>
      <w:pPr>
        <w:pStyle w:val="BodyText"/>
        <w:spacing w:line="240" w:lineRule="auto" w:before="117"/>
        <w:ind w:right="982"/>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山东丽鹏包装科技有限公司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目前无重大影响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华阴市双华城乡建设工程有限公司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目前无重大影响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成都丽宇建设工程有限公司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目前无重大影响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上海锐科教育科技有限公司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目前无重大影响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苏州中锐智信教育投资有限公司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目前无重大影响</w:t>
            </w:r>
          </w:p>
        </w:tc>
      </w:tr>
    </w:tbl>
    <w:p>
      <w:pPr>
        <w:spacing w:line="240" w:lineRule="auto" w:before="2"/>
        <w:rPr>
          <w:rFonts w:ascii="宋体" w:hAnsi="宋体" w:cs="宋体" w:eastAsia="宋体" w:hint="default"/>
          <w:sz w:val="18"/>
          <w:szCs w:val="18"/>
        </w:rPr>
      </w:pPr>
    </w:p>
    <w:p>
      <w:pPr>
        <w:pStyle w:val="Heading2"/>
        <w:spacing w:line="240" w:lineRule="auto" w:before="26"/>
        <w:ind w:right="982"/>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2"/>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Heading6"/>
        <w:spacing w:line="240" w:lineRule="auto"/>
        <w:ind w:left="295" w:right="982"/>
        <w:jc w:val="left"/>
        <w:rPr>
          <w:b w:val="0"/>
          <w:bCs w:val="0"/>
        </w:rPr>
      </w:pPr>
      <w:r>
        <w:rPr>
          <w:rFonts w:ascii="宋体" w:hAnsi="宋体" w:cs="宋体" w:eastAsia="宋体" w:hint="default"/>
        </w:rPr>
        <w:t>1</w:t>
      </w:r>
      <w:r>
        <w:rPr/>
        <w:t>、发展战略：</w:t>
      </w:r>
      <w:r>
        <w:rPr>
          <w:b w:val="0"/>
          <w:bCs w:val="0"/>
        </w:rPr>
      </w:r>
    </w:p>
    <w:p>
      <w:pPr>
        <w:pStyle w:val="BodyText"/>
        <w:spacing w:line="240" w:lineRule="auto" w:before="116"/>
        <w:ind w:left="294" w:right="982"/>
        <w:jc w:val="left"/>
      </w:pPr>
      <w:r>
        <w:rPr/>
        <w:t>（</w:t>
      </w:r>
      <w:r>
        <w:rPr>
          <w:rFonts w:ascii="宋体" w:hAnsi="宋体" w:cs="宋体" w:eastAsia="宋体" w:hint="default"/>
        </w:rPr>
        <w:t>1</w:t>
      </w:r>
      <w:r>
        <w:rPr/>
        <w:t>）园林生态业</w:t>
      </w:r>
    </w:p>
    <w:p>
      <w:pPr>
        <w:pStyle w:val="BodyText"/>
        <w:spacing w:line="319" w:lineRule="auto" w:before="116"/>
        <w:ind w:right="1124" w:firstLine="360"/>
        <w:jc w:val="left"/>
      </w:pPr>
      <w:r>
        <w:rPr/>
        <w:t>随着我国“生态文明”与</w:t>
      </w:r>
      <w:r>
        <w:rPr>
          <w:spacing w:val="23"/>
        </w:rPr>
        <w:t> </w:t>
      </w:r>
      <w:r>
        <w:rPr>
          <w:spacing w:val="-5"/>
        </w:rPr>
        <w:t>“美丽中国”、“乡村振兴”战略逐步推进，园林行业将得到进一步的规范化发展。公司园林</w:t>
      </w:r>
      <w:r>
        <w:rPr/>
        <w:t> 业未来的主要工作目标是：</w:t>
      </w:r>
    </w:p>
    <w:p>
      <w:pPr>
        <w:pStyle w:val="BodyText"/>
        <w:spacing w:line="319" w:lineRule="auto" w:before="55"/>
        <w:ind w:right="1122" w:firstLine="360"/>
        <w:jc w:val="left"/>
      </w:pPr>
      <w:r>
        <w:rPr>
          <w:rFonts w:ascii="宋体" w:hAnsi="宋体" w:cs="宋体" w:eastAsia="宋体" w:hint="default"/>
        </w:rPr>
        <w:t>1</w:t>
      </w:r>
      <w:r>
        <w:rPr/>
        <w:t>）公司将进一步注重优质地区和优质项目的开发和拓展，为未来业务储备更多优质的政府客户资源，提升公司的盈利 能力。</w:t>
      </w:r>
    </w:p>
    <w:p>
      <w:pPr>
        <w:pStyle w:val="BodyText"/>
        <w:spacing w:line="240" w:lineRule="auto" w:before="56"/>
        <w:ind w:left="474" w:right="982"/>
        <w:jc w:val="left"/>
      </w:pPr>
      <w:r>
        <w:rPr>
          <w:rFonts w:ascii="宋体" w:hAnsi="宋体" w:cs="宋体" w:eastAsia="宋体" w:hint="default"/>
        </w:rPr>
        <w:t>2</w:t>
      </w:r>
      <w:r>
        <w:rPr/>
        <w:t>）通过抓管理、抓市场、抓质量、抓效益，助推企业增收，促进全产业链发展。</w:t>
      </w:r>
    </w:p>
    <w:p>
      <w:pPr>
        <w:pStyle w:val="BodyText"/>
        <w:spacing w:line="319" w:lineRule="auto" w:before="116"/>
        <w:ind w:right="1122" w:firstLine="360"/>
        <w:jc w:val="left"/>
      </w:pPr>
      <w:r>
        <w:rPr>
          <w:rFonts w:ascii="宋体" w:hAnsi="宋体" w:cs="宋体" w:eastAsia="宋体" w:hint="default"/>
        </w:rPr>
        <w:t>3</w:t>
      </w:r>
      <w:r>
        <w:rPr/>
        <w:t>）公司将努力完善公司各类工程资质，优化内部管理、拓宽项目的融资渠道，加强工程应收款项的催收，提升公司综 合竞争能力。</w:t>
      </w:r>
    </w:p>
    <w:p>
      <w:pPr>
        <w:pStyle w:val="BodyText"/>
        <w:spacing w:line="240" w:lineRule="auto" w:before="57"/>
        <w:ind w:left="474" w:right="982"/>
        <w:jc w:val="left"/>
      </w:pPr>
      <w:r>
        <w:rPr>
          <w:rFonts w:ascii="宋体" w:hAnsi="宋体" w:cs="宋体" w:eastAsia="宋体" w:hint="default"/>
        </w:rPr>
        <w:t>4</w:t>
      </w:r>
      <w:r>
        <w:rPr/>
        <w:t>）加强与地产、教育业务的协同，共同发展，进一步提升上市公司市场竞争力。</w:t>
      </w:r>
    </w:p>
    <w:p>
      <w:pPr>
        <w:pStyle w:val="BodyText"/>
        <w:spacing w:line="357" w:lineRule="auto" w:before="116"/>
        <w:ind w:left="474" w:right="1122" w:hanging="90"/>
        <w:jc w:val="left"/>
      </w:pPr>
      <w:r>
        <w:rPr/>
        <w:t>（</w:t>
      </w:r>
      <w:r>
        <w:rPr>
          <w:rFonts w:ascii="宋体" w:hAnsi="宋体" w:cs="宋体" w:eastAsia="宋体" w:hint="default"/>
        </w:rPr>
        <w:t>2</w:t>
      </w:r>
      <w:r>
        <w:rPr/>
        <w:t>）防伪包装业 </w:t>
      </w:r>
      <w:r>
        <w:rPr>
          <w:rFonts w:ascii="宋体" w:hAnsi="宋体" w:cs="宋体" w:eastAsia="宋体" w:hint="default"/>
        </w:rPr>
        <w:t>1</w:t>
      </w:r>
      <w:r>
        <w:rPr/>
        <w:t>）加大非白酒市场开拓力度，重点开发啤酒、葡萄酒、预调酒、高档矿泉水、果汁、功能性饮品、药品、化妆品等领</w:t>
      </w:r>
    </w:p>
    <w:p>
      <w:pPr>
        <w:spacing w:after="0" w:line="357"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2"/>
        <w:jc w:val="left"/>
      </w:pPr>
      <w:r>
        <w:rPr/>
        <w:t>域。</w:t>
      </w:r>
    </w:p>
    <w:p>
      <w:pPr>
        <w:pStyle w:val="BodyText"/>
        <w:spacing w:line="240" w:lineRule="auto" w:before="116"/>
        <w:ind w:left="474" w:right="982"/>
        <w:jc w:val="left"/>
      </w:pPr>
      <w:r>
        <w:rPr>
          <w:rFonts w:ascii="宋体" w:hAnsi="宋体" w:cs="宋体" w:eastAsia="宋体" w:hint="default"/>
        </w:rPr>
        <w:t>2</w:t>
      </w:r>
      <w:r>
        <w:rPr/>
        <w:t>）开发高端瓶盖产品，加快产品升级，部分替代进口。</w:t>
      </w:r>
    </w:p>
    <w:p>
      <w:pPr>
        <w:pStyle w:val="BodyText"/>
        <w:spacing w:line="240" w:lineRule="auto" w:before="117"/>
        <w:ind w:left="474" w:right="982"/>
        <w:jc w:val="left"/>
      </w:pPr>
      <w:r>
        <w:rPr>
          <w:rFonts w:ascii="宋体" w:hAnsi="宋体" w:cs="宋体" w:eastAsia="宋体" w:hint="default"/>
        </w:rPr>
        <w:t>3</w:t>
      </w:r>
      <w:r>
        <w:rPr/>
        <w:t>）积极推广二维码智能防伪瓶盖，实现工业互联。</w:t>
      </w:r>
    </w:p>
    <w:p>
      <w:pPr>
        <w:pStyle w:val="BodyText"/>
        <w:spacing w:line="240" w:lineRule="auto" w:before="116"/>
        <w:ind w:left="474" w:right="982"/>
        <w:jc w:val="left"/>
      </w:pPr>
      <w:r>
        <w:rPr>
          <w:rFonts w:ascii="宋体" w:hAnsi="宋体" w:cs="宋体" w:eastAsia="宋体" w:hint="default"/>
        </w:rPr>
        <w:t>4</w:t>
      </w:r>
      <w:r>
        <w:rPr/>
        <w:t>）深化国内主流白酒厂商战略合作关系，建立更深层次的合作。</w:t>
      </w:r>
    </w:p>
    <w:p>
      <w:pPr>
        <w:pStyle w:val="Heading6"/>
        <w:spacing w:line="240" w:lineRule="auto" w:before="116"/>
        <w:ind w:right="982"/>
        <w:jc w:val="left"/>
        <w:rPr>
          <w:b w:val="0"/>
          <w:bCs w:val="0"/>
        </w:rPr>
      </w:pPr>
      <w:r>
        <w:rPr>
          <w:rFonts w:ascii="宋体" w:hAnsi="宋体" w:cs="宋体" w:eastAsia="宋体" w:hint="default"/>
        </w:rPr>
        <w:t>2</w:t>
      </w:r>
      <w:r>
        <w:rPr/>
        <w:t>、</w:t>
      </w:r>
      <w:r>
        <w:rPr>
          <w:rFonts w:ascii="宋体" w:hAnsi="宋体" w:cs="宋体" w:eastAsia="宋体" w:hint="default"/>
        </w:rPr>
        <w:t>2019</w:t>
      </w:r>
      <w:r>
        <w:rPr/>
        <w:t>年工作计划：</w:t>
      </w:r>
      <w:r>
        <w:rPr>
          <w:b w:val="0"/>
          <w:bCs w:val="0"/>
        </w:rPr>
      </w:r>
    </w:p>
    <w:p>
      <w:pPr>
        <w:pStyle w:val="BodyText"/>
        <w:spacing w:line="357" w:lineRule="auto" w:before="117"/>
        <w:ind w:left="474" w:right="982"/>
        <w:jc w:val="left"/>
      </w:pPr>
      <w:r>
        <w:rPr/>
        <w:t>（</w:t>
      </w:r>
      <w:r>
        <w:rPr>
          <w:rFonts w:ascii="宋体" w:hAnsi="宋体" w:cs="宋体" w:eastAsia="宋体" w:hint="default"/>
        </w:rPr>
        <w:t>1</w:t>
      </w:r>
      <w:r>
        <w:rPr/>
        <w:t>）园林生态业 </w:t>
      </w:r>
      <w:r>
        <w:rPr>
          <w:rFonts w:ascii="宋体" w:hAnsi="宋体" w:cs="宋体" w:eastAsia="宋体" w:hint="default"/>
          <w:spacing w:val="-2"/>
        </w:rPr>
        <w:t>1</w:t>
      </w:r>
      <w:r>
        <w:rPr>
          <w:spacing w:val="-2"/>
        </w:rPr>
        <w:t>）加大在华中、华东等地区的优质园林工程类项目的拓展，储备优质地区的优质项目资源，提升公司的持续发展能力；</w:t>
      </w:r>
    </w:p>
    <w:p>
      <w:pPr>
        <w:pStyle w:val="BodyText"/>
        <w:spacing w:line="319" w:lineRule="auto" w:before="26"/>
        <w:ind w:right="1122" w:firstLine="360"/>
        <w:jc w:val="left"/>
      </w:pPr>
      <w:r>
        <w:rPr>
          <w:rFonts w:ascii="宋体" w:hAnsi="宋体" w:cs="宋体" w:eastAsia="宋体" w:hint="default"/>
        </w:rPr>
        <w:t>2</w:t>
      </w:r>
      <w:r>
        <w:rPr/>
        <w:t>）重点拓宽项目的融资渠道，改善公司的负债结构，加强与金融机构的合作关系，稳步推进现有项目完成投资建设， 同时采取积极的措施，加大力度对公司的应收账款进行催收；</w:t>
      </w:r>
    </w:p>
    <w:p>
      <w:pPr>
        <w:pStyle w:val="BodyText"/>
        <w:spacing w:line="319" w:lineRule="auto" w:before="56"/>
        <w:ind w:right="982" w:firstLine="360"/>
        <w:jc w:val="left"/>
      </w:pPr>
      <w:r>
        <w:rPr>
          <w:rFonts w:ascii="宋体" w:hAnsi="宋体" w:cs="宋体" w:eastAsia="宋体" w:hint="default"/>
          <w:spacing w:val="-2"/>
        </w:rPr>
        <w:t>3</w:t>
      </w:r>
      <w:r>
        <w:rPr>
          <w:spacing w:val="-2"/>
        </w:rPr>
        <w:t>）紧跟国家要建设绿水青山的发展思路，择优筛选项目，重点对已纳入国家</w:t>
      </w:r>
      <w:r>
        <w:rPr>
          <w:rFonts w:ascii="宋体" w:hAnsi="宋体" w:cs="宋体" w:eastAsia="宋体" w:hint="default"/>
          <w:spacing w:val="-2"/>
        </w:rPr>
        <w:t>PPP</w:t>
      </w:r>
      <w:r>
        <w:rPr>
          <w:spacing w:val="-2"/>
        </w:rPr>
        <w:t>项目库的项目进行投入，保障业务的持</w:t>
      </w:r>
      <w:r>
        <w:rPr/>
        <w:t> 续稳定发展。</w:t>
      </w:r>
    </w:p>
    <w:p>
      <w:pPr>
        <w:pStyle w:val="BodyText"/>
        <w:spacing w:line="357" w:lineRule="auto" w:before="56"/>
        <w:ind w:left="474" w:right="982"/>
        <w:jc w:val="left"/>
      </w:pPr>
      <w:r>
        <w:rPr/>
        <w:t>（</w:t>
      </w:r>
      <w:r>
        <w:rPr>
          <w:rFonts w:ascii="宋体" w:hAnsi="宋体" w:cs="宋体" w:eastAsia="宋体" w:hint="default"/>
        </w:rPr>
        <w:t>2</w:t>
      </w:r>
      <w:r>
        <w:rPr/>
        <w:t>）防伪包装业 开发高端瓶盖产品，加快产品升级，部分替代进口，摆脱低价竞争不利局面，扩大与竞争对手的优势。 </w:t>
      </w:r>
      <w:r>
        <w:rPr>
          <w:spacing w:val="-2"/>
        </w:rPr>
        <w:t>积极推广二维码智能防伪瓶盖，为客户提供防伪打假、积分兑奖、防窜货、广告宣传、物流跟踪、大数据应用等增值服</w:t>
      </w:r>
    </w:p>
    <w:p>
      <w:pPr>
        <w:pStyle w:val="BodyText"/>
        <w:spacing w:line="225" w:lineRule="exact"/>
        <w:ind w:right="982"/>
        <w:jc w:val="left"/>
      </w:pPr>
      <w:r>
        <w:rPr/>
        <w:t>务。</w:t>
      </w:r>
    </w:p>
    <w:p>
      <w:pPr>
        <w:pStyle w:val="BodyText"/>
        <w:spacing w:line="357" w:lineRule="auto" w:before="116"/>
        <w:ind w:left="474" w:right="982"/>
        <w:jc w:val="left"/>
      </w:pPr>
      <w:r>
        <w:rPr/>
        <w:t>与国内主流白酒厂商建立战略合作关系，提高产品市场份额及服务保障，保持行业龙头的优势地位。 </w:t>
      </w:r>
      <w:r>
        <w:rPr>
          <w:spacing w:val="-2"/>
        </w:rPr>
        <w:t>公司</w:t>
      </w:r>
      <w:r>
        <w:rPr>
          <w:rFonts w:ascii="宋体" w:hAnsi="宋体" w:cs="宋体" w:eastAsia="宋体" w:hint="default"/>
          <w:spacing w:val="-2"/>
        </w:rPr>
        <w:t>2018</w:t>
      </w:r>
      <w:r>
        <w:rPr>
          <w:spacing w:val="-2"/>
        </w:rPr>
        <w:t>年引进了世界领先、国内首台</w:t>
      </w:r>
      <w:r>
        <w:rPr>
          <w:rFonts w:ascii="宋体" w:hAnsi="宋体" w:cs="宋体" w:eastAsia="宋体" w:hint="default"/>
          <w:spacing w:val="-2"/>
        </w:rPr>
        <w:t>28</w:t>
      </w:r>
      <w:r>
        <w:rPr>
          <w:spacing w:val="-2"/>
        </w:rPr>
        <w:t>口盖</w:t>
      </w:r>
      <w:r>
        <w:rPr>
          <w:rFonts w:ascii="宋体" w:hAnsi="宋体" w:cs="宋体" w:eastAsia="宋体" w:hint="default"/>
          <w:spacing w:val="-2"/>
        </w:rPr>
        <w:t>/38</w:t>
      </w:r>
      <w:r>
        <w:rPr>
          <w:spacing w:val="-2"/>
        </w:rPr>
        <w:t>口盖生产线，</w:t>
      </w:r>
      <w:r>
        <w:rPr>
          <w:rFonts w:ascii="宋体" w:hAnsi="宋体" w:cs="宋体" w:eastAsia="宋体" w:hint="default"/>
          <w:spacing w:val="-2"/>
        </w:rPr>
        <w:t>2019</w:t>
      </w:r>
      <w:r>
        <w:rPr>
          <w:spacing w:val="-2"/>
        </w:rPr>
        <w:t>年要对</w:t>
      </w:r>
      <w:r>
        <w:rPr>
          <w:rFonts w:ascii="宋体" w:hAnsi="宋体" w:cs="宋体" w:eastAsia="宋体" w:hint="default"/>
          <w:spacing w:val="-2"/>
        </w:rPr>
        <w:t>28</w:t>
      </w:r>
      <w:r>
        <w:rPr>
          <w:spacing w:val="-2"/>
        </w:rPr>
        <w:t>口盖</w:t>
      </w:r>
      <w:r>
        <w:rPr>
          <w:rFonts w:ascii="宋体" w:hAnsi="宋体" w:cs="宋体" w:eastAsia="宋体" w:hint="default"/>
          <w:spacing w:val="-2"/>
        </w:rPr>
        <w:t>/38</w:t>
      </w:r>
      <w:r>
        <w:rPr>
          <w:spacing w:val="-2"/>
        </w:rPr>
        <w:t>口盖进行重点营销，引领防伪包装</w:t>
      </w:r>
    </w:p>
    <w:p>
      <w:pPr>
        <w:pStyle w:val="BodyText"/>
        <w:spacing w:line="360" w:lineRule="auto"/>
        <w:ind w:left="474" w:right="1572" w:hanging="360"/>
        <w:jc w:val="left"/>
        <w:rPr>
          <w:rFonts w:ascii="宋体" w:hAnsi="宋体" w:cs="宋体" w:eastAsia="宋体" w:hint="default"/>
        </w:rPr>
      </w:pPr>
      <w:r>
        <w:rPr/>
        <w:t>行业发展新方向。 积极开发国际业务，为客户提供“防伪瓶盖、复合型防伪印刷铝板及机械模具”等全产业链、一站式包装服务。 </w:t>
      </w:r>
      <w:r>
        <w:rPr>
          <w:rFonts w:ascii="宋体" w:hAnsi="宋体" w:cs="宋体" w:eastAsia="宋体" w:hint="default"/>
          <w:b/>
          <w:bCs/>
        </w:rPr>
        <w:t>3</w:t>
      </w:r>
      <w:r>
        <w:rPr>
          <w:rFonts w:ascii="宋体" w:hAnsi="宋体" w:cs="宋体" w:eastAsia="宋体" w:hint="default"/>
          <w:b/>
          <w:bCs/>
        </w:rPr>
        <w:t>、公司面临的风险</w:t>
      </w:r>
      <w:r>
        <w:rPr>
          <w:rFonts w:ascii="宋体" w:hAnsi="宋体" w:cs="宋体" w:eastAsia="宋体" w:hint="default"/>
        </w:rPr>
      </w:r>
    </w:p>
    <w:p>
      <w:pPr>
        <w:pStyle w:val="BodyText"/>
        <w:spacing w:line="360" w:lineRule="auto" w:before="26"/>
        <w:ind w:left="474" w:right="9129" w:hanging="8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w:t>
      </w:r>
      <w:r>
        <w:rPr/>
        <w:t>园林生态业 </w:t>
      </w:r>
      <w:r>
        <w:rPr>
          <w:rFonts w:ascii="宋体" w:hAnsi="宋体" w:cs="宋体" w:eastAsia="宋体" w:hint="default"/>
        </w:rPr>
        <w:t>1</w:t>
      </w:r>
      <w:r>
        <w:rPr/>
        <w:t>）</w:t>
      </w:r>
      <w:r>
        <w:rPr>
          <w:rFonts w:ascii="宋体" w:hAnsi="宋体" w:cs="宋体" w:eastAsia="宋体" w:hint="default"/>
        </w:rPr>
        <w:t>PPP</w:t>
      </w:r>
      <w:r>
        <w:rPr/>
        <w:t>模式风险</w:t>
      </w:r>
    </w:p>
    <w:p>
      <w:pPr>
        <w:pStyle w:val="BodyText"/>
        <w:spacing w:line="319" w:lineRule="auto" w:before="25"/>
        <w:ind w:right="1130" w:firstLine="360"/>
        <w:jc w:val="both"/>
      </w:pPr>
      <w:r>
        <w:rPr>
          <w:spacing w:val="-2"/>
        </w:rPr>
        <w:t>生态建设和环境保护类项目是</w:t>
      </w:r>
      <w:r>
        <w:rPr>
          <w:rFonts w:ascii="宋体" w:hAnsi="宋体" w:cs="宋体" w:eastAsia="宋体" w:hint="default"/>
          <w:spacing w:val="-2"/>
        </w:rPr>
        <w:t>PPP</w:t>
      </w:r>
      <w:r>
        <w:rPr>
          <w:spacing w:val="-2"/>
        </w:rPr>
        <w:t>模式的重点推行领域。无论从项目数量还是总投资额来看，生态建设和环境保护类</w:t>
      </w:r>
      <w:r>
        <w:rPr>
          <w:rFonts w:ascii="宋体" w:hAnsi="宋体" w:cs="宋体" w:eastAsia="宋体" w:hint="default"/>
          <w:spacing w:val="-2"/>
        </w:rPr>
        <w:t>PPP</w:t>
      </w:r>
      <w:r>
        <w:rPr>
          <w:rFonts w:ascii="宋体" w:hAnsi="宋体" w:cs="宋体" w:eastAsia="宋体" w:hint="default"/>
        </w:rPr>
        <w:t> </w:t>
      </w:r>
      <w:r>
        <w:rPr/>
        <w:t>项目均位于各行业前列。但我国</w:t>
      </w:r>
      <w:r>
        <w:rPr>
          <w:rFonts w:ascii="宋体" w:hAnsi="宋体" w:cs="宋体" w:eastAsia="宋体" w:hint="default"/>
        </w:rPr>
        <w:t>PPP</w:t>
      </w:r>
      <w:r>
        <w:rPr/>
        <w:t>还处于初期阶段， </w:t>
      </w:r>
      <w:r>
        <w:rPr>
          <w:rFonts w:ascii="宋体" w:hAnsi="宋体" w:cs="宋体" w:eastAsia="宋体" w:hint="default"/>
        </w:rPr>
        <w:t>PPP</w:t>
      </w:r>
      <w:r>
        <w:rPr/>
        <w:t>项目的融资成本及融资额度受银行信贷政策等因素影响，存在一 定不确定性从而影响项目实施进度；</w:t>
      </w:r>
      <w:r>
        <w:rPr>
          <w:rFonts w:ascii="宋体" w:hAnsi="宋体" w:cs="宋体" w:eastAsia="宋体" w:hint="default"/>
        </w:rPr>
        <w:t>PPP</w:t>
      </w:r>
      <w:r>
        <w:rPr/>
        <w:t>项目运营期限较长，经营效益存在不确定性，法律政策环境、市场情况等都可能发 </w:t>
      </w:r>
      <w:r>
        <w:rPr>
          <w:spacing w:val="-2"/>
        </w:rPr>
        <w:t>生变化，面临着服务价格、资本支出或运营成本超支等方面的风险。</w:t>
      </w:r>
      <w:r>
        <w:rPr>
          <w:rFonts w:ascii="宋体" w:hAnsi="宋体" w:cs="宋体" w:eastAsia="宋体" w:hint="default"/>
          <w:spacing w:val="-2"/>
        </w:rPr>
        <w:t>PPP</w:t>
      </w:r>
      <w:r>
        <w:rPr>
          <w:spacing w:val="-2"/>
        </w:rPr>
        <w:t>项目的签订涉及利益相关方众多，而且一般</w:t>
      </w:r>
      <w:r>
        <w:rPr>
          <w:rFonts w:ascii="宋体" w:hAnsi="宋体" w:cs="宋体" w:eastAsia="宋体" w:hint="default"/>
          <w:spacing w:val="-2"/>
        </w:rPr>
        <w:t>PPP</w:t>
      </w:r>
      <w:r>
        <w:rPr>
          <w:spacing w:val="-2"/>
        </w:rPr>
        <w:t>项目</w:t>
      </w:r>
      <w:r>
        <w:rPr>
          <w:spacing w:val="-59"/>
        </w:rPr>
        <w:t> </w:t>
      </w:r>
      <w:r>
        <w:rPr/>
        <w:t>的时间周期长，从项目识别到项目执行需要的审批环节众多，这些可能都将会使得</w:t>
      </w:r>
      <w:r>
        <w:rPr>
          <w:rFonts w:ascii="宋体" w:hAnsi="宋体" w:cs="宋体" w:eastAsia="宋体" w:hint="default"/>
        </w:rPr>
        <w:t>PPP</w:t>
      </w:r>
      <w:r>
        <w:rPr/>
        <w:t>项目落地的速度延缓，运营经济效益 低于预期。</w:t>
      </w:r>
      <w:r>
        <w:rPr>
          <w:rFonts w:ascii="宋体" w:hAnsi="宋体" w:cs="宋体" w:eastAsia="宋体" w:hint="default"/>
        </w:rPr>
        <w:t>PPP</w:t>
      </w:r>
      <w:r>
        <w:rPr/>
        <w:t>模式是国家促进经济转型升级、支持新型城镇化建设的必然要求，目前政府已经出台各类规章制度，以规范 </w:t>
      </w:r>
      <w:r>
        <w:rPr>
          <w:rFonts w:ascii="宋体" w:hAnsi="宋体" w:cs="宋体" w:eastAsia="宋体" w:hint="default"/>
        </w:rPr>
        <w:t>PPP</w:t>
      </w:r>
      <w:r>
        <w:rPr/>
        <w:t>项目运作，降低政府债务风险。</w:t>
      </w:r>
    </w:p>
    <w:p>
      <w:pPr>
        <w:pStyle w:val="BodyText"/>
        <w:spacing w:line="357" w:lineRule="auto" w:before="56"/>
        <w:ind w:left="474" w:right="1122"/>
        <w:jc w:val="left"/>
      </w:pPr>
      <w:r>
        <w:rPr/>
        <w:t>机遇与挑战并存。公司将继续积极响应国家推广</w:t>
      </w:r>
      <w:r>
        <w:rPr>
          <w:rFonts w:ascii="宋体" w:hAnsi="宋体" w:cs="宋体" w:eastAsia="宋体" w:hint="default"/>
        </w:rPr>
        <w:t>PPP</w:t>
      </w:r>
      <w:r>
        <w:rPr/>
        <w:t>模式的倡导，同时将审慎考虑项目风险，筛选优质低风险的项目。 </w:t>
      </w:r>
      <w:r>
        <w:rPr>
          <w:rFonts w:ascii="宋体" w:hAnsi="宋体" w:cs="宋体" w:eastAsia="宋体" w:hint="default"/>
        </w:rPr>
        <w:t>2)</w:t>
      </w:r>
      <w:r>
        <w:rPr/>
        <w:t>市场竞争风险 </w:t>
      </w:r>
      <w:r>
        <w:rPr>
          <w:spacing w:val="-2"/>
        </w:rPr>
        <w:t>随着生态文明体制改革总体方案，大气、水和土壤行动计划，以及环境保护“十三五”规划纲要的陆续出台，环境领域</w:t>
      </w:r>
    </w:p>
    <w:p>
      <w:pPr>
        <w:pStyle w:val="BodyText"/>
        <w:spacing w:line="224" w:lineRule="exact"/>
        <w:ind w:right="982"/>
        <w:jc w:val="left"/>
      </w:pPr>
      <w:r>
        <w:rPr/>
        <w:t>改革的总体设计逐步搭建完成。生态景观建设行业的多重政策催化剂可能会激发行业投资热潮，致使竞争主体增多，行业竞</w:t>
      </w:r>
    </w:p>
    <w:p>
      <w:pPr>
        <w:pStyle w:val="BodyText"/>
        <w:spacing w:line="319" w:lineRule="auto" w:before="76"/>
        <w:ind w:right="1131"/>
        <w:jc w:val="both"/>
      </w:pPr>
      <w:r>
        <w:rPr>
          <w:spacing w:val="-2"/>
        </w:rPr>
        <w:t>争加剧。激烈的市场竞争可能加大公司获取新项目的难度，如果公司不能保持在市场竞争中的核心竞争优势，将会导致企业</w:t>
      </w:r>
      <w:r>
        <w:rPr>
          <w:spacing w:val="-66"/>
        </w:rPr>
        <w:t> </w:t>
      </w:r>
      <w:r>
        <w:rPr>
          <w:spacing w:val="-66"/>
        </w:rPr>
      </w:r>
      <w:r>
        <w:rPr>
          <w:spacing w:val="-2"/>
        </w:rPr>
        <w:t>盈利水平下滑。公司将不断强化研发投入力度，提升规划设计水准，优化工程施工技术与管理，保障公司在市场中的核心竞</w:t>
      </w:r>
      <w:r>
        <w:rPr>
          <w:spacing w:val="-66"/>
        </w:rPr>
        <w:t> </w:t>
      </w:r>
      <w:r>
        <w:rPr>
          <w:spacing w:val="-66"/>
        </w:rPr>
      </w:r>
      <w:r>
        <w:rPr/>
        <w:t>争力。</w:t>
      </w:r>
    </w:p>
    <w:p>
      <w:pPr>
        <w:pStyle w:val="BodyText"/>
        <w:spacing w:line="357" w:lineRule="auto" w:before="56"/>
        <w:ind w:left="474" w:right="982"/>
        <w:jc w:val="left"/>
      </w:pPr>
      <w:r>
        <w:rPr>
          <w:rFonts w:ascii="宋体" w:hAnsi="宋体" w:cs="宋体" w:eastAsia="宋体" w:hint="default"/>
        </w:rPr>
        <w:t>3)</w:t>
      </w:r>
      <w:r>
        <w:rPr/>
        <w:t>人才缺失风险 </w:t>
      </w:r>
      <w:r>
        <w:rPr>
          <w:spacing w:val="-12"/>
        </w:rPr>
        <w:t>园林行业是近几年随着“十八大”、“十九大”、“建设美丽中国”、“生态文明”的不断深入和经济的快速发展以及对城市</w:t>
      </w:r>
    </w:p>
    <w:p>
      <w:pPr>
        <w:pStyle w:val="BodyText"/>
        <w:spacing w:line="224" w:lineRule="exact"/>
        <w:ind w:right="982"/>
        <w:jc w:val="left"/>
      </w:pPr>
      <w:r>
        <w:rPr/>
        <w:t>生态环境要求日益提高的社会大背景下，快速形成和壮大的新兴朝阳产业。面对园林行业巨大的人才市场需求、相关专业经</w:t>
      </w:r>
    </w:p>
    <w:p>
      <w:pPr>
        <w:pStyle w:val="BodyText"/>
        <w:spacing w:line="316" w:lineRule="auto" w:before="76"/>
        <w:ind w:right="1132"/>
        <w:jc w:val="both"/>
      </w:pPr>
      <w:r>
        <w:rPr>
          <w:spacing w:val="-2"/>
        </w:rPr>
        <w:t>验丰富的技术人才的短缺，人力资源将成为制约公司更大发展的重要因素之一。生产经营管理团队的行业经验、专业知识和</w:t>
      </w:r>
      <w:r>
        <w:rPr>
          <w:spacing w:val="-66"/>
        </w:rPr>
        <w:t> </w:t>
      </w:r>
      <w:r>
        <w:rPr>
          <w:spacing w:val="-66"/>
        </w:rPr>
      </w:r>
      <w:r>
        <w:rPr>
          <w:spacing w:val="-2"/>
        </w:rPr>
        <w:t>勤勉对公司未来经营发展作用十分关键。若未来受发展前景、薪酬福利和工作环境等因素的影响，公司经营管理和专业技术</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right="1131"/>
        <w:jc w:val="both"/>
      </w:pPr>
      <w:r>
        <w:rPr>
          <w:spacing w:val="-2"/>
        </w:rPr>
        <w:t>人才可能出现流失的情况，从而给公司的生产经营带来不利的影响。若公司无法吸引或留任人才，而又未能及时聘得具备同</w:t>
      </w:r>
      <w:r>
        <w:rPr>
          <w:spacing w:val="-66"/>
        </w:rPr>
        <w:t> </w:t>
      </w:r>
      <w:r>
        <w:rPr>
          <w:spacing w:val="-66"/>
        </w:rPr>
      </w:r>
      <w:r>
        <w:rPr>
          <w:spacing w:val="-2"/>
        </w:rPr>
        <w:t>等能力的人才替代，公司将面临生产经营困难、经营业绩波动或下滑的风险。公司将制定适应的人才培训及激励制度，以确</w:t>
      </w:r>
      <w:r>
        <w:rPr>
          <w:spacing w:val="-66"/>
        </w:rPr>
        <w:t> </w:t>
      </w:r>
      <w:r>
        <w:rPr>
          <w:spacing w:val="-66"/>
        </w:rPr>
      </w:r>
      <w:r>
        <w:rPr/>
        <w:t>保公司正常运作。</w:t>
      </w:r>
    </w:p>
    <w:p>
      <w:pPr>
        <w:pStyle w:val="BodyText"/>
        <w:spacing w:line="357" w:lineRule="auto" w:before="56"/>
        <w:ind w:left="474" w:right="982"/>
        <w:jc w:val="left"/>
      </w:pPr>
      <w:r>
        <w:rPr>
          <w:rFonts w:ascii="宋体" w:hAnsi="宋体" w:cs="宋体" w:eastAsia="宋体" w:hint="default"/>
        </w:rPr>
        <w:t>4</w:t>
      </w:r>
      <w:r>
        <w:rPr/>
        <w:t>）工程结算滞后、应收账款发生坏账损失的风险 </w:t>
      </w:r>
      <w:r>
        <w:rPr>
          <w:spacing w:val="-2"/>
        </w:rPr>
        <w:t>根据企业会计准则的规定，公司存货实际上反映了工程已施工尚未结算的待确认的工程款，公司应收账款实际上反映了</w:t>
      </w:r>
    </w:p>
    <w:p>
      <w:pPr>
        <w:pStyle w:val="BodyText"/>
        <w:spacing w:line="224" w:lineRule="exact"/>
        <w:ind w:right="0"/>
        <w:jc w:val="both"/>
      </w:pPr>
      <w:r>
        <w:rPr/>
        <w:t>已结算尚未回收的工程款。若因园林绿化工程施工项目变更、工程验收时间拖延及甲方审价审图程序复杂，或各种原因导致</w:t>
      </w:r>
    </w:p>
    <w:p>
      <w:pPr>
        <w:pStyle w:val="BodyText"/>
        <w:spacing w:line="319" w:lineRule="auto" w:before="76"/>
        <w:ind w:right="1132"/>
        <w:jc w:val="both"/>
      </w:pPr>
      <w:r>
        <w:rPr>
          <w:spacing w:val="-2"/>
        </w:rPr>
        <w:t>的甲方现场人员变更，结算资料跟踪不到位等原因不能按照合同约定条款定期进行结算，可能导致存货中的工程施工未得到</w:t>
      </w:r>
      <w:r>
        <w:rPr>
          <w:spacing w:val="-64"/>
        </w:rPr>
        <w:t> </w:t>
      </w:r>
      <w:r>
        <w:rPr>
          <w:spacing w:val="-64"/>
        </w:rPr>
      </w:r>
      <w:r>
        <w:rPr>
          <w:spacing w:val="-2"/>
        </w:rPr>
        <w:t>甲方及时确认不能向甲方申请按期结算请款，从而使得存货周转期延长；或者由于工程工期缩短原因甲方在工程期间不予确</w:t>
      </w:r>
      <w:r>
        <w:rPr>
          <w:spacing w:val="-64"/>
        </w:rPr>
        <w:t> </w:t>
      </w:r>
      <w:r>
        <w:rPr>
          <w:spacing w:val="-64"/>
        </w:rPr>
      </w:r>
      <w:r>
        <w:rPr>
          <w:spacing w:val="-2"/>
        </w:rPr>
        <w:t>认而集中在项目验收时才集中结算请款，期末工程施工余额也将增大，只能在结算后公司才能确认应收账款、甲方才能履行</w:t>
      </w:r>
      <w:r>
        <w:rPr>
          <w:spacing w:val="-66"/>
        </w:rPr>
        <w:t> </w:t>
      </w:r>
      <w:r>
        <w:rPr>
          <w:spacing w:val="-66"/>
        </w:rPr>
      </w:r>
      <w:r>
        <w:rPr>
          <w:spacing w:val="-2"/>
        </w:rPr>
        <w:t>相应的付款程序，从而对公司的工程款的回收产生进一步的滞后影响，均会对公司园林绿化工程业务营运资金投入量、财务</w:t>
      </w:r>
      <w:r>
        <w:rPr>
          <w:spacing w:val="-66"/>
        </w:rPr>
        <w:t> </w:t>
      </w:r>
      <w:r>
        <w:rPr>
          <w:spacing w:val="-66"/>
        </w:rPr>
      </w:r>
      <w:r>
        <w:rPr/>
        <w:t>状况以及经营业绩构成较为重大不利影响。</w:t>
      </w:r>
    </w:p>
    <w:p>
      <w:pPr>
        <w:pStyle w:val="BodyText"/>
        <w:spacing w:line="357" w:lineRule="auto" w:before="56"/>
        <w:ind w:left="474" w:right="1032"/>
        <w:jc w:val="left"/>
      </w:pPr>
      <w:r>
        <w:rPr>
          <w:rFonts w:ascii="宋体" w:hAnsi="宋体" w:cs="宋体" w:eastAsia="宋体" w:hint="default"/>
        </w:rPr>
        <w:t>5</w:t>
      </w:r>
      <w:r>
        <w:rPr/>
        <w:t>）不可抗力风险 生态园林施工项目可能因不良天气状况及自然灾害，影响公司正常的工程施工工业务的进行，导致园林绿化工程延期、</w:t>
      </w:r>
    </w:p>
    <w:p>
      <w:pPr>
        <w:pStyle w:val="BodyText"/>
        <w:spacing w:line="224" w:lineRule="exact"/>
        <w:ind w:right="0"/>
        <w:jc w:val="both"/>
      </w:pPr>
      <w:r>
        <w:rPr/>
        <w:t>苗木大规模死亡以及工程事故，增加公司的施工成本和经营管理费用，进而影响公司的财务状况、经营成果和现金流量。若</w:t>
      </w:r>
    </w:p>
    <w:p>
      <w:pPr>
        <w:pStyle w:val="BodyText"/>
        <w:spacing w:line="240" w:lineRule="auto" w:before="77"/>
        <w:ind w:right="0"/>
        <w:jc w:val="both"/>
      </w:pPr>
      <w:r>
        <w:rPr/>
        <w:t>异常严峻的气候状况持续时间较长，则可能对公司的业务经营、财务状况和经营成果造成更大的不利影响。</w:t>
      </w:r>
    </w:p>
    <w:p>
      <w:pPr>
        <w:pStyle w:val="BodyText"/>
        <w:spacing w:line="357" w:lineRule="auto" w:before="117"/>
        <w:ind w:left="565" w:right="8051" w:hanging="90"/>
        <w:jc w:val="left"/>
      </w:pPr>
      <w:r>
        <w:rPr/>
        <w:t>（</w:t>
      </w:r>
      <w:r>
        <w:rPr>
          <w:rFonts w:ascii="宋体" w:hAnsi="宋体" w:cs="宋体" w:eastAsia="宋体" w:hint="default"/>
        </w:rPr>
        <w:t>2</w:t>
      </w:r>
      <w:r>
        <w:rPr/>
        <w:t>）包装业 </w:t>
      </w:r>
      <w:r>
        <w:rPr>
          <w:rFonts w:ascii="宋体" w:hAnsi="宋体" w:cs="宋体" w:eastAsia="宋体" w:hint="default"/>
        </w:rPr>
        <w:t>1</w:t>
      </w:r>
      <w:r>
        <w:rPr/>
        <w:t>）宏观经济及行业政策风险</w:t>
      </w:r>
    </w:p>
    <w:p>
      <w:pPr>
        <w:pStyle w:val="BodyText"/>
        <w:spacing w:line="319" w:lineRule="auto" w:before="26"/>
        <w:ind w:right="1129" w:firstLine="361"/>
        <w:jc w:val="both"/>
      </w:pPr>
      <w:r>
        <w:rPr>
          <w:spacing w:val="-2"/>
        </w:rPr>
        <w:t>受国际、国内经济环境的影响，酒类行业进入了调整和转折期，公司瓶盖业务与白酒行业发展息息相关，有一定的依赖</w:t>
      </w:r>
      <w:r>
        <w:rPr/>
        <w:t> </w:t>
      </w:r>
      <w:r>
        <w:rPr>
          <w:spacing w:val="-2"/>
        </w:rPr>
        <w:t>性，受到一定程度的影响。公司将继续采取调整产品结构、拓展国内、国际市场领域、强化产品质量、加大工艺创新等多种</w:t>
      </w:r>
      <w:r>
        <w:rPr>
          <w:spacing w:val="-68"/>
        </w:rPr>
        <w:t> </w:t>
      </w:r>
      <w:r>
        <w:rPr>
          <w:spacing w:val="-68"/>
        </w:rPr>
      </w:r>
      <w:r>
        <w:rPr/>
        <w:t>措施，在保持原有防伪瓶盖业务稳步增长的基础上，不断加大业务创新，提高瓶盖产品附加值。</w:t>
      </w:r>
    </w:p>
    <w:p>
      <w:pPr>
        <w:pStyle w:val="BodyText"/>
        <w:spacing w:line="357" w:lineRule="auto" w:before="58"/>
        <w:ind w:left="474" w:right="982" w:firstLine="90"/>
        <w:jc w:val="left"/>
      </w:pPr>
      <w:r>
        <w:rPr>
          <w:rFonts w:ascii="宋体" w:hAnsi="宋体" w:cs="宋体" w:eastAsia="宋体" w:hint="default"/>
        </w:rPr>
        <w:t>2</w:t>
      </w:r>
      <w:r>
        <w:rPr/>
        <w:t>）原材料价格波动的风险 </w:t>
      </w:r>
      <w:r>
        <w:rPr>
          <w:spacing w:val="-2"/>
        </w:rPr>
        <w:t>公司的主导包装产品防伪瓶盖、复合型防伪印刷铝板的主要原材料包括铝板、油墨、涂料、塑料原料等。铝板是防伪瓶</w:t>
      </w:r>
    </w:p>
    <w:p>
      <w:pPr>
        <w:pStyle w:val="BodyText"/>
        <w:spacing w:line="224" w:lineRule="exact"/>
        <w:ind w:right="0"/>
        <w:jc w:val="both"/>
      </w:pPr>
      <w:r>
        <w:rPr/>
        <w:t>盖、复合型防伪印刷铝板原材料的主要部分。铝作为基础原材料，价格随宏观经济波动呈现出相应的周期性变动规律。原材</w:t>
      </w:r>
    </w:p>
    <w:p>
      <w:pPr>
        <w:pStyle w:val="BodyText"/>
        <w:spacing w:line="319" w:lineRule="auto" w:before="76"/>
        <w:ind w:right="1132"/>
        <w:jc w:val="both"/>
      </w:pPr>
      <w:r>
        <w:rPr/>
        <w:t>料成本占产品成本的比重在</w:t>
      </w:r>
      <w:r>
        <w:rPr>
          <w:rFonts w:ascii="宋体" w:hAnsi="宋体" w:cs="宋体" w:eastAsia="宋体" w:hint="default"/>
        </w:rPr>
        <w:t>70%</w:t>
      </w:r>
      <w:r>
        <w:rPr/>
        <w:t>以上，虽然公司通过比价采购、技术改造、内部挖潜等措措施，努力提高原材料利用率并取 </w:t>
      </w:r>
      <w:r>
        <w:rPr>
          <w:spacing w:val="-2"/>
        </w:rPr>
        <w:t>得了一定成效，但若上述原材料的价格出现较大波动，仍将对公司的生产经营产生较大影响，从而影响到公司盈利水平和经</w:t>
      </w:r>
      <w:r>
        <w:rPr>
          <w:spacing w:val="-66"/>
        </w:rPr>
        <w:t> </w:t>
      </w:r>
      <w:r>
        <w:rPr>
          <w:spacing w:val="-66"/>
        </w:rPr>
      </w:r>
      <w:r>
        <w:rPr/>
        <w:t>营业绩。</w:t>
      </w:r>
    </w:p>
    <w:p>
      <w:pPr>
        <w:pStyle w:val="BodyText"/>
        <w:spacing w:line="360" w:lineRule="auto" w:before="56"/>
        <w:ind w:left="474" w:right="2652" w:firstLine="1"/>
        <w:jc w:val="left"/>
      </w:pPr>
      <w:r>
        <w:rPr>
          <w:rFonts w:ascii="宋体" w:hAnsi="宋体" w:cs="宋体" w:eastAsia="宋体" w:hint="default"/>
        </w:rPr>
        <w:t>3</w:t>
      </w:r>
      <w:r>
        <w:rPr/>
        <w:t>）国际形势及汇率变化风险 国际环境错综复杂，深层次、结构性矛盾在全球范围内仍然较为突出，人民币汇率存在变动风险。</w:t>
      </w:r>
    </w:p>
    <w:p>
      <w:pPr>
        <w:pStyle w:val="BodyText"/>
        <w:spacing w:line="357" w:lineRule="auto" w:before="26"/>
        <w:ind w:left="474" w:right="1122"/>
        <w:jc w:val="left"/>
      </w:pPr>
      <w:r>
        <w:rPr/>
        <w:t>（</w:t>
      </w:r>
      <w:r>
        <w:rPr>
          <w:rFonts w:ascii="宋体" w:hAnsi="宋体" w:cs="宋体" w:eastAsia="宋体" w:hint="default"/>
        </w:rPr>
        <w:t>3</w:t>
      </w:r>
      <w:r>
        <w:rPr/>
        <w:t>）应对措措施 </w:t>
      </w:r>
      <w:r>
        <w:rPr>
          <w:rFonts w:ascii="宋体" w:hAnsi="宋体" w:cs="宋体" w:eastAsia="宋体" w:hint="default"/>
        </w:rPr>
        <w:t>1</w:t>
      </w:r>
      <w:r>
        <w:rPr/>
        <w:t>）在国家要求地方政府或国有企业不得拖欠民营企业款项的大政策下，公司已经成立应收账款催收小组，通过法律诉</w:t>
      </w:r>
    </w:p>
    <w:p>
      <w:pPr>
        <w:pStyle w:val="BodyText"/>
        <w:spacing w:line="357" w:lineRule="auto"/>
        <w:ind w:left="474" w:right="1122" w:hanging="360"/>
        <w:jc w:val="left"/>
      </w:pPr>
      <w:r>
        <w:rPr/>
        <w:t>讼等各种方式积极催款的措施，加强工程款项的回收。 </w:t>
      </w:r>
      <w:r>
        <w:rPr>
          <w:rFonts w:ascii="宋体" w:hAnsi="宋体" w:cs="宋体" w:eastAsia="宋体" w:hint="default"/>
        </w:rPr>
        <w:t>2</w:t>
      </w:r>
      <w:r>
        <w:rPr/>
        <w:t>）针对原材料波动的风险，对价格比较稳定的材料，前期考察、评估、报价、比价签订协议后，按照协议价格执行，</w:t>
      </w:r>
    </w:p>
    <w:p>
      <w:pPr>
        <w:pStyle w:val="BodyText"/>
        <w:spacing w:line="224" w:lineRule="exact"/>
        <w:ind w:right="0"/>
        <w:jc w:val="both"/>
      </w:pPr>
      <w:r>
        <w:rPr/>
        <w:t>如有市场变化较大情况，根据实际情况进行调整，整套流程严格按照公司内控制度执行。今后公司将结合套期保值业务对大</w:t>
      </w:r>
    </w:p>
    <w:p>
      <w:pPr>
        <w:pStyle w:val="BodyText"/>
        <w:spacing w:line="240" w:lineRule="auto" w:before="77"/>
        <w:ind w:right="0"/>
        <w:jc w:val="both"/>
      </w:pPr>
      <w:r>
        <w:rPr/>
        <w:t>宗物资产品价格上涨进行平抑。</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2250"/>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2"/>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报告期内普通股利润分配政策，特别是现金分红政策的制定、执行或调整情况</w:t>
      </w:r>
    </w:p>
    <w:p>
      <w:pPr>
        <w:pStyle w:val="BodyText"/>
        <w:spacing w:line="240" w:lineRule="auto" w:before="117"/>
        <w:ind w:right="982"/>
        <w:jc w:val="left"/>
      </w:pPr>
      <w:r>
        <w:rPr/>
        <w:t>□ 适用 √ 不适用</w:t>
      </w:r>
    </w:p>
    <w:p>
      <w:pPr>
        <w:pStyle w:val="BodyText"/>
        <w:spacing w:line="240" w:lineRule="auto" w:before="116"/>
        <w:ind w:right="98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left="474" w:right="982"/>
        <w:jc w:val="left"/>
      </w:pP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8</w:t>
      </w:r>
      <w:r>
        <w:rPr/>
        <w:t>日，公司</w:t>
      </w:r>
      <w:r>
        <w:rPr>
          <w:rFonts w:ascii="宋体" w:hAnsi="宋体" w:cs="宋体" w:eastAsia="宋体" w:hint="default"/>
        </w:rPr>
        <w:t>2016</w:t>
      </w:r>
      <w:r>
        <w:rPr/>
        <w:t>年年度股东大会审议通过了《公司</w:t>
      </w:r>
      <w:r>
        <w:rPr>
          <w:rFonts w:ascii="宋体" w:hAnsi="宋体" w:cs="宋体" w:eastAsia="宋体" w:hint="default"/>
        </w:rPr>
        <w:t>2016</w:t>
      </w:r>
      <w:r>
        <w:rPr/>
        <w:t>年度利润分配预案</w:t>
      </w:r>
      <w:r>
        <w:rPr>
          <w:spacing w:val="-90"/>
        </w:rPr>
        <w:t>》</w:t>
      </w:r>
      <w:r>
        <w:rPr/>
        <w:t>：以截至</w:t>
      </w:r>
      <w:r>
        <w:rPr>
          <w:rFonts w:ascii="宋体" w:hAnsi="宋体" w:cs="宋体" w:eastAsia="宋体" w:hint="default"/>
        </w:rPr>
        <w:t>2016</w:t>
      </w:r>
      <w:r>
        <w:rPr/>
        <w:t>年末公司总股本</w:t>
      </w:r>
    </w:p>
    <w:p>
      <w:pPr>
        <w:pStyle w:val="BodyText"/>
        <w:spacing w:line="240" w:lineRule="auto" w:before="76"/>
        <w:ind w:right="982"/>
        <w:jc w:val="left"/>
      </w:pPr>
      <w:r>
        <w:rPr>
          <w:rFonts w:ascii="宋体" w:hAnsi="宋体" w:cs="宋体" w:eastAsia="宋体" w:hint="default"/>
        </w:rPr>
        <w:t>877,427,468</w:t>
      </w:r>
      <w:r>
        <w:rPr/>
        <w:t>股为基数，向在股权登记日登记在册的全体股东进行利润分配，按每</w:t>
      </w:r>
      <w:r>
        <w:rPr>
          <w:rFonts w:ascii="宋体" w:hAnsi="宋体" w:cs="宋体" w:eastAsia="宋体" w:hint="default"/>
        </w:rPr>
        <w:t>10</w:t>
      </w:r>
      <w:r>
        <w:rPr/>
        <w:t>股派息</w:t>
      </w:r>
      <w:r>
        <w:rPr>
          <w:rFonts w:ascii="宋体" w:hAnsi="宋体" w:cs="宋体" w:eastAsia="宋体" w:hint="default"/>
        </w:rPr>
        <w:t>0.30</w:t>
      </w:r>
      <w:r>
        <w:rPr/>
        <w:t>元（含税</w:t>
      </w:r>
      <w:r>
        <w:rPr>
          <w:spacing w:val="-90"/>
        </w:rPr>
        <w:t>）</w:t>
      </w:r>
      <w:r>
        <w:rPr/>
        <w:t>，合计派息</w:t>
      </w:r>
    </w:p>
    <w:p>
      <w:pPr>
        <w:pStyle w:val="BodyText"/>
        <w:spacing w:line="240" w:lineRule="auto" w:before="76"/>
        <w:ind w:right="982"/>
        <w:jc w:val="left"/>
      </w:pPr>
      <w:r>
        <w:rPr>
          <w:rFonts w:ascii="宋体" w:hAnsi="宋体" w:cs="宋体" w:eastAsia="宋体" w:hint="default"/>
        </w:rPr>
        <w:t>26322824.04</w:t>
      </w:r>
      <w:r>
        <w:rPr/>
        <w:t>元（含税</w:t>
      </w:r>
      <w:r>
        <w:rPr>
          <w:spacing w:val="-90"/>
        </w:rPr>
        <w:t>）</w:t>
      </w:r>
      <w:r>
        <w:rPr/>
        <w:t>，经过本次分配后未分配利润剩余部分结转以后年度分配。</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18</w:t>
      </w:r>
      <w:r>
        <w:rPr/>
        <w:t>日，公司实施了该方案。</w:t>
      </w:r>
    </w:p>
    <w:p>
      <w:pPr>
        <w:pStyle w:val="BodyText"/>
        <w:spacing w:line="319" w:lineRule="auto" w:before="117"/>
        <w:ind w:right="1131" w:firstLine="360"/>
        <w:jc w:val="both"/>
      </w:pP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26</w:t>
      </w:r>
      <w:r>
        <w:rPr>
          <w:spacing w:val="-2"/>
        </w:rPr>
        <w:t>日，公司</w:t>
      </w:r>
      <w:r>
        <w:rPr>
          <w:rFonts w:ascii="宋体" w:hAnsi="宋体" w:cs="宋体" w:eastAsia="宋体" w:hint="default"/>
          <w:spacing w:val="-2"/>
        </w:rPr>
        <w:t>2017</w:t>
      </w:r>
      <w:r>
        <w:rPr>
          <w:spacing w:val="-2"/>
        </w:rPr>
        <w:t>年年度股东大会审议通过了《公司</w:t>
      </w:r>
      <w:r>
        <w:rPr>
          <w:rFonts w:ascii="宋体" w:hAnsi="宋体" w:cs="宋体" w:eastAsia="宋体" w:hint="default"/>
          <w:spacing w:val="-2"/>
        </w:rPr>
        <w:t>2017</w:t>
      </w:r>
      <w:r>
        <w:rPr>
          <w:spacing w:val="-2"/>
        </w:rPr>
        <w:t>年度利润分配预案》，结合</w:t>
      </w:r>
      <w:r>
        <w:rPr>
          <w:rFonts w:ascii="宋体" w:hAnsi="宋体" w:cs="宋体" w:eastAsia="宋体" w:hint="default"/>
          <w:spacing w:val="-2"/>
        </w:rPr>
        <w:t>2017</w:t>
      </w:r>
      <w:r>
        <w:rPr>
          <w:spacing w:val="-2"/>
        </w:rPr>
        <w:t>年度公司经营与财</w:t>
      </w:r>
      <w:r>
        <w:rPr/>
        <w:t> </w:t>
      </w:r>
      <w:r>
        <w:rPr>
          <w:spacing w:val="-2"/>
        </w:rPr>
        <w:t>务状况及</w:t>
      </w:r>
      <w:r>
        <w:rPr>
          <w:rFonts w:ascii="宋体" w:hAnsi="宋体" w:cs="宋体" w:eastAsia="宋体" w:hint="default"/>
          <w:spacing w:val="-2"/>
        </w:rPr>
        <w:t>2018</w:t>
      </w:r>
      <w:r>
        <w:rPr>
          <w:spacing w:val="-2"/>
        </w:rPr>
        <w:t>年发展规划，公司</w:t>
      </w:r>
      <w:r>
        <w:rPr>
          <w:rFonts w:ascii="宋体" w:hAnsi="宋体" w:cs="宋体" w:eastAsia="宋体" w:hint="default"/>
          <w:spacing w:val="-2"/>
        </w:rPr>
        <w:t>2017</w:t>
      </w:r>
      <w:r>
        <w:rPr>
          <w:spacing w:val="-2"/>
        </w:rPr>
        <w:t>年度利润分配预案为：</w:t>
      </w:r>
      <w:r>
        <w:rPr>
          <w:rFonts w:ascii="宋体" w:hAnsi="宋体" w:cs="宋体" w:eastAsia="宋体" w:hint="default"/>
          <w:spacing w:val="-2"/>
        </w:rPr>
        <w:t>2017</w:t>
      </w:r>
      <w:r>
        <w:rPr>
          <w:spacing w:val="-2"/>
        </w:rPr>
        <w:t>年度不进行利润分配，也不进行资本公积金转增股本，未分</w:t>
      </w:r>
      <w:r>
        <w:rPr>
          <w:spacing w:val="-54"/>
        </w:rPr>
        <w:t> </w:t>
      </w:r>
      <w:r>
        <w:rPr>
          <w:spacing w:val="-54"/>
        </w:rPr>
      </w:r>
      <w:r>
        <w:rPr/>
        <w:t>配利润结转下一年度。</w:t>
      </w:r>
    </w:p>
    <w:p>
      <w:pPr>
        <w:pStyle w:val="BodyText"/>
        <w:spacing w:line="316" w:lineRule="auto" w:before="55"/>
        <w:ind w:right="1049" w:firstLine="450"/>
        <w:jc w:val="both"/>
      </w:pPr>
      <w:r>
        <w:rPr>
          <w:rFonts w:ascii="宋体" w:hAnsi="宋体" w:cs="宋体" w:eastAsia="宋体" w:hint="default"/>
        </w:rPr>
        <w:t>3</w:t>
      </w:r>
      <w:r>
        <w:rPr/>
        <w:t>、结合</w:t>
      </w:r>
      <w:r>
        <w:rPr>
          <w:rFonts w:ascii="宋体" w:hAnsi="宋体" w:cs="宋体" w:eastAsia="宋体" w:hint="default"/>
        </w:rPr>
        <w:t>2018</w:t>
      </w:r>
      <w:r>
        <w:rPr/>
        <w:t>年度公司经营与财务状况及</w:t>
      </w:r>
      <w:r>
        <w:rPr>
          <w:rFonts w:ascii="宋体" w:hAnsi="宋体" w:cs="宋体" w:eastAsia="宋体" w:hint="default"/>
        </w:rPr>
        <w:t>2019</w:t>
      </w:r>
      <w:r>
        <w:rPr/>
        <w:t>年发展规划，公司</w:t>
      </w:r>
      <w:r>
        <w:rPr>
          <w:rFonts w:ascii="宋体" w:hAnsi="宋体" w:cs="宋体" w:eastAsia="宋体" w:hint="default"/>
        </w:rPr>
        <w:t>2018</w:t>
      </w:r>
      <w:r>
        <w:rPr/>
        <w:t>年度利润分配预案为：</w:t>
      </w:r>
      <w:r>
        <w:rPr>
          <w:rFonts w:ascii="宋体" w:hAnsi="宋体" w:cs="宋体" w:eastAsia="宋体" w:hint="default"/>
        </w:rPr>
        <w:t>2018</w:t>
      </w:r>
      <w:r>
        <w:rPr/>
        <w:t>年度不进行利润分配， 也不进行资本公积金转增股本，未分配利润结转下一年度。</w:t>
      </w:r>
    </w:p>
    <w:p>
      <w:pPr>
        <w:pStyle w:val="BodyText"/>
        <w:spacing w:line="240" w:lineRule="auto" w:before="59"/>
        <w:ind w:right="982"/>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58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41" w:right="14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42" w:right="143"/>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3"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142" w:right="140"/>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142"/>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42"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140"/>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-789,840,556</w:t>
            </w:r>
            <w:r>
              <w:rPr>
                <w:rFonts w:ascii="Times New Roman"/>
                <w:sz w:val="18"/>
              </w:rPr>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90,057,231.1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26,322,824.0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155,591,912.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26,322,824.0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16.92%</w:t>
            </w:r>
          </w:p>
        </w:tc>
      </w:tr>
    </w:tbl>
    <w:p>
      <w:pPr>
        <w:pStyle w:val="BodyText"/>
        <w:spacing w:line="240" w:lineRule="auto" w:before="51"/>
        <w:ind w:right="982"/>
        <w:jc w:val="left"/>
      </w:pPr>
      <w:r>
        <w:rPr/>
        <w:t>公司报告期内盈利且母公司可供普通股股东分配利润为正但未提出普通股现金红利分配预案</w:t>
      </w:r>
    </w:p>
    <w:p>
      <w:pPr>
        <w:pStyle w:val="BodyText"/>
        <w:spacing w:line="240" w:lineRule="auto" w:before="117"/>
        <w:ind w:right="982"/>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2"/>
        <w:jc w:val="left"/>
        <w:rPr>
          <w:b w:val="0"/>
          <w:bCs w:val="0"/>
        </w:rPr>
      </w:pPr>
      <w:bookmarkStart w:name="二、本报告期利润分配及资本公积金转增股本预案情况" w:id="65"/>
      <w:bookmarkEnd w:id="65"/>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532"/>
        <w:jc w:val="left"/>
      </w:pPr>
      <w:r>
        <w:rPr/>
        <w:t>□ 适用 √ 不适用 公司计划年度不派发现金红利，不送红股，不以公积金转增股本。</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982"/>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982"/>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苏州睿畅投 资管理有限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本次权益变 动完成之日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内不转让所 持有的上市 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苏州睿畅投 资管理有限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11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3"/>
              <w:jc w:val="left"/>
              <w:rPr>
                <w:rFonts w:ascii="宋体" w:hAnsi="宋体" w:cs="宋体" w:eastAsia="宋体" w:hint="default"/>
                <w:sz w:val="18"/>
                <w:szCs w:val="18"/>
              </w:rPr>
            </w:pPr>
            <w:r>
              <w:rPr>
                <w:rFonts w:ascii="宋体" w:hAnsi="宋体" w:cs="宋体" w:eastAsia="宋体" w:hint="default"/>
                <w:sz w:val="18"/>
                <w:szCs w:val="18"/>
              </w:rPr>
              <w:t>计划在未来 十二个月内 增持上市公 司不少于 </w:t>
            </w:r>
            <w:r>
              <w:rPr>
                <w:rFonts w:ascii="Times New Roman" w:hAnsi="Times New Roman" w:cs="Times New Roman" w:eastAsia="Times New Roman" w:hint="default"/>
                <w:sz w:val="18"/>
                <w:szCs w:val="18"/>
              </w:rPr>
              <w:t>5%</w:t>
            </w:r>
            <w:r>
              <w:rPr>
                <w:rFonts w:ascii="宋体" w:hAnsi="宋体" w:cs="宋体" w:eastAsia="宋体" w:hint="default"/>
                <w:sz w:val="18"/>
                <w:szCs w:val="18"/>
              </w:rPr>
              <w:t>的股权， 增持方式包 括协议转 让、大宗交 易和竞价交 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兰坤；深圳 市方德智联 投资管理有 限公司－方 德－香山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号证券投资 基金；王寿 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3" w:right="113"/>
              <w:jc w:val="left"/>
              <w:rPr>
                <w:rFonts w:ascii="宋体" w:hAnsi="宋体" w:cs="宋体" w:eastAsia="宋体" w:hint="default"/>
                <w:sz w:val="18"/>
                <w:szCs w:val="18"/>
              </w:rPr>
            </w:pPr>
            <w:r>
              <w:rPr>
                <w:rFonts w:ascii="宋体" w:hAnsi="宋体" w:cs="宋体" w:eastAsia="宋体" w:hint="default"/>
                <w:sz w:val="18"/>
                <w:szCs w:val="18"/>
              </w:rPr>
              <w:t>自新增股份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不得转让本 次所认购的 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p>
          <w:p>
            <w:pPr>
              <w:pStyle w:val="TableParagraph"/>
              <w:spacing w:line="302" w:lineRule="auto" w:before="61"/>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日解除 限售</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59" w:lineRule="auto" w:before="35"/>
        <w:ind w:right="982"/>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982"/>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1572"/>
        <w:jc w:val="left"/>
        <w:rPr>
          <w:b w:val="0"/>
          <w:bCs w:val="0"/>
        </w:rPr>
      </w:pPr>
      <w:bookmarkStart w:name="五、董事会、监事会、独立董事（如有）对会计师事务所本报告期“非标准审计报告”的说" w:id="70"/>
      <w:bookmarkEnd w:id="70"/>
      <w:r>
        <w:rPr>
          <w:b w:val="0"/>
          <w:bCs w:val="0"/>
        </w:rPr>
      </w:r>
      <w:r>
        <w:rPr>
          <w:w w:val="95"/>
        </w:rPr>
        <w:t>五、董事会、监事会、独立董事（如有）对会计师事务所本报告期“非标准审计报告”的说  </w:t>
      </w:r>
      <w:r>
        <w:rPr>
          <w:spacing w:val="112"/>
          <w:w w:val="95"/>
        </w:rPr>
        <w:t> </w:t>
      </w:r>
      <w:r>
        <w:rPr>
          <w:spacing w:val="112"/>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2"/>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74" w:right="7152" w:hanging="360"/>
        <w:jc w:val="left"/>
      </w:pPr>
      <w:r>
        <w:rPr/>
        <w:t>√ 适用 □ 不适用 企业会计准则的变化引起的会计政策变更</w:t>
      </w:r>
    </w:p>
    <w:p>
      <w:pPr>
        <w:pStyle w:val="BodyText"/>
        <w:spacing w:line="237" w:lineRule="exact"/>
        <w:ind w:right="982" w:firstLine="360"/>
        <w:jc w:val="left"/>
        <w:rPr>
          <w:rFonts w:ascii="Times New Roman" w:hAnsi="Times New Roman" w:cs="Times New Roman" w:eastAsia="Times New Roman" w:hint="default"/>
        </w:rPr>
      </w:pPr>
      <w:r>
        <w:rPr/>
        <w:t>本公司编制</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年度报表执行财政部发</w:t>
      </w:r>
      <w:r>
        <w:rPr>
          <w:spacing w:val="-21"/>
        </w:rPr>
        <w:t>布</w:t>
      </w:r>
      <w:r>
        <w:rPr/>
        <w:t>《关于修订印发 </w:t>
      </w:r>
      <w:r>
        <w:rPr>
          <w:rFonts w:ascii="Times New Roman" w:hAnsi="Times New Roman" w:cs="Times New Roman" w:eastAsia="Times New Roman" w:hint="default"/>
        </w:rPr>
        <w:t>2018  </w:t>
      </w:r>
      <w:r>
        <w:rPr/>
        <w:t>年度一般企业财务报表格式的通知</w:t>
      </w:r>
      <w:r>
        <w:rPr>
          <w:spacing w:val="-111"/>
        </w:rPr>
        <w:t>》</w:t>
      </w:r>
      <w:r>
        <w:rPr/>
        <w:t>（财</w:t>
      </w:r>
      <w:r>
        <w:rPr>
          <w:spacing w:val="-21"/>
        </w:rPr>
        <w:t>会</w:t>
      </w:r>
      <w:r>
        <w:rPr/>
        <w:t>（</w:t>
      </w:r>
      <w:r>
        <w:rPr>
          <w:rFonts w:ascii="Times New Roman" w:hAnsi="Times New Roman" w:cs="Times New Roman" w:eastAsia="Times New Roman" w:hint="default"/>
        </w:rPr>
        <w:t>2018</w:t>
      </w:r>
      <w:r>
        <w:rPr>
          <w:spacing w:val="-21"/>
        </w:rPr>
        <w:t>）</w:t>
      </w:r>
      <w:r>
        <w:rPr>
          <w:rFonts w:ascii="Times New Roman" w:hAnsi="Times New Roman" w:cs="Times New Roman" w:eastAsia="Times New Roman" w:hint="default"/>
        </w:rPr>
        <w:t>15</w:t>
      </w:r>
    </w:p>
    <w:p>
      <w:pPr>
        <w:pStyle w:val="BodyText"/>
        <w:spacing w:line="316" w:lineRule="auto" w:before="63"/>
        <w:ind w:right="1032"/>
        <w:jc w:val="left"/>
      </w:pPr>
      <w:r>
        <w:rPr>
          <w:spacing w:val="-8"/>
        </w:rPr>
        <w:t>号），将原“应收票据”及“应收账款”行项目归并至“应收票据及应收账款”；将原“应收利息”、“应收股利”及“其他应</w:t>
      </w:r>
      <w:r>
        <w:rPr/>
        <w:t> </w:t>
      </w:r>
      <w:r>
        <w:rPr>
          <w:spacing w:val="-4"/>
        </w:rPr>
        <w:t>收款”行项目归并至“其他应收款”；将原“固定资产”及“固定资产清理”行项目归并至“固定资产”；将原“工程物资”</w:t>
      </w:r>
      <w:r>
        <w:rPr>
          <w:spacing w:val="-50"/>
        </w:rPr>
        <w:t> </w:t>
      </w:r>
      <w:r>
        <w:rPr>
          <w:spacing w:val="-50"/>
        </w:rPr>
      </w:r>
      <w:r>
        <w:rPr>
          <w:spacing w:val="-5"/>
        </w:rPr>
        <w:t>及“在建工程”行项目归并至“在建工程”；将原“应付票据”及“应付账款”行项目归并至“应付票据及应付账款”；将原</w:t>
      </w:r>
      <w:r>
        <w:rPr>
          <w:spacing w:val="-82"/>
        </w:rPr>
        <w:t> </w:t>
      </w:r>
      <w:r>
        <w:rPr>
          <w:spacing w:val="-82"/>
        </w:rPr>
      </w:r>
      <w:r>
        <w:rPr>
          <w:spacing w:val="-5"/>
        </w:rPr>
        <w:t>“应付利息”、“应付股利”及“其他应付款”行项目归并至“其他应付款”；将原“长期应付款”及“专项应付款”行项目</w:t>
      </w:r>
      <w:r>
        <w:rPr>
          <w:spacing w:val="-85"/>
        </w:rPr>
        <w:t> </w:t>
      </w:r>
      <w:r>
        <w:rPr>
          <w:spacing w:val="-85"/>
        </w:rPr>
      </w:r>
      <w:r>
        <w:rPr>
          <w:spacing w:val="-4"/>
        </w:rPr>
        <w:t>归并至“长期应付款”；利润表中“管理费用”项目分拆“管理费用”和“研发费用”明细项目列报；利润表中“财务费用”</w:t>
      </w:r>
      <w:r>
        <w:rPr>
          <w:spacing w:val="-46"/>
        </w:rPr>
        <w:t> </w:t>
      </w:r>
      <w:r>
        <w:rPr>
          <w:spacing w:val="-46"/>
        </w:rPr>
      </w:r>
      <w:r>
        <w:rPr>
          <w:spacing w:val="-4"/>
        </w:rPr>
        <w:t>项目下增加“利息费用”和“利息收入”明细项目列报；所有者权益变动表新增“设定受益计划变动额结转留存收益”项目。</w:t>
      </w:r>
      <w:r>
        <w:rPr>
          <w:spacing w:val="-45"/>
        </w:rPr>
        <w:t> </w:t>
      </w:r>
      <w:r>
        <w:rPr>
          <w:spacing w:val="-45"/>
        </w:rPr>
      </w:r>
      <w:r>
        <w:rPr/>
        <w:t>代收代缴个税的手续费返还从营业外收入调整至其他收益列报。对 </w:t>
      </w:r>
      <w:r>
        <w:rPr>
          <w:rFonts w:ascii="Times New Roman" w:hAnsi="Times New Roman" w:cs="Times New Roman" w:eastAsia="Times New Roman" w:hint="default"/>
        </w:rPr>
        <w:t>2017  </w:t>
      </w:r>
      <w:r>
        <w:rPr/>
        <w:t>年度的财务报表列报项目进行追溯调整具体如下：</w:t>
      </w:r>
    </w:p>
    <w:tbl>
      <w:tblPr>
        <w:tblW w:w="0" w:type="auto"/>
        <w:jc w:val="left"/>
        <w:tblInd w:w="106" w:type="dxa"/>
        <w:tblLayout w:type="fixed"/>
        <w:tblCellMar>
          <w:top w:w="0" w:type="dxa"/>
          <w:left w:w="0" w:type="dxa"/>
          <w:bottom w:w="0" w:type="dxa"/>
          <w:right w:w="0" w:type="dxa"/>
        </w:tblCellMar>
        <w:tblLook w:val="01E0"/>
      </w:tblPr>
      <w:tblGrid>
        <w:gridCol w:w="2130"/>
        <w:gridCol w:w="2457"/>
        <w:gridCol w:w="2311"/>
        <w:gridCol w:w="2309"/>
      </w:tblGrid>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95" w:right="0"/>
              <w:jc w:val="left"/>
              <w:rPr>
                <w:rFonts w:ascii="宋体" w:hAnsi="宋体" w:cs="宋体" w:eastAsia="宋体" w:hint="default"/>
                <w:sz w:val="18"/>
                <w:szCs w:val="18"/>
              </w:rPr>
            </w:pPr>
            <w:r>
              <w:rPr>
                <w:rFonts w:ascii="宋体" w:hAnsi="宋体" w:cs="宋体" w:eastAsia="宋体" w:hint="default"/>
                <w:b/>
                <w:bCs/>
                <w:sz w:val="18"/>
                <w:szCs w:val="18"/>
              </w:rPr>
              <w:t>2017.12.31/2017</w:t>
            </w:r>
            <w:r>
              <w:rPr>
                <w:rFonts w:ascii="宋体" w:hAnsi="宋体" w:cs="宋体" w:eastAsia="宋体" w:hint="default"/>
                <w:b/>
                <w:bCs/>
                <w:sz w:val="18"/>
                <w:szCs w:val="18"/>
              </w:rPr>
              <w:t>年度</w:t>
            </w:r>
            <w:r>
              <w:rPr>
                <w:rFonts w:ascii="宋体" w:hAnsi="宋体" w:cs="宋体" w:eastAsia="宋体" w:hint="default"/>
                <w:sz w:val="18"/>
                <w:szCs w:val="18"/>
              </w:rPr>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b/>
                <w:bCs/>
                <w:sz w:val="18"/>
                <w:szCs w:val="18"/>
              </w:rPr>
              <w:t>变动额</w:t>
            </w:r>
            <w:r>
              <w:rPr>
                <w:rFonts w:ascii="宋体" w:hAnsi="宋体" w:cs="宋体" w:eastAsia="宋体" w:hint="default"/>
                <w:sz w:val="18"/>
                <w:szCs w:val="18"/>
              </w:rPr>
            </w: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708,638,438.68</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708,638,438.68</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10,038,310.53</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-10,038,310.53</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698,600,128.15</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-698,600,128.15</w:t>
            </w: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212,408,075.08</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212,408,075.08</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681,030,053.72</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681,030,053.72</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79,318,080.73</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79,318,080.73</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1,068,203,738.79</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1,068,203,738.79</w:t>
            </w: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86,500,000.00</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-86,500,000.00</w:t>
            </w:r>
          </w:p>
        </w:tc>
      </w:tr>
      <w:tr>
        <w:trPr>
          <w:trHeight w:val="363"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981,703,738.79</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-981,703,738.79</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28,839,102.97</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32,181,623.92</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3,342,520.95</w:t>
            </w: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z w:val="18"/>
              </w:rPr>
              <w:t>3,342,520.95</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-3,342,520.95</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130"/>
        <w:gridCol w:w="2457"/>
        <w:gridCol w:w="2311"/>
        <w:gridCol w:w="2309"/>
      </w:tblGrid>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102,558,340.96</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95,268,290.56</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-7,290,050.40</w:t>
            </w: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7,290,050.40</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7,290,050.40</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991,945.73</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991,945.73</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3"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5,633,340.29</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5,633,340.29</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tabs>
                <w:tab w:pos="452" w:val="left" w:leader="none"/>
              </w:tabs>
              <w:spacing w:line="240" w:lineRule="auto" w:before="20"/>
              <w:ind w:right="1"/>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w w:val="95"/>
                <w:sz w:val="18"/>
              </w:rPr>
              <w:t>2,890,958,137.90</w:t>
            </w:r>
            <w:r>
              <w:rPr>
                <w:rFonts w:ascii="宋体"/>
                <w:sz w:val="18"/>
              </w:rPr>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b/>
                <w:w w:val="95"/>
                <w:sz w:val="18"/>
              </w:rPr>
              <w:t>2,890,958,137.90</w:t>
            </w:r>
            <w:r>
              <w:rPr>
                <w:rFonts w:ascii="宋体"/>
                <w:sz w:val="18"/>
              </w:rPr>
            </w:r>
          </w:p>
        </w:tc>
        <w:tc>
          <w:tcPr>
            <w:tcW w:w="230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982"/>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612"/>
        <w:jc w:val="left"/>
      </w:pPr>
      <w:r>
        <w:rPr/>
        <w:t>□ 适用 √ 不适用 公司报告期无重大会计差错更正需追溯重述的情况。</w:t>
      </w:r>
    </w:p>
    <w:p>
      <w:pPr>
        <w:spacing w:line="240" w:lineRule="auto" w:before="1"/>
        <w:rPr>
          <w:rFonts w:ascii="宋体" w:hAnsi="宋体" w:cs="宋体" w:eastAsia="宋体" w:hint="default"/>
          <w:sz w:val="18"/>
          <w:szCs w:val="18"/>
        </w:rPr>
      </w:pPr>
    </w:p>
    <w:p>
      <w:pPr>
        <w:pStyle w:val="Heading2"/>
        <w:spacing w:line="240" w:lineRule="auto"/>
        <w:ind w:right="982"/>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Heading4"/>
        <w:spacing w:line="240" w:lineRule="auto"/>
        <w:ind w:right="982"/>
        <w:jc w:val="left"/>
        <w:rPr>
          <w:b w:val="0"/>
          <w:bCs w:val="0"/>
        </w:rPr>
      </w:pPr>
      <w:r>
        <w:rPr>
          <w:rFonts w:ascii="宋体" w:hAnsi="宋体" w:cs="宋体" w:eastAsia="宋体" w:hint="default"/>
        </w:rPr>
        <w:t>1</w:t>
      </w:r>
      <w:r>
        <w:rPr/>
        <w:t>、新设子公司</w:t>
      </w:r>
      <w:r>
        <w:rPr>
          <w:b w:val="0"/>
          <w:bCs w:val="0"/>
        </w:rPr>
      </w:r>
    </w:p>
    <w:p>
      <w:pPr>
        <w:spacing w:line="240" w:lineRule="auto" w:before="6"/>
        <w:rPr>
          <w:rFonts w:ascii="宋体" w:hAnsi="宋体" w:cs="宋体" w:eastAsia="宋体" w:hint="default"/>
          <w:b/>
          <w:bCs/>
          <w:sz w:val="15"/>
          <w:szCs w:val="15"/>
        </w:rPr>
      </w:pPr>
    </w:p>
    <w:tbl>
      <w:tblPr>
        <w:tblW w:w="0" w:type="auto"/>
        <w:jc w:val="left"/>
        <w:tblInd w:w="106" w:type="dxa"/>
        <w:tblLayout w:type="fixed"/>
        <w:tblCellMar>
          <w:top w:w="0" w:type="dxa"/>
          <w:left w:w="0" w:type="dxa"/>
          <w:bottom w:w="0" w:type="dxa"/>
          <w:right w:w="0" w:type="dxa"/>
        </w:tblCellMar>
        <w:tblLook w:val="01E0"/>
      </w:tblPr>
      <w:tblGrid>
        <w:gridCol w:w="1762"/>
        <w:gridCol w:w="1134"/>
        <w:gridCol w:w="1276"/>
        <w:gridCol w:w="992"/>
        <w:gridCol w:w="1417"/>
        <w:gridCol w:w="1348"/>
        <w:gridCol w:w="1043"/>
      </w:tblGrid>
      <w:tr>
        <w:trPr>
          <w:trHeight w:val="668" w:hRule="exact"/>
        </w:trPr>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b/>
                <w:bCs/>
                <w:sz w:val="18"/>
                <w:szCs w:val="18"/>
              </w:rPr>
              <w:t>新设子公司名称</w:t>
            </w:r>
            <w:r>
              <w:rPr>
                <w:rFonts w:ascii="宋体" w:hAnsi="宋体" w:cs="宋体" w:eastAsia="宋体" w:hint="default"/>
                <w:sz w:val="18"/>
                <w:szCs w:val="18"/>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b/>
                <w:bCs/>
                <w:sz w:val="18"/>
                <w:szCs w:val="18"/>
              </w:rPr>
              <w:t>成立日期</w:t>
            </w:r>
            <w:r>
              <w:rPr>
                <w:rFonts w:ascii="宋体" w:hAnsi="宋体" w:cs="宋体" w:eastAsia="宋体" w:hint="default"/>
                <w:sz w:val="18"/>
                <w:szCs w:val="18"/>
              </w:rPr>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50" w:right="87" w:hanging="362"/>
              <w:jc w:val="left"/>
              <w:rPr>
                <w:rFonts w:ascii="宋体" w:hAnsi="宋体" w:cs="宋体" w:eastAsia="宋体" w:hint="default"/>
                <w:sz w:val="18"/>
                <w:szCs w:val="18"/>
              </w:rPr>
            </w:pPr>
            <w:r>
              <w:rPr>
                <w:rFonts w:ascii="宋体" w:hAnsi="宋体" w:cs="宋体" w:eastAsia="宋体" w:hint="default"/>
                <w:b/>
                <w:bCs/>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72" w:right="35" w:hanging="136"/>
              <w:jc w:val="left"/>
              <w:rPr>
                <w:rFonts w:ascii="宋体" w:hAnsi="宋体" w:cs="宋体" w:eastAsia="宋体" w:hint="default"/>
                <w:sz w:val="18"/>
                <w:szCs w:val="18"/>
              </w:rPr>
            </w:pPr>
            <w:r>
              <w:rPr>
                <w:rFonts w:ascii="宋体" w:hAnsi="宋体" w:cs="宋体" w:eastAsia="宋体" w:hint="default"/>
                <w:b/>
                <w:bCs/>
                <w:sz w:val="18"/>
                <w:szCs w:val="18"/>
              </w:rPr>
              <w:t>股权取得比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13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b/>
                <w:bCs/>
                <w:sz w:val="18"/>
                <w:szCs w:val="18"/>
              </w:rPr>
              <w:t>实际经营地</w:t>
            </w:r>
            <w:r>
              <w:rPr>
                <w:rFonts w:ascii="宋体" w:hAnsi="宋体" w:cs="宋体" w:eastAsia="宋体" w:hint="default"/>
                <w:sz w:val="18"/>
                <w:szCs w:val="18"/>
              </w:rPr>
            </w:r>
          </w:p>
        </w:tc>
        <w:tc>
          <w:tcPr>
            <w:tcW w:w="10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r>
      <w:tr>
        <w:trPr>
          <w:trHeight w:val="976"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山东丽鹏包装科技有</w:t>
            </w:r>
            <w:r>
              <w:rPr>
                <w:rFonts w:ascii="宋体" w:hAnsi="宋体" w:cs="宋体" w:eastAsia="宋体" w:hint="default"/>
                <w:sz w:val="18"/>
                <w:szCs w:val="18"/>
              </w:rPr>
              <w:t> 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2018.8.28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8" w:right="0"/>
              <w:jc w:val="left"/>
              <w:rPr>
                <w:rFonts w:ascii="宋体" w:hAnsi="宋体" w:cs="宋体" w:eastAsia="宋体" w:hint="default"/>
                <w:sz w:val="18"/>
                <w:szCs w:val="18"/>
              </w:rPr>
            </w:pPr>
            <w:r>
              <w:rPr>
                <w:rFonts w:ascii="宋体"/>
                <w:sz w:val="18"/>
              </w:rPr>
              <w:t>100.00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71" w:right="68"/>
              <w:jc w:val="center"/>
              <w:rPr>
                <w:rFonts w:ascii="宋体" w:hAnsi="宋体" w:cs="宋体" w:eastAsia="宋体" w:hint="default"/>
                <w:sz w:val="18"/>
                <w:szCs w:val="18"/>
              </w:rPr>
            </w:pPr>
            <w:r>
              <w:rPr>
                <w:rFonts w:ascii="宋体" w:hAnsi="宋体" w:cs="宋体" w:eastAsia="宋体" w:hint="default"/>
                <w:sz w:val="18"/>
                <w:szCs w:val="18"/>
              </w:rPr>
              <w:t>山东省烟台市牟 平区姜格庄街道 丽鹏路</w:t>
            </w:r>
            <w:r>
              <w:rPr>
                <w:rFonts w:ascii="宋体" w:hAnsi="宋体" w:cs="宋体" w:eastAsia="宋体" w:hint="default"/>
                <w:sz w:val="18"/>
                <w:szCs w:val="18"/>
              </w:rPr>
              <w:t>1</w:t>
            </w:r>
            <w:r>
              <w:rPr>
                <w:rFonts w:ascii="宋体" w:hAnsi="宋体" w:cs="宋体" w:eastAsia="宋体" w:hint="default"/>
                <w:sz w:val="18"/>
                <w:szCs w:val="18"/>
              </w:rPr>
              <w:t>号</w:t>
            </w:r>
          </w:p>
        </w:tc>
        <w:tc>
          <w:tcPr>
            <w:tcW w:w="1348"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37" w:right="34"/>
              <w:jc w:val="center"/>
              <w:rPr>
                <w:rFonts w:ascii="宋体" w:hAnsi="宋体" w:cs="宋体" w:eastAsia="宋体" w:hint="default"/>
                <w:sz w:val="18"/>
                <w:szCs w:val="18"/>
              </w:rPr>
            </w:pPr>
            <w:r>
              <w:rPr>
                <w:rFonts w:ascii="宋体" w:hAnsi="宋体" w:cs="宋体" w:eastAsia="宋体" w:hint="default"/>
                <w:sz w:val="18"/>
                <w:szCs w:val="18"/>
              </w:rPr>
              <w:t>山东省烟台市牟 平区姜格庄街道 丽鹏路</w:t>
            </w:r>
            <w:r>
              <w:rPr>
                <w:rFonts w:ascii="宋体" w:hAnsi="宋体" w:cs="宋体" w:eastAsia="宋体" w:hint="default"/>
                <w:sz w:val="18"/>
                <w:szCs w:val="18"/>
              </w:rPr>
              <w:t>1</w:t>
            </w:r>
            <w:r>
              <w:rPr>
                <w:rFonts w:ascii="宋体" w:hAnsi="宋体" w:cs="宋体" w:eastAsia="宋体" w:hint="default"/>
                <w:sz w:val="18"/>
                <w:szCs w:val="18"/>
              </w:rPr>
              <w:t>号</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生产型</w:t>
            </w:r>
          </w:p>
        </w:tc>
      </w:tr>
      <w:tr>
        <w:trPr>
          <w:trHeight w:val="1288"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华阴市双华城乡建设</w:t>
            </w:r>
            <w:r>
              <w:rPr>
                <w:rFonts w:ascii="宋体" w:hAnsi="宋体" w:cs="宋体" w:eastAsia="宋体" w:hint="default"/>
                <w:sz w:val="18"/>
                <w:szCs w:val="18"/>
              </w:rPr>
              <w:t> 工程有限公司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2018.6.28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9,869.20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sz w:val="18"/>
              </w:rPr>
              <w:t>79.88</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1" w:right="68"/>
              <w:jc w:val="center"/>
              <w:rPr>
                <w:rFonts w:ascii="宋体" w:hAnsi="宋体" w:cs="宋体" w:eastAsia="宋体" w:hint="default"/>
                <w:sz w:val="18"/>
                <w:szCs w:val="18"/>
              </w:rPr>
            </w:pPr>
            <w:r>
              <w:rPr>
                <w:rFonts w:ascii="宋体" w:hAnsi="宋体" w:cs="宋体" w:eastAsia="宋体" w:hint="default"/>
                <w:sz w:val="18"/>
                <w:szCs w:val="18"/>
              </w:rPr>
              <w:t>陕西省渭南市华 阴市东岳路政府 广场东侧嘉阳国 际</w:t>
            </w:r>
          </w:p>
        </w:tc>
        <w:tc>
          <w:tcPr>
            <w:tcW w:w="134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7" w:right="34"/>
              <w:jc w:val="center"/>
              <w:rPr>
                <w:rFonts w:ascii="宋体" w:hAnsi="宋体" w:cs="宋体" w:eastAsia="宋体" w:hint="default"/>
                <w:sz w:val="18"/>
                <w:szCs w:val="18"/>
              </w:rPr>
            </w:pPr>
            <w:r>
              <w:rPr>
                <w:rFonts w:ascii="宋体" w:hAnsi="宋体" w:cs="宋体" w:eastAsia="宋体" w:hint="default"/>
                <w:sz w:val="18"/>
                <w:szCs w:val="18"/>
              </w:rPr>
              <w:t>陕西省渭南市华 阴市东岳路政府 广场东侧嘉阳国 际</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63" w:right="7" w:hanging="62"/>
              <w:jc w:val="left"/>
              <w:rPr>
                <w:rFonts w:ascii="宋体" w:hAnsi="宋体" w:cs="宋体" w:eastAsia="宋体" w:hint="default"/>
                <w:sz w:val="18"/>
                <w:szCs w:val="18"/>
              </w:rPr>
            </w:pPr>
            <w:r>
              <w:rPr>
                <w:rFonts w:ascii="宋体" w:hAnsi="宋体" w:cs="宋体" w:eastAsia="宋体" w:hint="default"/>
                <w:spacing w:val="-10"/>
                <w:sz w:val="18"/>
                <w:szCs w:val="18"/>
              </w:rPr>
              <w:t>施工建设、绿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化、苗木等</w:t>
            </w:r>
          </w:p>
        </w:tc>
      </w:tr>
      <w:tr>
        <w:trPr>
          <w:trHeight w:val="977"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成都丽宇建设工程有</w:t>
            </w:r>
            <w:r>
              <w:rPr>
                <w:rFonts w:ascii="宋体" w:hAnsi="宋体" w:cs="宋体" w:eastAsia="宋体" w:hint="default"/>
                <w:sz w:val="18"/>
                <w:szCs w:val="18"/>
              </w:rPr>
              <w:t> 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2018.2.7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8" w:right="0"/>
              <w:jc w:val="left"/>
              <w:rPr>
                <w:rFonts w:ascii="宋体" w:hAnsi="宋体" w:cs="宋体" w:eastAsia="宋体" w:hint="default"/>
                <w:sz w:val="18"/>
                <w:szCs w:val="18"/>
              </w:rPr>
            </w:pPr>
            <w:r>
              <w:rPr>
                <w:rFonts w:ascii="宋体"/>
                <w:sz w:val="18"/>
              </w:rPr>
              <w:t>100.00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6" w:right="24" w:firstLine="1"/>
              <w:jc w:val="center"/>
              <w:rPr>
                <w:rFonts w:ascii="宋体" w:hAnsi="宋体" w:cs="宋体" w:eastAsia="宋体" w:hint="default"/>
                <w:sz w:val="18"/>
                <w:szCs w:val="18"/>
              </w:rPr>
            </w:pPr>
            <w:r>
              <w:rPr>
                <w:rFonts w:ascii="宋体" w:hAnsi="宋体" w:cs="宋体" w:eastAsia="宋体" w:hint="default"/>
                <w:sz w:val="18"/>
                <w:szCs w:val="18"/>
              </w:rPr>
              <w:t>成都市蒲江县鹤 山街道盐井路</w:t>
            </w:r>
            <w:r>
              <w:rPr>
                <w:rFonts w:ascii="宋体" w:hAnsi="宋体" w:cs="宋体" w:eastAsia="宋体" w:hint="default"/>
                <w:sz w:val="18"/>
                <w:szCs w:val="18"/>
              </w:rPr>
              <w:t>144 </w:t>
            </w:r>
            <w:r>
              <w:rPr>
                <w:rFonts w:ascii="宋体" w:hAnsi="宋体" w:cs="宋体" w:eastAsia="宋体" w:hint="default"/>
                <w:sz w:val="18"/>
                <w:szCs w:val="18"/>
              </w:rPr>
              <w:t>号</w:t>
            </w:r>
          </w:p>
        </w:tc>
        <w:tc>
          <w:tcPr>
            <w:tcW w:w="134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7" w:right="34"/>
              <w:jc w:val="center"/>
              <w:rPr>
                <w:rFonts w:ascii="宋体" w:hAnsi="宋体" w:cs="宋体" w:eastAsia="宋体" w:hint="default"/>
                <w:sz w:val="18"/>
                <w:szCs w:val="18"/>
              </w:rPr>
            </w:pPr>
            <w:r>
              <w:rPr>
                <w:rFonts w:ascii="宋体" w:hAnsi="宋体" w:cs="宋体" w:eastAsia="宋体" w:hint="default"/>
                <w:sz w:val="18"/>
                <w:szCs w:val="18"/>
              </w:rPr>
              <w:t>成都市蒲江县鹤 山街道盐井路 </w:t>
            </w:r>
            <w:r>
              <w:rPr>
                <w:rFonts w:ascii="宋体" w:hAnsi="宋体" w:cs="宋体" w:eastAsia="宋体" w:hint="default"/>
                <w:sz w:val="18"/>
                <w:szCs w:val="18"/>
              </w:rPr>
              <w:t>144</w:t>
            </w:r>
            <w:r>
              <w:rPr>
                <w:rFonts w:ascii="宋体" w:hAnsi="宋体" w:cs="宋体" w:eastAsia="宋体" w:hint="default"/>
                <w:sz w:val="18"/>
                <w:szCs w:val="18"/>
              </w:rPr>
              <w:t>号</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63" w:right="7" w:hanging="62"/>
              <w:jc w:val="left"/>
              <w:rPr>
                <w:rFonts w:ascii="宋体" w:hAnsi="宋体" w:cs="宋体" w:eastAsia="宋体" w:hint="default"/>
                <w:sz w:val="18"/>
                <w:szCs w:val="18"/>
              </w:rPr>
            </w:pPr>
            <w:r>
              <w:rPr>
                <w:rFonts w:ascii="宋体" w:hAnsi="宋体" w:cs="宋体" w:eastAsia="宋体" w:hint="default"/>
                <w:spacing w:val="-10"/>
                <w:sz w:val="18"/>
                <w:szCs w:val="18"/>
              </w:rPr>
              <w:t>施工建设、绿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化、苗木等</w:t>
            </w:r>
          </w:p>
        </w:tc>
      </w:tr>
      <w:tr>
        <w:trPr>
          <w:trHeight w:val="976"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上海锐科教育科技有</w:t>
            </w:r>
            <w:r>
              <w:rPr>
                <w:rFonts w:ascii="宋体" w:hAnsi="宋体" w:cs="宋体" w:eastAsia="宋体" w:hint="default"/>
                <w:sz w:val="18"/>
                <w:szCs w:val="18"/>
              </w:rPr>
              <w:t> 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2018.12.3</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8" w:right="0"/>
              <w:jc w:val="left"/>
              <w:rPr>
                <w:rFonts w:ascii="宋体" w:hAnsi="宋体" w:cs="宋体" w:eastAsia="宋体" w:hint="default"/>
                <w:sz w:val="18"/>
                <w:szCs w:val="18"/>
              </w:rPr>
            </w:pPr>
            <w:r>
              <w:rPr>
                <w:rFonts w:ascii="宋体"/>
                <w:sz w:val="18"/>
              </w:rPr>
              <w:t>100.00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1" w:right="68"/>
              <w:jc w:val="center"/>
              <w:rPr>
                <w:rFonts w:ascii="宋体" w:hAnsi="宋体" w:cs="宋体" w:eastAsia="宋体" w:hint="default"/>
                <w:sz w:val="18"/>
                <w:szCs w:val="18"/>
              </w:rPr>
            </w:pPr>
            <w:r>
              <w:rPr>
                <w:rFonts w:ascii="宋体" w:hAnsi="宋体" w:cs="宋体" w:eastAsia="宋体" w:hint="default"/>
                <w:sz w:val="18"/>
                <w:szCs w:val="18"/>
              </w:rPr>
              <w:t>上海市长宁区金 钟路</w:t>
            </w:r>
            <w:r>
              <w:rPr>
                <w:rFonts w:ascii="宋体" w:hAnsi="宋体" w:cs="宋体" w:eastAsia="宋体" w:hint="default"/>
                <w:sz w:val="18"/>
                <w:szCs w:val="18"/>
              </w:rPr>
              <w:t>767</w:t>
            </w:r>
            <w:r>
              <w:rPr>
                <w:rFonts w:ascii="宋体" w:hAnsi="宋体" w:cs="宋体" w:eastAsia="宋体" w:hint="default"/>
                <w:sz w:val="18"/>
                <w:szCs w:val="18"/>
              </w:rPr>
              <w:t>弄</w:t>
            </w:r>
            <w:r>
              <w:rPr>
                <w:rFonts w:ascii="宋体" w:hAnsi="宋体" w:cs="宋体" w:eastAsia="宋体" w:hint="default"/>
                <w:sz w:val="18"/>
                <w:szCs w:val="18"/>
              </w:rPr>
              <w:t>2</w:t>
            </w:r>
            <w:r>
              <w:rPr>
                <w:rFonts w:ascii="宋体" w:hAnsi="宋体" w:cs="宋体" w:eastAsia="宋体" w:hint="default"/>
                <w:sz w:val="18"/>
                <w:szCs w:val="18"/>
              </w:rPr>
              <w:t>号 </w:t>
            </w:r>
            <w:r>
              <w:rPr>
                <w:rFonts w:ascii="宋体" w:hAnsi="宋体" w:cs="宋体" w:eastAsia="宋体" w:hint="default"/>
                <w:sz w:val="18"/>
                <w:szCs w:val="18"/>
              </w:rPr>
              <w:t>509B</w:t>
            </w:r>
            <w:r>
              <w:rPr>
                <w:rFonts w:ascii="宋体" w:hAnsi="宋体" w:cs="宋体" w:eastAsia="宋体" w:hint="default"/>
                <w:sz w:val="18"/>
                <w:szCs w:val="18"/>
              </w:rPr>
              <w:t>室</w:t>
            </w:r>
          </w:p>
        </w:tc>
        <w:tc>
          <w:tcPr>
            <w:tcW w:w="134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7" w:right="34"/>
              <w:jc w:val="center"/>
              <w:rPr>
                <w:rFonts w:ascii="宋体" w:hAnsi="宋体" w:cs="宋体" w:eastAsia="宋体" w:hint="default"/>
                <w:sz w:val="18"/>
                <w:szCs w:val="18"/>
              </w:rPr>
            </w:pPr>
            <w:r>
              <w:rPr>
                <w:rFonts w:ascii="宋体" w:hAnsi="宋体" w:cs="宋体" w:eastAsia="宋体" w:hint="default"/>
                <w:sz w:val="18"/>
                <w:szCs w:val="18"/>
              </w:rPr>
              <w:t>上海市长宁区金 钟路</w:t>
            </w:r>
            <w:r>
              <w:rPr>
                <w:rFonts w:ascii="宋体" w:hAnsi="宋体" w:cs="宋体" w:eastAsia="宋体" w:hint="default"/>
                <w:sz w:val="18"/>
                <w:szCs w:val="18"/>
              </w:rPr>
              <w:t>767</w:t>
            </w:r>
            <w:r>
              <w:rPr>
                <w:rFonts w:ascii="宋体" w:hAnsi="宋体" w:cs="宋体" w:eastAsia="宋体" w:hint="default"/>
                <w:sz w:val="18"/>
                <w:szCs w:val="18"/>
              </w:rPr>
              <w:t>弄</w:t>
            </w:r>
            <w:r>
              <w:rPr>
                <w:rFonts w:ascii="宋体" w:hAnsi="宋体" w:cs="宋体" w:eastAsia="宋体" w:hint="default"/>
                <w:sz w:val="18"/>
                <w:szCs w:val="18"/>
              </w:rPr>
              <w:t>2</w:t>
            </w:r>
            <w:r>
              <w:rPr>
                <w:rFonts w:ascii="宋体" w:hAnsi="宋体" w:cs="宋体" w:eastAsia="宋体" w:hint="default"/>
                <w:sz w:val="18"/>
                <w:szCs w:val="18"/>
              </w:rPr>
              <w:t>号 </w:t>
            </w:r>
            <w:r>
              <w:rPr>
                <w:rFonts w:ascii="宋体" w:hAnsi="宋体" w:cs="宋体" w:eastAsia="宋体" w:hint="default"/>
                <w:sz w:val="18"/>
                <w:szCs w:val="18"/>
              </w:rPr>
              <w:t>509B</w:t>
            </w:r>
            <w:r>
              <w:rPr>
                <w:rFonts w:ascii="宋体" w:hAnsi="宋体" w:cs="宋体" w:eastAsia="宋体" w:hint="default"/>
                <w:sz w:val="18"/>
                <w:szCs w:val="18"/>
              </w:rPr>
              <w:t>室</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153" w:right="7" w:hanging="152"/>
              <w:jc w:val="left"/>
              <w:rPr>
                <w:rFonts w:ascii="宋体" w:hAnsi="宋体" w:cs="宋体" w:eastAsia="宋体" w:hint="default"/>
                <w:sz w:val="18"/>
                <w:szCs w:val="18"/>
              </w:rPr>
            </w:pPr>
            <w:r>
              <w:rPr>
                <w:rFonts w:ascii="宋体" w:hAnsi="宋体" w:cs="宋体" w:eastAsia="宋体" w:hint="default"/>
                <w:spacing w:val="-10"/>
                <w:sz w:val="18"/>
                <w:szCs w:val="18"/>
              </w:rPr>
              <w:t>教育咨询、计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算机网络</w:t>
            </w:r>
          </w:p>
        </w:tc>
      </w:tr>
    </w:tbl>
    <w:p>
      <w:pPr>
        <w:spacing w:line="240" w:lineRule="auto" w:before="8"/>
        <w:rPr>
          <w:rFonts w:ascii="宋体" w:hAnsi="宋体" w:cs="宋体" w:eastAsia="宋体" w:hint="default"/>
          <w:b/>
          <w:bCs/>
          <w:sz w:val="7"/>
          <w:szCs w:val="7"/>
        </w:rPr>
      </w:pPr>
    </w:p>
    <w:p>
      <w:pPr>
        <w:pStyle w:val="Heading4"/>
        <w:spacing w:line="240" w:lineRule="auto" w:before="35"/>
        <w:ind w:right="982"/>
        <w:jc w:val="left"/>
        <w:rPr>
          <w:b w:val="0"/>
          <w:bCs w:val="0"/>
        </w:rPr>
      </w:pPr>
      <w:r>
        <w:rPr>
          <w:rFonts w:ascii="宋体" w:hAnsi="宋体" w:cs="宋体" w:eastAsia="宋体" w:hint="default"/>
        </w:rPr>
        <w:t>2</w:t>
      </w:r>
      <w:r>
        <w:rPr/>
        <w:t>、同一控制下企业合并</w:t>
      </w:r>
      <w:r>
        <w:rPr>
          <w:b w:val="0"/>
          <w:bCs w:val="0"/>
        </w:rPr>
      </w:r>
    </w:p>
    <w:p>
      <w:pPr>
        <w:pStyle w:val="Heading5"/>
        <w:spacing w:line="240" w:lineRule="auto"/>
        <w:ind w:left="114" w:right="982"/>
        <w:jc w:val="left"/>
      </w:pPr>
      <w:r>
        <w:rPr/>
        <w:t>（</w:t>
      </w:r>
      <w:r>
        <w:rPr>
          <w:rFonts w:ascii="宋体" w:hAnsi="宋体" w:cs="宋体" w:eastAsia="宋体" w:hint="default"/>
        </w:rPr>
        <w:t>1</w:t>
      </w:r>
      <w:r>
        <w:rPr/>
        <w:t>）本期发生的同一控制下企业合并</w:t>
      </w:r>
    </w:p>
    <w:p>
      <w:pPr>
        <w:spacing w:line="240" w:lineRule="auto" w:before="6"/>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014"/>
        <w:gridCol w:w="1638"/>
        <w:gridCol w:w="1986"/>
        <w:gridCol w:w="1842"/>
        <w:gridCol w:w="1877"/>
      </w:tblGrid>
      <w:tr>
        <w:trPr>
          <w:trHeight w:val="867" w:hRule="exact"/>
        </w:trPr>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b/>
                <w:bCs/>
                <w:sz w:val="18"/>
                <w:szCs w:val="18"/>
              </w:rPr>
              <w:t>被合并方名称</w:t>
            </w:r>
            <w:r>
              <w:rPr>
                <w:rFonts w:ascii="宋体" w:hAnsi="宋体" w:cs="宋体" w:eastAsia="宋体" w:hint="default"/>
                <w:sz w:val="18"/>
                <w:szCs w:val="18"/>
              </w:rPr>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450" w:right="88" w:hanging="362"/>
              <w:jc w:val="left"/>
              <w:rPr>
                <w:rFonts w:ascii="宋体" w:hAnsi="宋体" w:cs="宋体" w:eastAsia="宋体" w:hint="default"/>
                <w:sz w:val="18"/>
                <w:szCs w:val="18"/>
              </w:rPr>
            </w:pPr>
            <w:r>
              <w:rPr>
                <w:rFonts w:ascii="宋体" w:hAnsi="宋体" w:cs="宋体" w:eastAsia="宋体" w:hint="default"/>
                <w:b/>
                <w:bCs/>
                <w:sz w:val="18"/>
                <w:szCs w:val="18"/>
              </w:rPr>
              <w:t>企业合并中取得的</w:t>
            </w:r>
            <w:r>
              <w:rPr>
                <w:rFonts w:ascii="宋体" w:hAnsi="宋体" w:cs="宋体" w:eastAsia="宋体" w:hint="default"/>
                <w:b/>
                <w:bCs/>
                <w:w w:val="99"/>
                <w:sz w:val="18"/>
                <w:szCs w:val="18"/>
              </w:rPr>
              <w:t> </w:t>
            </w:r>
            <w:r>
              <w:rPr>
                <w:rFonts w:ascii="宋体" w:hAnsi="宋体" w:cs="宋体" w:eastAsia="宋体" w:hint="default"/>
                <w:b/>
                <w:bCs/>
                <w:sz w:val="18"/>
                <w:szCs w:val="18"/>
              </w:rPr>
              <w:t>权益比例</w:t>
            </w:r>
            <w:r>
              <w:rPr>
                <w:rFonts w:ascii="宋体" w:hAnsi="宋体" w:cs="宋体" w:eastAsia="宋体" w:hint="default"/>
                <w:sz w:val="18"/>
                <w:szCs w:val="18"/>
              </w:rPr>
            </w:r>
          </w:p>
        </w:tc>
        <w:tc>
          <w:tcPr>
            <w:tcW w:w="1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444" w:right="81" w:hanging="362"/>
              <w:jc w:val="left"/>
              <w:rPr>
                <w:rFonts w:ascii="宋体" w:hAnsi="宋体" w:cs="宋体" w:eastAsia="宋体" w:hint="default"/>
                <w:sz w:val="18"/>
                <w:szCs w:val="18"/>
              </w:rPr>
            </w:pPr>
            <w:r>
              <w:rPr>
                <w:rFonts w:ascii="宋体" w:hAnsi="宋体" w:cs="宋体" w:eastAsia="宋体" w:hint="default"/>
                <w:b/>
                <w:bCs/>
                <w:sz w:val="18"/>
                <w:szCs w:val="18"/>
              </w:rPr>
              <w:t>交易构成同一控制下企</w:t>
            </w:r>
            <w:r>
              <w:rPr>
                <w:rFonts w:ascii="宋体" w:hAnsi="宋体" w:cs="宋体" w:eastAsia="宋体" w:hint="default"/>
                <w:b/>
                <w:bCs/>
                <w:w w:val="99"/>
                <w:sz w:val="18"/>
                <w:szCs w:val="18"/>
              </w:rPr>
              <w:t> </w:t>
            </w:r>
            <w:r>
              <w:rPr>
                <w:rFonts w:ascii="宋体" w:hAnsi="宋体" w:cs="宋体" w:eastAsia="宋体" w:hint="default"/>
                <w:b/>
                <w:bCs/>
                <w:sz w:val="18"/>
                <w:szCs w:val="18"/>
              </w:rPr>
              <w:t>业合并的依据</w:t>
            </w:r>
            <w:r>
              <w:rPr>
                <w:rFonts w:ascii="宋体" w:hAnsi="宋体" w:cs="宋体" w:eastAsia="宋体" w:hint="default"/>
                <w:sz w:val="18"/>
                <w:szCs w:val="18"/>
              </w:rPr>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sz w:val="18"/>
                <w:szCs w:val="18"/>
              </w:rPr>
            </w:r>
          </w:p>
        </w:tc>
        <w:tc>
          <w:tcPr>
            <w:tcW w:w="18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合并日的确定依据</w:t>
            </w:r>
            <w:r>
              <w:rPr>
                <w:rFonts w:ascii="宋体" w:hAnsi="宋体" w:cs="宋体" w:eastAsia="宋体" w:hint="default"/>
                <w:sz w:val="18"/>
                <w:szCs w:val="18"/>
              </w:rPr>
            </w:r>
          </w:p>
        </w:tc>
      </w:tr>
      <w:tr>
        <w:trPr>
          <w:trHeight w:val="864"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61"/>
              <w:ind w:left="2" w:right="3"/>
              <w:jc w:val="left"/>
              <w:rPr>
                <w:rFonts w:ascii="宋体" w:hAnsi="宋体" w:cs="宋体" w:eastAsia="宋体" w:hint="default"/>
                <w:sz w:val="18"/>
                <w:szCs w:val="18"/>
              </w:rPr>
            </w:pPr>
            <w:r>
              <w:rPr>
                <w:rFonts w:ascii="宋体" w:hAnsi="宋体" w:cs="宋体" w:eastAsia="宋体" w:hint="default"/>
                <w:sz w:val="18"/>
                <w:szCs w:val="18"/>
              </w:rPr>
              <w:t>苏州中锐智信教育投资有</w:t>
            </w:r>
            <w:r>
              <w:rPr>
                <w:rFonts w:ascii="宋体" w:hAnsi="宋体" w:cs="宋体" w:eastAsia="宋体" w:hint="default"/>
                <w:spacing w:val="-80"/>
                <w:sz w:val="18"/>
                <w:szCs w:val="18"/>
              </w:rPr>
              <w:t> </w:t>
            </w:r>
            <w:r>
              <w:rPr>
                <w:rFonts w:ascii="宋体" w:hAnsi="宋体" w:cs="宋体" w:eastAsia="宋体" w:hint="default"/>
                <w:sz w:val="18"/>
                <w:szCs w:val="18"/>
              </w:rPr>
              <w:t>限公司</w:t>
            </w:r>
          </w:p>
        </w:tc>
        <w:tc>
          <w:tcPr>
            <w:tcW w:w="1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1"/>
              <w:ind w:left="706" w:right="0"/>
              <w:jc w:val="left"/>
              <w:rPr>
                <w:rFonts w:ascii="宋体" w:hAnsi="宋体" w:cs="宋体" w:eastAsia="宋体" w:hint="default"/>
                <w:sz w:val="18"/>
                <w:szCs w:val="18"/>
              </w:rPr>
            </w:pPr>
            <w:r>
              <w:rPr>
                <w:rFonts w:ascii="宋体"/>
                <w:sz w:val="18"/>
              </w:rPr>
              <w:t>100.00%</w:t>
            </w:r>
          </w:p>
        </w:tc>
        <w:tc>
          <w:tcPr>
            <w:tcW w:w="1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1"/>
              <w:ind w:left="356"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1"/>
              <w:ind w:right="5"/>
              <w:jc w:val="center"/>
              <w:rPr>
                <w:rFonts w:ascii="宋体" w:hAnsi="宋体" w:cs="宋体" w:eastAsia="宋体" w:hint="default"/>
                <w:sz w:val="18"/>
                <w:szCs w:val="18"/>
              </w:rPr>
            </w:pPr>
            <w:r>
              <w:rPr>
                <w:rFonts w:ascii="宋体" w:hAnsi="宋体" w:cs="宋体" w:eastAsia="宋体" w:hint="default"/>
                <w:sz w:val="18"/>
                <w:szCs w:val="18"/>
              </w:rPr>
              <w:t>取得实际控制权</w:t>
            </w:r>
          </w:p>
        </w:tc>
      </w:tr>
    </w:tbl>
    <w:p>
      <w:pPr>
        <w:spacing w:line="240" w:lineRule="auto" w:before="8"/>
        <w:rPr>
          <w:rFonts w:ascii="宋体" w:hAnsi="宋体" w:cs="宋体" w:eastAsia="宋体" w:hint="default"/>
          <w:sz w:val="7"/>
          <w:szCs w:val="7"/>
        </w:rPr>
      </w:pPr>
    </w:p>
    <w:p>
      <w:pPr>
        <w:pStyle w:val="Heading5"/>
        <w:spacing w:line="240" w:lineRule="auto" w:before="35"/>
        <w:ind w:left="549" w:right="982"/>
        <w:jc w:val="left"/>
      </w:pPr>
      <w:r>
        <w:rPr/>
        <w:t>续表</w:t>
      </w:r>
    </w:p>
    <w:p>
      <w:pPr>
        <w:spacing w:after="0" w:line="240"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014"/>
        <w:gridCol w:w="1923"/>
        <w:gridCol w:w="2126"/>
        <w:gridCol w:w="1418"/>
        <w:gridCol w:w="1877"/>
      </w:tblGrid>
      <w:tr>
        <w:trPr>
          <w:trHeight w:val="867" w:hRule="exact"/>
        </w:trPr>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b/>
                <w:bCs/>
                <w:sz w:val="18"/>
                <w:szCs w:val="18"/>
              </w:rPr>
              <w:t>被合并方名称</w:t>
            </w:r>
            <w:r>
              <w:rPr>
                <w:rFonts w:ascii="宋体" w:hAnsi="宋体" w:cs="宋体" w:eastAsia="宋体" w:hint="default"/>
                <w:sz w:val="18"/>
                <w:szCs w:val="18"/>
              </w:rPr>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b/>
                <w:bCs/>
                <w:sz w:val="18"/>
                <w:szCs w:val="18"/>
              </w:rPr>
              <w:t>合并当期期初至合并日</w:t>
            </w:r>
            <w:r>
              <w:rPr>
                <w:rFonts w:ascii="宋体" w:hAnsi="宋体" w:cs="宋体" w:eastAsia="宋体" w:hint="default"/>
                <w:b/>
                <w:bCs/>
                <w:w w:val="99"/>
                <w:sz w:val="18"/>
                <w:szCs w:val="18"/>
              </w:rPr>
              <w:t> </w:t>
            </w:r>
            <w:r>
              <w:rPr>
                <w:rFonts w:ascii="宋体" w:hAnsi="宋体" w:cs="宋体" w:eastAsia="宋体" w:hint="default"/>
                <w:b/>
                <w:bCs/>
                <w:sz w:val="18"/>
                <w:szCs w:val="18"/>
              </w:rPr>
              <w:t>被合并方的收入</w:t>
            </w:r>
            <w:r>
              <w:rPr>
                <w:rFonts w:ascii="宋体" w:hAnsi="宋体" w:cs="宋体" w:eastAsia="宋体" w:hint="default"/>
                <w:sz w:val="18"/>
                <w:szCs w:val="18"/>
              </w:rPr>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422" w:right="62" w:hanging="362"/>
              <w:jc w:val="left"/>
              <w:rPr>
                <w:rFonts w:ascii="宋体" w:hAnsi="宋体" w:cs="宋体" w:eastAsia="宋体" w:hint="default"/>
                <w:sz w:val="18"/>
                <w:szCs w:val="18"/>
              </w:rPr>
            </w:pPr>
            <w:r>
              <w:rPr>
                <w:rFonts w:ascii="宋体" w:hAnsi="宋体" w:cs="宋体" w:eastAsia="宋体" w:hint="default"/>
                <w:b/>
                <w:bCs/>
                <w:sz w:val="18"/>
                <w:szCs w:val="18"/>
              </w:rPr>
              <w:t>合并当期期初至合并日被</w:t>
            </w:r>
            <w:r>
              <w:rPr>
                <w:rFonts w:ascii="宋体" w:hAnsi="宋体" w:cs="宋体" w:eastAsia="宋体" w:hint="default"/>
                <w:b/>
                <w:bCs/>
                <w:w w:val="99"/>
                <w:sz w:val="18"/>
                <w:szCs w:val="18"/>
              </w:rPr>
              <w:t> </w:t>
            </w:r>
            <w:r>
              <w:rPr>
                <w:rFonts w:ascii="宋体" w:hAnsi="宋体" w:cs="宋体" w:eastAsia="宋体" w:hint="default"/>
                <w:b/>
                <w:bCs/>
                <w:sz w:val="18"/>
                <w:szCs w:val="18"/>
              </w:rPr>
              <w:t>合并方的净利润</w:t>
            </w:r>
            <w:r>
              <w:rPr>
                <w:rFonts w:ascii="宋体" w:hAnsi="宋体" w:cs="宋体" w:eastAsia="宋体" w:hint="default"/>
                <w:sz w:val="18"/>
                <w:szCs w:val="18"/>
              </w:rPr>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9" w:right="69" w:hanging="272"/>
              <w:jc w:val="left"/>
              <w:rPr>
                <w:rFonts w:ascii="宋体" w:hAnsi="宋体" w:cs="宋体" w:eastAsia="宋体" w:hint="default"/>
                <w:sz w:val="18"/>
                <w:szCs w:val="18"/>
              </w:rPr>
            </w:pPr>
            <w:r>
              <w:rPr>
                <w:rFonts w:ascii="宋体" w:hAnsi="宋体" w:cs="宋体" w:eastAsia="宋体" w:hint="default"/>
                <w:b/>
                <w:bCs/>
                <w:sz w:val="18"/>
                <w:szCs w:val="18"/>
              </w:rPr>
              <w:t>比较期间被合并</w:t>
            </w:r>
            <w:r>
              <w:rPr>
                <w:rFonts w:ascii="宋体" w:hAnsi="宋体" w:cs="宋体" w:eastAsia="宋体" w:hint="default"/>
                <w:b/>
                <w:bCs/>
                <w:w w:val="99"/>
                <w:sz w:val="18"/>
                <w:szCs w:val="18"/>
              </w:rPr>
              <w:t> </w:t>
            </w:r>
            <w:r>
              <w:rPr>
                <w:rFonts w:ascii="宋体" w:hAnsi="宋体" w:cs="宋体" w:eastAsia="宋体" w:hint="default"/>
                <w:b/>
                <w:bCs/>
                <w:sz w:val="18"/>
                <w:szCs w:val="18"/>
              </w:rPr>
              <w:t>方的收入</w:t>
            </w:r>
            <w:r>
              <w:rPr>
                <w:rFonts w:ascii="宋体" w:hAnsi="宋体" w:cs="宋体" w:eastAsia="宋体" w:hint="default"/>
                <w:sz w:val="18"/>
                <w:szCs w:val="18"/>
              </w:rPr>
            </w:r>
          </w:p>
        </w:tc>
        <w:tc>
          <w:tcPr>
            <w:tcW w:w="18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750" w:right="34" w:hanging="723"/>
              <w:jc w:val="left"/>
              <w:rPr>
                <w:rFonts w:ascii="宋体" w:hAnsi="宋体" w:cs="宋体" w:eastAsia="宋体" w:hint="default"/>
                <w:sz w:val="18"/>
                <w:szCs w:val="18"/>
              </w:rPr>
            </w:pPr>
            <w:r>
              <w:rPr>
                <w:rFonts w:ascii="宋体" w:hAnsi="宋体" w:cs="宋体" w:eastAsia="宋体" w:hint="default"/>
                <w:b/>
                <w:bCs/>
                <w:sz w:val="18"/>
                <w:szCs w:val="18"/>
              </w:rPr>
              <w:t>比较期间被合并方的净</w:t>
            </w:r>
            <w:r>
              <w:rPr>
                <w:rFonts w:ascii="宋体" w:hAnsi="宋体" w:cs="宋体" w:eastAsia="宋体" w:hint="default"/>
                <w:b/>
                <w:bCs/>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r>
      <w:tr>
        <w:trPr>
          <w:trHeight w:val="864"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60"/>
              <w:ind w:left="2" w:right="3"/>
              <w:jc w:val="left"/>
              <w:rPr>
                <w:rFonts w:ascii="宋体" w:hAnsi="宋体" w:cs="宋体" w:eastAsia="宋体" w:hint="default"/>
                <w:sz w:val="18"/>
                <w:szCs w:val="18"/>
              </w:rPr>
            </w:pPr>
            <w:r>
              <w:rPr>
                <w:rFonts w:ascii="宋体" w:hAnsi="宋体" w:cs="宋体" w:eastAsia="宋体" w:hint="default"/>
                <w:sz w:val="18"/>
                <w:szCs w:val="18"/>
              </w:rPr>
              <w:t>苏州中锐智信教育投资有</w:t>
            </w:r>
            <w:r>
              <w:rPr>
                <w:rFonts w:ascii="宋体" w:hAnsi="宋体" w:cs="宋体" w:eastAsia="宋体" w:hint="default"/>
                <w:spacing w:val="-80"/>
                <w:sz w:val="18"/>
                <w:szCs w:val="18"/>
              </w:rPr>
              <w:t> </w:t>
            </w:r>
            <w:r>
              <w:rPr>
                <w:rFonts w:ascii="宋体" w:hAnsi="宋体" w:cs="宋体" w:eastAsia="宋体" w:hint="default"/>
                <w:sz w:val="18"/>
                <w:szCs w:val="18"/>
              </w:rPr>
              <w:t>限公司</w:t>
            </w:r>
          </w:p>
        </w:tc>
        <w:tc>
          <w:tcPr>
            <w:tcW w:w="1923" w:type="dxa"/>
            <w:tcBorders>
              <w:top w:val="single" w:sz="12" w:space="0" w:color="000000"/>
              <w:left w:val="single" w:sz="6" w:space="0" w:color="000000"/>
              <w:bottom w:val="single" w:sz="12" w:space="0" w:color="000000"/>
              <w:right w:val="single" w:sz="6" w:space="0" w:color="000000"/>
            </w:tcBorders>
          </w:tcPr>
          <w:p>
            <w:pP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right="1"/>
              <w:jc w:val="center"/>
              <w:rPr>
                <w:rFonts w:ascii="宋体" w:hAnsi="宋体" w:cs="宋体" w:eastAsia="宋体" w:hint="default"/>
                <w:sz w:val="18"/>
                <w:szCs w:val="18"/>
              </w:rPr>
            </w:pPr>
            <w:r>
              <w:rPr>
                <w:rFonts w:ascii="宋体"/>
                <w:sz w:val="18"/>
              </w:rPr>
              <w:t>-956.47</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0"/>
              <w:ind w:left="615" w:right="0"/>
              <w:jc w:val="left"/>
              <w:rPr>
                <w:rFonts w:ascii="宋体" w:hAnsi="宋体" w:cs="宋体" w:eastAsia="宋体" w:hint="default"/>
                <w:sz w:val="18"/>
                <w:szCs w:val="18"/>
              </w:rPr>
            </w:pPr>
            <w:r>
              <w:rPr>
                <w:rFonts w:ascii="宋体"/>
                <w:sz w:val="18"/>
              </w:rPr>
              <w:t>-532.12</w:t>
            </w:r>
          </w:p>
        </w:tc>
      </w:tr>
    </w:tbl>
    <w:p>
      <w:pPr>
        <w:spacing w:line="240" w:lineRule="auto" w:before="8"/>
        <w:rPr>
          <w:rFonts w:ascii="宋体" w:hAnsi="宋体" w:cs="宋体" w:eastAsia="宋体" w:hint="default"/>
          <w:sz w:val="7"/>
          <w:szCs w:val="7"/>
        </w:rPr>
      </w:pPr>
    </w:p>
    <w:p>
      <w:pPr>
        <w:pStyle w:val="Heading5"/>
        <w:spacing w:line="273" w:lineRule="auto" w:before="35"/>
        <w:ind w:left="114" w:right="982"/>
        <w:jc w:val="left"/>
      </w:pPr>
      <w:r>
        <w:rPr/>
        <w:t>（</w:t>
      </w:r>
      <w:r>
        <w:rPr>
          <w:rFonts w:ascii="宋体" w:hAnsi="宋体" w:cs="宋体" w:eastAsia="宋体" w:hint="default"/>
        </w:rPr>
        <w:t>2</w:t>
      </w:r>
      <w:r>
        <w:rPr/>
        <w:t>）合并成本 </w:t>
      </w:r>
      <w:r>
        <w:rPr>
          <w:spacing w:val="-1"/>
        </w:rPr>
        <w:t>丽鹏公司零元受让苏州中锐智信教育投资有限公司</w:t>
      </w:r>
      <w:r>
        <w:rPr>
          <w:rFonts w:ascii="宋体" w:hAnsi="宋体" w:cs="宋体" w:eastAsia="宋体" w:hint="default"/>
          <w:spacing w:val="-1"/>
        </w:rPr>
        <w:t>100%</w:t>
      </w:r>
      <w:r>
        <w:rPr>
          <w:spacing w:val="-1"/>
        </w:rPr>
        <w:t>的股权，苏州中锐智信教育投资有限公司的注册资</w:t>
      </w:r>
      <w:r>
        <w:rPr>
          <w:spacing w:val="-80"/>
        </w:rPr>
        <w:t> </w:t>
      </w:r>
      <w:r>
        <w:rPr>
          <w:spacing w:val="-80"/>
        </w:rPr>
      </w:r>
      <w:r>
        <w:rPr/>
        <w:t>本</w:t>
      </w:r>
      <w:r>
        <w:rPr>
          <w:rFonts w:ascii="宋体" w:hAnsi="宋体" w:cs="宋体" w:eastAsia="宋体" w:hint="default"/>
        </w:rPr>
        <w:t>10,000</w:t>
      </w:r>
      <w:r>
        <w:rPr/>
        <w:t>万元未实缴，丽鹏公司受让股权后注册资本由丽鹏公司认缴。</w:t>
      </w:r>
    </w:p>
    <w:p>
      <w:pPr>
        <w:pStyle w:val="Heading5"/>
        <w:spacing w:line="240" w:lineRule="auto" w:before="7"/>
        <w:ind w:left="114" w:right="982"/>
        <w:jc w:val="left"/>
      </w:pPr>
      <w:r>
        <w:rPr/>
        <w:t>（</w:t>
      </w:r>
      <w:r>
        <w:rPr>
          <w:rFonts w:ascii="宋体" w:hAnsi="宋体" w:cs="宋体" w:eastAsia="宋体" w:hint="default"/>
        </w:rPr>
        <w:t>3</w:t>
      </w:r>
      <w:r>
        <w:rPr/>
        <w:t>）合并日被合并方的资产、负债</w:t>
      </w:r>
    </w:p>
    <w:p>
      <w:pPr>
        <w:spacing w:line="240" w:lineRule="auto" w:before="6"/>
        <w:rPr>
          <w:rFonts w:ascii="宋体" w:hAnsi="宋体" w:cs="宋体" w:eastAsia="宋体" w:hint="default"/>
          <w:sz w:val="15"/>
          <w:szCs w:val="15"/>
        </w:rPr>
      </w:pPr>
    </w:p>
    <w:tbl>
      <w:tblPr>
        <w:tblW w:w="0" w:type="auto"/>
        <w:jc w:val="left"/>
        <w:tblInd w:w="181" w:type="dxa"/>
        <w:tblLayout w:type="fixed"/>
        <w:tblCellMar>
          <w:top w:w="0" w:type="dxa"/>
          <w:left w:w="0" w:type="dxa"/>
          <w:bottom w:w="0" w:type="dxa"/>
          <w:right w:w="0" w:type="dxa"/>
        </w:tblCellMar>
        <w:tblLook w:val="01E0"/>
      </w:tblPr>
      <w:tblGrid>
        <w:gridCol w:w="3544"/>
        <w:gridCol w:w="2836"/>
        <w:gridCol w:w="2643"/>
      </w:tblGrid>
      <w:tr>
        <w:trPr>
          <w:trHeight w:val="555" w:hRule="exact"/>
        </w:trPr>
        <w:tc>
          <w:tcPr>
            <w:tcW w:w="354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9"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547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6" w:right="0"/>
              <w:jc w:val="left"/>
              <w:rPr>
                <w:rFonts w:ascii="宋体" w:hAnsi="宋体" w:cs="宋体" w:eastAsia="宋体" w:hint="default"/>
                <w:sz w:val="18"/>
                <w:szCs w:val="18"/>
              </w:rPr>
            </w:pPr>
            <w:r>
              <w:rPr>
                <w:rFonts w:ascii="宋体" w:hAnsi="宋体" w:cs="宋体" w:eastAsia="宋体" w:hint="default"/>
                <w:b/>
                <w:bCs/>
                <w:sz w:val="18"/>
                <w:szCs w:val="18"/>
              </w:rPr>
              <w:t>苏州中锐智信教育投资有限公司</w:t>
            </w:r>
            <w:r>
              <w:rPr>
                <w:rFonts w:ascii="宋体" w:hAnsi="宋体" w:cs="宋体" w:eastAsia="宋体" w:hint="default"/>
                <w:sz w:val="18"/>
                <w:szCs w:val="18"/>
              </w:rPr>
            </w:r>
          </w:p>
        </w:tc>
      </w:tr>
      <w:tr>
        <w:trPr>
          <w:trHeight w:val="552" w:hRule="exact"/>
        </w:trPr>
        <w:tc>
          <w:tcPr>
            <w:tcW w:w="3544" w:type="dxa"/>
            <w:vMerge/>
            <w:tcBorders>
              <w:left w:val="single" w:sz="6" w:space="0" w:color="000000"/>
              <w:bottom w:val="single" w:sz="12" w:space="0" w:color="000000"/>
              <w:right w:val="single" w:sz="6" w:space="0" w:color="000000"/>
            </w:tcBorders>
          </w:tcPr>
          <w:p>
            <w:pP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1349"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sz w:val="18"/>
                <w:szCs w:val="18"/>
              </w:rPr>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0"/>
              <w:ind w:right="5"/>
              <w:jc w:val="center"/>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sz w:val="18"/>
                <w:szCs w:val="18"/>
              </w:rPr>
            </w: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4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23,512.41</w:t>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4,468.88</w:t>
            </w: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1"/>
              <w:ind w:left="4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1"/>
              <w:ind w:right="1"/>
              <w:jc w:val="right"/>
              <w:rPr>
                <w:rFonts w:ascii="宋体" w:hAnsi="宋体" w:cs="宋体" w:eastAsia="宋体" w:hint="default"/>
                <w:sz w:val="18"/>
                <w:szCs w:val="18"/>
              </w:rPr>
            </w:pPr>
            <w:r>
              <w:rPr>
                <w:rFonts w:ascii="宋体"/>
                <w:sz w:val="18"/>
              </w:rPr>
              <w:t>25,000.00</w:t>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1"/>
              <w:ind w:right="7"/>
              <w:jc w:val="right"/>
              <w:rPr>
                <w:rFonts w:ascii="宋体" w:hAnsi="宋体" w:cs="宋体" w:eastAsia="宋体" w:hint="default"/>
                <w:sz w:val="18"/>
                <w:szCs w:val="18"/>
              </w:rPr>
            </w:pPr>
            <w:r>
              <w:rPr>
                <w:rFonts w:ascii="宋体"/>
                <w:sz w:val="18"/>
              </w:rPr>
              <w:t>5,000.00</w:t>
            </w: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42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-1,487.59</w:t>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-531.12</w:t>
            </w: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42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836"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
        </w:tc>
      </w:tr>
      <w:tr>
        <w:trPr>
          <w:trHeight w:val="552"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0"/>
              <w:ind w:left="42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-1,487.59</w:t>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-531.12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982"/>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王丽敏、王建英</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982"/>
        <w:jc w:val="left"/>
      </w:pPr>
      <w:r>
        <w:rPr/>
        <w:t>当期是否改聘会计师事务所</w:t>
      </w:r>
    </w:p>
    <w:p>
      <w:pPr>
        <w:pStyle w:val="BodyText"/>
        <w:spacing w:line="240" w:lineRule="auto" w:before="117"/>
        <w:ind w:right="982"/>
        <w:jc w:val="left"/>
      </w:pPr>
      <w:r>
        <w:rPr/>
        <w:t>□ 是 √ 否</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2"/>
        <w:jc w:val="left"/>
      </w:pPr>
      <w:r>
        <w:rPr/>
        <w:t>聘请内部控制审计会计师事务所、财务顾问或保荐人情况</w:t>
      </w:r>
    </w:p>
    <w:p>
      <w:pPr>
        <w:pStyle w:val="BodyText"/>
        <w:spacing w:line="240" w:lineRule="auto" w:before="116"/>
        <w:ind w:right="98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2"/>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2"/>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 适用 √ 不适用 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982"/>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95" w:right="173" w:hanging="42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7" w:right="168"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63" w:right="163"/>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41" w:right="140" w:firstLine="3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69"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84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85"/>
              <w:jc w:val="both"/>
              <w:rPr>
                <w:rFonts w:ascii="宋体" w:hAnsi="宋体" w:cs="宋体" w:eastAsia="宋体" w:hint="default"/>
                <w:sz w:val="18"/>
                <w:szCs w:val="18"/>
              </w:rPr>
            </w:pPr>
            <w:r>
              <w:rPr>
                <w:rFonts w:ascii="宋体" w:hAnsi="宋体" w:cs="宋体" w:eastAsia="宋体" w:hint="default"/>
                <w:sz w:val="18"/>
                <w:szCs w:val="18"/>
              </w:rPr>
              <w:t>华宇园林与山东 省肥城市人民政 府建设工程施工 合同纠纷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8" w:right="0"/>
              <w:jc w:val="left"/>
              <w:rPr>
                <w:rFonts w:ascii="Times New Roman" w:hAnsi="Times New Roman" w:cs="Times New Roman" w:eastAsia="Times New Roman" w:hint="default"/>
                <w:sz w:val="18"/>
                <w:szCs w:val="18"/>
              </w:rPr>
            </w:pPr>
            <w:r>
              <w:rPr>
                <w:rFonts w:ascii="Times New Roman"/>
                <w:sz w:val="18"/>
              </w:rPr>
              <w:t>23,143.56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314" w:lineRule="auto" w:before="61"/>
              <w:ind w:left="102"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华宇园林 与山东省 肥城市人 民政府达 成债务和 解，</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日华宇园 林向山东 省高级人 民法院递 交了撤诉 申请。</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p>
          <w:p>
            <w:pPr>
              <w:pStyle w:val="TableParagraph"/>
              <w:spacing w:line="314" w:lineRule="auto" w:before="61"/>
              <w:ind w:left="103" w:right="101"/>
              <w:jc w:val="left"/>
              <w:rPr>
                <w:rFonts w:ascii="宋体" w:hAnsi="宋体" w:cs="宋体" w:eastAsia="宋体" w:hint="default"/>
                <w:sz w:val="18"/>
                <w:szCs w:val="18"/>
              </w:rPr>
            </w:pPr>
            <w:r>
              <w:rPr>
                <w:rFonts w:ascii="宋体" w:hAnsi="宋体" w:cs="宋体" w:eastAsia="宋体" w:hint="default"/>
                <w:sz w:val="18"/>
                <w:szCs w:val="18"/>
              </w:rPr>
              <w:t>日收到山东省 高级人民法院 送达的案号 </w:t>
            </w:r>
            <w:r>
              <w:rPr>
                <w:rFonts w:ascii="宋体" w:hAnsi="宋体" w:cs="宋体" w:eastAsia="宋体" w:hint="default"/>
                <w:spacing w:val="-13"/>
                <w:sz w:val="18"/>
                <w:szCs w:val="18"/>
              </w:rPr>
              <w:t>为：（</w:t>
            </w:r>
            <w:r>
              <w:rPr>
                <w:rFonts w:ascii="Times New Roman" w:hAnsi="Times New Roman" w:cs="Times New Roman" w:eastAsia="Times New Roman" w:hint="default"/>
                <w:spacing w:val="-13"/>
                <w:sz w:val="18"/>
                <w:szCs w:val="18"/>
              </w:rPr>
              <w:t>2018</w:t>
            </w:r>
            <w:r>
              <w:rPr>
                <w:rFonts w:ascii="宋体" w:hAnsi="宋体" w:cs="宋体" w:eastAsia="宋体" w:hint="default"/>
                <w:spacing w:val="-13"/>
                <w:sz w:val="18"/>
                <w:szCs w:val="18"/>
              </w:rPr>
              <w:t>）鲁</w:t>
            </w:r>
            <w:r>
              <w:rPr>
                <w:rFonts w:ascii="宋体" w:hAnsi="宋体" w:cs="宋体" w:eastAsia="宋体" w:hint="default"/>
                <w:spacing w:val="-82"/>
                <w:sz w:val="18"/>
                <w:szCs w:val="18"/>
              </w:rPr>
              <w:t>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号《民</w:t>
            </w:r>
            <w:r>
              <w:rPr>
                <w:rFonts w:ascii="宋体" w:hAnsi="宋体" w:cs="宋体" w:eastAsia="宋体" w:hint="default"/>
                <w:sz w:val="18"/>
                <w:szCs w:val="18"/>
              </w:rPr>
              <w:t> </w:t>
            </w:r>
            <w:r>
              <w:rPr>
                <w:rFonts w:ascii="宋体" w:hAnsi="宋体" w:cs="宋体" w:eastAsia="宋体" w:hint="default"/>
                <w:spacing w:val="-15"/>
                <w:sz w:val="18"/>
                <w:szCs w:val="18"/>
              </w:rPr>
              <w:t>事裁定书》，山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东省高级人民 法院裁定准许 华宇园林撤 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双方达成和 </w:t>
            </w:r>
            <w:r>
              <w:rPr>
                <w:rFonts w:ascii="宋体" w:hAnsi="宋体" w:cs="宋体" w:eastAsia="宋体" w:hint="default"/>
                <w:spacing w:val="-9"/>
                <w:sz w:val="18"/>
                <w:szCs w:val="18"/>
              </w:rPr>
              <w:t>解，法院裁定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华宇园林撤 </w:t>
            </w:r>
            <w:r>
              <w:rPr>
                <w:rFonts w:ascii="宋体" w:hAnsi="宋体" w:cs="宋体" w:eastAsia="宋体" w:hint="default"/>
                <w:spacing w:val="-9"/>
                <w:sz w:val="18"/>
                <w:szCs w:val="18"/>
              </w:rPr>
              <w:t>诉。被告已按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照和解约定 支付相应款 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309" w:lineRule="auto" w:before="63"/>
              <w:ind w:left="103" w:right="1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 巨潮资讯 网</w:t>
            </w:r>
          </w:p>
          <w:p>
            <w:pPr>
              <w:pStyle w:val="TableParagraph"/>
              <w:spacing w:line="314" w:lineRule="auto" w:before="64"/>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www.cninf o.com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披露 </w:t>
            </w:r>
            <w:r>
              <w:rPr>
                <w:rFonts w:ascii="宋体" w:hAnsi="宋体" w:cs="宋体" w:eastAsia="宋体" w:hint="default"/>
                <w:spacing w:val="-11"/>
                <w:sz w:val="18"/>
                <w:szCs w:val="18"/>
              </w:rPr>
              <w:t>的《关于重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大诉讼的 </w:t>
            </w:r>
            <w:r>
              <w:rPr>
                <w:rFonts w:ascii="宋体" w:hAnsi="宋体" w:cs="宋体" w:eastAsia="宋体" w:hint="default"/>
                <w:spacing w:val="-18"/>
                <w:sz w:val="18"/>
                <w:szCs w:val="18"/>
              </w:rPr>
              <w:t>公告》（公</w:t>
            </w:r>
            <w:r>
              <w:rPr>
                <w:rFonts w:ascii="宋体" w:hAnsi="宋体" w:cs="宋体" w:eastAsia="宋体" w:hint="default"/>
                <w:sz w:val="18"/>
                <w:szCs w:val="18"/>
              </w:rPr>
              <w:t> 告编号： </w:t>
            </w:r>
            <w:r>
              <w:rPr>
                <w:rFonts w:ascii="Times New Roman" w:hAnsi="Times New Roman" w:cs="Times New Roman" w:eastAsia="Times New Roman" w:hint="default"/>
                <w:spacing w:val="-20"/>
                <w:sz w:val="18"/>
                <w:szCs w:val="18"/>
              </w:rPr>
              <w:t>2018-41</w:t>
            </w:r>
            <w:r>
              <w:rPr>
                <w:rFonts w:ascii="宋体" w:hAnsi="宋体" w:cs="宋体" w:eastAsia="宋体" w:hint="default"/>
                <w:spacing w:val="-20"/>
                <w:sz w:val="18"/>
                <w:szCs w:val="18"/>
              </w:rPr>
              <w:t>），</w:t>
            </w:r>
            <w:r>
              <w:rPr>
                <w:rFonts w:ascii="宋体" w:hAnsi="宋体" w:cs="宋体" w:eastAsia="宋体" w:hint="default"/>
                <w:sz w:val="18"/>
                <w:szCs w:val="18"/>
              </w:rPr>
            </w:r>
          </w:p>
          <w:p>
            <w:pPr>
              <w:pStyle w:val="TableParagraph"/>
              <w:spacing w:line="316" w:lineRule="auto" w:before="1"/>
              <w:ind w:left="103" w:right="48"/>
              <w:jc w:val="left"/>
              <w:rPr>
                <w:rFonts w:ascii="宋体" w:hAnsi="宋体" w:cs="宋体" w:eastAsia="宋体" w:hint="default"/>
                <w:sz w:val="18"/>
                <w:szCs w:val="18"/>
              </w:rPr>
            </w:pPr>
            <w:r>
              <w:rPr>
                <w:rFonts w:ascii="宋体" w:hAnsi="宋体" w:cs="宋体" w:eastAsia="宋体" w:hint="default"/>
                <w:sz w:val="18"/>
                <w:szCs w:val="18"/>
              </w:rPr>
              <w:t>《关于重 大诉讼进 展的公告》</w:t>
            </w:r>
          </w:p>
          <w:p>
            <w:pPr>
              <w:pStyle w:val="TableParagraph"/>
              <w:spacing w:line="316" w:lineRule="auto" w:before="19"/>
              <w:ind w:left="103" w:right="22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2018-53</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307" w:lineRule="auto" w:before="77"/>
              <w:ind w:left="103" w:right="48"/>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2018</w:t>
            </w:r>
            <w:r>
              <w:rPr>
                <w:rFonts w:ascii="宋体" w:hAnsi="宋体" w:cs="宋体" w:eastAsia="宋体" w:hint="default"/>
                <w:spacing w:val="-15"/>
                <w:sz w:val="18"/>
                <w:szCs w:val="18"/>
              </w:rPr>
              <w:t>）鲁</w:t>
            </w:r>
            <w:r>
              <w:rPr>
                <w:rFonts w:ascii="宋体" w:hAnsi="宋体" w:cs="宋体" w:eastAsia="宋体" w:hint="default"/>
                <w:spacing w:val="-52"/>
                <w:sz w:val="18"/>
                <w:szCs w:val="18"/>
              </w:rPr>
              <w:t>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诉讼案进 展的公告》</w:t>
            </w:r>
          </w:p>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（公告编</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2018-54</w:t>
            </w:r>
            <w:r>
              <w:rPr>
                <w:rFonts w:ascii="宋体" w:hAnsi="宋体" w:cs="宋体" w:eastAsia="宋体" w:hint="default"/>
                <w:sz w:val="18"/>
                <w:szCs w:val="18"/>
              </w:rPr>
              <w:t>）</w:t>
            </w:r>
          </w:p>
        </w:tc>
      </w:tr>
      <w:tr>
        <w:trPr>
          <w:trHeight w:val="1315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185"/>
              <w:jc w:val="left"/>
              <w:rPr>
                <w:rFonts w:ascii="宋体" w:hAnsi="宋体" w:cs="宋体" w:eastAsia="宋体" w:hint="default"/>
                <w:sz w:val="18"/>
                <w:szCs w:val="18"/>
              </w:rPr>
            </w:pPr>
            <w:r>
              <w:rPr>
                <w:rFonts w:ascii="宋体" w:hAnsi="宋体" w:cs="宋体" w:eastAsia="宋体" w:hint="default"/>
                <w:sz w:val="18"/>
                <w:szCs w:val="18"/>
              </w:rPr>
              <w:t>华宇园林与莱芜 市雪野湖旅游产 业发展有限公 司、山东省莱芜 市人民政府建设 工程施工合同纠 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13,245.33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316" w:lineRule="auto" w:before="61"/>
              <w:ind w:left="102" w:right="104"/>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日莱 芜市雪野 湖旅游产 业发展有 限公司向 山东省高 级人民法 院递交了 管辖权异 议申请。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314" w:lineRule="auto"/>
              <w:ind w:left="102" w:right="10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收到山东 省高级人 民法院送 达的案号 为：</w:t>
            </w:r>
          </w:p>
          <w:p>
            <w:pPr>
              <w:pStyle w:val="TableParagraph"/>
              <w:spacing w:line="300" w:lineRule="auto" w:before="20"/>
              <w:ind w:left="102" w:right="10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 鲁民初</w:t>
            </w:r>
          </w:p>
          <w:p>
            <w:pPr>
              <w:pStyle w:val="TableParagraph"/>
              <w:spacing w:line="316" w:lineRule="auto" w:before="32"/>
              <w:ind w:left="102"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93</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号《民</w:t>
            </w:r>
            <w:r>
              <w:rPr>
                <w:rFonts w:ascii="宋体" w:hAnsi="宋体" w:cs="宋体" w:eastAsia="宋体" w:hint="default"/>
                <w:sz w:val="18"/>
                <w:szCs w:val="18"/>
              </w:rPr>
              <w:t> 事裁定 </w:t>
            </w:r>
            <w:r>
              <w:rPr>
                <w:rFonts w:ascii="宋体" w:hAnsi="宋体" w:cs="宋体" w:eastAsia="宋体" w:hint="default"/>
                <w:spacing w:val="-36"/>
                <w:sz w:val="18"/>
                <w:szCs w:val="18"/>
              </w:rPr>
              <w:t>书》，法院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驳回莱芜 市雪野湖 旅游产业 发展有限 公司提出 的管辖权 异议。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14" w:lineRule="auto"/>
              <w:ind w:left="102"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公司收到 最高法发 来的《民 事裁定 书》</w:t>
            </w:r>
          </w:p>
          <w:p>
            <w:pPr>
              <w:pStyle w:val="TableParagraph"/>
              <w:spacing w:line="309" w:lineRule="auto" w:before="20"/>
              <w:ind w:left="102" w:right="14"/>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2018</w:t>
            </w:r>
            <w:r>
              <w:rPr>
                <w:rFonts w:ascii="宋体" w:hAnsi="宋体" w:cs="宋体" w:eastAsia="宋体" w:hint="default"/>
                <w:spacing w:val="-13"/>
                <w:sz w:val="18"/>
                <w:szCs w:val="18"/>
              </w:rPr>
              <w:t>）</w:t>
            </w:r>
            <w:r>
              <w:rPr>
                <w:rFonts w:ascii="宋体" w:hAnsi="宋体" w:cs="宋体" w:eastAsia="宋体" w:hint="default"/>
                <w:sz w:val="18"/>
                <w:szCs w:val="18"/>
              </w:rPr>
              <w:t> 最高法民 辖终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 </w:t>
            </w:r>
            <w:r>
              <w:rPr>
                <w:rFonts w:ascii="宋体" w:hAnsi="宋体" w:cs="宋体" w:eastAsia="宋体" w:hint="default"/>
                <w:spacing w:val="-36"/>
                <w:sz w:val="18"/>
                <w:szCs w:val="18"/>
              </w:rPr>
              <w:t>号），最高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法根据</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p>
          <w:p>
            <w:pPr>
              <w:pStyle w:val="TableParagraph"/>
              <w:spacing w:line="316" w:lineRule="auto" w:before="63"/>
              <w:ind w:left="103" w:right="179"/>
              <w:jc w:val="left"/>
              <w:rPr>
                <w:rFonts w:ascii="宋体" w:hAnsi="宋体" w:cs="宋体" w:eastAsia="宋体" w:hint="default"/>
                <w:sz w:val="18"/>
                <w:szCs w:val="18"/>
              </w:rPr>
            </w:pPr>
            <w:r>
              <w:rPr>
                <w:rFonts w:ascii="宋体" w:hAnsi="宋体" w:cs="宋体" w:eastAsia="宋体" w:hint="default"/>
                <w:sz w:val="18"/>
                <w:szCs w:val="18"/>
              </w:rPr>
              <w:t>日，公司收到 最高法发来的</w:t>
            </w:r>
          </w:p>
          <w:p>
            <w:pPr>
              <w:pStyle w:val="TableParagraph"/>
              <w:spacing w:line="314" w:lineRule="auto" w:before="19"/>
              <w:ind w:left="103" w:right="119"/>
              <w:jc w:val="left"/>
              <w:rPr>
                <w:rFonts w:ascii="宋体" w:hAnsi="宋体" w:cs="宋体" w:eastAsia="宋体" w:hint="default"/>
                <w:sz w:val="18"/>
                <w:szCs w:val="18"/>
              </w:rPr>
            </w:pPr>
            <w:r>
              <w:rPr>
                <w:rFonts w:ascii="宋体" w:hAnsi="宋体" w:cs="宋体" w:eastAsia="宋体" w:hint="default"/>
                <w:sz w:val="18"/>
                <w:szCs w:val="18"/>
              </w:rPr>
              <w:t>《民事裁定 </w:t>
            </w:r>
            <w:r>
              <w:rPr>
                <w:rFonts w:ascii="宋体" w:hAnsi="宋体" w:cs="宋体" w:eastAsia="宋体" w:hint="default"/>
                <w:spacing w:val="-20"/>
                <w:sz w:val="18"/>
                <w:szCs w:val="18"/>
              </w:rPr>
              <w:t>书》（（</w:t>
            </w:r>
            <w:r>
              <w:rPr>
                <w:rFonts w:ascii="Times New Roman" w:hAnsi="Times New Roman" w:cs="Times New Roman" w:eastAsia="Times New Roman" w:hint="default"/>
                <w:spacing w:val="-20"/>
                <w:sz w:val="18"/>
                <w:szCs w:val="18"/>
              </w:rPr>
              <w:t>2018</w:t>
            </w:r>
            <w:r>
              <w:rPr>
                <w:rFonts w:ascii="宋体" w:hAnsi="宋体" w:cs="宋体" w:eastAsia="宋体" w:hint="default"/>
                <w:spacing w:val="-20"/>
                <w:sz w:val="18"/>
                <w:szCs w:val="18"/>
              </w:rPr>
              <w:t>）</w:t>
            </w:r>
            <w:r>
              <w:rPr>
                <w:rFonts w:ascii="宋体" w:hAnsi="宋体" w:cs="宋体" w:eastAsia="宋体" w:hint="default"/>
                <w:sz w:val="18"/>
                <w:szCs w:val="18"/>
              </w:rPr>
              <w:t> 最高法民辖终 </w:t>
            </w: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号），最高</w:t>
            </w:r>
            <w:r>
              <w:rPr>
                <w:rFonts w:ascii="宋体" w:hAnsi="宋体" w:cs="宋体" w:eastAsia="宋体" w:hint="default"/>
                <w:sz w:val="18"/>
                <w:szCs w:val="18"/>
              </w:rPr>
              <w:t> 法根据</w:t>
            </w:r>
            <w:r>
              <w:rPr>
                <w:rFonts w:ascii="Times New Roman" w:hAnsi="Times New Roman" w:cs="Times New Roman" w:eastAsia="Times New Roman" w:hint="default"/>
                <w:sz w:val="18"/>
                <w:szCs w:val="18"/>
              </w:rPr>
              <w:t>(</w:t>
            </w:r>
            <w:r>
              <w:rPr>
                <w:rFonts w:ascii="宋体" w:hAnsi="宋体" w:cs="宋体" w:eastAsia="宋体" w:hint="default"/>
                <w:sz w:val="18"/>
                <w:szCs w:val="18"/>
              </w:rPr>
              <w:t>中华人 民共和国民事 诉讼法》第一 百七十条第一 款第</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项和 第一百七十一 条之规定，裁 定驳回莱芜市 雪野湖旅游产 业发展有限公 司上诉，维持 原裁定。本裁 定为终审裁 定。</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收到最高法 </w:t>
            </w:r>
            <w:r>
              <w:rPr>
                <w:rFonts w:ascii="宋体" w:hAnsi="宋体" w:cs="宋体" w:eastAsia="宋体" w:hint="default"/>
                <w:spacing w:val="-9"/>
                <w:sz w:val="18"/>
                <w:szCs w:val="18"/>
              </w:rPr>
              <w:t>发来的《民事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裁定书》</w:t>
            </w:r>
          </w:p>
          <w:p>
            <w:pPr>
              <w:pStyle w:val="TableParagraph"/>
              <w:spacing w:line="314" w:lineRule="auto" w:before="22"/>
              <w:ind w:left="103" w:right="101"/>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2018</w:t>
            </w:r>
            <w:r>
              <w:rPr>
                <w:rFonts w:ascii="宋体" w:hAnsi="宋体" w:cs="宋体" w:eastAsia="宋体" w:hint="default"/>
                <w:spacing w:val="-12"/>
                <w:sz w:val="18"/>
                <w:szCs w:val="18"/>
              </w:rPr>
              <w:t>）最</w:t>
            </w:r>
            <w:r>
              <w:rPr>
                <w:rFonts w:ascii="宋体" w:hAnsi="宋体" w:cs="宋体" w:eastAsia="宋体" w:hint="default"/>
                <w:spacing w:val="-84"/>
                <w:sz w:val="18"/>
                <w:szCs w:val="18"/>
              </w:rPr>
              <w:t> </w:t>
            </w:r>
            <w:r>
              <w:rPr>
                <w:rFonts w:ascii="宋体" w:hAnsi="宋体" w:cs="宋体" w:eastAsia="宋体" w:hint="default"/>
                <w:sz w:val="18"/>
                <w:szCs w:val="18"/>
              </w:rPr>
              <w:t>高法民辖终 </w:t>
            </w: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号），最</w:t>
            </w:r>
            <w:r>
              <w:rPr>
                <w:rFonts w:ascii="宋体" w:hAnsi="宋体" w:cs="宋体" w:eastAsia="宋体" w:hint="default"/>
                <w:sz w:val="18"/>
                <w:szCs w:val="18"/>
              </w:rPr>
              <w:t> 高法根据</w:t>
            </w:r>
            <w:r>
              <w:rPr>
                <w:rFonts w:ascii="Times New Roman" w:hAnsi="Times New Roman" w:cs="Times New Roman" w:eastAsia="Times New Roman" w:hint="default"/>
                <w:sz w:val="18"/>
                <w:szCs w:val="18"/>
              </w:rPr>
              <w:t>(</w:t>
            </w:r>
            <w:r>
              <w:rPr>
                <w:rFonts w:ascii="宋体" w:hAnsi="宋体" w:cs="宋体" w:eastAsia="宋体" w:hint="default"/>
                <w:sz w:val="18"/>
                <w:szCs w:val="18"/>
              </w:rPr>
              <w:t>中 华人民共和 国民事诉讼 </w:t>
            </w:r>
            <w:r>
              <w:rPr>
                <w:rFonts w:ascii="宋体" w:hAnsi="宋体" w:cs="宋体" w:eastAsia="宋体" w:hint="default"/>
                <w:spacing w:val="-9"/>
                <w:sz w:val="18"/>
                <w:szCs w:val="18"/>
              </w:rPr>
              <w:t>法》第一百七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十条第一款 第</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项和第 一百七十一 </w:t>
            </w:r>
            <w:r>
              <w:rPr>
                <w:rFonts w:ascii="宋体" w:hAnsi="宋体" w:cs="宋体" w:eastAsia="宋体" w:hint="default"/>
                <w:spacing w:val="-9"/>
                <w:sz w:val="18"/>
                <w:szCs w:val="18"/>
              </w:rPr>
              <w:t>条之规定，裁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定驳回莱芜 市雪野湖旅 游产业发展 有限公司上 </w:t>
            </w:r>
            <w:r>
              <w:rPr>
                <w:rFonts w:ascii="宋体" w:hAnsi="宋体" w:cs="宋体" w:eastAsia="宋体" w:hint="default"/>
                <w:spacing w:val="-9"/>
                <w:sz w:val="18"/>
                <w:szCs w:val="18"/>
              </w:rPr>
              <w:t>诉，维持原裁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定。本裁定为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终审裁定。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09" w:lineRule="auto" w:before="63"/>
              <w:ind w:left="103" w:right="1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 巨潮资讯 网</w:t>
            </w:r>
          </w:p>
          <w:p>
            <w:pPr>
              <w:pStyle w:val="TableParagraph"/>
              <w:spacing w:line="314" w:lineRule="auto" w:before="64"/>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www.cninf o.com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披露 </w:t>
            </w:r>
            <w:r>
              <w:rPr>
                <w:rFonts w:ascii="宋体" w:hAnsi="宋体" w:cs="宋体" w:eastAsia="宋体" w:hint="default"/>
                <w:spacing w:val="-11"/>
                <w:sz w:val="18"/>
                <w:szCs w:val="18"/>
              </w:rPr>
              <w:t>的《关于重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大诉讼的 </w:t>
            </w:r>
            <w:r>
              <w:rPr>
                <w:rFonts w:ascii="宋体" w:hAnsi="宋体" w:cs="宋体" w:eastAsia="宋体" w:hint="default"/>
                <w:spacing w:val="-18"/>
                <w:sz w:val="18"/>
                <w:szCs w:val="18"/>
              </w:rPr>
              <w:t>公告》（公</w:t>
            </w:r>
            <w:r>
              <w:rPr>
                <w:rFonts w:ascii="宋体" w:hAnsi="宋体" w:cs="宋体" w:eastAsia="宋体" w:hint="default"/>
                <w:sz w:val="18"/>
                <w:szCs w:val="18"/>
              </w:rPr>
              <w:t> 告编号： </w:t>
            </w:r>
            <w:r>
              <w:rPr>
                <w:rFonts w:ascii="Times New Roman" w:hAnsi="Times New Roman" w:cs="Times New Roman" w:eastAsia="Times New Roman" w:hint="default"/>
                <w:spacing w:val="-20"/>
                <w:sz w:val="18"/>
                <w:szCs w:val="18"/>
              </w:rPr>
              <w:t>2018-41</w:t>
            </w:r>
            <w:r>
              <w:rPr>
                <w:rFonts w:ascii="宋体" w:hAnsi="宋体" w:cs="宋体" w:eastAsia="宋体" w:hint="default"/>
                <w:spacing w:val="-20"/>
                <w:sz w:val="18"/>
                <w:szCs w:val="18"/>
              </w:rPr>
              <w:t>），</w:t>
            </w:r>
            <w:r>
              <w:rPr>
                <w:rFonts w:ascii="宋体" w:hAnsi="宋体" w:cs="宋体" w:eastAsia="宋体" w:hint="default"/>
                <w:sz w:val="18"/>
                <w:szCs w:val="18"/>
              </w:rPr>
            </w:r>
          </w:p>
          <w:p>
            <w:pPr>
              <w:pStyle w:val="TableParagraph"/>
              <w:spacing w:line="316" w:lineRule="auto" w:before="1"/>
              <w:ind w:left="103" w:right="48"/>
              <w:jc w:val="left"/>
              <w:rPr>
                <w:rFonts w:ascii="宋体" w:hAnsi="宋体" w:cs="宋体" w:eastAsia="宋体" w:hint="default"/>
                <w:sz w:val="18"/>
                <w:szCs w:val="18"/>
              </w:rPr>
            </w:pPr>
            <w:r>
              <w:rPr>
                <w:rFonts w:ascii="宋体" w:hAnsi="宋体" w:cs="宋体" w:eastAsia="宋体" w:hint="default"/>
                <w:sz w:val="18"/>
                <w:szCs w:val="18"/>
              </w:rPr>
              <w:t>《关于重 大诉讼进 展的公告》</w:t>
            </w:r>
          </w:p>
          <w:p>
            <w:pPr>
              <w:pStyle w:val="TableParagraph"/>
              <w:spacing w:line="316" w:lineRule="auto" w:before="19"/>
              <w:ind w:left="103" w:right="22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2018-53</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307" w:lineRule="auto" w:before="76"/>
              <w:ind w:left="103" w:right="48"/>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2018</w:t>
            </w:r>
            <w:r>
              <w:rPr>
                <w:rFonts w:ascii="宋体" w:hAnsi="宋体" w:cs="宋体" w:eastAsia="宋体" w:hint="default"/>
                <w:spacing w:val="-15"/>
                <w:sz w:val="18"/>
                <w:szCs w:val="18"/>
              </w:rPr>
              <w:t>）鲁</w:t>
            </w:r>
            <w:r>
              <w:rPr>
                <w:rFonts w:ascii="宋体" w:hAnsi="宋体" w:cs="宋体" w:eastAsia="宋体" w:hint="default"/>
                <w:spacing w:val="-52"/>
                <w:sz w:val="18"/>
                <w:szCs w:val="18"/>
              </w:rPr>
              <w:t>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诉讼案进 展的公告》</w:t>
            </w:r>
          </w:p>
          <w:p>
            <w:pPr>
              <w:pStyle w:val="TableParagraph"/>
              <w:spacing w:line="316" w:lineRule="auto" w:before="26"/>
              <w:ind w:left="103" w:right="22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2018-54</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307" w:lineRule="auto" w:before="76"/>
              <w:ind w:left="103" w:right="48"/>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2018</w:t>
            </w:r>
            <w:r>
              <w:rPr>
                <w:rFonts w:ascii="宋体" w:hAnsi="宋体" w:cs="宋体" w:eastAsia="宋体" w:hint="default"/>
                <w:spacing w:val="-15"/>
                <w:sz w:val="18"/>
                <w:szCs w:val="18"/>
              </w:rPr>
              <w:t>）鲁</w:t>
            </w:r>
            <w:r>
              <w:rPr>
                <w:rFonts w:ascii="宋体" w:hAnsi="宋体" w:cs="宋体" w:eastAsia="宋体" w:hint="default"/>
                <w:spacing w:val="-52"/>
                <w:sz w:val="18"/>
                <w:szCs w:val="18"/>
              </w:rPr>
              <w:t>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诉讼案进 展的公告》</w:t>
            </w:r>
          </w:p>
          <w:p>
            <w:pPr>
              <w:pStyle w:val="TableParagraph"/>
              <w:spacing w:line="316" w:lineRule="auto" w:before="26"/>
              <w:ind w:left="103" w:right="228"/>
              <w:jc w:val="left"/>
              <w:rPr>
                <w:rFonts w:ascii="宋体" w:hAnsi="宋体" w:cs="宋体" w:eastAsia="宋体" w:hint="default"/>
                <w:sz w:val="18"/>
                <w:szCs w:val="18"/>
              </w:rPr>
            </w:pPr>
            <w:r>
              <w:rPr>
                <w:rFonts w:ascii="宋体" w:hAnsi="宋体" w:cs="宋体" w:eastAsia="宋体" w:hint="default"/>
                <w:sz w:val="18"/>
                <w:szCs w:val="18"/>
              </w:rPr>
              <w:t>（公告编 号：</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851"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中华人</w:t>
            </w:r>
            <w:r>
              <w:rPr>
                <w:rFonts w:ascii="宋体" w:hAnsi="宋体" w:cs="宋体" w:eastAsia="宋体" w:hint="default"/>
                <w:w w:val="99"/>
                <w:sz w:val="18"/>
                <w:szCs w:val="18"/>
              </w:rPr>
              <w:t> </w:t>
            </w:r>
            <w:r>
              <w:rPr>
                <w:rFonts w:ascii="宋体" w:hAnsi="宋体" w:cs="宋体" w:eastAsia="宋体" w:hint="default"/>
                <w:sz w:val="18"/>
                <w:szCs w:val="18"/>
              </w:rPr>
              <w:t>民共和国</w:t>
            </w:r>
            <w:r>
              <w:rPr>
                <w:rFonts w:ascii="宋体" w:hAnsi="宋体" w:cs="宋体" w:eastAsia="宋体" w:hint="default"/>
                <w:w w:val="99"/>
                <w:sz w:val="18"/>
                <w:szCs w:val="18"/>
              </w:rPr>
              <w:t> </w:t>
            </w:r>
            <w:r>
              <w:rPr>
                <w:rFonts w:ascii="宋体" w:hAnsi="宋体" w:cs="宋体" w:eastAsia="宋体" w:hint="default"/>
                <w:sz w:val="18"/>
                <w:szCs w:val="18"/>
              </w:rPr>
              <w:t>民事诉讼</w:t>
            </w:r>
            <w:r>
              <w:rPr>
                <w:rFonts w:ascii="宋体" w:hAnsi="宋体" w:cs="宋体" w:eastAsia="宋体" w:hint="default"/>
                <w:w w:val="99"/>
                <w:sz w:val="18"/>
                <w:szCs w:val="18"/>
              </w:rPr>
              <w:t> </w:t>
            </w:r>
            <w:r>
              <w:rPr>
                <w:rFonts w:ascii="宋体" w:hAnsi="宋体" w:cs="宋体" w:eastAsia="宋体" w:hint="default"/>
                <w:sz w:val="18"/>
                <w:szCs w:val="18"/>
              </w:rPr>
              <w:t>法》第一</w:t>
            </w:r>
            <w:r>
              <w:rPr>
                <w:rFonts w:ascii="宋体" w:hAnsi="宋体" w:cs="宋体" w:eastAsia="宋体" w:hint="default"/>
                <w:w w:val="99"/>
                <w:sz w:val="18"/>
                <w:szCs w:val="18"/>
              </w:rPr>
              <w:t> </w:t>
            </w:r>
            <w:r>
              <w:rPr>
                <w:rFonts w:ascii="宋体" w:hAnsi="宋体" w:cs="宋体" w:eastAsia="宋体" w:hint="default"/>
                <w:sz w:val="18"/>
                <w:szCs w:val="18"/>
              </w:rPr>
              <w:t>百七十条</w:t>
            </w:r>
            <w:r>
              <w:rPr>
                <w:rFonts w:ascii="宋体" w:hAnsi="宋体" w:cs="宋体" w:eastAsia="宋体" w:hint="default"/>
                <w:w w:val="99"/>
                <w:sz w:val="18"/>
                <w:szCs w:val="18"/>
              </w:rPr>
              <w:t> </w:t>
            </w:r>
            <w:r>
              <w:rPr>
                <w:rFonts w:ascii="宋体" w:hAnsi="宋体" w:cs="宋体" w:eastAsia="宋体" w:hint="default"/>
                <w:sz w:val="18"/>
                <w:szCs w:val="18"/>
              </w:rPr>
              <w:t>第一款第</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项和</w:t>
            </w:r>
            <w:r>
              <w:rPr>
                <w:rFonts w:ascii="宋体" w:hAnsi="宋体" w:cs="宋体" w:eastAsia="宋体" w:hint="default"/>
                <w:w w:val="99"/>
                <w:sz w:val="18"/>
                <w:szCs w:val="18"/>
              </w:rPr>
              <w:t> </w:t>
            </w:r>
            <w:r>
              <w:rPr>
                <w:rFonts w:ascii="宋体" w:hAnsi="宋体" w:cs="宋体" w:eastAsia="宋体" w:hint="default"/>
                <w:sz w:val="18"/>
                <w:szCs w:val="18"/>
              </w:rPr>
              <w:t>第一百七</w:t>
            </w:r>
            <w:r>
              <w:rPr>
                <w:rFonts w:ascii="宋体" w:hAnsi="宋体" w:cs="宋体" w:eastAsia="宋体" w:hint="default"/>
                <w:w w:val="99"/>
                <w:sz w:val="18"/>
                <w:szCs w:val="18"/>
              </w:rPr>
              <w:t> </w:t>
            </w:r>
            <w:r>
              <w:rPr>
                <w:rFonts w:ascii="宋体" w:hAnsi="宋体" w:cs="宋体" w:eastAsia="宋体" w:hint="default"/>
                <w:sz w:val="18"/>
                <w:szCs w:val="18"/>
              </w:rPr>
              <w:t>十一条之</w:t>
            </w:r>
            <w:r>
              <w:rPr>
                <w:rFonts w:ascii="宋体" w:hAnsi="宋体" w:cs="宋体" w:eastAsia="宋体" w:hint="default"/>
                <w:w w:val="99"/>
                <w:sz w:val="18"/>
                <w:szCs w:val="18"/>
              </w:rPr>
              <w:t> </w:t>
            </w:r>
            <w:r>
              <w:rPr>
                <w:rFonts w:ascii="宋体" w:hAnsi="宋体" w:cs="宋体" w:eastAsia="宋体" w:hint="default"/>
                <w:sz w:val="18"/>
                <w:szCs w:val="18"/>
              </w:rPr>
              <w:t>规定，裁</w:t>
            </w:r>
            <w:r>
              <w:rPr>
                <w:rFonts w:ascii="宋体" w:hAnsi="宋体" w:cs="宋体" w:eastAsia="宋体" w:hint="default"/>
                <w:w w:val="99"/>
                <w:sz w:val="18"/>
                <w:szCs w:val="18"/>
              </w:rPr>
              <w:t> </w:t>
            </w:r>
            <w:r>
              <w:rPr>
                <w:rFonts w:ascii="宋体" w:hAnsi="宋体" w:cs="宋体" w:eastAsia="宋体" w:hint="default"/>
                <w:sz w:val="18"/>
                <w:szCs w:val="18"/>
              </w:rPr>
              <w:t>定驳回莱</w:t>
            </w:r>
            <w:r>
              <w:rPr>
                <w:rFonts w:ascii="宋体" w:hAnsi="宋体" w:cs="宋体" w:eastAsia="宋体" w:hint="default"/>
                <w:w w:val="99"/>
                <w:sz w:val="18"/>
                <w:szCs w:val="18"/>
              </w:rPr>
              <w:t> </w:t>
            </w:r>
            <w:r>
              <w:rPr>
                <w:rFonts w:ascii="宋体" w:hAnsi="宋体" w:cs="宋体" w:eastAsia="宋体" w:hint="default"/>
                <w:sz w:val="18"/>
                <w:szCs w:val="18"/>
              </w:rPr>
              <w:t>芜市雪野</w:t>
            </w:r>
            <w:r>
              <w:rPr>
                <w:rFonts w:ascii="宋体" w:hAnsi="宋体" w:cs="宋体" w:eastAsia="宋体" w:hint="default"/>
                <w:w w:val="99"/>
                <w:sz w:val="18"/>
                <w:szCs w:val="18"/>
              </w:rPr>
              <w:t> </w:t>
            </w:r>
            <w:r>
              <w:rPr>
                <w:rFonts w:ascii="宋体" w:hAnsi="宋体" w:cs="宋体" w:eastAsia="宋体" w:hint="default"/>
                <w:sz w:val="18"/>
                <w:szCs w:val="18"/>
              </w:rPr>
              <w:t>湖旅游产</w:t>
            </w:r>
            <w:r>
              <w:rPr>
                <w:rFonts w:ascii="宋体" w:hAnsi="宋体" w:cs="宋体" w:eastAsia="宋体" w:hint="default"/>
                <w:w w:val="99"/>
                <w:sz w:val="18"/>
                <w:szCs w:val="18"/>
              </w:rPr>
              <w:t> </w:t>
            </w:r>
            <w:r>
              <w:rPr>
                <w:rFonts w:ascii="宋体" w:hAnsi="宋体" w:cs="宋体" w:eastAsia="宋体" w:hint="default"/>
                <w:sz w:val="18"/>
                <w:szCs w:val="18"/>
              </w:rPr>
              <w:t>业发展有</w:t>
            </w:r>
            <w:r>
              <w:rPr>
                <w:rFonts w:ascii="宋体" w:hAnsi="宋体" w:cs="宋体" w:eastAsia="宋体" w:hint="default"/>
                <w:w w:val="99"/>
                <w:sz w:val="18"/>
                <w:szCs w:val="18"/>
              </w:rPr>
              <w:t> </w:t>
            </w:r>
            <w:r>
              <w:rPr>
                <w:rFonts w:ascii="宋体" w:hAnsi="宋体" w:cs="宋体" w:eastAsia="宋体" w:hint="default"/>
                <w:sz w:val="18"/>
                <w:szCs w:val="18"/>
              </w:rPr>
              <w:t>限公司上</w:t>
            </w:r>
            <w:r>
              <w:rPr>
                <w:rFonts w:ascii="宋体" w:hAnsi="宋体" w:cs="宋体" w:eastAsia="宋体" w:hint="default"/>
                <w:w w:val="99"/>
                <w:sz w:val="18"/>
                <w:szCs w:val="18"/>
              </w:rPr>
              <w:t> </w:t>
            </w:r>
            <w:r>
              <w:rPr>
                <w:rFonts w:ascii="宋体" w:hAnsi="宋体" w:cs="宋体" w:eastAsia="宋体" w:hint="default"/>
                <w:sz w:val="18"/>
                <w:szCs w:val="18"/>
              </w:rPr>
              <w:t>诉，维持</w:t>
            </w:r>
            <w:r>
              <w:rPr>
                <w:rFonts w:ascii="宋体" w:hAnsi="宋体" w:cs="宋体" w:eastAsia="宋体" w:hint="default"/>
                <w:w w:val="99"/>
                <w:sz w:val="18"/>
                <w:szCs w:val="18"/>
              </w:rPr>
              <w:t> </w:t>
            </w:r>
            <w:r>
              <w:rPr>
                <w:rFonts w:ascii="宋体" w:hAnsi="宋体" w:cs="宋体" w:eastAsia="宋体" w:hint="default"/>
                <w:sz w:val="18"/>
                <w:szCs w:val="18"/>
              </w:rPr>
              <w:t>原裁定。</w:t>
            </w:r>
            <w:r>
              <w:rPr>
                <w:rFonts w:ascii="宋体" w:hAnsi="宋体" w:cs="宋体" w:eastAsia="宋体" w:hint="default"/>
                <w:w w:val="99"/>
                <w:sz w:val="18"/>
                <w:szCs w:val="18"/>
              </w:rPr>
              <w:t> </w:t>
            </w:r>
            <w:r>
              <w:rPr>
                <w:rFonts w:ascii="宋体" w:hAnsi="宋体" w:cs="宋体" w:eastAsia="宋体" w:hint="default"/>
                <w:sz w:val="18"/>
                <w:szCs w:val="18"/>
              </w:rPr>
              <w:t>本裁定为</w:t>
            </w:r>
            <w:r>
              <w:rPr>
                <w:rFonts w:ascii="宋体" w:hAnsi="宋体" w:cs="宋体" w:eastAsia="宋体" w:hint="default"/>
                <w:w w:val="99"/>
                <w:sz w:val="18"/>
                <w:szCs w:val="18"/>
              </w:rPr>
              <w:t> </w:t>
            </w:r>
            <w:r>
              <w:rPr>
                <w:rFonts w:ascii="宋体" w:hAnsi="宋体" w:cs="宋体" w:eastAsia="宋体" w:hint="default"/>
                <w:sz w:val="18"/>
                <w:szCs w:val="18"/>
              </w:rPr>
              <w:t>终审裁</w:t>
            </w:r>
            <w:r>
              <w:rPr>
                <w:rFonts w:ascii="宋体" w:hAnsi="宋体" w:cs="宋体" w:eastAsia="宋体" w:hint="default"/>
                <w:w w:val="99"/>
                <w:sz w:val="18"/>
                <w:szCs w:val="18"/>
              </w:rPr>
              <w:t> </w:t>
            </w:r>
            <w:r>
              <w:rPr>
                <w:rFonts w:ascii="宋体" w:hAnsi="宋体" w:cs="宋体" w:eastAsia="宋体" w:hint="default"/>
                <w:sz w:val="18"/>
                <w:szCs w:val="18"/>
              </w:rPr>
              <w:t>定。</w:t>
            </w: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2018-56</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307" w:lineRule="auto" w:before="76"/>
              <w:ind w:left="103" w:right="48"/>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2018</w:t>
            </w:r>
            <w:r>
              <w:rPr>
                <w:rFonts w:ascii="宋体" w:hAnsi="宋体" w:cs="宋体" w:eastAsia="宋体" w:hint="default"/>
                <w:spacing w:val="-15"/>
                <w:sz w:val="18"/>
                <w:szCs w:val="18"/>
              </w:rPr>
              <w:t>）鲁</w:t>
            </w:r>
            <w:r>
              <w:rPr>
                <w:rFonts w:ascii="宋体" w:hAnsi="宋体" w:cs="宋体" w:eastAsia="宋体" w:hint="default"/>
                <w:spacing w:val="-52"/>
                <w:sz w:val="18"/>
                <w:szCs w:val="18"/>
              </w:rPr>
              <w:t>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诉讼案进 展的公告》</w:t>
            </w:r>
          </w:p>
          <w:p>
            <w:pPr>
              <w:pStyle w:val="TableParagraph"/>
              <w:spacing w:line="316" w:lineRule="auto" w:before="26"/>
              <w:ind w:left="103" w:right="22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2018-74</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63"/>
              <w:ind w:left="103" w:right="48"/>
              <w:jc w:val="left"/>
              <w:rPr>
                <w:rFonts w:ascii="宋体" w:hAnsi="宋体" w:cs="宋体" w:eastAsia="宋体" w:hint="default"/>
                <w:sz w:val="18"/>
                <w:szCs w:val="18"/>
              </w:rPr>
            </w:pPr>
            <w:r>
              <w:rPr>
                <w:rFonts w:ascii="宋体" w:hAnsi="宋体" w:cs="宋体" w:eastAsia="宋体" w:hint="default"/>
                <w:sz w:val="18"/>
                <w:szCs w:val="18"/>
              </w:rPr>
              <w:t>《关于全 资子公司 涉及重大 诉讼及进 展的公告》</w:t>
            </w:r>
          </w:p>
          <w:p>
            <w:pPr>
              <w:pStyle w:val="TableParagraph"/>
              <w:spacing w:line="316" w:lineRule="auto" w:before="19"/>
              <w:ind w:left="103" w:right="22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2018-91</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307" w:lineRule="auto" w:before="76"/>
              <w:ind w:left="103" w:right="48"/>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2018</w:t>
            </w:r>
            <w:r>
              <w:rPr>
                <w:rFonts w:ascii="宋体" w:hAnsi="宋体" w:cs="宋体" w:eastAsia="宋体" w:hint="default"/>
                <w:spacing w:val="-15"/>
                <w:sz w:val="18"/>
                <w:szCs w:val="18"/>
              </w:rPr>
              <w:t>）鲁</w:t>
            </w:r>
            <w:r>
              <w:rPr>
                <w:rFonts w:ascii="宋体" w:hAnsi="宋体" w:cs="宋体" w:eastAsia="宋体" w:hint="default"/>
                <w:spacing w:val="-52"/>
                <w:sz w:val="18"/>
                <w:szCs w:val="18"/>
              </w:rPr>
              <w:t>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诉讼案进 展的公告》</w:t>
            </w:r>
          </w:p>
          <w:p>
            <w:pPr>
              <w:pStyle w:val="TableParagraph"/>
              <w:spacing w:line="316" w:lineRule="auto" w:before="26"/>
              <w:ind w:left="103" w:right="22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2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2019-08</w:t>
            </w:r>
            <w:r>
              <w:rPr>
                <w:rFonts w:ascii="宋体" w:hAnsi="宋体" w:cs="宋体" w:eastAsia="宋体" w:hint="default"/>
                <w:sz w:val="18"/>
                <w:szCs w:val="18"/>
              </w:rPr>
              <w:t>）</w:t>
            </w:r>
          </w:p>
        </w:tc>
      </w:tr>
      <w:tr>
        <w:trPr>
          <w:trHeight w:val="597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185"/>
              <w:jc w:val="both"/>
              <w:rPr>
                <w:rFonts w:ascii="宋体" w:hAnsi="宋体" w:cs="宋体" w:eastAsia="宋体" w:hint="default"/>
                <w:sz w:val="18"/>
                <w:szCs w:val="18"/>
              </w:rPr>
            </w:pPr>
            <w:r>
              <w:rPr>
                <w:rFonts w:ascii="宋体" w:hAnsi="宋体" w:cs="宋体" w:eastAsia="宋体" w:hint="default"/>
                <w:sz w:val="18"/>
                <w:szCs w:val="18"/>
              </w:rPr>
              <w:t>华宇园林与四川 省渠县交通发展 有限公司、攀枝 花公路建设有限 公司建设工程施 工合同纠纷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8,000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02" w:right="104"/>
              <w:jc w:val="both"/>
              <w:rPr>
                <w:rFonts w:ascii="宋体" w:hAnsi="宋体" w:cs="宋体" w:eastAsia="宋体" w:hint="default"/>
                <w:sz w:val="18"/>
                <w:szCs w:val="18"/>
              </w:rPr>
            </w:pPr>
            <w:r>
              <w:rPr>
                <w:rFonts w:ascii="宋体" w:hAnsi="宋体" w:cs="宋体" w:eastAsia="宋体" w:hint="default"/>
                <w:sz w:val="18"/>
                <w:szCs w:val="18"/>
              </w:rPr>
              <w:t>一审已判 决，驳回 华宇园林 的起诉。 公司认为 该案件一 审事实认 定不清， 法律适用 错误，已 向四川省 高级人民 法院提出 上诉。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103" w:right="179"/>
              <w:jc w:val="both"/>
              <w:rPr>
                <w:rFonts w:ascii="宋体" w:hAnsi="宋体" w:cs="宋体" w:eastAsia="宋体" w:hint="default"/>
                <w:sz w:val="18"/>
                <w:szCs w:val="18"/>
              </w:rPr>
            </w:pPr>
            <w:r>
              <w:rPr>
                <w:rFonts w:ascii="宋体" w:hAnsi="宋体" w:cs="宋体" w:eastAsia="宋体" w:hint="default"/>
                <w:sz w:val="18"/>
                <w:szCs w:val="18"/>
              </w:rPr>
              <w:t>该案件对公司 暂无影响，取 决于法院对该 案件判决。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103" w:right="233"/>
              <w:jc w:val="left"/>
              <w:rPr>
                <w:rFonts w:ascii="宋体" w:hAnsi="宋体" w:cs="宋体" w:eastAsia="宋体" w:hint="default"/>
                <w:sz w:val="18"/>
                <w:szCs w:val="18"/>
              </w:rPr>
            </w:pPr>
            <w:r>
              <w:rPr>
                <w:rFonts w:ascii="宋体" w:hAnsi="宋体" w:cs="宋体" w:eastAsia="宋体" w:hint="default"/>
                <w:sz w:val="18"/>
                <w:szCs w:val="18"/>
              </w:rPr>
              <w:t>法院二审尚 未开庭审理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9" w:lineRule="auto" w:before="61"/>
              <w:ind w:left="103" w:right="1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 巨潮资讯 网</w:t>
            </w:r>
          </w:p>
          <w:p>
            <w:pPr>
              <w:pStyle w:val="TableParagraph"/>
              <w:spacing w:line="314" w:lineRule="auto" w:before="64"/>
              <w:ind w:left="10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www.cninf o.com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披露 </w:t>
            </w:r>
            <w:r>
              <w:rPr>
                <w:rFonts w:ascii="宋体" w:hAnsi="宋体" w:cs="宋体" w:eastAsia="宋体" w:hint="default"/>
                <w:spacing w:val="-11"/>
                <w:sz w:val="18"/>
                <w:szCs w:val="18"/>
              </w:rPr>
              <w:t>的《关于全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资子公司 涉及重大 诉讼及进 展的公告》</w:t>
            </w:r>
          </w:p>
          <w:p>
            <w:pPr>
              <w:pStyle w:val="TableParagraph"/>
              <w:spacing w:line="316" w:lineRule="auto" w:before="20"/>
              <w:ind w:left="103" w:right="22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2018-91</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309" w:lineRule="auto" w:before="63"/>
              <w:ind w:left="103" w:right="1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 巨潮资讯 网</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www.cninf</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2547"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o.com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披露 </w:t>
            </w:r>
            <w:r>
              <w:rPr>
                <w:rFonts w:ascii="宋体" w:hAnsi="宋体" w:cs="宋体" w:eastAsia="宋体" w:hint="default"/>
                <w:spacing w:val="-11"/>
                <w:sz w:val="18"/>
                <w:szCs w:val="18"/>
              </w:rPr>
              <w:t>的《关于全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资子公司</w:t>
            </w:r>
            <w:r>
              <w:rPr>
                <w:rFonts w:ascii="宋体" w:hAnsi="宋体" w:cs="宋体" w:eastAsia="宋体" w:hint="default"/>
                <w:sz w:val="18"/>
                <w:szCs w:val="18"/>
              </w:rPr>
              <w:t> 重大诉讼 进展的公 </w:t>
            </w:r>
            <w:r>
              <w:rPr>
                <w:rFonts w:ascii="宋体" w:hAnsi="宋体" w:cs="宋体" w:eastAsia="宋体" w:hint="default"/>
                <w:spacing w:val="-18"/>
                <w:sz w:val="18"/>
                <w:szCs w:val="18"/>
              </w:rPr>
              <w:t>告》（公告</w:t>
            </w:r>
            <w:r>
              <w:rPr>
                <w:rFonts w:ascii="宋体" w:hAnsi="宋体" w:cs="宋体" w:eastAsia="宋体" w:hint="default"/>
                <w:sz w:val="18"/>
                <w:szCs w:val="18"/>
              </w:rPr>
              <w:t> 编号： </w:t>
            </w:r>
            <w:r>
              <w:rPr>
                <w:rFonts w:ascii="Times New Roman" w:hAnsi="Times New Roman" w:cs="Times New Roman" w:eastAsia="Times New Roman" w:hint="default"/>
                <w:sz w:val="18"/>
                <w:szCs w:val="18"/>
              </w:rPr>
              <w:t>2019-27</w:t>
            </w:r>
            <w:r>
              <w:rPr>
                <w:rFonts w:ascii="宋体" w:hAnsi="宋体" w:cs="宋体" w:eastAsia="宋体" w:hint="default"/>
                <w:sz w:val="18"/>
                <w:szCs w:val="18"/>
              </w:rPr>
              <w:t>）</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5"/>
              <w:jc w:val="both"/>
              <w:rPr>
                <w:rFonts w:ascii="宋体" w:hAnsi="宋体" w:cs="宋体" w:eastAsia="宋体" w:hint="default"/>
                <w:sz w:val="18"/>
                <w:szCs w:val="18"/>
              </w:rPr>
            </w:pPr>
            <w:r>
              <w:rPr>
                <w:rFonts w:ascii="宋体" w:hAnsi="宋体" w:cs="宋体" w:eastAsia="宋体" w:hint="default"/>
                <w:sz w:val="18"/>
                <w:szCs w:val="18"/>
              </w:rPr>
              <w:t>报告期内公司未 达到重大诉讼披 露标准的其他诉 讼</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54" w:right="0"/>
              <w:jc w:val="left"/>
              <w:rPr>
                <w:rFonts w:ascii="Times New Roman" w:hAnsi="Times New Roman" w:cs="Times New Roman" w:eastAsia="Times New Roman" w:hint="default"/>
                <w:sz w:val="18"/>
                <w:szCs w:val="18"/>
              </w:rPr>
            </w:pPr>
            <w:r>
              <w:rPr>
                <w:rFonts w:ascii="Times New Roman"/>
                <w:sz w:val="18"/>
              </w:rPr>
              <w:t>3,474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82"/>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872"/>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982"/>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2"/>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452"/>
        <w:jc w:val="left"/>
      </w:pPr>
      <w:r>
        <w:rPr/>
        <w:t>□ 适用 √ 不适用 公司报告期无股权激励计划、员工持股计划或其他员工激励措施及其实施情况。</w:t>
      </w:r>
    </w:p>
    <w:p>
      <w:pPr>
        <w:spacing w:line="240" w:lineRule="auto" w:before="3"/>
        <w:rPr>
          <w:rFonts w:ascii="宋体" w:hAnsi="宋体" w:cs="宋体" w:eastAsia="宋体" w:hint="default"/>
          <w:sz w:val="18"/>
          <w:szCs w:val="18"/>
        </w:rPr>
      </w:pPr>
    </w:p>
    <w:p>
      <w:pPr>
        <w:pStyle w:val="Heading2"/>
        <w:spacing w:line="240" w:lineRule="auto"/>
        <w:ind w:right="982"/>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92"/>
        <w:jc w:val="left"/>
      </w:pPr>
      <w:r>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4"/>
        <w:spacing w:line="240" w:lineRule="auto"/>
        <w:ind w:right="982"/>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432"/>
        <w:jc w:val="left"/>
      </w:pPr>
      <w:r>
        <w:rPr/>
        <w:t>□ 适用 √ 不适用 公司报告期未发生资产或股权收购、出售的关联交易。</w:t>
      </w:r>
    </w:p>
    <w:p>
      <w:pPr>
        <w:spacing w:line="240" w:lineRule="auto" w:before="11"/>
        <w:rPr>
          <w:rFonts w:ascii="宋体" w:hAnsi="宋体" w:cs="宋体" w:eastAsia="宋体" w:hint="default"/>
          <w:sz w:val="19"/>
          <w:szCs w:val="19"/>
        </w:rPr>
      </w:pPr>
    </w:p>
    <w:p>
      <w:pPr>
        <w:pStyle w:val="Heading4"/>
        <w:spacing w:line="240" w:lineRule="auto"/>
        <w:ind w:right="982"/>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2"/>
        <w:jc w:val="left"/>
      </w:pPr>
      <w:r>
        <w:rPr/>
        <w:t>□ 适用 √ 不适用 公司报告期未发生共同对外投资的关联交易。</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2"/>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是否存在非经营性关联债权债务往来</w:t>
      </w:r>
    </w:p>
    <w:p>
      <w:pPr>
        <w:pStyle w:val="BodyText"/>
        <w:spacing w:line="357" w:lineRule="auto" w:before="29"/>
        <w:ind w:right="6972"/>
        <w:jc w:val="left"/>
      </w:pPr>
      <w:r>
        <w:rPr/>
        <w:t>□ 是 √ 否 公司报告期不存在非经营性关联债权债务往来。</w:t>
      </w:r>
    </w:p>
    <w:p>
      <w:pPr>
        <w:spacing w:line="240" w:lineRule="auto" w:before="13"/>
        <w:rPr>
          <w:rFonts w:ascii="宋体" w:hAnsi="宋体" w:cs="宋体" w:eastAsia="宋体" w:hint="default"/>
          <w:sz w:val="19"/>
          <w:szCs w:val="19"/>
        </w:rPr>
      </w:pPr>
    </w:p>
    <w:p>
      <w:pPr>
        <w:pStyle w:val="Heading4"/>
        <w:spacing w:line="240" w:lineRule="auto"/>
        <w:ind w:right="982"/>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right="982"/>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4"/>
        <w:spacing w:line="240" w:lineRule="auto"/>
        <w:ind w:right="982"/>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4"/>
        <w:spacing w:line="240" w:lineRule="auto"/>
        <w:ind w:right="982"/>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公司报告期不存在租赁情况。</w:t>
      </w:r>
    </w:p>
    <w:p>
      <w:pPr>
        <w:spacing w:line="240" w:lineRule="auto" w:before="13"/>
        <w:rPr>
          <w:rFonts w:ascii="宋体" w:hAnsi="宋体" w:cs="宋体" w:eastAsia="宋体" w:hint="default"/>
          <w:sz w:val="19"/>
          <w:szCs w:val="19"/>
        </w:rPr>
      </w:pPr>
    </w:p>
    <w:p>
      <w:pPr>
        <w:pStyle w:val="Heading4"/>
        <w:spacing w:line="240" w:lineRule="auto"/>
        <w:ind w:right="982"/>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9"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64"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8"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bl>
    <w:p>
      <w:pPr>
        <w:spacing w:after="0" w:line="316"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09"/>
        <w:gridCol w:w="921"/>
        <w:gridCol w:w="921"/>
        <w:gridCol w:w="1305"/>
        <w:gridCol w:w="1054"/>
        <w:gridCol w:w="1044"/>
        <w:gridCol w:w="1046"/>
        <w:gridCol w:w="791"/>
        <w:gridCol w:w="785"/>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6" w:right="183"/>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70" w:right="17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5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2" w:right="11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8"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重庆华宇园林有限 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81,000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73,400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73,400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73,400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6"/>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8"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7"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4"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73,400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73,400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30.65%</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792"/>
        <w:jc w:val="left"/>
      </w:pPr>
      <w:r>
        <w:rPr/>
        <w:t>□ 适用 √ 不适用 公司报告期无违规对外担保情况。</w:t>
      </w:r>
    </w:p>
    <w:p>
      <w:pPr>
        <w:spacing w:line="240" w:lineRule="auto" w:before="11"/>
        <w:rPr>
          <w:rFonts w:ascii="宋体" w:hAnsi="宋体" w:cs="宋体" w:eastAsia="宋体" w:hint="default"/>
          <w:sz w:val="19"/>
          <w:szCs w:val="19"/>
        </w:rPr>
      </w:pPr>
    </w:p>
    <w:p>
      <w:pPr>
        <w:pStyle w:val="Heading4"/>
        <w:spacing w:line="240" w:lineRule="auto"/>
        <w:ind w:right="982"/>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4"/>
        <w:spacing w:line="240" w:lineRule="auto"/>
        <w:ind w:right="982"/>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公司报告期不存在委托贷款。</w:t>
      </w:r>
    </w:p>
    <w:p>
      <w:pPr>
        <w:spacing w:after="0" w:line="36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both"/>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公司报告期不存在其他重大合同。</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bookmarkStart w:name="十八、社会责任情况" w:id="99"/>
      <w:bookmarkEnd w:id="99"/>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982" w:firstLine="360"/>
        <w:jc w:val="left"/>
      </w:pPr>
      <w:r>
        <w:rPr>
          <w:spacing w:val="-2"/>
        </w:rPr>
        <w:t>企业存在的前提是盈利，盈利的最终目的是承担社会责任。作为一家上市公司，在发展壮大的过程中，在实践中追求企</w:t>
      </w:r>
      <w:r>
        <w:rPr/>
        <w:t> </w:t>
      </w:r>
      <w:r>
        <w:rPr>
          <w:spacing w:val="-2"/>
        </w:rPr>
        <w:t>业与股东、员工、社会、自然的和谐发展，以实际行动回报社会，创建和谐的企业发展环境。公司以</w:t>
      </w:r>
      <w:r>
        <w:rPr>
          <w:rFonts w:ascii="Times New Roman" w:hAnsi="Times New Roman" w:cs="Times New Roman" w:eastAsia="Times New Roman" w:hint="default"/>
          <w:spacing w:val="-2"/>
        </w:rPr>
        <w:t>“</w:t>
      </w:r>
      <w:r>
        <w:rPr>
          <w:spacing w:val="-2"/>
        </w:rPr>
        <w:t>立足报国、服务社会、</w:t>
      </w:r>
      <w:r>
        <w:rPr>
          <w:spacing w:val="-54"/>
        </w:rPr>
        <w:t> </w:t>
      </w:r>
      <w:r>
        <w:rPr>
          <w:spacing w:val="-54"/>
        </w:rPr>
      </w:r>
      <w:r>
        <w:rPr/>
        <w:t>回报股东、造福职工</w:t>
      </w:r>
      <w:r>
        <w:rPr>
          <w:rFonts w:ascii="Times New Roman" w:hAnsi="Times New Roman" w:cs="Times New Roman" w:eastAsia="Times New Roman" w:hint="default"/>
        </w:rPr>
        <w:t>”</w:t>
      </w:r>
      <w:r>
        <w:rPr/>
        <w:t>为己任，从各个层面履行社会责任。</w:t>
      </w:r>
    </w:p>
    <w:p>
      <w:pPr>
        <w:pStyle w:val="BodyText"/>
        <w:spacing w:line="357" w:lineRule="auto" w:before="44"/>
        <w:ind w:left="474" w:right="982"/>
        <w:jc w:val="left"/>
      </w:pPr>
      <w:r>
        <w:rPr/>
        <w:t>（</w:t>
      </w:r>
      <w:r>
        <w:rPr>
          <w:rFonts w:ascii="宋体" w:hAnsi="宋体" w:cs="宋体" w:eastAsia="宋体" w:hint="default"/>
        </w:rPr>
        <w:t>1</w:t>
      </w:r>
      <w:r>
        <w:rPr/>
        <w:t>）去伪存真，为消费者的食品安全保驾护航 </w:t>
      </w:r>
      <w:r>
        <w:rPr>
          <w:spacing w:val="-2"/>
        </w:rPr>
        <w:t>食品安全影响着每个人的日常生活和健康，酒类市场也长期存在假冒伪劣商品，给生产、流通企业和消费者都造成巨大</w:t>
      </w:r>
    </w:p>
    <w:p>
      <w:pPr>
        <w:pStyle w:val="BodyText"/>
        <w:spacing w:line="224" w:lineRule="exact"/>
        <w:ind w:right="0"/>
        <w:jc w:val="both"/>
      </w:pPr>
      <w:r>
        <w:rPr/>
        <w:t>损失，甚至生命的代价。多年来公司一直致力于防伪瓶盖的创新研发与生产推广，用实际行动保障消费者的食品健康安全。</w:t>
      </w:r>
    </w:p>
    <w:p>
      <w:pPr>
        <w:pStyle w:val="BodyText"/>
        <w:spacing w:line="319" w:lineRule="auto" w:before="76"/>
        <w:ind w:right="1132"/>
        <w:jc w:val="both"/>
      </w:pPr>
      <w:r>
        <w:rPr>
          <w:rFonts w:ascii="宋体" w:hAnsi="宋体" w:cs="宋体" w:eastAsia="宋体" w:hint="default"/>
          <w:spacing w:val="-4"/>
        </w:rPr>
        <w:t>2016</w:t>
      </w:r>
      <w:r>
        <w:rPr>
          <w:spacing w:val="-4"/>
        </w:rPr>
        <w:t>年，公司以酒品质量安全保障为切入点，创新推出“二维码智能瓶盖”，提供“酒企</w:t>
      </w:r>
      <w:r>
        <w:rPr>
          <w:rFonts w:ascii="宋体" w:hAnsi="宋体" w:cs="宋体" w:eastAsia="宋体" w:hint="default"/>
          <w:spacing w:val="-4"/>
        </w:rPr>
        <w:t>+</w:t>
      </w:r>
      <w:r>
        <w:rPr>
          <w:spacing w:val="-4"/>
        </w:rPr>
        <w:t>互联网”一站式解决方案，具有打</w:t>
      </w:r>
      <w:r>
        <w:rPr>
          <w:spacing w:val="-39"/>
        </w:rPr>
        <w:t> </w:t>
      </w:r>
      <w:r>
        <w:rPr>
          <w:spacing w:val="-39"/>
        </w:rPr>
      </w:r>
      <w:r>
        <w:rPr>
          <w:spacing w:val="-2"/>
        </w:rPr>
        <w:t>假防伪、溯源等多重功能，互联网、大数据分析等应用，从根本上保障了消费者食品安全。同时丽鹏股份也积极将这一技术</w:t>
      </w:r>
      <w:r>
        <w:rPr>
          <w:spacing w:val="-66"/>
        </w:rPr>
        <w:t> </w:t>
      </w:r>
      <w:r>
        <w:rPr>
          <w:spacing w:val="-66"/>
        </w:rPr>
      </w:r>
      <w:r>
        <w:rPr/>
        <w:t>由打假需求最强烈的白酒企业向其他食品行业推广。</w:t>
      </w:r>
    </w:p>
    <w:p>
      <w:pPr>
        <w:pStyle w:val="BodyText"/>
        <w:spacing w:line="357" w:lineRule="auto" w:before="58"/>
        <w:ind w:left="474" w:right="982"/>
        <w:jc w:val="left"/>
      </w:pPr>
      <w:r>
        <w:rPr/>
        <w:t>（</w:t>
      </w:r>
      <w:r>
        <w:rPr>
          <w:rFonts w:ascii="宋体" w:hAnsi="宋体" w:cs="宋体" w:eastAsia="宋体" w:hint="default"/>
        </w:rPr>
        <w:t>2</w:t>
      </w:r>
      <w:r>
        <w:rPr/>
        <w:t>）打造青山绿水、和谐宜居的生态环境 </w:t>
      </w:r>
      <w:r>
        <w:rPr>
          <w:spacing w:val="-2"/>
        </w:rPr>
        <w:t>环境污染是一个国家在发展的过程中必然要面对的课题，中国自改革开放以来，经济增长的步伐迈的很大，同时在一定</w:t>
      </w:r>
    </w:p>
    <w:p>
      <w:pPr>
        <w:pStyle w:val="BodyText"/>
        <w:spacing w:line="224" w:lineRule="exact"/>
        <w:ind w:right="0"/>
        <w:jc w:val="both"/>
      </w:pPr>
      <w:r>
        <w:rPr/>
        <w:t>程度上也忽略了生态环境的保护，丽鹏在发展的道路上无时无刻不在努力着，如使用天然气、循环水、符合环保标准的原材</w:t>
      </w:r>
    </w:p>
    <w:p>
      <w:pPr>
        <w:pStyle w:val="BodyText"/>
        <w:spacing w:line="240" w:lineRule="auto" w:before="77"/>
        <w:ind w:right="0"/>
        <w:jc w:val="both"/>
      </w:pPr>
      <w:r>
        <w:rPr/>
        <w:t>料等。</w:t>
      </w:r>
    </w:p>
    <w:p>
      <w:pPr>
        <w:pStyle w:val="BodyText"/>
        <w:spacing w:line="319" w:lineRule="auto" w:before="115"/>
        <w:ind w:right="1131" w:firstLine="360"/>
        <w:jc w:val="both"/>
      </w:pPr>
      <w:r>
        <w:rPr>
          <w:spacing w:val="-2"/>
        </w:rPr>
        <w:t>华宇园林设生态环保部门，取得了重庆市环境污染治理（生态修复、废水、固废）甲级资质证书，在生态修复方面拥有</w:t>
      </w:r>
      <w:r>
        <w:rPr/>
        <w:t> </w:t>
      </w:r>
      <w:r>
        <w:rPr>
          <w:spacing w:val="-2"/>
        </w:rPr>
        <w:t>自己的核心技术，并与全国多家专业科研机构及大学院校建立了良好且持久的战略合作关系。其中，与西南大学园艺园林学</w:t>
      </w:r>
      <w:r>
        <w:rPr>
          <w:spacing w:val="-66"/>
        </w:rPr>
        <w:t> </w:t>
      </w:r>
      <w:r>
        <w:rPr>
          <w:spacing w:val="-66"/>
        </w:rPr>
      </w:r>
      <w:r>
        <w:rPr>
          <w:spacing w:val="-2"/>
        </w:rPr>
        <w:t>院合作成立了研发中心，设立“华宇园林奖学金”；与重庆园林行业协会、重庆文理学院联合举办了</w:t>
      </w:r>
      <w:r>
        <w:rPr>
          <w:rFonts w:ascii="宋体" w:hAnsi="宋体" w:cs="宋体" w:eastAsia="宋体" w:hint="default"/>
          <w:spacing w:val="-2"/>
        </w:rPr>
        <w:t>2016</w:t>
      </w:r>
      <w:r>
        <w:rPr>
          <w:spacing w:val="-2"/>
        </w:rPr>
        <w:t>级“华宇杯”校园</w:t>
      </w:r>
      <w:r>
        <w:rPr>
          <w:spacing w:val="-68"/>
        </w:rPr>
        <w:t> </w:t>
      </w:r>
      <w:r>
        <w:rPr>
          <w:spacing w:val="-2"/>
        </w:rPr>
        <w:t>景观设计大赛；与西南大学资源环境学院合作，为黑臭水体、水环境与土壤修复的研究提供了技术支持，获得了多项科研成</w:t>
      </w:r>
      <w:r>
        <w:rPr>
          <w:spacing w:val="-66"/>
        </w:rPr>
        <w:t> </w:t>
      </w:r>
      <w:r>
        <w:rPr>
          <w:spacing w:val="-66"/>
        </w:rPr>
      </w:r>
      <w:r>
        <w:rPr/>
        <w:t>果和专利。</w:t>
      </w:r>
    </w:p>
    <w:p>
      <w:pPr>
        <w:pStyle w:val="BodyText"/>
        <w:spacing w:line="319" w:lineRule="auto" w:before="56"/>
        <w:ind w:right="982" w:firstLine="360"/>
        <w:jc w:val="left"/>
      </w:pPr>
      <w:r>
        <w:rPr>
          <w:spacing w:val="-2"/>
        </w:rPr>
        <w:t>公司以“生态修复，低碳造园”为核心竞争力，立志成为国内最优秀的风景园林工程和生态环境建设的领跑者。公司以</w:t>
      </w:r>
      <w:r>
        <w:rPr/>
        <w:t> </w:t>
      </w:r>
      <w:r>
        <w:rPr>
          <w:spacing w:val="-2"/>
        </w:rPr>
        <w:t>绿色事业为使命，致力于推动“大生态、大环保、大园林”绿色行业的发展。华宇园林紧紧围绕国家战略，以生态文明建设</w:t>
      </w:r>
      <w:r>
        <w:rPr>
          <w:spacing w:val="-70"/>
        </w:rPr>
        <w:t> </w:t>
      </w:r>
      <w:r>
        <w:rPr>
          <w:spacing w:val="-70"/>
        </w:rPr>
      </w:r>
      <w:r>
        <w:rPr>
          <w:spacing w:val="-2"/>
        </w:rPr>
        <w:t>为己任，尊重自然、顺应自然、保护自然。</w:t>
      </w:r>
      <w:r>
        <w:rPr>
          <w:rFonts w:ascii="宋体" w:hAnsi="宋体" w:cs="宋体" w:eastAsia="宋体" w:hint="default"/>
          <w:spacing w:val="-2"/>
        </w:rPr>
        <w:t>2016</w:t>
      </w:r>
      <w:r>
        <w:rPr>
          <w:spacing w:val="-2"/>
        </w:rPr>
        <w:t>年，参与安顺市西秀区生态修复综合治理项目“四在农家•美丽乡村”建设，</w:t>
      </w:r>
      <w:r>
        <w:rPr>
          <w:spacing w:val="-63"/>
        </w:rPr>
        <w:t> </w:t>
      </w:r>
      <w:r>
        <w:rPr>
          <w:spacing w:val="-63"/>
        </w:rPr>
      </w:r>
      <w:r>
        <w:rPr>
          <w:spacing w:val="-2"/>
        </w:rPr>
        <w:t>充分利用了贵州独特的气候、生态环境、田园风光等优势，以“多彩贵州·四在农家·美丽乡村”为主题，注重人居环境改</w:t>
      </w:r>
      <w:r>
        <w:rPr>
          <w:spacing w:val="-67"/>
        </w:rPr>
        <w:t> </w:t>
      </w:r>
      <w:r>
        <w:rPr>
          <w:spacing w:val="-67"/>
        </w:rPr>
      </w:r>
      <w:r>
        <w:rPr/>
        <w:t>造、保护生态环境、保护传统文化、保护传统村落，留住乡愁。</w:t>
      </w:r>
    </w:p>
    <w:p>
      <w:pPr>
        <w:pStyle w:val="BodyText"/>
        <w:spacing w:line="319" w:lineRule="auto" w:before="55"/>
        <w:ind w:right="982" w:firstLine="360"/>
        <w:jc w:val="left"/>
      </w:pPr>
      <w:r>
        <w:rPr>
          <w:spacing w:val="-2"/>
        </w:rPr>
        <w:t>未来，公司将积极履行社会责任，在兼顾环境保护的同时，致力于打造广受客户青睐、赢得社会信赖的知名品牌，实现</w:t>
      </w:r>
      <w:r>
        <w:rPr/>
        <w:t> 商业利益与社会责任的高度统一。</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报告期内无精准扶贫规划</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报告期内无精准扶贫规划</w:t>
      </w:r>
    </w:p>
    <w:p>
      <w:pPr>
        <w:spacing w:after="0" w:line="240"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left="254" w:right="5712"/>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left="254" w:right="5712"/>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5712"/>
        <w:jc w:val="left"/>
      </w:pPr>
      <w:r>
        <w:rPr/>
        <w:t>后续无精准扶贫规划</w:t>
      </w:r>
    </w:p>
    <w:p>
      <w:pPr>
        <w:spacing w:line="240" w:lineRule="auto" w:before="12"/>
        <w:rPr>
          <w:rFonts w:ascii="宋体" w:hAnsi="宋体" w:cs="宋体" w:eastAsia="宋体" w:hint="default"/>
          <w:sz w:val="26"/>
          <w:szCs w:val="26"/>
        </w:rPr>
      </w:pPr>
    </w:p>
    <w:p>
      <w:pPr>
        <w:pStyle w:val="Heading4"/>
        <w:spacing w:line="240" w:lineRule="auto"/>
        <w:ind w:left="254" w:right="5712"/>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254" w:right="5712"/>
        <w:jc w:val="left"/>
      </w:pPr>
      <w:r>
        <w:rPr/>
        <w:t>上市公司及其子公司是否属于环境保护部门公布的重点排污单位 不适用</w:t>
      </w:r>
    </w:p>
    <w:p>
      <w:pPr>
        <w:pStyle w:val="BodyText"/>
        <w:spacing w:line="240" w:lineRule="auto" w:before="28"/>
        <w:ind w:left="25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年公司合并报表范围的子公司受到环保行政处罚</w:t>
      </w:r>
      <w:r>
        <w:rPr>
          <w:spacing w:val="-46"/>
        </w:rPr>
        <w:t> </w:t>
      </w:r>
      <w:r>
        <w:rPr>
          <w:rFonts w:ascii="Times New Roman" w:hAnsi="Times New Roman" w:cs="Times New Roman" w:eastAsia="Times New Roman" w:hint="default"/>
        </w:rPr>
        <w:t>2 </w:t>
      </w:r>
      <w:r>
        <w:rPr/>
        <w:t>起，共计</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583"/>
        <w:gridCol w:w="2700"/>
        <w:gridCol w:w="1676"/>
        <w:gridCol w:w="2850"/>
        <w:gridCol w:w="862"/>
        <w:gridCol w:w="1147"/>
      </w:tblGrid>
      <w:tr>
        <w:trPr>
          <w:trHeight w:val="755"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处罚原因</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116"/>
              <w:ind w:left="7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整改情况</w:t>
            </w:r>
          </w:p>
        </w:tc>
      </w:tr>
      <w:tr>
        <w:trPr>
          <w:trHeight w:val="1026"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四川泸州丽鹏制盖有限公司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15"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、未按照规定使用挥发性废气污 染防治设施；</w:t>
            </w:r>
            <w:r>
              <w:rPr>
                <w:rFonts w:ascii="Times New Roman" w:hAnsi="Times New Roman" w:cs="Times New Roman" w:eastAsia="Times New Roman" w:hint="default"/>
                <w:sz w:val="18"/>
                <w:szCs w:val="18"/>
              </w:rPr>
              <w:t>2</w:t>
            </w:r>
            <w:r>
              <w:rPr>
                <w:rFonts w:ascii="宋体" w:hAnsi="宋体" w:cs="宋体" w:eastAsia="宋体" w:hint="default"/>
                <w:sz w:val="18"/>
                <w:szCs w:val="18"/>
              </w:rPr>
              <w:t>、不按照国家规定 申报登记危险废物</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已完成整改</w:t>
            </w:r>
          </w:p>
        </w:tc>
      </w:tr>
      <w:tr>
        <w:trPr>
          <w:trHeight w:val="889"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39"/>
              <w:ind w:left="969" w:right="101" w:hanging="867"/>
              <w:jc w:val="left"/>
              <w:rPr>
                <w:rFonts w:ascii="宋体" w:hAnsi="宋体" w:cs="宋体" w:eastAsia="宋体" w:hint="default"/>
                <w:sz w:val="18"/>
                <w:szCs w:val="18"/>
              </w:rPr>
            </w:pPr>
            <w:r>
              <w:rPr>
                <w:rFonts w:ascii="宋体" w:hAnsi="宋体" w:cs="宋体" w:eastAsia="宋体" w:hint="default"/>
                <w:spacing w:val="-5"/>
                <w:sz w:val="18"/>
                <w:szCs w:val="18"/>
              </w:rPr>
              <w:t>稀料回收房未设置围堰，地面未采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取防渗措施</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已完成整改</w:t>
            </w:r>
          </w:p>
        </w:tc>
      </w:tr>
      <w:tr>
        <w:trPr>
          <w:trHeight w:val="738" w:hRule="exact"/>
        </w:trPr>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7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880" w:right="0"/>
        </w:sectPr>
      </w:pPr>
    </w:p>
    <w:p>
      <w:pPr>
        <w:spacing w:line="240" w:lineRule="auto" w:before="8"/>
        <w:rPr>
          <w:rFonts w:ascii="宋体" w:hAnsi="宋体" w:cs="宋体" w:eastAsia="宋体" w:hint="default"/>
          <w:sz w:val="20"/>
          <w:szCs w:val="20"/>
        </w:rPr>
      </w:pPr>
    </w:p>
    <w:p>
      <w:pPr>
        <w:pStyle w:val="Heading2"/>
        <w:spacing w:line="240" w:lineRule="auto" w:before="26"/>
        <w:ind w:right="982"/>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0"/>
        <w:rPr>
          <w:rFonts w:ascii="宋体" w:hAnsi="宋体" w:cs="宋体" w:eastAsia="宋体" w:hint="default"/>
          <w:sz w:val="18"/>
          <w:szCs w:val="18"/>
        </w:rPr>
      </w:pPr>
    </w:p>
    <w:p>
      <w:pPr>
        <w:pStyle w:val="BodyText"/>
        <w:spacing w:line="300" w:lineRule="auto" w:before="140"/>
        <w:ind w:right="1133"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日，公司原实际控制人孙世尧、霍文菊、于志芬、孙红丽与中锐控股集团有限公司签署《关于协议转让山 </w:t>
      </w:r>
      <w:r>
        <w:rPr>
          <w:spacing w:val="-5"/>
        </w:rPr>
        <w:t>东丽鹏股份有限公司股份的意向协议》。</w:t>
      </w:r>
    </w:p>
    <w:p>
      <w:pPr>
        <w:spacing w:line="240" w:lineRule="auto" w:before="4"/>
        <w:rPr>
          <w:rFonts w:ascii="宋体" w:hAnsi="宋体" w:cs="宋体" w:eastAsia="宋体" w:hint="default"/>
          <w:sz w:val="25"/>
          <w:szCs w:val="25"/>
        </w:rPr>
      </w:pPr>
    </w:p>
    <w:p>
      <w:pPr>
        <w:pStyle w:val="BodyText"/>
        <w:spacing w:line="300" w:lineRule="auto"/>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日，孙世尧、霍文菊、于志芬、孙红丽与中锐控股集团有限公司、苏州睿畅投资管理有限公司签署《股份 </w:t>
      </w:r>
      <w:r>
        <w:rPr>
          <w:spacing w:val="-9"/>
        </w:rPr>
        <w:t>转让协议》，约定孙世尧、霍文菊、于志芬、孙红丽将分别持有的，合计占上市公司已发行股份总额的</w:t>
      </w:r>
      <w:r>
        <w:rPr>
          <w:rFonts w:ascii="Times New Roman" w:hAnsi="Times New Roman" w:cs="Times New Roman" w:eastAsia="Times New Roman" w:hint="default"/>
          <w:spacing w:val="-9"/>
        </w:rPr>
        <w:t>11%</w:t>
      </w:r>
      <w:r>
        <w:rPr>
          <w:spacing w:val="-9"/>
        </w:rPr>
        <w:t>的上市公司</w:t>
      </w:r>
      <w:r>
        <w:rPr>
          <w:rFonts w:ascii="Times New Roman" w:hAnsi="Times New Roman" w:cs="Times New Roman" w:eastAsia="Times New Roman" w:hint="default"/>
          <w:spacing w:val="-9"/>
        </w:rPr>
        <w:t>96,517,021</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1"/>
        </w:rPr>
        <w:t>股无限售流通股份转让给苏州睿畅投资管理有限公司，同时，孙世尧同意将其继续持有的丽鹏股份</w:t>
      </w:r>
      <w:r>
        <w:rPr>
          <w:rFonts w:ascii="Times New Roman" w:hAnsi="Times New Roman" w:cs="Times New Roman" w:eastAsia="Times New Roman" w:hint="default"/>
          <w:spacing w:val="-1"/>
        </w:rPr>
        <w:t>66,649,111</w:t>
      </w:r>
      <w:r>
        <w:rPr>
          <w:spacing w:val="-1"/>
        </w:rPr>
        <w:t>股</w:t>
      </w:r>
      <w:r>
        <w:rPr>
          <w:rFonts w:ascii="Times New Roman" w:hAnsi="Times New Roman" w:cs="Times New Roman" w:eastAsia="Times New Roman" w:hint="default"/>
          <w:spacing w:val="-1"/>
        </w:rPr>
        <w:t>(</w:t>
      </w:r>
      <w:r>
        <w:rPr>
          <w:spacing w:val="-1"/>
        </w:rPr>
        <w:t>占上市公司</w:t>
      </w:r>
      <w:r>
        <w:rPr>
          <w:spacing w:val="-85"/>
        </w:rPr>
        <w:t> </w:t>
      </w:r>
      <w:r>
        <w:rPr/>
        <w:t>现有总股本的</w:t>
      </w:r>
      <w:r>
        <w:rPr>
          <w:rFonts w:ascii="Times New Roman" w:hAnsi="Times New Roman" w:cs="Times New Roman" w:eastAsia="Times New Roman" w:hint="default"/>
        </w:rPr>
        <w:t>7.6%</w:t>
      </w:r>
      <w:r>
        <w:rPr/>
        <w:t>包括上述股份因配股、送股、转增股等而增加的股份</w:t>
      </w:r>
      <w:r>
        <w:rPr>
          <w:rFonts w:ascii="Times New Roman" w:hAnsi="Times New Roman" w:cs="Times New Roman" w:eastAsia="Times New Roman" w:hint="default"/>
        </w:rPr>
        <w:t>)</w:t>
      </w:r>
      <w:r>
        <w:rPr/>
        <w:t>所对应的表决权委托给苏州睿畅投资管理有限公司</w:t>
      </w:r>
      <w:r>
        <w:rPr>
          <w:spacing w:val="-73"/>
        </w:rPr>
        <w:t> </w:t>
      </w:r>
      <w:r>
        <w:rPr>
          <w:spacing w:val="-73"/>
        </w:rPr>
      </w:r>
      <w:r>
        <w:rPr/>
        <w:t>行使。</w:t>
      </w:r>
    </w:p>
    <w:p>
      <w:pPr>
        <w:spacing w:line="240" w:lineRule="auto" w:before="4"/>
        <w:rPr>
          <w:rFonts w:ascii="宋体" w:hAnsi="宋体" w:cs="宋体" w:eastAsia="宋体" w:hint="default"/>
          <w:sz w:val="25"/>
          <w:szCs w:val="25"/>
        </w:rPr>
      </w:pPr>
    </w:p>
    <w:p>
      <w:pPr>
        <w:pStyle w:val="BodyText"/>
        <w:spacing w:line="300" w:lineRule="auto"/>
        <w:ind w:right="112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日，经协商一致，孙世尧、霍文菊、于志芬、孙红丽与中锐控股集团有限公司、苏州睿畅投资管理有限公司</w:t>
      </w:r>
      <w:r>
        <w:rPr/>
        <w:t> </w:t>
      </w:r>
      <w:r>
        <w:rPr>
          <w:spacing w:val="-4"/>
        </w:rPr>
        <w:t>重新签署了《股份转让协议》取代了各方于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26</w:t>
      </w:r>
      <w:r>
        <w:rPr>
          <w:spacing w:val="-4"/>
        </w:rPr>
        <w:t>日签订的《股份转让协议》。签署后的《股份转让协议》取消了孙世</w:t>
      </w:r>
      <w:r>
        <w:rPr>
          <w:spacing w:val="-34"/>
        </w:rPr>
        <w:t> </w:t>
      </w:r>
      <w:r>
        <w:rPr>
          <w:spacing w:val="-34"/>
        </w:rPr>
      </w:r>
      <w:r>
        <w:rPr/>
        <w:t>尧、霍文菊、于志芬、孙红丽对上市公司业绩承诺事项，其余内容不变。</w:t>
      </w:r>
    </w:p>
    <w:p>
      <w:pPr>
        <w:spacing w:line="240" w:lineRule="auto" w:before="4"/>
        <w:rPr>
          <w:rFonts w:ascii="宋体" w:hAnsi="宋体" w:cs="宋体" w:eastAsia="宋体" w:hint="default"/>
          <w:sz w:val="25"/>
          <w:szCs w:val="25"/>
        </w:rPr>
      </w:pPr>
    </w:p>
    <w:p>
      <w:pPr>
        <w:pStyle w:val="BodyText"/>
        <w:spacing w:line="309" w:lineRule="auto"/>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日，取得中国证券登记结算有限责任公司《证券过户登记确认书》，过户完成。公司由原控股股东孙世尧变</w:t>
      </w:r>
      <w:r>
        <w:rPr/>
        <w:t> </w:t>
      </w:r>
      <w:r>
        <w:rPr>
          <w:spacing w:val="-2"/>
        </w:rPr>
        <w:t>更为新控股股东苏州睿畅投资管理有限公司，由原实际控制人孙世尧、霍文菊、于志芬、孙红丽、孙鲲鹏变更为新实际控制</w:t>
      </w:r>
      <w:r>
        <w:rPr>
          <w:spacing w:val="-65"/>
        </w:rPr>
        <w:t> </w:t>
      </w:r>
      <w:r>
        <w:rPr>
          <w:spacing w:val="-65"/>
        </w:rPr>
      </w:r>
      <w:r>
        <w:rPr/>
        <w:t>人钱建蓉。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982"/>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 适用 √ 不适用</w:t>
      </w:r>
    </w:p>
    <w:p>
      <w:pPr>
        <w:spacing w:after="0" w:line="240" w:lineRule="auto"/>
        <w:jc w:val="left"/>
        <w:sectPr>
          <w:headerReference w:type="default" r:id="rId14"/>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26" w:right="982"/>
        <w:jc w:val="left"/>
        <w:rPr>
          <w:b w:val="0"/>
          <w:bCs w:val="0"/>
        </w:rPr>
      </w:pPr>
      <w:bookmarkStart w:name="第六节 股份变动及股东情况" w:id="109"/>
      <w:bookmarkEnd w:id="109"/>
      <w:r>
        <w:rPr>
          <w:b w:val="0"/>
          <w:bCs w:val="0"/>
        </w:rPr>
      </w:r>
      <w:bookmarkStart w:name="_bookmark5" w:id="110"/>
      <w:bookmarkEnd w:id="11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2"/>
        <w:jc w:val="left"/>
        <w:rPr>
          <w:b w:val="0"/>
          <w:bCs w:val="0"/>
        </w:rPr>
      </w:pPr>
      <w:bookmarkStart w:name="一、股份变动情况" w:id="111"/>
      <w:bookmarkEnd w:id="11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153,559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,423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0,407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16.23%</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153,559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,423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0,407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16.23%</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0.75%</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146,959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,423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16.75%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135,79</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0,407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15.48%</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723,868</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,045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735,03</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7,061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83.77%</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723,868</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,045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735,03</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7,061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83.77%</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877,427</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,468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877,42</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7,468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982"/>
        <w:jc w:val="left"/>
      </w:pPr>
      <w:r>
        <w:rPr/>
        <w:t>股份变动的原因</w:t>
      </w:r>
    </w:p>
    <w:p>
      <w:pPr>
        <w:pStyle w:val="BodyText"/>
        <w:spacing w:line="357" w:lineRule="auto" w:before="117"/>
        <w:ind w:right="9132"/>
        <w:jc w:val="left"/>
      </w:pPr>
      <w:r>
        <w:rPr/>
        <w:t>□ 适用 √ 不适用 股份变动的批准情况</w:t>
      </w:r>
    </w:p>
    <w:p>
      <w:pPr>
        <w:pStyle w:val="BodyText"/>
        <w:spacing w:line="240" w:lineRule="auto" w:before="28"/>
        <w:ind w:right="982"/>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2"/>
        <w:jc w:val="left"/>
      </w:pPr>
      <w:r>
        <w:rPr/>
        <w:t>股份变动的过户情况</w:t>
      </w:r>
    </w:p>
    <w:p>
      <w:pPr>
        <w:pStyle w:val="BodyText"/>
        <w:spacing w:line="360" w:lineRule="auto" w:before="116"/>
        <w:ind w:right="8772"/>
        <w:jc w:val="left"/>
      </w:pPr>
      <w:r>
        <w:rPr/>
        <w:t>□ 适用 √ 不适用 股份回购的实施进展情况</w:t>
      </w:r>
    </w:p>
    <w:p>
      <w:pPr>
        <w:pStyle w:val="BodyText"/>
        <w:spacing w:line="357" w:lineRule="auto" w:before="26"/>
        <w:ind w:right="6972"/>
        <w:jc w:val="left"/>
      </w:pPr>
      <w:r>
        <w:rPr/>
        <w:t>□ 适用 √ 不适用 采用集中竞价方式减持回购股份的实施进展情况</w:t>
      </w:r>
    </w:p>
    <w:p>
      <w:pPr>
        <w:pStyle w:val="BodyText"/>
        <w:spacing w:line="357" w:lineRule="auto" w:before="29"/>
        <w:ind w:right="1392"/>
        <w:jc w:val="left"/>
      </w:pPr>
      <w:r>
        <w:rPr/>
        <w:t>□ 适用 √ 不适用 股份变动对最近一年和最近一期基本每股收益和稀释每股收益、归属于公司普通股股东的每股净资产等财务指标的影响</w:t>
      </w:r>
    </w:p>
    <w:p>
      <w:pPr>
        <w:pStyle w:val="BodyText"/>
        <w:spacing w:line="360" w:lineRule="auto" w:before="28"/>
        <w:ind w:right="6792"/>
        <w:jc w:val="left"/>
      </w:pPr>
      <w:r>
        <w:rPr/>
        <w:t>□ 适用 √ 不适用 公司认为必要或证券监管机构要求披露的其他内容</w:t>
      </w:r>
    </w:p>
    <w:p>
      <w:pPr>
        <w:pStyle w:val="BodyText"/>
        <w:spacing w:line="240" w:lineRule="auto" w:before="26"/>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2"/>
        <w:jc w:val="left"/>
      </w:pPr>
      <w:r>
        <w:rPr/>
        <w:t>√ 适用 □ 不适用</w:t>
      </w:r>
    </w:p>
    <w:p>
      <w:pPr>
        <w:pStyle w:val="BodyText"/>
        <w:spacing w:line="240" w:lineRule="auto" w:before="116"/>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7" w:right="13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both"/>
              <w:rPr>
                <w:rFonts w:ascii="宋体" w:hAnsi="宋体" w:cs="宋体" w:eastAsia="宋体" w:hint="default"/>
                <w:sz w:val="18"/>
                <w:szCs w:val="18"/>
              </w:rPr>
            </w:pPr>
            <w:r>
              <w:rPr>
                <w:rFonts w:ascii="宋体" w:hAnsi="宋体" w:cs="宋体" w:eastAsia="宋体" w:hint="default"/>
                <w:sz w:val="18"/>
                <w:szCs w:val="18"/>
              </w:rPr>
              <w:t>深圳市方德智 联投资管理有 限公司－方德</w:t>
            </w:r>
          </w:p>
          <w:p>
            <w:pPr>
              <w:pStyle w:val="TableParagraph"/>
              <w:spacing w:line="302" w:lineRule="auto" w:before="19"/>
              <w:ind w:left="103" w:right="175"/>
              <w:jc w:val="both"/>
              <w:rPr>
                <w:rFonts w:ascii="宋体" w:hAnsi="宋体" w:cs="宋体" w:eastAsia="宋体" w:hint="default"/>
                <w:sz w:val="18"/>
                <w:szCs w:val="18"/>
              </w:rPr>
            </w:pPr>
            <w:r>
              <w:rPr>
                <w:rFonts w:ascii="宋体" w:hAnsi="宋体" w:cs="宋体" w:eastAsia="宋体" w:hint="default"/>
                <w:sz w:val="18"/>
                <w:szCs w:val="18"/>
              </w:rPr>
              <w:t>－香山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 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首发后限售 股，自本次股 份发行结束之 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兰坤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19,734,000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19,734,000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首发后限售 股，自本次股 份发行结束之 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王寿纯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首发后限售 股，自本次股 份发行结束之 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8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105,225,423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51" w:right="0"/>
              <w:jc w:val="left"/>
              <w:rPr>
                <w:rFonts w:ascii="Times New Roman" w:hAnsi="Times New Roman" w:cs="Times New Roman" w:eastAsia="Times New Roman" w:hint="default"/>
                <w:sz w:val="18"/>
                <w:szCs w:val="18"/>
              </w:rPr>
            </w:pPr>
            <w:r>
              <w:rPr>
                <w:rFonts w:ascii="Times New Roman"/>
                <w:sz w:val="18"/>
              </w:rPr>
              <w:t>11,169,016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94,056,407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2" w:right="158"/>
              <w:jc w:val="both"/>
              <w:rPr>
                <w:rFonts w:ascii="宋体" w:hAnsi="宋体" w:cs="宋体" w:eastAsia="宋体" w:hint="default"/>
                <w:sz w:val="18"/>
                <w:szCs w:val="18"/>
              </w:rPr>
            </w:pPr>
            <w:r>
              <w:rPr>
                <w:rFonts w:ascii="宋体" w:hAnsi="宋体" w:cs="宋体" w:eastAsia="宋体" w:hint="default"/>
                <w:sz w:val="18"/>
                <w:szCs w:val="18"/>
              </w:rPr>
              <w:t>每年转让的股 份不超过其所 持有公司股份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离任人员的离 任信息自申报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后按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 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153,559,423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11,169,016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142,390,407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982"/>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2"/>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6"/>
        <w:gridCol w:w="274"/>
        <w:gridCol w:w="923"/>
        <w:gridCol w:w="490"/>
        <w:gridCol w:w="748"/>
        <w:gridCol w:w="827"/>
        <w:gridCol w:w="328"/>
        <w:gridCol w:w="461"/>
        <w:gridCol w:w="761"/>
        <w:gridCol w:w="866"/>
        <w:gridCol w:w="305"/>
        <w:gridCol w:w="1044"/>
        <w:gridCol w:w="152"/>
        <w:gridCol w:w="1195"/>
      </w:tblGrid>
      <w:tr>
        <w:trPr>
          <w:trHeight w:val="227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39,478</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1" w:right="223"/>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39,992</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36"/>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1"/>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9" w:lineRule="auto" w:before="17"/>
              <w:ind w:left="103" w:right="101"/>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98"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7" w:right="119"/>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7"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8" w:right="9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苏州睿畅投资 管理有限公司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2"/>
                <w:sz w:val="18"/>
              </w:rPr>
              <w:t>11.00%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96,517,</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021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+96,51</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7,021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96,517,</w:t>
            </w:r>
          </w:p>
          <w:p>
            <w:pPr>
              <w:pStyle w:val="TableParagraph"/>
              <w:spacing w:line="240" w:lineRule="auto" w:before="106"/>
              <w:ind w:left="483" w:right="0"/>
              <w:jc w:val="left"/>
              <w:rPr>
                <w:rFonts w:ascii="Times New Roman" w:hAnsi="Times New Roman" w:cs="Times New Roman" w:eastAsia="Times New Roman" w:hint="default"/>
                <w:sz w:val="18"/>
                <w:szCs w:val="18"/>
              </w:rPr>
            </w:pPr>
            <w:r>
              <w:rPr>
                <w:rFonts w:ascii="Times New Roman"/>
                <w:sz w:val="18"/>
              </w:rPr>
              <w:t>021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96,517,021</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8.16%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71,622,</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369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-23,874</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,123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71,622,</w:t>
            </w:r>
          </w:p>
          <w:p>
            <w:pPr>
              <w:pStyle w:val="TableParagraph"/>
              <w:spacing w:line="240" w:lineRule="auto" w:before="106"/>
              <w:ind w:left="404" w:right="0"/>
              <w:jc w:val="left"/>
              <w:rPr>
                <w:rFonts w:ascii="Times New Roman" w:hAnsi="Times New Roman" w:cs="Times New Roman" w:eastAsia="Times New Roman" w:hint="default"/>
                <w:sz w:val="18"/>
                <w:szCs w:val="18"/>
              </w:rPr>
            </w:pPr>
            <w:r>
              <w:rPr>
                <w:rFonts w:ascii="Times New Roman"/>
                <w:sz w:val="18"/>
              </w:rPr>
              <w:t>369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4,725,877</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7.60%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66,649,</w:t>
            </w:r>
          </w:p>
          <w:p>
            <w:pPr>
              <w:pStyle w:val="TableParagraph"/>
              <w:spacing w:line="240" w:lineRule="auto" w:before="106"/>
              <w:ind w:left="456" w:right="0"/>
              <w:jc w:val="left"/>
              <w:rPr>
                <w:rFonts w:ascii="Times New Roman" w:hAnsi="Times New Roman" w:cs="Times New Roman" w:eastAsia="Times New Roman" w:hint="default"/>
                <w:sz w:val="18"/>
                <w:szCs w:val="18"/>
              </w:rPr>
            </w:pPr>
            <w:r>
              <w:rPr>
                <w:rFonts w:ascii="Times New Roman"/>
                <w:spacing w:val="-8"/>
                <w:sz w:val="18"/>
              </w:rPr>
              <w:t>111</w:t>
            </w:r>
            <w:r>
              <w:rPr>
                <w:rFonts w:ascii="Times New Roman"/>
                <w:sz w:val="18"/>
              </w:rPr>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-50,390</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,889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66,649,1</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11,210,000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杭州晨莘投资 管理合伙企业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3.68%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32,327,</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722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+32,32</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7,722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32,327,</w:t>
            </w:r>
          </w:p>
          <w:p>
            <w:pPr>
              <w:pStyle w:val="TableParagraph"/>
              <w:spacing w:line="240" w:lineRule="auto" w:before="106"/>
              <w:ind w:left="483" w:right="0"/>
              <w:jc w:val="left"/>
              <w:rPr>
                <w:rFonts w:ascii="Times New Roman" w:hAnsi="Times New Roman" w:cs="Times New Roman" w:eastAsia="Times New Roman" w:hint="default"/>
                <w:sz w:val="18"/>
                <w:szCs w:val="18"/>
              </w:rPr>
            </w:pPr>
            <w:r>
              <w:rPr>
                <w:rFonts w:ascii="Times New Roman"/>
                <w:sz w:val="18"/>
              </w:rPr>
              <w:t>722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29,577,</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460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22,183,</w:t>
            </w:r>
          </w:p>
          <w:p>
            <w:pPr>
              <w:pStyle w:val="TableParagraph"/>
              <w:spacing w:line="240" w:lineRule="auto" w:before="106"/>
              <w:ind w:left="404" w:right="0"/>
              <w:jc w:val="left"/>
              <w:rPr>
                <w:rFonts w:ascii="Times New Roman" w:hAnsi="Times New Roman" w:cs="Times New Roman" w:eastAsia="Times New Roman" w:hint="default"/>
                <w:sz w:val="18"/>
                <w:szCs w:val="18"/>
              </w:rPr>
            </w:pPr>
            <w:r>
              <w:rPr>
                <w:rFonts w:ascii="Times New Roman"/>
                <w:sz w:val="18"/>
              </w:rPr>
              <w:t>095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7,394,3</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29,576,860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王寿纯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6"/>
              <w:ind w:left="404" w:right="0"/>
              <w:jc w:val="lef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15,400,000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兰坤</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19,734,</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19,734,</w:t>
            </w:r>
          </w:p>
          <w:p>
            <w:pPr>
              <w:pStyle w:val="TableParagraph"/>
              <w:spacing w:line="240" w:lineRule="auto" w:before="106"/>
              <w:ind w:left="404" w:right="0"/>
              <w:jc w:val="lef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19,733,998</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西藏坤德投资 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19,008,</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19,008,</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孙晓光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18,338,</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297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18,338,</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297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18,338,200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王榕</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8,700,0</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8,700,0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上述股东中，孙世尧为孙鲲鹏的父亲；苏州睿畅投资管理有限公司、孙世尧、孙鲲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鹏、杭州晨莘投资管理合伙企业（有限合伙）为一致行动关系。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gridSpan w:val="2"/>
            <w:vMerge/>
            <w:tcBorders>
              <w:left w:val="single" w:sz="4" w:space="0" w:color="000000"/>
              <w:bottom w:val="single" w:sz="4" w:space="0" w:color="000000"/>
              <w:right w:val="single" w:sz="4" w:space="0" w:color="000000"/>
            </w:tcBorders>
            <w:shd w:val="clear" w:color="auto" w:fill="D2D2D2"/>
          </w:tcPr>
          <w:p>
            <w:pPr/>
          </w:p>
        </w:tc>
        <w:tc>
          <w:tcPr>
            <w:tcW w:w="3990"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苏州睿畅投资管理有限公司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96,517,021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96,517,021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66,649,111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66,649,111</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杭州晨莘投资管理合伙企业（有限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32,327,722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32,327,722</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西藏坤德投资有限公司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19,008,000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19,008,000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孙晓光</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18,338,297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18,338,297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王榕</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荣楠</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8,687,868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8,687,868</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云南国际信托有限公司－云南信 </w:t>
            </w:r>
            <w:r>
              <w:rPr>
                <w:rFonts w:ascii="宋体" w:hAnsi="宋体" w:cs="宋体" w:eastAsia="宋体" w:hint="default"/>
                <w:spacing w:val="-4"/>
                <w:sz w:val="18"/>
                <w:szCs w:val="18"/>
              </w:rPr>
              <w:t>托·大西部丝绸之路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 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7,888,297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7,888,297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7,394,365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7,394,365</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汤洪波</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6,369,778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6,369,778</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103" w:right="101"/>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名股东之间关联关系：孙世尧为孙鲲鹏的父亲</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汤于</w:t>
            </w:r>
            <w:r>
              <w:rPr>
                <w:rFonts w:ascii="宋体" w:hAnsi="宋体" w:cs="宋体" w:eastAsia="宋体" w:hint="default"/>
                <w:sz w:val="18"/>
                <w:szCs w:val="18"/>
              </w:rPr>
              <w:t> </w:t>
            </w:r>
            <w:r>
              <w:rPr>
                <w:rFonts w:ascii="宋体" w:hAnsi="宋体" w:cs="宋体" w:eastAsia="宋体" w:hint="default"/>
                <w:spacing w:val="-1"/>
                <w:sz w:val="18"/>
                <w:szCs w:val="18"/>
              </w:rPr>
              <w:t>为汤洪波叔叔。苏州睿畅投资管理有限公司、孙世尧、孙鲲鹏、杭州晨莘投资管理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合伙企业（有限合伙）为一致行动关系。</w:t>
            </w:r>
          </w:p>
        </w:tc>
      </w:tr>
      <w:tr>
        <w:trPr>
          <w:trHeight w:val="362"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股东孙世尧通过国元证券股份有限公司客户信用交易担保证券账户持有公司股票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82"/>
        <w:gridCol w:w="6687"/>
      </w:tblGrid>
      <w:tr>
        <w:trPr>
          <w:trHeight w:val="67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业务情况说明（如有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47,000,000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股东王榕通过海通证券股份有限公司客户信用交易担保证券账户持有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right="98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982"/>
        <w:jc w:val="left"/>
      </w:pPr>
      <w:r>
        <w:rPr/>
        <w:t>□ 是 √ 否</w:t>
      </w:r>
    </w:p>
    <w:p>
      <w:pPr>
        <w:pStyle w:val="BodyText"/>
        <w:spacing w:line="240" w:lineRule="auto" w:before="116"/>
        <w:ind w:right="98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982"/>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控股股东类型：法人</w:t>
      </w:r>
    </w:p>
    <w:tbl>
      <w:tblPr>
        <w:tblW w:w="0" w:type="auto"/>
        <w:jc w:val="left"/>
        <w:tblInd w:w="10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29" w:right="162"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left"/>
              <w:rPr>
                <w:rFonts w:ascii="宋体" w:hAnsi="宋体" w:cs="宋体" w:eastAsia="宋体" w:hint="default"/>
                <w:sz w:val="18"/>
                <w:szCs w:val="18"/>
              </w:rPr>
            </w:pPr>
            <w:r>
              <w:rPr>
                <w:rFonts w:ascii="宋体" w:hAnsi="宋体" w:cs="宋体" w:eastAsia="宋体" w:hint="default"/>
                <w:sz w:val="18"/>
                <w:szCs w:val="18"/>
              </w:rPr>
              <w:t>苏州睿畅投资管理有 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230"/>
              <w:jc w:val="left"/>
              <w:rPr>
                <w:rFonts w:ascii="Times New Roman" w:hAnsi="Times New Roman" w:cs="Times New Roman" w:eastAsia="Times New Roman" w:hint="default"/>
                <w:sz w:val="18"/>
                <w:szCs w:val="18"/>
              </w:rPr>
            </w:pPr>
            <w:r>
              <w:rPr>
                <w:rFonts w:ascii="Times New Roman"/>
                <w:sz w:val="18"/>
              </w:rPr>
              <w:t>91320594MA1T6E17</w:t>
            </w:r>
            <w:r>
              <w:rPr>
                <w:rFonts w:ascii="Times New Roman"/>
                <w:w w:val="99"/>
                <w:sz w:val="18"/>
              </w:rPr>
              <w:t> </w:t>
            </w:r>
            <w:r>
              <w:rPr>
                <w:rFonts w:ascii="Times New Roman"/>
                <w:sz w:val="18"/>
              </w:rPr>
              <w:t>XM</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投资管理、资产管理</w:t>
            </w:r>
          </w:p>
        </w:tc>
      </w:tr>
      <w:tr>
        <w:trPr>
          <w:trHeight w:val="1338"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982"/>
        <w:jc w:val="left"/>
      </w:pPr>
      <w:r>
        <w:rPr/>
        <w:t>控股股东报告期内变更</w:t>
      </w:r>
    </w:p>
    <w:p>
      <w:pPr>
        <w:pStyle w:val="BodyText"/>
        <w:spacing w:line="240" w:lineRule="auto" w:before="117"/>
        <w:ind w:right="982"/>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苏州睿畅投资管理有限公司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公司实际控制人及其一致行动人" w:id="121"/>
      <w:bookmarkEnd w:id="121"/>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0"/>
              <w:jc w:val="both"/>
              <w:rPr>
                <w:rFonts w:ascii="宋体" w:hAnsi="宋体" w:cs="宋体" w:eastAsia="宋体" w:hint="default"/>
                <w:sz w:val="18"/>
                <w:szCs w:val="18"/>
              </w:rPr>
            </w:pPr>
            <w:r>
              <w:rPr>
                <w:rFonts w:ascii="宋体" w:hAnsi="宋体" w:cs="宋体" w:eastAsia="宋体" w:hint="default"/>
                <w:spacing w:val="-2"/>
                <w:sz w:val="18"/>
                <w:szCs w:val="18"/>
              </w:rPr>
              <w:t>现任中锐控股集团有限公司董事长、上海中锐教育投资有限公司董事长、上海中锐教育发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展有限公司董事长、上海创锐投资管理有限公司董事、上海中锐全教企业管理有限公司董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事长、苏州中锐投资集团有限公司董事长、上海钧锐商业经营管理有限公司董事长、</w:t>
            </w:r>
            <w:r>
              <w:rPr>
                <w:rFonts w:ascii="Times New Roman" w:hAnsi="Times New Roman" w:cs="Times New Roman" w:eastAsia="Times New Roman" w:hint="default"/>
                <w:spacing w:val="-3"/>
                <w:sz w:val="18"/>
                <w:szCs w:val="18"/>
              </w:rPr>
              <w:t>CWG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（中锐国际）董事、宁波梅山保税港区思通卓志投资管理有 限公司执行董事、苏州睿畅投资管理有限公司董事长、山东丽鹏股份有限公司董事长。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21"/>
              <w:jc w:val="left"/>
              <w:rPr>
                <w:rFonts w:ascii="宋体" w:hAnsi="宋体" w:cs="宋体" w:eastAsia="宋体" w:hint="default"/>
                <w:sz w:val="18"/>
                <w:szCs w:val="18"/>
              </w:rPr>
            </w:pPr>
            <w:r>
              <w:rPr>
                <w:rFonts w:ascii="宋体" w:hAnsi="宋体" w:cs="宋体" w:eastAsia="宋体" w:hint="default"/>
                <w:sz w:val="18"/>
                <w:szCs w:val="18"/>
              </w:rPr>
              <w:t>钱建蓉先生自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3"/>
                <w:sz w:val="18"/>
                <w:szCs w:val="18"/>
              </w:rPr>
              <w:t>日起为浙江东晶电子股份有限公司（股票代码：</w:t>
            </w:r>
            <w:r>
              <w:rPr>
                <w:rFonts w:ascii="Times New Roman" w:hAnsi="Times New Roman" w:cs="Times New Roman" w:eastAsia="Times New Roman" w:hint="default"/>
                <w:spacing w:val="-3"/>
                <w:sz w:val="18"/>
                <w:szCs w:val="18"/>
              </w:rPr>
              <w:t>002199</w:t>
            </w:r>
            <w:r>
              <w:rPr>
                <w:rFonts w:ascii="宋体" w:hAnsi="宋体" w:cs="宋体" w:eastAsia="宋体" w:hint="default"/>
                <w:spacing w:val="-3"/>
                <w:sz w:val="18"/>
                <w:szCs w:val="18"/>
              </w:rPr>
              <w:t>）实</w:t>
            </w:r>
            <w:r>
              <w:rPr>
                <w:rFonts w:ascii="宋体" w:hAnsi="宋体" w:cs="宋体" w:eastAsia="宋体" w:hint="default"/>
                <w:spacing w:val="-20"/>
                <w:sz w:val="18"/>
                <w:szCs w:val="18"/>
              </w:rPr>
              <w:t> </w:t>
            </w:r>
            <w:r>
              <w:rPr>
                <w:rFonts w:ascii="宋体" w:hAnsi="宋体" w:cs="宋体" w:eastAsia="宋体" w:hint="default"/>
                <w:sz w:val="18"/>
                <w:szCs w:val="18"/>
              </w:rPr>
              <w:t>际控制人。</w:t>
            </w:r>
          </w:p>
        </w:tc>
      </w:tr>
    </w:tbl>
    <w:p>
      <w:pPr>
        <w:pStyle w:val="BodyText"/>
        <w:spacing w:line="240" w:lineRule="auto" w:before="65"/>
        <w:ind w:right="982"/>
        <w:jc w:val="left"/>
      </w:pPr>
      <w:r>
        <w:rPr/>
        <w:t>实际控制人报告期内变更</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2"/>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982"/>
        <w:jc w:val="left"/>
      </w:pPr>
      <w:r>
        <w:rPr/>
        <w:t>公司与实际控制人之间的产权及控制关系的方框图</w:t>
      </w:r>
    </w:p>
    <w:p>
      <w:pPr>
        <w:spacing w:line="240" w:lineRule="auto" w:before="12"/>
        <w:rPr>
          <w:rFonts w:ascii="宋体" w:hAnsi="宋体" w:cs="宋体" w:eastAsia="宋体" w:hint="default"/>
          <w:sz w:val="24"/>
          <w:szCs w:val="24"/>
        </w:rPr>
      </w:pPr>
    </w:p>
    <w:p>
      <w:pPr>
        <w:spacing w:line="3949" w:lineRule="exact"/>
        <w:ind w:left="2522"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3076641" cy="2508027"/>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6" cstate="print"/>
                    <a:stretch>
                      <a:fillRect/>
                    </a:stretch>
                  </pic:blipFill>
                  <pic:spPr>
                    <a:xfrm>
                      <a:off x="0" y="0"/>
                      <a:ext cx="3076641" cy="2508027"/>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10"/>
        <w:rPr>
          <w:rFonts w:ascii="宋体" w:hAnsi="宋体" w:cs="宋体" w:eastAsia="宋体" w:hint="default"/>
          <w:sz w:val="15"/>
          <w:szCs w:val="15"/>
        </w:rPr>
      </w:pPr>
    </w:p>
    <w:p>
      <w:pPr>
        <w:pStyle w:val="Heading3"/>
        <w:spacing w:line="240" w:lineRule="auto"/>
        <w:ind w:right="982"/>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after="0" w:line="240" w:lineRule="auto"/>
        <w:jc w:val="left"/>
        <w:sectPr>
          <w:footerReference w:type="default" r:id="rId15"/>
          <w:pgSz w:w="11910" w:h="16840"/>
          <w:pgMar w:footer="1019" w:header="907" w:top="1100" w:bottom="1200" w:left="1020" w:right="0"/>
          <w:pgNumType w:start="5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46" w:right="982"/>
        <w:jc w:val="left"/>
        <w:rPr>
          <w:b w:val="0"/>
          <w:bCs w:val="0"/>
        </w:rPr>
      </w:pPr>
      <w:bookmarkStart w:name="第七节 优先股相关情况" w:id="124"/>
      <w:bookmarkEnd w:id="124"/>
      <w:r>
        <w:rPr>
          <w:b w:val="0"/>
          <w:bCs w:val="0"/>
        </w:rPr>
      </w:r>
      <w:bookmarkStart w:name="_bookmark6" w:id="125"/>
      <w:bookmarkEnd w:id="12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1640" w:right="982"/>
        <w:jc w:val="left"/>
        <w:rPr>
          <w:b w:val="0"/>
          <w:bCs w:val="0"/>
        </w:rPr>
      </w:pPr>
      <w:bookmarkStart w:name="第八节 董事、监事、高级管理人员和员工情况" w:id="126"/>
      <w:bookmarkEnd w:id="126"/>
      <w:r>
        <w:rPr>
          <w:b w:val="0"/>
          <w:bCs w:val="0"/>
        </w:rPr>
      </w:r>
      <w:bookmarkStart w:name="_bookmark7" w:id="127"/>
      <w:bookmarkEnd w:id="12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2"/>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董事兼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29,577,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29,577,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朱拓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汤  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95,496,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23,874,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71,622,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369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董事兼 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董事兼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罗  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32,120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32,120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李  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杨  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秦  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高  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16,995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梅  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常务副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21,604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戴汉宝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孙伟厚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125,36</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4,671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23,874,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0,548</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82"/>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0"/>
        <w:gridCol w:w="1331"/>
        <w:gridCol w:w="1014"/>
        <w:gridCol w:w="2100"/>
        <w:gridCol w:w="3794"/>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梅焕</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工作变动</w:t>
            </w:r>
          </w:p>
        </w:tc>
      </w:tr>
    </w:tbl>
    <w:p>
      <w:pPr>
        <w:spacing w:line="240" w:lineRule="auto" w:before="2"/>
        <w:rPr>
          <w:rFonts w:ascii="宋体" w:hAnsi="宋体" w:cs="宋体" w:eastAsia="宋体" w:hint="default"/>
          <w:sz w:val="18"/>
          <w:szCs w:val="18"/>
        </w:rPr>
      </w:pPr>
    </w:p>
    <w:p>
      <w:pPr>
        <w:pStyle w:val="Heading2"/>
        <w:spacing w:line="240" w:lineRule="auto" w:before="26"/>
        <w:ind w:right="982"/>
        <w:jc w:val="left"/>
        <w:rPr>
          <w:b w:val="0"/>
          <w:bCs w:val="0"/>
        </w:rPr>
      </w:pPr>
      <w:bookmarkStart w:name="三、任职情况" w:id="130"/>
      <w:bookmarkEnd w:id="13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3732"/>
        <w:jc w:val="left"/>
        <w:rPr>
          <w:rFonts w:ascii="宋体" w:hAnsi="宋体" w:cs="宋体" w:eastAsia="宋体" w:hint="default"/>
        </w:rPr>
      </w:pPr>
      <w:r>
        <w:rPr/>
        <w:t>公司现任董事、监事、高级管理人员专业背景、主要工作经历以及目前在公司的主要职责 </w:t>
      </w:r>
      <w:r>
        <w:rPr>
          <w:rFonts w:ascii="宋体" w:hAnsi="宋体" w:cs="宋体" w:eastAsia="宋体" w:hint="default"/>
          <w:b/>
          <w:bCs/>
        </w:rPr>
        <w:t>董事：</w:t>
      </w:r>
      <w:r>
        <w:rPr>
          <w:rFonts w:ascii="宋体" w:hAnsi="宋体" w:cs="宋体" w:eastAsia="宋体" w:hint="default"/>
        </w:rPr>
      </w:r>
    </w:p>
    <w:p>
      <w:pPr>
        <w:pStyle w:val="BodyText"/>
        <w:spacing w:line="319" w:lineRule="auto" w:before="26"/>
        <w:ind w:right="982"/>
        <w:jc w:val="left"/>
      </w:pPr>
      <w:r>
        <w:rPr>
          <w:rFonts w:ascii="宋体" w:hAnsi="宋体" w:cs="宋体" w:eastAsia="宋体" w:hint="default"/>
          <w:b/>
          <w:bCs/>
        </w:rPr>
        <w:t>钱建蓉先生：</w:t>
      </w:r>
      <w:r>
        <w:rPr/>
        <w:t>中国国籍，拥有新加坡居留权，</w:t>
      </w:r>
      <w:r>
        <w:rPr>
          <w:rFonts w:ascii="宋体" w:hAnsi="宋体" w:cs="宋体" w:eastAsia="宋体" w:hint="default"/>
        </w:rPr>
        <w:t>1966</w:t>
      </w:r>
      <w:r>
        <w:rPr/>
        <w:t>年</w:t>
      </w:r>
      <w:r>
        <w:rPr>
          <w:rFonts w:ascii="宋体" w:hAnsi="宋体" w:cs="宋体" w:eastAsia="宋体" w:hint="default"/>
        </w:rPr>
        <w:t>3</w:t>
      </w:r>
      <w:r>
        <w:rPr/>
        <w:t>月出生，硕士研究生学历。曾任职于江苏省张家港市教育局，</w:t>
      </w:r>
      <w:r>
        <w:rPr>
          <w:rFonts w:ascii="宋体" w:hAnsi="宋体" w:cs="宋体" w:eastAsia="宋体" w:hint="default"/>
        </w:rPr>
        <w:t>1996</w:t>
      </w:r>
      <w:r>
        <w:rPr/>
        <w:t>年 </w:t>
      </w:r>
      <w:r>
        <w:rPr>
          <w:spacing w:val="-4"/>
        </w:rPr>
        <w:t>创立中锐集团。现任中锐控股集团有限公司董事长、上海中锐教育投资有限公司董事长、上海中锐教育发展有限公司董事长、</w:t>
      </w:r>
      <w:r>
        <w:rPr>
          <w:spacing w:val="-44"/>
        </w:rPr>
        <w:t> </w:t>
      </w:r>
      <w:r>
        <w:rPr>
          <w:spacing w:val="-44"/>
        </w:rPr>
      </w:r>
      <w:r>
        <w:rPr>
          <w:spacing w:val="-2"/>
        </w:rPr>
        <w:t>上海创锐投资管理有限公司董事、上海中锐全教企业管理有限公司董事长、苏州中锐投资集团有限公司董事长、上海钧锐商</w:t>
      </w:r>
      <w:r>
        <w:rPr>
          <w:spacing w:val="-66"/>
        </w:rPr>
        <w:t> </w:t>
      </w:r>
      <w:r>
        <w:rPr>
          <w:spacing w:val="-66"/>
        </w:rPr>
      </w:r>
      <w:r>
        <w:rPr/>
        <w:t>业经营管理有限公司董事长、</w:t>
      </w:r>
      <w:r>
        <w:rPr>
          <w:rFonts w:ascii="宋体" w:hAnsi="宋体" w:cs="宋体" w:eastAsia="宋体" w:hint="default"/>
        </w:rPr>
        <w:t>CWG</w:t>
      </w:r>
      <w:r>
        <w:rPr>
          <w:rFonts w:ascii="宋体" w:hAnsi="宋体" w:cs="宋体" w:eastAsia="宋体" w:hint="default"/>
          <w:spacing w:val="-41"/>
        </w:rPr>
        <w:t> </w:t>
      </w:r>
      <w:r>
        <w:rPr>
          <w:rFonts w:ascii="宋体" w:hAnsi="宋体" w:cs="宋体" w:eastAsia="宋体" w:hint="default"/>
        </w:rPr>
        <w:t>INTERNATIONAL</w:t>
      </w:r>
      <w:r>
        <w:rPr>
          <w:rFonts w:ascii="宋体" w:hAnsi="宋体" w:cs="宋体" w:eastAsia="宋体" w:hint="default"/>
          <w:spacing w:val="-41"/>
        </w:rPr>
        <w:t> </w:t>
      </w:r>
      <w:r>
        <w:rPr>
          <w:rFonts w:ascii="宋体" w:hAnsi="宋体" w:cs="宋体" w:eastAsia="宋体" w:hint="default"/>
        </w:rPr>
        <w:t>PTE.LTD.</w:t>
      </w:r>
      <w:r>
        <w:rPr/>
        <w:t>（中锐国际）董事、宁波梅山保税港区思通卓志投资管理有限公 司执行董事、苏州睿畅投资管理有限公司董事长、山东丽鹏股份有限公司董事长。</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1039"/>
        <w:jc w:val="both"/>
      </w:pPr>
      <w:r>
        <w:rPr>
          <w:rFonts w:ascii="宋体" w:hAnsi="宋体" w:cs="宋体" w:eastAsia="宋体" w:hint="default"/>
          <w:b/>
          <w:bCs/>
        </w:rPr>
        <w:t>孙鲲鹏先生：</w:t>
      </w:r>
      <w:r>
        <w:rPr/>
        <w:t>中国国籍，无永久境外居留权，</w:t>
      </w:r>
      <w:r>
        <w:rPr>
          <w:rFonts w:ascii="宋体" w:hAnsi="宋体" w:cs="宋体" w:eastAsia="宋体" w:hint="default"/>
        </w:rPr>
        <w:t>1977</w:t>
      </w:r>
      <w:r>
        <w:rPr/>
        <w:t>年</w:t>
      </w:r>
      <w:r>
        <w:rPr>
          <w:rFonts w:ascii="宋体" w:hAnsi="宋体" w:cs="宋体" w:eastAsia="宋体" w:hint="default"/>
        </w:rPr>
        <w:t>7</w:t>
      </w:r>
      <w:r>
        <w:rPr/>
        <w:t>月出生，大专学历，曾任山东丽鹏包装有限公司董事、北京鹏和祥包 </w:t>
      </w:r>
      <w:r>
        <w:rPr>
          <w:spacing w:val="-2"/>
        </w:rPr>
        <w:t>装制品有限公司董事长、山东丽鹏股份有限公司副董事长、董事长。现任本公司董事兼总裁、山东丽鹏包装科技有限公司董</w:t>
      </w:r>
      <w:r>
        <w:rPr>
          <w:spacing w:val="-66"/>
        </w:rPr>
        <w:t> </w:t>
      </w:r>
      <w:r>
        <w:rPr>
          <w:spacing w:val="-66"/>
        </w:rPr>
      </w:r>
      <w:r>
        <w:rPr/>
        <w:t>事长。</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1032"/>
        <w:jc w:val="left"/>
      </w:pPr>
      <w:r>
        <w:rPr>
          <w:rFonts w:ascii="宋体" w:hAnsi="宋体" w:cs="宋体" w:eastAsia="宋体" w:hint="default"/>
          <w:b/>
          <w:bCs/>
          <w:spacing w:val="-2"/>
        </w:rPr>
        <w:t>田洪雷先生：</w:t>
      </w:r>
      <w:r>
        <w:rPr>
          <w:spacing w:val="-2"/>
        </w:rPr>
        <w:t>中国国籍，无境外永久居留权，</w:t>
      </w:r>
      <w:r>
        <w:rPr>
          <w:rFonts w:ascii="宋体" w:hAnsi="宋体" w:cs="宋体" w:eastAsia="宋体" w:hint="default"/>
          <w:spacing w:val="-2"/>
        </w:rPr>
        <w:t>1972</w:t>
      </w:r>
      <w:r>
        <w:rPr>
          <w:spacing w:val="-2"/>
        </w:rPr>
        <w:t>年</w:t>
      </w:r>
      <w:r>
        <w:rPr>
          <w:rFonts w:ascii="宋体" w:hAnsi="宋体" w:cs="宋体" w:eastAsia="宋体" w:hint="default"/>
          <w:spacing w:val="-2"/>
        </w:rPr>
        <w:t>8</w:t>
      </w:r>
      <w:r>
        <w:rPr>
          <w:spacing w:val="-2"/>
        </w:rPr>
        <w:t>月出生，硕士研究生学历。曾任北京北大青鸟有限责任公司投资经理、</w:t>
      </w:r>
      <w:r>
        <w:rPr>
          <w:spacing w:val="-63"/>
        </w:rPr>
        <w:t> </w:t>
      </w:r>
      <w:r>
        <w:rPr>
          <w:spacing w:val="-63"/>
        </w:rPr>
      </w:r>
      <w:r>
        <w:rPr/>
        <w:t>北京德创投资顾问有限公司投资总监。现任中锐控股集团有限公司董事、</w:t>
      </w:r>
      <w:r>
        <w:rPr>
          <w:rFonts w:ascii="宋体" w:hAnsi="宋体" w:cs="宋体" w:eastAsia="宋体" w:hint="default"/>
        </w:rPr>
        <w:t>CWG INTERNATIONAL PTE.LTD.</w:t>
      </w:r>
      <w:r>
        <w:rPr/>
        <w:t>（中锐国际）董事、 </w:t>
      </w:r>
      <w:r>
        <w:rPr>
          <w:spacing w:val="-2"/>
        </w:rPr>
        <w:t>苏州中锐投资集团有限公司董事、上海全畅营销策划有限公司总经理、苏州睿畅投资管理有限公司董事、山东丽鹏股份有限</w:t>
      </w:r>
      <w:r>
        <w:rPr>
          <w:spacing w:val="-65"/>
        </w:rPr>
        <w:t> </w:t>
      </w:r>
      <w:r>
        <w:rPr>
          <w:spacing w:val="-65"/>
        </w:rPr>
      </w:r>
      <w:r>
        <w:rPr/>
        <w:t>公司董事。</w:t>
      </w:r>
    </w:p>
    <w:p>
      <w:pPr>
        <w:spacing w:after="0" w:line="319"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9" w:lineRule="auto" w:before="44"/>
        <w:ind w:right="1131"/>
        <w:jc w:val="both"/>
      </w:pPr>
      <w:r>
        <w:rPr>
          <w:rFonts w:ascii="宋体" w:hAnsi="宋体" w:cs="宋体" w:eastAsia="宋体" w:hint="default"/>
          <w:b/>
          <w:bCs/>
          <w:spacing w:val="-2"/>
        </w:rPr>
        <w:t>朱拓先生：</w:t>
      </w:r>
      <w:r>
        <w:rPr>
          <w:spacing w:val="-2"/>
        </w:rPr>
        <w:t>中国国籍，无境外永久居留权，</w:t>
      </w:r>
      <w:r>
        <w:rPr>
          <w:rFonts w:ascii="宋体" w:hAnsi="宋体" w:cs="宋体" w:eastAsia="宋体" w:hint="default"/>
          <w:spacing w:val="-2"/>
        </w:rPr>
        <w:t>1985</w:t>
      </w:r>
      <w:r>
        <w:rPr>
          <w:spacing w:val="-2"/>
        </w:rPr>
        <w:t>年</w:t>
      </w:r>
      <w:r>
        <w:rPr>
          <w:rFonts w:ascii="宋体" w:hAnsi="宋体" w:cs="宋体" w:eastAsia="宋体" w:hint="default"/>
          <w:spacing w:val="-2"/>
        </w:rPr>
        <w:t>10</w:t>
      </w:r>
      <w:r>
        <w:rPr>
          <w:spacing w:val="-2"/>
        </w:rPr>
        <w:t>月出生，中共党员，硕士研究生学历。曾任海通证券股份有限公司投资</w:t>
      </w:r>
      <w:r>
        <w:rPr>
          <w:spacing w:val="-67"/>
        </w:rPr>
        <w:t> </w:t>
      </w:r>
      <w:r>
        <w:rPr>
          <w:spacing w:val="-67"/>
        </w:rPr>
      </w:r>
      <w:r>
        <w:rPr>
          <w:spacing w:val="-2"/>
        </w:rPr>
        <w:t>银行部高级项目经理、副总裁，现任中锐国际有限公司资本市场部总监、上海睿泽股权投资管理有限公司副总经理、浙江东</w:t>
      </w:r>
      <w:r>
        <w:rPr>
          <w:spacing w:val="-66"/>
        </w:rPr>
        <w:t> </w:t>
      </w:r>
      <w:r>
        <w:rPr>
          <w:spacing w:val="-66"/>
        </w:rPr>
      </w:r>
      <w:r>
        <w:rPr/>
        <w:t>晶电子股份有限公司第五届监事会主席、山东丽鹏股份有限公司董事。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6" w:lineRule="auto"/>
        <w:ind w:right="1130"/>
        <w:jc w:val="both"/>
      </w:pPr>
      <w:r>
        <w:rPr>
          <w:rFonts w:ascii="宋体" w:hAnsi="宋体" w:cs="宋体" w:eastAsia="宋体" w:hint="default"/>
          <w:b/>
          <w:bCs/>
        </w:rPr>
        <w:t>汤于先生：</w:t>
      </w:r>
      <w:r>
        <w:rPr/>
        <w:t>中国国籍，无永久境外居留权，</w:t>
      </w:r>
      <w:r>
        <w:rPr>
          <w:rFonts w:ascii="宋体" w:hAnsi="宋体" w:cs="宋体" w:eastAsia="宋体" w:hint="default"/>
        </w:rPr>
        <w:t>1968</w:t>
      </w:r>
      <w:r>
        <w:rPr/>
        <w:t>年</w:t>
      </w:r>
      <w:r>
        <w:rPr>
          <w:rFonts w:ascii="宋体" w:hAnsi="宋体" w:cs="宋体" w:eastAsia="宋体" w:hint="default"/>
        </w:rPr>
        <w:t>3</w:t>
      </w:r>
      <w:r>
        <w:rPr/>
        <w:t>月出生，曾任重庆浙江商会副会长、全国风景园林学会企业发展和信息 </w:t>
      </w:r>
      <w:r>
        <w:rPr>
          <w:spacing w:val="-2"/>
        </w:rPr>
        <w:t>委员会主任，现任本公司董事、重庆华宇园林有限公司董事长，担任重庆市工商联副主席、重庆市第五届人大代表、江北区</w:t>
      </w:r>
      <w:r>
        <w:rPr>
          <w:spacing w:val="-66"/>
        </w:rPr>
        <w:t> </w:t>
      </w:r>
      <w:r>
        <w:rPr>
          <w:spacing w:val="-66"/>
        </w:rPr>
      </w:r>
      <w:r>
        <w:rPr>
          <w:spacing w:val="-2"/>
        </w:rPr>
        <w:t>工商联主席、江北区总商会会长、江北区第十七届人大代表、江北区人大常委、中国国民党革命委员会重庆市委经济工作委</w:t>
      </w:r>
      <w:r>
        <w:rPr>
          <w:spacing w:val="-66"/>
        </w:rPr>
        <w:t> </w:t>
      </w:r>
      <w:r>
        <w:rPr>
          <w:spacing w:val="-66"/>
        </w:rPr>
      </w:r>
      <w:r>
        <w:rPr>
          <w:spacing w:val="-2"/>
        </w:rPr>
        <w:t>员会副主任，荣获重庆市第五届劳动模范、住建部全国劳动模范、国务院特殊津贴获得者，聘为市工商联高级职称评委会委</w:t>
      </w:r>
      <w:r>
        <w:rPr>
          <w:spacing w:val="-66"/>
        </w:rPr>
        <w:t> </w:t>
      </w:r>
      <w:r>
        <w:rPr>
          <w:spacing w:val="-66"/>
        </w:rPr>
      </w:r>
      <w:r>
        <w:rPr>
          <w:spacing w:val="-2"/>
        </w:rPr>
        <w:t>员、重庆文理学院林学与生命科学学院兼职教授，获得重庆市“江北英才”、重庆市优秀民营企业家荣誉称号。</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319" w:lineRule="auto"/>
        <w:ind w:right="1132"/>
        <w:jc w:val="both"/>
      </w:pPr>
      <w:r>
        <w:rPr>
          <w:rFonts w:ascii="宋体" w:hAnsi="宋体" w:cs="宋体" w:eastAsia="宋体" w:hint="default"/>
          <w:b/>
          <w:bCs/>
        </w:rPr>
        <w:t>李海霞女士：</w:t>
      </w:r>
      <w:r>
        <w:rPr/>
        <w:t>中国国籍，无永久境外居留权，</w:t>
      </w:r>
      <w:r>
        <w:rPr>
          <w:rFonts w:ascii="宋体" w:hAnsi="宋体" w:cs="宋体" w:eastAsia="宋体" w:hint="default"/>
        </w:rPr>
        <w:t>1976</w:t>
      </w:r>
      <w:r>
        <w:rPr/>
        <w:t>年</w:t>
      </w:r>
      <w:r>
        <w:rPr>
          <w:rFonts w:ascii="宋体" w:hAnsi="宋体" w:cs="宋体" w:eastAsia="宋体" w:hint="default"/>
        </w:rPr>
        <w:t>5</w:t>
      </w:r>
      <w:r>
        <w:rPr/>
        <w:t>月出生，本科学历，曾任山东丽鹏包装有限公司总裁办公室主任、行 </w:t>
      </w:r>
      <w:r>
        <w:rPr>
          <w:spacing w:val="-2"/>
        </w:rPr>
        <w:t>政管理部经理、副总裁、证券部经理、副董事长、董事会秘书、证券部经理。现任本公司董事、董事会秘书、烟台丽鹏投资</w:t>
      </w:r>
      <w:r>
        <w:rPr>
          <w:spacing w:val="-67"/>
        </w:rPr>
        <w:t> </w:t>
      </w:r>
      <w:r>
        <w:rPr>
          <w:spacing w:val="-67"/>
        </w:rPr>
      </w:r>
      <w:r>
        <w:rPr/>
        <w:t>有限公司董事长。</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19" w:lineRule="auto"/>
        <w:ind w:right="1132"/>
        <w:jc w:val="both"/>
      </w:pPr>
      <w:r>
        <w:rPr>
          <w:rFonts w:ascii="宋体" w:hAnsi="宋体" w:cs="宋体" w:eastAsia="宋体" w:hint="default"/>
          <w:b/>
          <w:bCs/>
        </w:rPr>
        <w:t>杨强先生：</w:t>
      </w:r>
      <w:r>
        <w:rPr/>
        <w:t>中国国籍，无永久境外居留权。</w:t>
      </w:r>
      <w:r>
        <w:rPr>
          <w:rFonts w:ascii="宋体" w:hAnsi="宋体" w:cs="宋体" w:eastAsia="宋体" w:hint="default"/>
        </w:rPr>
        <w:t>1967</w:t>
      </w:r>
      <w:r>
        <w:rPr/>
        <w:t>年</w:t>
      </w:r>
      <w:r>
        <w:rPr>
          <w:rFonts w:ascii="宋体" w:hAnsi="宋体" w:cs="宋体" w:eastAsia="宋体" w:hint="default"/>
        </w:rPr>
        <w:t>8</w:t>
      </w:r>
      <w:r>
        <w:rPr/>
        <w:t>月出生，硕士学历。</w:t>
      </w:r>
      <w:r>
        <w:rPr>
          <w:rFonts w:ascii="宋体" w:hAnsi="宋体" w:cs="宋体" w:eastAsia="宋体" w:hint="default"/>
        </w:rPr>
        <w:t>1991</w:t>
      </w:r>
      <w:r>
        <w:rPr/>
        <w:t>年至</w:t>
      </w:r>
      <w:r>
        <w:rPr>
          <w:rFonts w:ascii="宋体" w:hAnsi="宋体" w:cs="宋体" w:eastAsia="宋体" w:hint="default"/>
        </w:rPr>
        <w:t>2005</w:t>
      </w:r>
      <w:r>
        <w:rPr/>
        <w:t>年任北京国际信托投资有限公司投行 </w:t>
      </w:r>
      <w:r>
        <w:rPr>
          <w:spacing w:val="-2"/>
        </w:rPr>
        <w:t>部总经理，</w:t>
      </w:r>
      <w:r>
        <w:rPr>
          <w:rFonts w:ascii="宋体" w:hAnsi="宋体" w:cs="宋体" w:eastAsia="宋体" w:hint="default"/>
          <w:spacing w:val="-2"/>
        </w:rPr>
        <w:t>2005</w:t>
      </w:r>
      <w:r>
        <w:rPr>
          <w:spacing w:val="-2"/>
        </w:rPr>
        <w:t>年至</w:t>
      </w:r>
      <w:r>
        <w:rPr>
          <w:rFonts w:ascii="宋体" w:hAnsi="宋体" w:cs="宋体" w:eastAsia="宋体" w:hint="default"/>
          <w:spacing w:val="-2"/>
        </w:rPr>
        <w:t>2006</w:t>
      </w:r>
      <w:r>
        <w:rPr>
          <w:spacing w:val="-2"/>
        </w:rPr>
        <w:t>年任北京产权交易所高级经理，</w:t>
      </w:r>
      <w:r>
        <w:rPr>
          <w:rFonts w:ascii="宋体" w:hAnsi="宋体" w:cs="宋体" w:eastAsia="宋体" w:hint="default"/>
          <w:spacing w:val="-2"/>
        </w:rPr>
        <w:t>2006</w:t>
      </w:r>
      <w:r>
        <w:rPr>
          <w:spacing w:val="-2"/>
        </w:rPr>
        <w:t>年至</w:t>
      </w:r>
      <w:r>
        <w:rPr>
          <w:rFonts w:ascii="宋体" w:hAnsi="宋体" w:cs="宋体" w:eastAsia="宋体" w:hint="default"/>
          <w:spacing w:val="-2"/>
        </w:rPr>
        <w:t>2007</w:t>
      </w:r>
      <w:r>
        <w:rPr>
          <w:spacing w:val="-2"/>
        </w:rPr>
        <w:t>年任民生教育集团投资部总经理，</w:t>
      </w:r>
      <w:r>
        <w:rPr>
          <w:rFonts w:ascii="宋体" w:hAnsi="宋体" w:cs="宋体" w:eastAsia="宋体" w:hint="default"/>
          <w:spacing w:val="-2"/>
        </w:rPr>
        <w:t>2008</w:t>
      </w:r>
      <w:r>
        <w:rPr>
          <w:spacing w:val="-2"/>
        </w:rPr>
        <w:t>年至</w:t>
      </w:r>
      <w:r>
        <w:rPr>
          <w:rFonts w:ascii="宋体" w:hAnsi="宋体" w:cs="宋体" w:eastAsia="宋体" w:hint="default"/>
          <w:spacing w:val="-2"/>
        </w:rPr>
        <w:t>2017</w:t>
      </w:r>
      <w:r>
        <w:rPr>
          <w:spacing w:val="-2"/>
        </w:rPr>
        <w:t>年任</w:t>
      </w:r>
      <w:r>
        <w:rPr>
          <w:spacing w:val="-42"/>
        </w:rPr>
        <w:t> </w:t>
      </w:r>
      <w:r>
        <w:rPr>
          <w:spacing w:val="-2"/>
        </w:rPr>
        <w:t>好未来集团董事会秘书、集团新闻发言人，资本运营总监、高级战略投资总监，</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月至今为自由职业。</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月获得</w:t>
      </w:r>
      <w:r>
        <w:rPr>
          <w:spacing w:val="-56"/>
        </w:rPr>
        <w:t> </w:t>
      </w:r>
      <w:r>
        <w:rPr>
          <w:spacing w:val="-56"/>
        </w:rPr>
      </w:r>
      <w:r>
        <w:rPr/>
        <w:t>美国注册管理会计师资格认证，</w:t>
      </w:r>
      <w:r>
        <w:rPr>
          <w:rFonts w:ascii="宋体" w:hAnsi="宋体" w:cs="宋体" w:eastAsia="宋体" w:hint="default"/>
        </w:rPr>
        <w:t>2016</w:t>
      </w:r>
      <w:r>
        <w:rPr/>
        <w:t>年获美国注册管理会计师亚太区杰出个人奖。</w:t>
      </w:r>
      <w:r>
        <w:rPr>
          <w:rFonts w:ascii="宋体" w:hAnsi="宋体" w:cs="宋体" w:eastAsia="宋体" w:hint="default"/>
        </w:rPr>
        <w:t>2017</w:t>
      </w:r>
      <w:r>
        <w:rPr/>
        <w:t>年</w:t>
      </w:r>
      <w:r>
        <w:rPr>
          <w:rFonts w:ascii="宋体" w:hAnsi="宋体" w:cs="宋体" w:eastAsia="宋体" w:hint="default"/>
        </w:rPr>
        <w:t>6</w:t>
      </w:r>
      <w:r>
        <w:rPr/>
        <w:t>月获得深圳证券交易所颁发的上 市公司独立董事资格证书。现任山东丽鹏股份有限公司独立董事。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1131"/>
        <w:jc w:val="both"/>
      </w:pPr>
      <w:r>
        <w:rPr>
          <w:rFonts w:ascii="宋体" w:hAnsi="宋体" w:cs="宋体" w:eastAsia="宋体" w:hint="default"/>
          <w:b/>
          <w:bCs/>
        </w:rPr>
        <w:t>王全宁先生：</w:t>
      </w:r>
      <w:r>
        <w:rPr/>
        <w:t>中国国籍，无永久境外居留权，</w:t>
      </w:r>
      <w:r>
        <w:rPr>
          <w:rFonts w:ascii="宋体" w:hAnsi="宋体" w:cs="宋体" w:eastAsia="宋体" w:hint="default"/>
        </w:rPr>
        <w:t>1969</w:t>
      </w:r>
      <w:r>
        <w:rPr/>
        <w:t>年</w:t>
      </w:r>
      <w:r>
        <w:rPr>
          <w:rFonts w:ascii="宋体" w:hAnsi="宋体" w:cs="宋体" w:eastAsia="宋体" w:hint="default"/>
        </w:rPr>
        <w:t>3</w:t>
      </w:r>
      <w:r>
        <w:rPr/>
        <w:t>月出生，本科学历，高级会计师、注册会计师、资产评估师、房地产 </w:t>
      </w:r>
      <w:r>
        <w:rPr>
          <w:spacing w:val="-2"/>
        </w:rPr>
        <w:t>评估师。曾任烟台牟平职业中等专业学校教师、烟台市牟平区审计师事务所部门经理、烟台天罡有限责任会计师事务所部门</w:t>
      </w:r>
      <w:r>
        <w:rPr>
          <w:spacing w:val="-66"/>
        </w:rPr>
        <w:t> </w:t>
      </w:r>
      <w:r>
        <w:rPr>
          <w:spacing w:val="-66"/>
        </w:rPr>
      </w:r>
      <w:r>
        <w:rPr>
          <w:spacing w:val="-2"/>
        </w:rPr>
        <w:t>经理，现任本公司独立董事、山东仙坛股份有限公司独立董事、山东东方海洋科技股份有限公司独立董事、烟台天陆新有限</w:t>
      </w:r>
      <w:r>
        <w:rPr>
          <w:spacing w:val="-66"/>
        </w:rPr>
        <w:t> </w:t>
      </w:r>
      <w:r>
        <w:rPr>
          <w:spacing w:val="-66"/>
        </w:rPr>
      </w:r>
      <w:r>
        <w:rPr/>
        <w:t>责任会计师事务所主任会计师。</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982"/>
        <w:jc w:val="left"/>
      </w:pPr>
      <w:r>
        <w:rPr>
          <w:rFonts w:ascii="宋体" w:hAnsi="宋体" w:cs="宋体" w:eastAsia="宋体" w:hint="default"/>
          <w:b/>
          <w:bCs/>
        </w:rPr>
        <w:t>秦书尧先生：</w:t>
      </w:r>
      <w:r>
        <w:rPr/>
        <w:t>中国国籍，无永久境外居留权，</w:t>
      </w:r>
      <w:r>
        <w:rPr>
          <w:rFonts w:ascii="宋体" w:hAnsi="宋体" w:cs="宋体" w:eastAsia="宋体" w:hint="default"/>
        </w:rPr>
        <w:t>1971</w:t>
      </w:r>
      <w:r>
        <w:rPr/>
        <w:t>年</w:t>
      </w:r>
      <w:r>
        <w:rPr>
          <w:rFonts w:ascii="宋体" w:hAnsi="宋体" w:cs="宋体" w:eastAsia="宋体" w:hint="default"/>
        </w:rPr>
        <w:t>5</w:t>
      </w:r>
      <w:r>
        <w:rPr/>
        <w:t>月出生，本科学历，曾任烟台市南山路小学教师、华夏酒报记者、烟 </w:t>
      </w:r>
      <w:r>
        <w:rPr>
          <w:spacing w:val="-8"/>
        </w:rPr>
        <w:t>台日报社《今晨</w:t>
      </w:r>
      <w:r>
        <w:rPr>
          <w:rFonts w:ascii="宋体" w:hAnsi="宋体" w:cs="宋体" w:eastAsia="宋体" w:hint="default"/>
          <w:spacing w:val="-8"/>
        </w:rPr>
        <w:t>6</w:t>
      </w:r>
      <w:r>
        <w:rPr>
          <w:spacing w:val="-8"/>
        </w:rPr>
        <w:t>点》策划部主任、北京大写国际文化传媒有限公司法人代表、总经理，创办女性杂志《</w:t>
      </w:r>
      <w:r>
        <w:rPr>
          <w:rFonts w:ascii="宋体" w:hAnsi="宋体" w:cs="宋体" w:eastAsia="宋体" w:hint="default"/>
          <w:spacing w:val="-8"/>
        </w:rPr>
        <w:t>37</w:t>
      </w:r>
      <w:r>
        <w:rPr>
          <w:spacing w:val="-8"/>
        </w:rPr>
        <w:t>°女人》、《优格》。</w:t>
      </w:r>
      <w:r>
        <w:rPr>
          <w:spacing w:val="-73"/>
        </w:rPr>
        <w:t> </w:t>
      </w:r>
      <w:r>
        <w:rPr>
          <w:spacing w:val="-73"/>
        </w:rPr>
      </w:r>
      <w:r>
        <w:rPr/>
        <w:t>现任中国酒类流通协会秘书长、云酒传媒创始人。本公司独立董事。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38" w:lineRule="auto"/>
        <w:ind w:right="1118"/>
        <w:jc w:val="left"/>
      </w:pPr>
      <w:r>
        <w:rPr>
          <w:rFonts w:ascii="宋体" w:hAnsi="宋体" w:cs="宋体" w:eastAsia="宋体" w:hint="default"/>
          <w:b/>
          <w:bCs/>
        </w:rPr>
        <w:t>监事：</w:t>
      </w:r>
      <w:r>
        <w:rPr>
          <w:rFonts w:ascii="宋体" w:hAnsi="宋体" w:cs="宋体" w:eastAsia="宋体" w:hint="default"/>
          <w:b/>
          <w:bCs/>
          <w:spacing w:val="1"/>
          <w:w w:val="99"/>
        </w:rPr>
        <w:t> </w:t>
      </w:r>
      <w:r>
        <w:rPr>
          <w:rFonts w:ascii="宋体" w:hAnsi="宋体" w:cs="宋体" w:eastAsia="宋体" w:hint="default"/>
          <w:b/>
          <w:bCs/>
        </w:rPr>
        <w:t>高远女士：</w:t>
      </w:r>
      <w:r>
        <w:rPr/>
        <w:t>中国国籍，无境外永久居留权，</w:t>
      </w:r>
      <w:r>
        <w:rPr>
          <w:rFonts w:ascii="宋体" w:hAnsi="宋体" w:cs="宋体" w:eastAsia="宋体" w:hint="default"/>
        </w:rPr>
        <w:t>1974</w:t>
      </w:r>
      <w:r>
        <w:rPr/>
        <w:t>年</w:t>
      </w:r>
      <w:r>
        <w:rPr>
          <w:rFonts w:ascii="宋体" w:hAnsi="宋体" w:cs="宋体" w:eastAsia="宋体" w:hint="default"/>
        </w:rPr>
        <w:t>2</w:t>
      </w:r>
      <w:r>
        <w:rPr/>
        <w:t>月出生，硕士研究生学历。曾任腾飞集团财务部助理副总裁，现任中锐 控股集团和教育集团首席财务官、山东丽鹏股份有限公司监事会主席。</w:t>
      </w:r>
    </w:p>
    <w:p>
      <w:pPr>
        <w:spacing w:line="240" w:lineRule="auto" w:before="0"/>
        <w:rPr>
          <w:rFonts w:ascii="宋体" w:hAnsi="宋体" w:cs="宋体" w:eastAsia="宋体" w:hint="default"/>
          <w:sz w:val="18"/>
          <w:szCs w:val="18"/>
        </w:rPr>
      </w:pPr>
    </w:p>
    <w:p>
      <w:pPr>
        <w:pStyle w:val="BodyText"/>
        <w:spacing w:line="319" w:lineRule="auto" w:before="157"/>
        <w:ind w:right="1130"/>
        <w:jc w:val="both"/>
      </w:pPr>
      <w:r>
        <w:rPr>
          <w:rFonts w:ascii="宋体" w:hAnsi="宋体" w:cs="宋体" w:eastAsia="宋体" w:hint="default"/>
          <w:b/>
          <w:bCs/>
          <w:spacing w:val="-2"/>
        </w:rPr>
        <w:t>刘晨先生：</w:t>
      </w:r>
      <w:r>
        <w:rPr>
          <w:spacing w:val="-2"/>
        </w:rPr>
        <w:t>中国国籍，无永久境外居留权，</w:t>
      </w:r>
      <w:r>
        <w:rPr>
          <w:rFonts w:ascii="宋体" w:hAnsi="宋体" w:cs="宋体" w:eastAsia="宋体" w:hint="default"/>
          <w:spacing w:val="-2"/>
        </w:rPr>
        <w:t>1988</w:t>
      </w:r>
      <w:r>
        <w:rPr>
          <w:spacing w:val="-2"/>
        </w:rPr>
        <w:t>年</w:t>
      </w:r>
      <w:r>
        <w:rPr>
          <w:rFonts w:ascii="宋体" w:hAnsi="宋体" w:cs="宋体" w:eastAsia="宋体" w:hint="default"/>
          <w:spacing w:val="-2"/>
        </w:rPr>
        <w:t>8</w:t>
      </w:r>
      <w:r>
        <w:rPr>
          <w:spacing w:val="-2"/>
        </w:rPr>
        <w:t>月出生，硕士学历，</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月任职杭州金投资本管理有限</w:t>
      </w:r>
      <w:r>
        <w:rPr>
          <w:spacing w:val="-53"/>
        </w:rPr>
        <w:t> </w:t>
      </w:r>
      <w:r>
        <w:rPr>
          <w:spacing w:val="-2"/>
        </w:rPr>
        <w:t>公司金融投资部总经理；现任安扬资产管理（杭州）有限公司董事、杭实股权投资基金管理（杭州）有限公司执行董事、杭</w:t>
      </w:r>
      <w:r>
        <w:rPr>
          <w:spacing w:val="-71"/>
        </w:rPr>
        <w:t> </w:t>
      </w:r>
      <w:r>
        <w:rPr>
          <w:spacing w:val="-71"/>
        </w:rPr>
      </w:r>
      <w:r>
        <w:rPr/>
        <w:t>州武林中新医院有限公司董事、苏州睿畅投资管理有限公司董事、山东丽鹏股份有限公司监事。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1032"/>
        <w:jc w:val="left"/>
      </w:pPr>
      <w:r>
        <w:rPr>
          <w:rFonts w:ascii="宋体" w:hAnsi="宋体" w:cs="宋体" w:eastAsia="宋体" w:hint="default"/>
          <w:b/>
          <w:bCs/>
        </w:rPr>
        <w:t>于善晓先生：</w:t>
      </w:r>
      <w:r>
        <w:rPr/>
        <w:t>中国国籍，无永久境外居留权，</w:t>
      </w:r>
      <w:r>
        <w:rPr>
          <w:rFonts w:ascii="宋体" w:hAnsi="宋体" w:cs="宋体" w:eastAsia="宋体" w:hint="default"/>
        </w:rPr>
        <w:t>1977</w:t>
      </w:r>
      <w:r>
        <w:rPr/>
        <w:t>年</w:t>
      </w:r>
      <w:r>
        <w:rPr>
          <w:rFonts w:ascii="宋体" w:hAnsi="宋体" w:cs="宋体" w:eastAsia="宋体" w:hint="default"/>
        </w:rPr>
        <w:t>5</w:t>
      </w:r>
      <w:r>
        <w:rPr/>
        <w:t>月出生，本科学历，曾任山东丽鹏包装有限公司质检主任、山东丽鹏 股份有限公司铝塑厂厂长、行政管理部经理、人力资源部经理、公司监事会主席，现任山东丽鹏股份有限公司监事会监事、 党委常务副书记、公司工会主席、精益推进办公室主任。</w:t>
      </w:r>
    </w:p>
    <w:p>
      <w:pPr>
        <w:spacing w:after="0" w:line="319"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line="357" w:lineRule="auto" w:before="44"/>
        <w:ind w:left="114" w:right="8588" w:firstLine="0"/>
        <w:jc w:val="left"/>
        <w:rPr>
          <w:rFonts w:ascii="宋体" w:hAnsi="宋体" w:cs="宋体" w:eastAsia="宋体" w:hint="default"/>
          <w:sz w:val="18"/>
          <w:szCs w:val="18"/>
        </w:rPr>
      </w:pPr>
      <w:r>
        <w:rPr>
          <w:rFonts w:ascii="宋体" w:hAnsi="宋体" w:cs="宋体" w:eastAsia="宋体" w:hint="default"/>
          <w:b/>
          <w:bCs/>
          <w:sz w:val="18"/>
          <w:szCs w:val="18"/>
        </w:rPr>
        <w:t>管级管理人员：</w:t>
      </w:r>
      <w:r>
        <w:rPr>
          <w:rFonts w:ascii="宋体" w:hAnsi="宋体" w:cs="宋体" w:eastAsia="宋体" w:hint="default"/>
          <w:b/>
          <w:bCs/>
          <w:w w:val="99"/>
          <w:sz w:val="18"/>
          <w:szCs w:val="18"/>
        </w:rPr>
        <w:t> </w:t>
      </w:r>
      <w:r>
        <w:rPr>
          <w:rFonts w:ascii="宋体" w:hAnsi="宋体" w:cs="宋体" w:eastAsia="宋体" w:hint="default"/>
          <w:b/>
          <w:bCs/>
          <w:sz w:val="18"/>
          <w:szCs w:val="18"/>
        </w:rPr>
        <w:t>孙鲲鹏先生：</w:t>
      </w:r>
      <w:r>
        <w:rPr>
          <w:rFonts w:ascii="宋体" w:hAnsi="宋体" w:cs="宋体" w:eastAsia="宋体" w:hint="default"/>
          <w:sz w:val="18"/>
          <w:szCs w:val="18"/>
        </w:rPr>
        <w:t>见上述董事。</w:t>
      </w:r>
    </w:p>
    <w:p>
      <w:pPr>
        <w:spacing w:line="240" w:lineRule="auto" w:before="0"/>
        <w:rPr>
          <w:rFonts w:ascii="宋体" w:hAnsi="宋体" w:cs="宋体" w:eastAsia="宋体" w:hint="default"/>
          <w:sz w:val="18"/>
          <w:szCs w:val="18"/>
        </w:rPr>
      </w:pPr>
    </w:p>
    <w:p>
      <w:pPr>
        <w:pStyle w:val="BodyText"/>
        <w:spacing w:line="319" w:lineRule="auto" w:before="144"/>
        <w:ind w:right="1031"/>
        <w:jc w:val="left"/>
      </w:pPr>
      <w:r>
        <w:rPr>
          <w:rFonts w:ascii="宋体" w:hAnsi="宋体" w:cs="宋体" w:eastAsia="宋体" w:hint="default"/>
          <w:b/>
          <w:bCs/>
        </w:rPr>
        <w:t>戴汉宝先生：</w:t>
      </w:r>
      <w:r>
        <w:rPr/>
        <w:t>中国国籍，无境外永久居留权，</w:t>
      </w:r>
      <w:r>
        <w:rPr>
          <w:rFonts w:ascii="宋体" w:hAnsi="宋体" w:cs="宋体" w:eastAsia="宋体" w:hint="default"/>
        </w:rPr>
        <w:t>1976</w:t>
      </w:r>
      <w:r>
        <w:rPr/>
        <w:t>年</w:t>
      </w:r>
      <w:r>
        <w:rPr>
          <w:rFonts w:ascii="宋体" w:hAnsi="宋体" w:cs="宋体" w:eastAsia="宋体" w:hint="default"/>
        </w:rPr>
        <w:t>10</w:t>
      </w:r>
      <w:r>
        <w:rPr/>
        <w:t>月出生，复旦大学工商管</w:t>
      </w:r>
      <w:r>
        <w:rPr>
          <w:spacing w:val="-1"/>
        </w:rPr>
        <w:t> </w:t>
      </w:r>
      <w:r>
        <w:rPr/>
        <w:t>理硕士，高级会计师。曾任职于宝钢集团 </w:t>
      </w:r>
      <w:r>
        <w:rPr>
          <w:spacing w:val="-2"/>
        </w:rPr>
        <w:t>上海五钢有限公司财务部副部长兼信息化项目经理；宝山钢铁股份有限公司特种钢事业部财务部副部长、宝银特种钢管有限</w:t>
      </w:r>
      <w:r>
        <w:rPr>
          <w:spacing w:val="-64"/>
        </w:rPr>
        <w:t> </w:t>
      </w:r>
      <w:r>
        <w:rPr>
          <w:spacing w:val="-64"/>
        </w:rPr>
      </w:r>
      <w:r>
        <w:rPr>
          <w:spacing w:val="-2"/>
        </w:rPr>
        <w:t>公司副总经理兼董秘；中信泰富特钢集团有限公司财务部副部长，扬州泰富特种材料有限公司财务总监；招金矿业股份有限</w:t>
      </w:r>
      <w:r>
        <w:rPr>
          <w:spacing w:val="-66"/>
        </w:rPr>
        <w:t> </w:t>
      </w:r>
      <w:r>
        <w:rPr>
          <w:spacing w:val="-66"/>
        </w:rPr>
      </w:r>
      <w:r>
        <w:rPr/>
        <w:t>公司财务总监，山东招金集团财务有限公司副董事长，上海复星高科技（集团）有限公司副</w:t>
      </w:r>
      <w:r>
        <w:rPr>
          <w:spacing w:val="1"/>
        </w:rPr>
        <w:t> </w:t>
      </w:r>
      <w:r>
        <w:rPr>
          <w:rFonts w:ascii="宋体" w:hAnsi="宋体" w:cs="宋体" w:eastAsia="宋体" w:hint="default"/>
        </w:rPr>
        <w:t>CFO</w:t>
      </w:r>
      <w:r>
        <w:rPr/>
        <w:t>；现任本公司常务副总裁、 子公司山东丽鹏包装科技有限公司总经理。</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1028"/>
        <w:jc w:val="left"/>
      </w:pPr>
      <w:r>
        <w:rPr>
          <w:rFonts w:ascii="宋体" w:hAnsi="宋体" w:cs="宋体" w:eastAsia="宋体" w:hint="default"/>
          <w:b/>
          <w:bCs/>
        </w:rPr>
        <w:t>毛恩先生：</w:t>
      </w:r>
      <w:r>
        <w:rPr/>
        <w:t>中国国籍，无境外永久居留权，</w:t>
      </w:r>
      <w:r>
        <w:rPr>
          <w:rFonts w:ascii="宋体" w:hAnsi="宋体" w:cs="宋体" w:eastAsia="宋体" w:hint="default"/>
        </w:rPr>
        <w:t>1961</w:t>
      </w:r>
      <w:r>
        <w:rPr/>
        <w:t>年</w:t>
      </w:r>
      <w:r>
        <w:rPr>
          <w:rFonts w:ascii="宋体" w:hAnsi="宋体" w:cs="宋体" w:eastAsia="宋体" w:hint="default"/>
        </w:rPr>
        <w:t>5</w:t>
      </w:r>
      <w:r>
        <w:rPr/>
        <w:t>月</w:t>
      </w:r>
      <w:r>
        <w:rPr>
          <w:rFonts w:ascii="宋体" w:hAnsi="宋体" w:cs="宋体" w:eastAsia="宋体" w:hint="default"/>
        </w:rPr>
        <w:t>24</w:t>
      </w:r>
      <w:r>
        <w:rPr/>
        <w:t>日出生，中欧国际工商学院</w:t>
      </w:r>
      <w:r>
        <w:rPr>
          <w:rFonts w:ascii="宋体" w:hAnsi="宋体" w:cs="宋体" w:eastAsia="宋体" w:hint="default"/>
        </w:rPr>
        <w:t>MBA</w:t>
      </w:r>
      <w:r>
        <w:rPr/>
        <w:t>。曾任航天局第八设计部团委书记； 上海团市委研究室主任；上海第一百货集团公司副总经理；中信集团中国国际经济咨询公司上海分公司首代</w:t>
      </w:r>
      <w:r>
        <w:rPr>
          <w:rFonts w:ascii="宋体" w:hAnsi="宋体" w:cs="宋体" w:eastAsia="宋体" w:hint="default"/>
        </w:rPr>
        <w:t>/</w:t>
      </w:r>
      <w:r>
        <w:rPr/>
        <w:t>总经理；中锐 </w:t>
      </w:r>
      <w:r>
        <w:rPr>
          <w:spacing w:val="-2"/>
        </w:rPr>
        <w:t>控股集团副总裁；中锐地产集团副董事长。现任中锐控股集团有限公司董事、上海中锐教育投资有限公司董事、上海中锐教</w:t>
      </w:r>
      <w:r>
        <w:rPr>
          <w:spacing w:val="-66"/>
        </w:rPr>
        <w:t> </w:t>
      </w:r>
      <w:r>
        <w:rPr>
          <w:spacing w:val="-66"/>
        </w:rPr>
      </w:r>
      <w:r>
        <w:rPr>
          <w:spacing w:val="-2"/>
        </w:rPr>
        <w:t>育发展有限公司董事、上海创锐投资管理有限公司董事、上海中锐全教企业管理有限公司董事、山东丽鹏股份有限公司副总</w:t>
      </w:r>
      <w:r>
        <w:rPr>
          <w:spacing w:val="-66"/>
        </w:rPr>
        <w:t> </w:t>
      </w:r>
      <w:r>
        <w:rPr>
          <w:spacing w:val="-66"/>
        </w:rPr>
      </w:r>
      <w:r>
        <w:rPr/>
        <w:t>裁。</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19" w:lineRule="auto"/>
        <w:ind w:right="982"/>
        <w:jc w:val="left"/>
      </w:pPr>
      <w:r>
        <w:rPr>
          <w:rFonts w:ascii="宋体" w:hAnsi="宋体" w:cs="宋体" w:eastAsia="宋体" w:hint="default"/>
          <w:b/>
          <w:bCs/>
        </w:rPr>
        <w:t>孙伟厚先生：</w:t>
      </w:r>
      <w:r>
        <w:rPr/>
        <w:t>中国国籍，无境外永久居留权。</w:t>
      </w:r>
      <w:r>
        <w:rPr>
          <w:rFonts w:ascii="宋体" w:hAnsi="宋体" w:cs="宋体" w:eastAsia="宋体" w:hint="default"/>
        </w:rPr>
        <w:t>1967</w:t>
      </w:r>
      <w:r>
        <w:rPr/>
        <w:t>年</w:t>
      </w:r>
      <w:r>
        <w:rPr>
          <w:rFonts w:ascii="宋体" w:hAnsi="宋体" w:cs="宋体" w:eastAsia="宋体" w:hint="default"/>
        </w:rPr>
        <w:t>1</w:t>
      </w:r>
      <w:r>
        <w:rPr/>
        <w:t>月出生，本科学历。曾任职于宁夏恒力集团、中锐教育集团；先后在 </w:t>
      </w:r>
      <w:r>
        <w:rPr>
          <w:spacing w:val="-4"/>
        </w:rPr>
        <w:t>中锐地产集团任无锡公司副总经理、总经理、运营管理中心总经理、集团副总经理；中锐地产集团审计监察中心总经理等职。</w:t>
      </w:r>
      <w:r>
        <w:rPr>
          <w:spacing w:val="-46"/>
        </w:rPr>
        <w:t> </w:t>
      </w:r>
      <w:r>
        <w:rPr>
          <w:spacing w:val="-46"/>
        </w:rPr>
      </w:r>
      <w:r>
        <w:rPr/>
        <w:t>现任本公司副总裁、重庆华宇园林有限公司</w:t>
      </w:r>
      <w:r>
        <w:rPr>
          <w:rFonts w:ascii="宋体" w:hAnsi="宋体" w:cs="宋体" w:eastAsia="宋体" w:hint="default"/>
        </w:rPr>
        <w:t>CEO</w:t>
      </w:r>
      <w:r>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14" w:right="982" w:firstLine="0"/>
        <w:jc w:val="left"/>
        <w:rPr>
          <w:rFonts w:ascii="宋体" w:hAnsi="宋体" w:cs="宋体" w:eastAsia="宋体" w:hint="default"/>
          <w:sz w:val="18"/>
          <w:szCs w:val="18"/>
        </w:rPr>
      </w:pPr>
      <w:r>
        <w:rPr>
          <w:rFonts w:ascii="宋体" w:hAnsi="宋体" w:cs="宋体" w:eastAsia="宋体" w:hint="default"/>
          <w:b/>
          <w:bCs/>
          <w:sz w:val="18"/>
          <w:szCs w:val="18"/>
        </w:rPr>
        <w:t>李海霞女士：</w:t>
      </w:r>
      <w:r>
        <w:rPr>
          <w:rFonts w:ascii="宋体" w:hAnsi="宋体" w:cs="宋体" w:eastAsia="宋体" w:hint="default"/>
          <w:sz w:val="18"/>
          <w:szCs w:val="18"/>
        </w:rPr>
        <w:t>见上述董事。</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9" w:lineRule="auto"/>
        <w:ind w:right="1133"/>
        <w:jc w:val="both"/>
      </w:pPr>
      <w:r>
        <w:rPr>
          <w:rFonts w:ascii="宋体" w:hAnsi="宋体" w:cs="宋体" w:eastAsia="宋体" w:hint="default"/>
          <w:b/>
          <w:bCs/>
        </w:rPr>
        <w:t>张国平先生：</w:t>
      </w:r>
      <w:r>
        <w:rPr/>
        <w:t>中国国籍，无永久境外居留权，</w:t>
      </w:r>
      <w:r>
        <w:rPr>
          <w:rFonts w:ascii="宋体" w:hAnsi="宋体" w:cs="宋体" w:eastAsia="宋体" w:hint="default"/>
        </w:rPr>
        <w:t>1977</w:t>
      </w:r>
      <w:r>
        <w:rPr/>
        <w:t>年</w:t>
      </w:r>
      <w:r>
        <w:rPr>
          <w:rFonts w:ascii="宋体" w:hAnsi="宋体" w:cs="宋体" w:eastAsia="宋体" w:hint="default"/>
        </w:rPr>
        <w:t>2</w:t>
      </w:r>
      <w:r>
        <w:rPr/>
        <w:t>月出生，本科学历，曾任山东丽鹏包装有限公司财务部副经理，山东 </w:t>
      </w:r>
      <w:r>
        <w:rPr>
          <w:spacing w:val="-2"/>
        </w:rPr>
        <w:t>丽鹏股份有限公司财务部副经理，重庆华宇园林有限公司董事。现任本公司财务总监，山东丽鹏包装科技有限公司副总经理</w:t>
      </w:r>
      <w:r>
        <w:rPr>
          <w:spacing w:val="-66"/>
        </w:rPr>
        <w:t> </w:t>
      </w:r>
      <w:r>
        <w:rPr>
          <w:spacing w:val="-66"/>
        </w:rPr>
      </w:r>
      <w:r>
        <w:rPr/>
        <w:t>兼财务总监、财务部经理。</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982"/>
        <w:jc w:val="left"/>
      </w:pPr>
      <w:r>
        <w:rPr/>
        <w:t>在股东单位任职情况</w:t>
      </w:r>
    </w:p>
    <w:p>
      <w:pPr>
        <w:pStyle w:val="BodyText"/>
        <w:spacing w:line="240" w:lineRule="auto" w:before="117"/>
        <w:ind w:right="982"/>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17"/>
        <w:gridCol w:w="2558"/>
        <w:gridCol w:w="1225"/>
        <w:gridCol w:w="1775"/>
        <w:gridCol w:w="1313"/>
        <w:gridCol w:w="1481"/>
      </w:tblGrid>
      <w:tr>
        <w:trPr>
          <w:trHeight w:val="75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423" w:right="243"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57" w:right="156"/>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95" w:right="103"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苏州睿畅投资管理有限公司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3"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苏州睿畅投资管理有限公司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3"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苏州睿畅投资管理有限公司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3"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2"/>
              <w:jc w:val="both"/>
              <w:rPr>
                <w:rFonts w:ascii="宋体" w:hAnsi="宋体" w:cs="宋体" w:eastAsia="宋体" w:hint="default"/>
                <w:sz w:val="18"/>
                <w:szCs w:val="18"/>
              </w:rPr>
            </w:pPr>
            <w:r>
              <w:rPr>
                <w:rFonts w:ascii="宋体" w:hAnsi="宋体" w:cs="宋体" w:eastAsia="宋体" w:hint="default"/>
                <w:sz w:val="18"/>
                <w:szCs w:val="18"/>
              </w:rPr>
              <w:t>在股东单位 任职情况的 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82"/>
        <w:jc w:val="left"/>
      </w:pPr>
      <w:r>
        <w:rPr/>
        <w:t>在其他单位任职情况</w:t>
      </w:r>
    </w:p>
    <w:p>
      <w:pPr>
        <w:pStyle w:val="BodyText"/>
        <w:spacing w:line="240" w:lineRule="auto" w:before="116"/>
        <w:ind w:right="982"/>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4"/>
        <w:gridCol w:w="2529"/>
        <w:gridCol w:w="1225"/>
        <w:gridCol w:w="1787"/>
        <w:gridCol w:w="1300"/>
        <w:gridCol w:w="1493"/>
      </w:tblGrid>
      <w:tr>
        <w:trPr>
          <w:trHeight w:val="75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432" w:right="25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57" w:right="156"/>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01" w:right="110"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4"/>
        <w:gridCol w:w="2529"/>
        <w:gridCol w:w="1225"/>
        <w:gridCol w:w="1787"/>
        <w:gridCol w:w="1300"/>
        <w:gridCol w:w="1494"/>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上海中锐教育投资有限公司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上海中锐教育发展有限公司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上海创锐投资管理有限公司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55"/>
              <w:jc w:val="left"/>
              <w:rPr>
                <w:rFonts w:ascii="宋体" w:hAnsi="宋体" w:cs="宋体" w:eastAsia="宋体" w:hint="default"/>
                <w:sz w:val="18"/>
                <w:szCs w:val="18"/>
              </w:rPr>
            </w:pPr>
            <w:r>
              <w:rPr>
                <w:rFonts w:ascii="宋体" w:hAnsi="宋体" w:cs="宋体" w:eastAsia="宋体" w:hint="default"/>
                <w:sz w:val="18"/>
                <w:szCs w:val="18"/>
              </w:rPr>
              <w:t>上海中锐全教企业管理有限 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苏州中锐投资集团有限公司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55"/>
              <w:jc w:val="left"/>
              <w:rPr>
                <w:rFonts w:ascii="宋体" w:hAnsi="宋体" w:cs="宋体" w:eastAsia="宋体" w:hint="default"/>
                <w:sz w:val="18"/>
                <w:szCs w:val="18"/>
              </w:rPr>
            </w:pPr>
            <w:r>
              <w:rPr>
                <w:rFonts w:ascii="宋体" w:hAnsi="宋体" w:cs="宋体" w:eastAsia="宋体" w:hint="default"/>
                <w:sz w:val="18"/>
                <w:szCs w:val="18"/>
              </w:rPr>
              <w:t>上海钧锐商业经营管理有限 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1" w:right="512"/>
              <w:jc w:val="left"/>
              <w:rPr>
                <w:rFonts w:ascii="Times New Roman" w:hAnsi="Times New Roman" w:cs="Times New Roman" w:eastAsia="Times New Roman" w:hint="default"/>
                <w:sz w:val="18"/>
                <w:szCs w:val="18"/>
              </w:rPr>
            </w:pPr>
            <w:r>
              <w:rPr>
                <w:rFonts w:ascii="Times New Roman"/>
                <w:sz w:val="18"/>
              </w:rPr>
              <w:t>CWG</w:t>
            </w:r>
            <w:r>
              <w:rPr>
                <w:rFonts w:ascii="Times New Roman"/>
                <w:spacing w:val="-19"/>
                <w:sz w:val="18"/>
              </w:rPr>
              <w:t> </w:t>
            </w:r>
            <w:r>
              <w:rPr>
                <w:rFonts w:ascii="Times New Roman"/>
                <w:sz w:val="18"/>
              </w:rPr>
              <w:t>INTERNATIONAL</w:t>
            </w:r>
            <w:r>
              <w:rPr>
                <w:rFonts w:ascii="Times New Roman"/>
                <w:sz w:val="18"/>
              </w:rPr>
              <w:t> </w:t>
            </w:r>
            <w:r>
              <w:rPr>
                <w:rFonts w:ascii="Times New Roman"/>
                <w:spacing w:val="-3"/>
                <w:sz w:val="18"/>
              </w:rPr>
              <w:t>PTE.LTD.</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55"/>
              <w:jc w:val="left"/>
              <w:rPr>
                <w:rFonts w:ascii="宋体" w:hAnsi="宋体" w:cs="宋体" w:eastAsia="宋体" w:hint="default"/>
                <w:sz w:val="18"/>
                <w:szCs w:val="18"/>
              </w:rPr>
            </w:pPr>
            <w:r>
              <w:rPr>
                <w:rFonts w:ascii="宋体" w:hAnsi="宋体" w:cs="宋体" w:eastAsia="宋体" w:hint="default"/>
                <w:sz w:val="18"/>
                <w:szCs w:val="18"/>
              </w:rPr>
              <w:t>宁波梅山保税港区思通卓志 投资管理有限公司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苏州中锐投资集团有限公司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1" w:right="512"/>
              <w:jc w:val="left"/>
              <w:rPr>
                <w:rFonts w:ascii="Times New Roman" w:hAnsi="Times New Roman" w:cs="Times New Roman" w:eastAsia="Times New Roman" w:hint="default"/>
                <w:sz w:val="18"/>
                <w:szCs w:val="18"/>
              </w:rPr>
            </w:pPr>
            <w:r>
              <w:rPr>
                <w:rFonts w:ascii="Times New Roman"/>
                <w:sz w:val="18"/>
              </w:rPr>
              <w:t>CWG</w:t>
            </w:r>
            <w:r>
              <w:rPr>
                <w:rFonts w:ascii="Times New Roman"/>
                <w:spacing w:val="-19"/>
                <w:sz w:val="18"/>
              </w:rPr>
              <w:t> </w:t>
            </w:r>
            <w:r>
              <w:rPr>
                <w:rFonts w:ascii="Times New Roman"/>
                <w:sz w:val="18"/>
              </w:rPr>
              <w:t>INTERNATIONAL</w:t>
            </w:r>
            <w:r>
              <w:rPr>
                <w:rFonts w:ascii="Times New Roman"/>
                <w:sz w:val="18"/>
              </w:rPr>
              <w:t> </w:t>
            </w:r>
            <w:r>
              <w:rPr>
                <w:rFonts w:ascii="Times New Roman"/>
                <w:spacing w:val="-3"/>
                <w:sz w:val="18"/>
              </w:rPr>
              <w:t>PTE.LTD</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上海全畅营销策划有限公司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朱拓</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浙江东晶电子股份有限公司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朱拓</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中锐国际有限公司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0"/>
              <w:jc w:val="left"/>
              <w:rPr>
                <w:rFonts w:ascii="宋体" w:hAnsi="宋体" w:cs="宋体" w:eastAsia="宋体" w:hint="default"/>
                <w:sz w:val="18"/>
                <w:szCs w:val="18"/>
              </w:rPr>
            </w:pPr>
            <w:r>
              <w:rPr>
                <w:rFonts w:ascii="宋体" w:hAnsi="宋体" w:cs="宋体" w:eastAsia="宋体" w:hint="default"/>
                <w:sz w:val="18"/>
                <w:szCs w:val="18"/>
              </w:rPr>
              <w:t>资本市场部 总监</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朱拓</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55"/>
              <w:jc w:val="left"/>
              <w:rPr>
                <w:rFonts w:ascii="宋体" w:hAnsi="宋体" w:cs="宋体" w:eastAsia="宋体" w:hint="default"/>
                <w:sz w:val="18"/>
                <w:szCs w:val="18"/>
              </w:rPr>
            </w:pPr>
            <w:r>
              <w:rPr>
                <w:rFonts w:ascii="宋体" w:hAnsi="宋体" w:cs="宋体" w:eastAsia="宋体" w:hint="default"/>
                <w:sz w:val="18"/>
                <w:szCs w:val="18"/>
              </w:rPr>
              <w:t>上海睿泽股权投资管理有限 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高远</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CFO</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55"/>
              <w:jc w:val="left"/>
              <w:rPr>
                <w:rFonts w:ascii="宋体" w:hAnsi="宋体" w:cs="宋体" w:eastAsia="宋体" w:hint="default"/>
                <w:sz w:val="18"/>
                <w:szCs w:val="18"/>
              </w:rPr>
            </w:pPr>
            <w:r>
              <w:rPr>
                <w:rFonts w:ascii="宋体" w:hAnsi="宋体" w:cs="宋体" w:eastAsia="宋体" w:hint="default"/>
                <w:sz w:val="18"/>
                <w:szCs w:val="18"/>
              </w:rPr>
              <w:t>杭实股权投资基金管理（杭 州）有限公司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2"/>
              <w:jc w:val="left"/>
              <w:rPr>
                <w:rFonts w:ascii="宋体" w:hAnsi="宋体" w:cs="宋体" w:eastAsia="宋体" w:hint="default"/>
                <w:sz w:val="18"/>
                <w:szCs w:val="18"/>
              </w:rPr>
            </w:pPr>
            <w:r>
              <w:rPr>
                <w:rFonts w:ascii="宋体" w:hAnsi="宋体" w:cs="宋体" w:eastAsia="宋体" w:hint="default"/>
                <w:spacing w:val="-3"/>
                <w:sz w:val="18"/>
                <w:szCs w:val="18"/>
              </w:rPr>
              <w:t>安扬资产管理（杭州）有限公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武林医院有限公司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上海中锐教育投资有限公司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上海中锐教育发展有限公司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上海创锐投资管理有限公司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255"/>
              <w:jc w:val="left"/>
              <w:rPr>
                <w:rFonts w:ascii="宋体" w:hAnsi="宋体" w:cs="宋体" w:eastAsia="宋体" w:hint="default"/>
                <w:sz w:val="18"/>
                <w:szCs w:val="18"/>
              </w:rPr>
            </w:pPr>
            <w:r>
              <w:rPr>
                <w:rFonts w:ascii="宋体" w:hAnsi="宋体" w:cs="宋体" w:eastAsia="宋体" w:hint="default"/>
                <w:sz w:val="18"/>
                <w:szCs w:val="18"/>
              </w:rPr>
              <w:t>上海中锐全教企业管理有限 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2"/>
        <w:rPr>
          <w:rFonts w:ascii="Times New Roman" w:hAnsi="Times New Roman" w:cs="Times New Roman" w:eastAsia="Times New Roman" w:hint="default"/>
          <w:sz w:val="26"/>
          <w:szCs w:val="26"/>
        </w:rPr>
      </w:pPr>
    </w:p>
    <w:p>
      <w:pPr>
        <w:pStyle w:val="BodyText"/>
        <w:spacing w:line="240" w:lineRule="auto" w:before="44"/>
        <w:ind w:right="0"/>
        <w:jc w:val="both"/>
      </w:pPr>
      <w:r>
        <w:rPr/>
        <w:t>公司现任及报告期内离任董事、监事和高级管理人员近三年证券监管机构处罚的情况</w:t>
      </w:r>
    </w:p>
    <w:p>
      <w:pPr>
        <w:pStyle w:val="BodyText"/>
        <w:spacing w:line="357" w:lineRule="auto" w:before="116"/>
        <w:ind w:left="474" w:right="982" w:hanging="360"/>
        <w:jc w:val="left"/>
      </w:pPr>
      <w:r>
        <w:rPr/>
        <w:t>√ 适用 □ 不适用 </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12</w:t>
      </w:r>
      <w:r>
        <w:rPr>
          <w:spacing w:val="-2"/>
        </w:rPr>
        <w:t>日，深交所出具了《关于对山东丽鹏股份有限公司董事汤于的监管函》</w:t>
      </w:r>
      <w:r>
        <w:rPr>
          <w:rFonts w:ascii="宋体" w:hAnsi="宋体" w:cs="宋体" w:eastAsia="宋体" w:hint="default"/>
          <w:spacing w:val="-2"/>
        </w:rPr>
        <w:t>(</w:t>
      </w:r>
      <w:r>
        <w:rPr>
          <w:spacing w:val="-2"/>
        </w:rPr>
        <w:t>中小板监管函【</w:t>
      </w:r>
      <w:r>
        <w:rPr>
          <w:rFonts w:ascii="宋体" w:hAnsi="宋体" w:cs="宋体" w:eastAsia="宋体" w:hint="default"/>
          <w:spacing w:val="-2"/>
        </w:rPr>
        <w:t>2018</w:t>
      </w:r>
      <w:r>
        <w:rPr>
          <w:spacing w:val="-2"/>
        </w:rPr>
        <w:t>】第</w:t>
      </w:r>
      <w:r>
        <w:rPr>
          <w:rFonts w:ascii="宋体" w:hAnsi="宋体" w:cs="宋体" w:eastAsia="宋体" w:hint="default"/>
          <w:spacing w:val="-2"/>
        </w:rPr>
        <w:t>210</w:t>
      </w:r>
      <w:r>
        <w:rPr>
          <w:spacing w:val="-2"/>
        </w:rPr>
        <w:t>号</w:t>
      </w:r>
      <w:r>
        <w:rPr>
          <w:rFonts w:ascii="宋体" w:hAnsi="宋体" w:cs="宋体" w:eastAsia="宋体" w:hint="default"/>
          <w:spacing w:val="-2"/>
        </w:rPr>
        <w:t>)</w:t>
      </w:r>
      <w:r>
        <w:rPr>
          <w:spacing w:val="-2"/>
        </w:rPr>
        <w:t>。</w:t>
      </w:r>
    </w:p>
    <w:p>
      <w:pPr>
        <w:pStyle w:val="BodyText"/>
        <w:spacing w:line="224" w:lineRule="exact"/>
        <w:ind w:right="0"/>
        <w:jc w:val="both"/>
        <w:rPr>
          <w:rFonts w:ascii="宋体" w:hAnsi="宋体" w:cs="宋体" w:eastAsia="宋体" w:hint="default"/>
        </w:rPr>
      </w:pPr>
      <w:r>
        <w:rPr/>
        <w:t>山东丽鹏股份有限公司（以下简称“公司</w:t>
      </w:r>
      <w:r>
        <w:rPr>
          <w:spacing w:val="-90"/>
        </w:rPr>
        <w:t>”</w:t>
      </w:r>
      <w:r>
        <w:rPr/>
        <w:t>）于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30</w:t>
      </w:r>
      <w:r>
        <w:rPr/>
        <w:t>日披露</w:t>
      </w:r>
      <w:r>
        <w:rPr>
          <w:rFonts w:ascii="宋体" w:hAnsi="宋体" w:cs="宋体" w:eastAsia="宋体" w:hint="default"/>
        </w:rPr>
        <w:t>2018</w:t>
      </w:r>
      <w:r>
        <w:rPr/>
        <w:t>年第三季度报告，汤于作为公司董事，在公司</w:t>
      </w:r>
      <w:r>
        <w:rPr>
          <w:rFonts w:ascii="宋体" w:hAnsi="宋体" w:cs="宋体" w:eastAsia="宋体" w:hint="default"/>
        </w:rPr>
        <w:t>2018</w:t>
      </w:r>
    </w:p>
    <w:p>
      <w:pPr>
        <w:pStyle w:val="BodyText"/>
        <w:spacing w:line="316" w:lineRule="auto" w:before="77"/>
        <w:ind w:right="1129"/>
        <w:jc w:val="both"/>
      </w:pPr>
      <w:r>
        <w:rPr>
          <w:spacing w:val="-5"/>
        </w:rPr>
        <w:t>年第三季度报告披露前</w:t>
      </w:r>
      <w:r>
        <w:rPr>
          <w:rFonts w:ascii="宋体" w:hAnsi="宋体" w:cs="宋体" w:eastAsia="宋体" w:hint="default"/>
          <w:spacing w:val="-5"/>
        </w:rPr>
        <w:t>30</w:t>
      </w:r>
      <w:r>
        <w:rPr>
          <w:spacing w:val="-5"/>
        </w:rPr>
        <w:t>日内，通过大宗交易卖出公司股票</w:t>
      </w:r>
      <w:r>
        <w:rPr>
          <w:rFonts w:ascii="宋体" w:hAnsi="宋体" w:cs="宋体" w:eastAsia="宋体" w:hint="default"/>
          <w:spacing w:val="-5"/>
        </w:rPr>
        <w:t>527.41</w:t>
      </w:r>
      <w:r>
        <w:rPr>
          <w:spacing w:val="-5"/>
        </w:rPr>
        <w:t>万股，交易金额为</w:t>
      </w:r>
      <w:r>
        <w:rPr>
          <w:rFonts w:ascii="宋体" w:hAnsi="宋体" w:cs="宋体" w:eastAsia="宋体" w:hint="default"/>
          <w:spacing w:val="-5"/>
        </w:rPr>
        <w:t>1,687.72</w:t>
      </w:r>
      <w:r>
        <w:rPr>
          <w:spacing w:val="-5"/>
        </w:rPr>
        <w:t>万元。该行为违反了深交所《股</w:t>
      </w:r>
      <w:r>
        <w:rPr>
          <w:spacing w:val="-42"/>
        </w:rPr>
        <w:t> </w:t>
      </w:r>
      <w:r>
        <w:rPr>
          <w:spacing w:val="-42"/>
        </w:rPr>
      </w:r>
      <w:r>
        <w:rPr>
          <w:spacing w:val="-5"/>
        </w:rPr>
        <w:t>票上市规则（</w:t>
      </w:r>
      <w:r>
        <w:rPr>
          <w:rFonts w:ascii="宋体" w:hAnsi="宋体" w:cs="宋体" w:eastAsia="宋体" w:hint="default"/>
          <w:spacing w:val="-5"/>
        </w:rPr>
        <w:t>2018</w:t>
      </w:r>
      <w:r>
        <w:rPr>
          <w:spacing w:val="-5"/>
        </w:rPr>
        <w:t>年修订）》第</w:t>
      </w:r>
      <w:r>
        <w:rPr>
          <w:rFonts w:ascii="宋体" w:hAnsi="宋体" w:cs="宋体" w:eastAsia="宋体" w:hint="default"/>
          <w:spacing w:val="-5"/>
        </w:rPr>
        <w:t>1.4</w:t>
      </w:r>
      <w:r>
        <w:rPr>
          <w:spacing w:val="-5"/>
        </w:rPr>
        <w:t>条、第</w:t>
      </w:r>
      <w:r>
        <w:rPr>
          <w:rFonts w:ascii="宋体" w:hAnsi="宋体" w:cs="宋体" w:eastAsia="宋体" w:hint="default"/>
          <w:spacing w:val="-5"/>
        </w:rPr>
        <w:t>3.1.8</w:t>
      </w:r>
      <w:r>
        <w:rPr>
          <w:spacing w:val="-5"/>
        </w:rPr>
        <w:t>条以及《中小企业板上市公司规范运作指引（</w:t>
      </w:r>
      <w:r>
        <w:rPr>
          <w:rFonts w:ascii="宋体" w:hAnsi="宋体" w:cs="宋体" w:eastAsia="宋体" w:hint="default"/>
          <w:spacing w:val="-5"/>
        </w:rPr>
        <w:t>2015</w:t>
      </w:r>
      <w:r>
        <w:rPr>
          <w:spacing w:val="-5"/>
        </w:rPr>
        <w:t>年修订）》第</w:t>
      </w:r>
      <w:r>
        <w:rPr>
          <w:rFonts w:ascii="宋体" w:hAnsi="宋体" w:cs="宋体" w:eastAsia="宋体" w:hint="default"/>
          <w:spacing w:val="-5"/>
        </w:rPr>
        <w:t>3.8.17</w:t>
      </w:r>
      <w:r>
        <w:rPr>
          <w:spacing w:val="-5"/>
        </w:rPr>
        <w:t>条的规</w:t>
      </w:r>
      <w:r>
        <w:rPr>
          <w:spacing w:val="-29"/>
        </w:rPr>
        <w:t> </w:t>
      </w:r>
      <w:r>
        <w:rPr>
          <w:spacing w:val="-29"/>
        </w:rPr>
      </w:r>
      <w:r>
        <w:rPr/>
        <w:t>定。</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董事、监事、高级管理人员报酬的决策程序、确定依据、实际支付情况</w:t>
      </w:r>
    </w:p>
    <w:p>
      <w:pPr>
        <w:pStyle w:val="BodyText"/>
        <w:spacing w:line="302" w:lineRule="auto" w:before="115"/>
        <w:ind w:right="1041" w:firstLine="434"/>
        <w:jc w:val="right"/>
      </w:pPr>
      <w:r>
        <w:rPr>
          <w:rFonts w:ascii="Times New Roman" w:hAnsi="Times New Roman" w:cs="Times New Roman" w:eastAsia="Times New Roman" w:hint="default"/>
          <w:spacing w:val="-4"/>
        </w:rPr>
        <w:t>1</w:t>
      </w:r>
      <w:r>
        <w:rPr>
          <w:spacing w:val="-4"/>
        </w:rPr>
        <w:t>、决策程序：根据公司章程规定和经营情况，公司董事、监事的报酬分别由董事会、监事会提出议案，股东大会批准；</w:t>
      </w:r>
      <w:r>
        <w:rPr/>
        <w:t> </w:t>
      </w:r>
      <w:r>
        <w:rPr>
          <w:spacing w:val="-4"/>
        </w:rPr>
        <w:t>公司总裁、副总裁、财务总监、董事会秘书等高级管理人员的报酬由公司董事会薪酬与考核委员会提出议案，报董事会批准。</w:t>
      </w:r>
    </w:p>
    <w:p>
      <w:pPr>
        <w:pStyle w:val="BodyText"/>
        <w:spacing w:line="302" w:lineRule="auto" w:before="68"/>
        <w:ind w:right="982" w:firstLine="290"/>
        <w:jc w:val="left"/>
      </w:pPr>
      <w:r>
        <w:rPr>
          <w:rFonts w:ascii="Times New Roman" w:hAnsi="Times New Roman" w:cs="Times New Roman" w:eastAsia="Times New Roman" w:hint="default"/>
          <w:spacing w:val="-1"/>
        </w:rPr>
        <w:t>2</w:t>
      </w:r>
      <w:r>
        <w:rPr>
          <w:spacing w:val="-1"/>
        </w:rPr>
        <w:t>、确定依据：公司董事、监事、高级管理人员报酬根据公司总体发展战略和年度的经营目标以及其在公司担任的职务，</w:t>
      </w:r>
      <w:r>
        <w:rPr/>
        <w:t> 按公司实际情况结合工资制度、考核办法获得劳动报酬。</w:t>
      </w:r>
    </w:p>
    <w:p>
      <w:pPr>
        <w:spacing w:line="240" w:lineRule="auto" w:before="11"/>
        <w:rPr>
          <w:rFonts w:ascii="宋体" w:hAnsi="宋体" w:cs="宋体" w:eastAsia="宋体" w:hint="default"/>
          <w:sz w:val="28"/>
          <w:szCs w:val="28"/>
        </w:rPr>
      </w:pPr>
    </w:p>
    <w:p>
      <w:pPr>
        <w:pStyle w:val="BodyText"/>
        <w:spacing w:line="240" w:lineRule="auto" w:before="44"/>
        <w:ind w:right="982"/>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36.11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  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董事兼董事会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  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  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  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  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  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  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梅  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戴汉宝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孙伟厚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288.62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t>公司董事、高级管理人员报告期内被授予的股权激励情况</w:t>
      </w:r>
    </w:p>
    <w:p>
      <w:pPr>
        <w:pStyle w:val="BodyText"/>
        <w:spacing w:line="240" w:lineRule="auto" w:before="117"/>
        <w:ind w:right="98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2"/>
        <w:jc w:val="left"/>
        <w:rPr>
          <w:b w:val="0"/>
          <w:bCs w:val="0"/>
        </w:rPr>
      </w:pPr>
      <w:bookmarkStart w:name="五、公司员工情况" w:id="132"/>
      <w:bookmarkEnd w:id="13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1,129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1,886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1,886</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1,215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采购人员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1,886</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1,402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1,886</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9"/>
          <w:szCs w:val="29"/>
        </w:rPr>
      </w:pPr>
    </w:p>
    <w:p>
      <w:pPr>
        <w:pStyle w:val="BodyText"/>
        <w:spacing w:line="316" w:lineRule="auto"/>
        <w:ind w:right="1131"/>
        <w:jc w:val="both"/>
      </w:pPr>
      <w:r>
        <w:rPr>
          <w:spacing w:val="-2"/>
        </w:rPr>
        <w:t>公司严格遵守《劳动法》等相关法律法规及其他部门规章，不断完善公司人力资源管理制度和各项工作流程，严格执行相关</w:t>
      </w:r>
      <w:r>
        <w:rPr>
          <w:spacing w:val="-66"/>
        </w:rPr>
        <w:t> </w:t>
      </w:r>
      <w:r>
        <w:rPr>
          <w:spacing w:val="-66"/>
        </w:rPr>
      </w:r>
      <w:r>
        <w:rPr>
          <w:spacing w:val="-2"/>
        </w:rPr>
        <w:t>政策，切实保障员工在劳动保护、工资支付、社会保险等方面的切身利益。公司薪酬政策符合国家相关法律规定。员工薪酬</w:t>
      </w:r>
      <w:r>
        <w:rPr>
          <w:spacing w:val="-66"/>
        </w:rPr>
        <w:t> </w:t>
      </w:r>
      <w:r>
        <w:rPr>
          <w:spacing w:val="-66"/>
        </w:rPr>
      </w:r>
      <w:r>
        <w:rPr>
          <w:spacing w:val="-2"/>
        </w:rPr>
        <w:t>水平综合考虑了同行业的薪酬水平和公司内部公平性，兼顾岗位价值、工作绩效和个人能力的基础上予以确定，员工薪酬均</w:t>
      </w:r>
      <w:r>
        <w:rPr>
          <w:spacing w:val="-66"/>
        </w:rPr>
        <w:t> </w:t>
      </w:r>
      <w:r>
        <w:rPr>
          <w:spacing w:val="-66"/>
        </w:rPr>
      </w:r>
      <w:r>
        <w:rPr/>
        <w:t>依据公司制定的有关工资管理和等级标准的规定按月发放。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公司致力于加强人才队伍建设，重视人才培训，建立了完整的培训体系，根据经营和管理的需要，通过定期与不定期、内培</w:t>
      </w:r>
      <w:r>
        <w:rPr>
          <w:spacing w:val="-66"/>
        </w:rPr>
        <w:t> </w:t>
      </w:r>
      <w:r>
        <w:rPr>
          <w:spacing w:val="-66"/>
        </w:rPr>
      </w:r>
      <w:r>
        <w:rPr>
          <w:spacing w:val="-2"/>
        </w:rPr>
        <w:t>与外培相结合的培训方式，不断提高员工知识技能和素质。通过有计划的培训，对员工潜力进一步的发掘，推动公司和个人</w:t>
      </w:r>
      <w:r>
        <w:rPr>
          <w:spacing w:val="-66"/>
        </w:rPr>
        <w:t> </w:t>
      </w:r>
      <w:r>
        <w:rPr>
          <w:spacing w:val="-66"/>
        </w:rPr>
      </w:r>
      <w:r>
        <w:rPr/>
        <w:t>不断进步，实现公司和员工个人双赢。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2250"/>
        <w:jc w:val="center"/>
        <w:rPr>
          <w:b w:val="0"/>
          <w:bCs w:val="0"/>
        </w:rPr>
      </w:pPr>
      <w:bookmarkStart w:name="第九节 公司治理" w:id="137"/>
      <w:bookmarkEnd w:id="137"/>
      <w:r>
        <w:rPr>
          <w:b w:val="0"/>
          <w:bCs w:val="0"/>
        </w:rPr>
      </w:r>
      <w:bookmarkStart w:name="_bookmark8" w:id="138"/>
      <w:bookmarkEnd w:id="13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2"/>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420"/>
        <w:jc w:val="both"/>
      </w:pPr>
      <w:r>
        <w:rPr>
          <w:spacing w:val="-4"/>
        </w:rPr>
        <w:t>报告期内，公司严格按照《公司法》、《证券法》和中国证监会有关法律法规的要求，不断完善公司法人治理结构，建</w:t>
      </w:r>
      <w:r>
        <w:rPr/>
        <w:t> </w:t>
      </w:r>
      <w:r>
        <w:rPr>
          <w:spacing w:val="-2"/>
        </w:rPr>
        <w:t>立健全内部管理和控制制度，进一步提高公司治理水平。截至报告期末，公司运作规范，信息披露规范，公司治理的实际状</w:t>
      </w:r>
      <w:r>
        <w:rPr>
          <w:spacing w:val="-66"/>
        </w:rPr>
        <w:t> </w:t>
      </w:r>
      <w:r>
        <w:rPr>
          <w:spacing w:val="-66"/>
        </w:rPr>
      </w:r>
      <w:r>
        <w:rPr/>
        <w:t>况基本符合中国证监会发布的有关上市公司治理的规范性文件要求，公司没有收到被监管部门采取行政监管措施的文件。</w:t>
      </w:r>
    </w:p>
    <w:p>
      <w:pPr>
        <w:pStyle w:val="BodyText"/>
        <w:spacing w:line="316" w:lineRule="auto" w:before="19"/>
        <w:ind w:left="534" w:right="6192"/>
        <w:jc w:val="left"/>
      </w:pPr>
      <w:r>
        <w:rPr/>
        <w:t>报告期内，公司对《公司章程》进行了修订与完善。 </w:t>
      </w:r>
      <w:r>
        <w:rPr>
          <w:rFonts w:ascii="宋体" w:hAnsi="宋体" w:cs="宋体" w:eastAsia="宋体" w:hint="default"/>
        </w:rPr>
        <w:t>1</w:t>
      </w:r>
      <w:r>
        <w:rPr/>
        <w:t>、关于股东与股东大会</w:t>
      </w:r>
    </w:p>
    <w:p>
      <w:pPr>
        <w:pStyle w:val="BodyText"/>
        <w:spacing w:line="316" w:lineRule="auto" w:before="19"/>
        <w:ind w:right="1133" w:firstLine="420"/>
        <w:jc w:val="both"/>
      </w:pPr>
      <w:r>
        <w:rPr>
          <w:spacing w:val="-10"/>
        </w:rPr>
        <w:t>报告期内，公司严格按照《公司法》、《证券法》、《深圳证券交易所股票上市规则》、《公司章程》和《股东大会议事规</w:t>
      </w:r>
      <w:r>
        <w:rPr/>
        <w:t> </w:t>
      </w:r>
      <w:r>
        <w:rPr>
          <w:spacing w:val="-2"/>
        </w:rPr>
        <w:t>则》等相关法律法规要求召集、召开股东大会，并聘请律师出席见证。公司能够平等对待所有股东，特别是确保中小股东享</w:t>
      </w:r>
      <w:r>
        <w:rPr>
          <w:spacing w:val="-66"/>
        </w:rPr>
        <w:t> </w:t>
      </w:r>
      <w:r>
        <w:rPr>
          <w:spacing w:val="-66"/>
        </w:rPr>
      </w:r>
      <w:r>
        <w:rPr/>
        <w:t>有平等地位，公司通过建立与股东沟通的有效渠道，以保证股东能够充分行使自己的权利。</w:t>
      </w:r>
    </w:p>
    <w:p>
      <w:pPr>
        <w:pStyle w:val="BodyText"/>
        <w:spacing w:line="316" w:lineRule="auto" w:before="19"/>
        <w:ind w:left="534" w:right="1152"/>
        <w:jc w:val="left"/>
      </w:pPr>
      <w:r>
        <w:rPr>
          <w:rFonts w:ascii="宋体" w:hAnsi="宋体" w:cs="宋体" w:eastAsia="宋体" w:hint="default"/>
        </w:rPr>
        <w:t>2</w:t>
      </w:r>
      <w:r>
        <w:rPr/>
        <w:t>、关于控股股东与公司 公司具有独立的业务及自主经营能力，公司控股股东严格规范自己的行为，通过股东大会依法行使出资人的权利，没</w:t>
      </w:r>
    </w:p>
    <w:p>
      <w:pPr>
        <w:pStyle w:val="BodyText"/>
        <w:spacing w:line="316" w:lineRule="auto" w:before="19"/>
        <w:ind w:right="1032"/>
        <w:jc w:val="left"/>
      </w:pPr>
      <w:r>
        <w:rPr/>
        <w:t>有超越股东大会直接或间接干预公司的决策和经营活动，公司未与控股股东进行关联交易，公司与控股股东在人员、资产、 财务、机构、业务方面做到了</w:t>
      </w:r>
      <w:r>
        <w:rPr>
          <w:rFonts w:ascii="Times New Roman" w:hAnsi="Times New Roman" w:cs="Times New Roman" w:eastAsia="Times New Roman" w:hint="default"/>
        </w:rPr>
        <w:t>“</w:t>
      </w:r>
      <w:r>
        <w:rPr/>
        <w:t>五独立</w:t>
      </w:r>
      <w:r>
        <w:rPr>
          <w:rFonts w:ascii="Times New Roman" w:hAnsi="Times New Roman" w:cs="Times New Roman" w:eastAsia="Times New Roman" w:hint="default"/>
        </w:rPr>
        <w:t>”</w:t>
      </w:r>
      <w:r>
        <w:rPr/>
        <w:t>，公司董事会、监事会和内部经营管理机构根据各议事规则及公司制度独立运行。</w:t>
      </w:r>
    </w:p>
    <w:p>
      <w:pPr>
        <w:pStyle w:val="BodyText"/>
        <w:spacing w:line="316" w:lineRule="auto"/>
        <w:ind w:left="534" w:right="1152"/>
        <w:jc w:val="left"/>
      </w:pPr>
      <w:r>
        <w:rPr>
          <w:rFonts w:ascii="宋体" w:hAnsi="宋体" w:cs="宋体" w:eastAsia="宋体" w:hint="default"/>
        </w:rPr>
        <w:t>3</w:t>
      </w:r>
      <w:r>
        <w:rPr/>
        <w:t>、关于董事与董事会 报告期末公司董事会由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名。独立董事均为在金融、行业等方面的专业人士担任，保证了</w:t>
      </w:r>
    </w:p>
    <w:p>
      <w:pPr>
        <w:pStyle w:val="BodyText"/>
        <w:spacing w:line="319" w:lineRule="auto"/>
        <w:ind w:right="1130"/>
        <w:jc w:val="both"/>
      </w:pPr>
      <w:r>
        <w:rPr>
          <w:spacing w:val="-2"/>
        </w:rPr>
        <w:t>董事会决策的质量和水平，维护了公司和全体股东的权益，充分发挥了董事会在公司治理中的核心作用。根据有关规定的要</w:t>
      </w:r>
      <w:r>
        <w:rPr>
          <w:spacing w:val="-66"/>
        </w:rPr>
        <w:t> </w:t>
      </w:r>
      <w:r>
        <w:rPr>
          <w:spacing w:val="-66"/>
        </w:rPr>
      </w:r>
      <w:r>
        <w:rPr>
          <w:spacing w:val="-2"/>
        </w:rPr>
        <w:t>求，公司董事会下设四个专业委员会：战略委员会、审计委员会、提名委员会和薪酬与考核委员会。各委员会分工明确，权</w:t>
      </w:r>
      <w:r>
        <w:rPr>
          <w:spacing w:val="-67"/>
        </w:rPr>
        <w:t> </w:t>
      </w:r>
      <w:r>
        <w:rPr>
          <w:spacing w:val="-67"/>
        </w:rPr>
      </w:r>
      <w:r>
        <w:rPr/>
        <w:t>责分明，有效运作。</w:t>
      </w:r>
    </w:p>
    <w:p>
      <w:pPr>
        <w:pStyle w:val="BodyText"/>
        <w:spacing w:line="316" w:lineRule="auto" w:before="17"/>
        <w:ind w:left="534" w:right="1152"/>
        <w:jc w:val="left"/>
      </w:pPr>
      <w:r>
        <w:rPr>
          <w:rFonts w:ascii="宋体" w:hAnsi="宋体" w:cs="宋体" w:eastAsia="宋体" w:hint="default"/>
        </w:rPr>
        <w:t>4</w:t>
      </w:r>
      <w:r>
        <w:rPr/>
        <w:t>、关于监事与监事会 报告期内公司监事会由</w:t>
      </w:r>
      <w:r>
        <w:rPr>
          <w:rFonts w:ascii="Times New Roman" w:hAnsi="Times New Roman" w:cs="Times New Roman" w:eastAsia="Times New Roman" w:hint="default"/>
        </w:rPr>
        <w:t>3</w:t>
      </w:r>
      <w:r>
        <w:rPr/>
        <w:t>名监事组成，其中职工监事</w:t>
      </w:r>
      <w:r>
        <w:rPr>
          <w:rFonts w:ascii="宋体" w:hAnsi="宋体" w:cs="宋体" w:eastAsia="宋体" w:hint="default"/>
        </w:rPr>
        <w:t>1</w:t>
      </w:r>
      <w:r>
        <w:rPr/>
        <w:t>名，人员构成符合法律、法规的要求。公司监事能够认真履行职</w:t>
      </w:r>
    </w:p>
    <w:p>
      <w:pPr>
        <w:pStyle w:val="BodyText"/>
        <w:spacing w:line="316" w:lineRule="auto"/>
        <w:ind w:left="534" w:right="1152" w:hanging="420"/>
        <w:jc w:val="left"/>
      </w:pPr>
      <w:r>
        <w:rPr/>
        <w:t>责，能够本着对股东负责的精神，对公司财务及董事、高级管理人员履行职责的合法合规性进行监督。 </w:t>
      </w:r>
      <w:r>
        <w:rPr>
          <w:rFonts w:ascii="宋体" w:hAnsi="宋体" w:cs="宋体" w:eastAsia="宋体" w:hint="default"/>
        </w:rPr>
        <w:t>5</w:t>
      </w:r>
      <w:r>
        <w:rPr/>
        <w:t>、关于信息披露与透明度 报告期内，公司严格按照有关法律法规和公司《信息披露事务管理制度》的规定，履行信息披露义务；公司能真实、</w:t>
      </w:r>
    </w:p>
    <w:p>
      <w:pPr>
        <w:pStyle w:val="BodyText"/>
        <w:spacing w:line="316" w:lineRule="auto" w:before="19"/>
        <w:ind w:right="982"/>
        <w:jc w:val="left"/>
      </w:pPr>
      <w:r>
        <w:rPr>
          <w:spacing w:val="-2"/>
        </w:rPr>
        <w:t>准确、完整、及时地披露信息，没有虚假记载、误导性陈述和重大遗漏，确保所有投资者有平等机会获取公司信息，增加了</w:t>
      </w:r>
      <w:r>
        <w:rPr>
          <w:spacing w:val="-67"/>
        </w:rPr>
        <w:t> </w:t>
      </w:r>
      <w:r>
        <w:rPr>
          <w:spacing w:val="-67"/>
        </w:rPr>
      </w:r>
      <w:r>
        <w:rPr/>
        <w:t>公司透明度，切实发挥了保护中小投资者知情权的作用。</w:t>
      </w:r>
    </w:p>
    <w:p>
      <w:pPr>
        <w:pStyle w:val="BodyText"/>
        <w:spacing w:line="316" w:lineRule="auto" w:before="19"/>
        <w:ind w:left="534" w:right="1152"/>
        <w:jc w:val="left"/>
      </w:pPr>
      <w:r>
        <w:rPr>
          <w:rFonts w:ascii="宋体" w:hAnsi="宋体" w:cs="宋体" w:eastAsia="宋体" w:hint="default"/>
        </w:rPr>
        <w:t>6</w:t>
      </w:r>
      <w:r>
        <w:rPr/>
        <w:t>、关于相关利益者 公司在保持稳健发展、实现股东利益最大化的同时，积极关注所在地区福利、公益事业等问题，重视社会责任，充分</w:t>
      </w:r>
    </w:p>
    <w:p>
      <w:pPr>
        <w:pStyle w:val="BodyText"/>
        <w:spacing w:line="316" w:lineRule="auto" w:before="19"/>
        <w:ind w:left="534" w:right="1152" w:hanging="420"/>
        <w:jc w:val="left"/>
      </w:pPr>
      <w:r>
        <w:rPr/>
        <w:t>尊重和维护职工、债权人等利益相关者的合法权利，加强与各方的沟通和合作，共同推动公司持续、健康地发展。 </w:t>
      </w:r>
      <w:r>
        <w:rPr>
          <w:rFonts w:ascii="宋体" w:hAnsi="宋体" w:cs="宋体" w:eastAsia="宋体" w:hint="default"/>
        </w:rPr>
        <w:t>7</w:t>
      </w:r>
      <w:r>
        <w:rPr/>
        <w:t>、关于公司与投资者 公司重视与投资者关系的沟通与交流，公司证券部负责信息披露和投资者关系管理工作，加强与中小股东的沟通，认</w:t>
      </w:r>
    </w:p>
    <w:p>
      <w:pPr>
        <w:pStyle w:val="BodyText"/>
        <w:spacing w:line="316" w:lineRule="auto" w:before="19"/>
        <w:ind w:left="534" w:right="3192" w:hanging="420"/>
        <w:jc w:val="left"/>
      </w:pPr>
      <w:r>
        <w:rPr/>
        <w:t>真听取股东各方对公司发展的建议和意见，及时反馈给董事会，切实保证中小股东的合法权益。 </w:t>
      </w:r>
      <w:r>
        <w:rPr>
          <w:rFonts w:ascii="宋体" w:hAnsi="宋体" w:cs="宋体" w:eastAsia="宋体" w:hint="default"/>
        </w:rPr>
        <w:t>8</w:t>
      </w:r>
      <w:r>
        <w:rPr/>
        <w:t>、关于内部审计制度</w:t>
      </w:r>
    </w:p>
    <w:p>
      <w:pPr>
        <w:pStyle w:val="BodyText"/>
        <w:spacing w:line="316" w:lineRule="auto" w:before="19"/>
        <w:ind w:right="1130" w:firstLine="420"/>
        <w:jc w:val="both"/>
      </w:pPr>
      <w:r>
        <w:rPr>
          <w:spacing w:val="-1"/>
        </w:rPr>
        <w:t>公司设立了内审部，配置了</w:t>
      </w:r>
      <w:r>
        <w:rPr>
          <w:rFonts w:ascii="宋体" w:hAnsi="宋体" w:cs="宋体" w:eastAsia="宋体" w:hint="default"/>
          <w:spacing w:val="-1"/>
        </w:rPr>
        <w:t>3</w:t>
      </w:r>
      <w:r>
        <w:rPr>
          <w:spacing w:val="-1"/>
        </w:rPr>
        <w:t>名专职审计人员，在董事会审计委员会的领导下对公司及子公司的经济运行质量、经济效</w:t>
      </w:r>
      <w:r>
        <w:rPr/>
        <w:t> 益、内控的制度和执行、各项费用的使用以及资产情况进行审计和监督。</w:t>
      </w:r>
    </w:p>
    <w:p>
      <w:pPr>
        <w:spacing w:line="240" w:lineRule="auto" w:before="0"/>
        <w:rPr>
          <w:rFonts w:ascii="宋体" w:hAnsi="宋体" w:cs="宋体" w:eastAsia="宋体" w:hint="default"/>
          <w:sz w:val="18"/>
          <w:szCs w:val="18"/>
        </w:rPr>
      </w:pPr>
    </w:p>
    <w:p>
      <w:pPr>
        <w:pStyle w:val="BodyText"/>
        <w:spacing w:line="240" w:lineRule="auto" w:before="136"/>
        <w:ind w:right="982"/>
        <w:jc w:val="left"/>
      </w:pPr>
      <w:r>
        <w:rPr/>
        <w:t>公司治理的实际状况与中国证监会发布的有关上市公司治理的规范性文件是否存在重大差异</w:t>
      </w:r>
    </w:p>
    <w:p>
      <w:pPr>
        <w:pStyle w:val="BodyText"/>
        <w:spacing w:line="357" w:lineRule="auto" w:before="117"/>
        <w:ind w:right="3552"/>
        <w:jc w:val="left"/>
      </w:pPr>
      <w:r>
        <w:rPr/>
        <w:t>□ 是 √ 否 公司治理的实际状况与中国证监会发布的有关上市公司治理的规范性文件不存在重大差异。</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both"/>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2" w:firstLine="360"/>
        <w:jc w:val="left"/>
      </w:pPr>
      <w:r>
        <w:rPr>
          <w:spacing w:val="-2"/>
        </w:rPr>
        <w:t>公司严格规范公司与股东之间的关系，建立健全各项管理制度。目前，公司在业务、资产、人员、财务、机构方面均独</w:t>
      </w:r>
      <w:r>
        <w:rPr/>
        <w:t> </w:t>
      </w:r>
      <w:r>
        <w:rPr>
          <w:spacing w:val="-4"/>
        </w:rPr>
        <w:t>立于公司各股东，具有独立完整的业务和供应、生产、销售系统，以及面向市场自主经营的能力，完全独立运作、自主经营，</w:t>
      </w:r>
      <w:r>
        <w:rPr>
          <w:spacing w:val="-44"/>
        </w:rPr>
        <w:t> </w:t>
      </w:r>
      <w:r>
        <w:rPr>
          <w:spacing w:val="-44"/>
        </w:rPr>
      </w:r>
      <w:r>
        <w:rPr/>
        <w:t>独立承担责任和风险。</w:t>
      </w:r>
    </w:p>
    <w:p>
      <w:pPr>
        <w:pStyle w:val="BodyText"/>
        <w:spacing w:line="357" w:lineRule="auto" w:before="56"/>
        <w:ind w:left="474" w:right="982"/>
        <w:jc w:val="left"/>
      </w:pPr>
      <w:r>
        <w:rPr>
          <w:rFonts w:ascii="宋体" w:hAnsi="宋体" w:cs="宋体" w:eastAsia="宋体" w:hint="default"/>
        </w:rPr>
        <w:t>1</w:t>
      </w:r>
      <w:r>
        <w:rPr/>
        <w:t>、业务独立 </w:t>
      </w:r>
      <w:r>
        <w:rPr>
          <w:spacing w:val="-2"/>
        </w:rPr>
        <w:t>公司主要从事铝板复合型防伪印刷和防伪瓶盖的生产、销售及园林工程设计、施工、水污染治理，拥有完整且独立的采</w:t>
      </w:r>
    </w:p>
    <w:p>
      <w:pPr>
        <w:pStyle w:val="BodyText"/>
        <w:spacing w:line="224" w:lineRule="exact"/>
        <w:ind w:right="0"/>
        <w:jc w:val="both"/>
      </w:pPr>
      <w:r>
        <w:rPr/>
        <w:t>购、生产、销售系统，具有独立、完整的资产和业务，形成了集铝板复合型防伪印刷、瓶盖制造、制盖机械及模具制造、产</w:t>
      </w:r>
    </w:p>
    <w:p>
      <w:pPr>
        <w:pStyle w:val="BodyText"/>
        <w:spacing w:line="319" w:lineRule="auto" w:before="76"/>
        <w:ind w:right="1133"/>
        <w:jc w:val="both"/>
      </w:pPr>
      <w:r>
        <w:rPr>
          <w:spacing w:val="-2"/>
        </w:rPr>
        <w:t>品技术研发和售后技术服务为一体的完整业务体系和涵盖园林工程施工、园林景观规划设计、苗木种植销售、园林养护为一</w:t>
      </w:r>
      <w:r>
        <w:rPr>
          <w:spacing w:val="-66"/>
        </w:rPr>
        <w:t> </w:t>
      </w:r>
      <w:r>
        <w:rPr>
          <w:spacing w:val="-66"/>
        </w:rPr>
      </w:r>
      <w:r>
        <w:rPr>
          <w:spacing w:val="-2"/>
        </w:rPr>
        <w:t>体的全产业链综合性园林绿化体系，具备面向市场自主经营的能力，独立组织和实施生产经营活动，不依赖于控股股东和实</w:t>
      </w:r>
      <w:r>
        <w:rPr>
          <w:spacing w:val="-66"/>
        </w:rPr>
        <w:t> </w:t>
      </w:r>
      <w:r>
        <w:rPr>
          <w:spacing w:val="-66"/>
        </w:rPr>
      </w:r>
      <w:r>
        <w:rPr/>
        <w:t>际控制人。</w:t>
      </w:r>
    </w:p>
    <w:p>
      <w:pPr>
        <w:pStyle w:val="BodyText"/>
        <w:spacing w:line="357" w:lineRule="auto" w:before="56"/>
        <w:ind w:left="474" w:right="982"/>
        <w:jc w:val="left"/>
      </w:pPr>
      <w:r>
        <w:rPr>
          <w:rFonts w:ascii="宋体" w:hAnsi="宋体" w:cs="宋体" w:eastAsia="宋体" w:hint="default"/>
        </w:rPr>
        <w:t>2</w:t>
      </w:r>
      <w:r>
        <w:rPr/>
        <w:t>、资产完整 </w:t>
      </w:r>
      <w:r>
        <w:rPr>
          <w:spacing w:val="-2"/>
        </w:rPr>
        <w:t>公司拥有独立的生产系统、辅助生产系统和配套设施、土地使用权、专利、商标、非专利技术等资产，公司没有以自身</w:t>
      </w:r>
    </w:p>
    <w:p>
      <w:pPr>
        <w:pStyle w:val="BodyText"/>
        <w:spacing w:line="224" w:lineRule="exact"/>
        <w:ind w:right="0"/>
        <w:jc w:val="both"/>
      </w:pPr>
      <w:r>
        <w:rPr/>
        <w:t>资产、权益或信誉为控股股东、实际控制人的债务提供过担保，对所有资产拥有完全的控制支配权，不存在资产、资金和其</w:t>
      </w:r>
    </w:p>
    <w:p>
      <w:pPr>
        <w:pStyle w:val="BodyText"/>
        <w:spacing w:line="360" w:lineRule="auto" w:before="77"/>
        <w:ind w:left="474" w:right="3912" w:hanging="360"/>
        <w:jc w:val="left"/>
      </w:pPr>
      <w:r>
        <w:rPr/>
        <w:t>他资源被控股股东和实际控制人违规占用而损害公司其他股东利益及公司利益的情况。 </w:t>
      </w:r>
      <w:r>
        <w:rPr>
          <w:rFonts w:ascii="宋体" w:hAnsi="宋体" w:cs="宋体" w:eastAsia="宋体" w:hint="default"/>
        </w:rPr>
        <w:t>3</w:t>
      </w:r>
      <w:r>
        <w:rPr/>
        <w:t>、人员独立</w:t>
      </w:r>
    </w:p>
    <w:p>
      <w:pPr>
        <w:pStyle w:val="BodyText"/>
        <w:spacing w:line="319" w:lineRule="auto" w:before="25"/>
        <w:ind w:right="982" w:firstLine="360"/>
        <w:jc w:val="left"/>
      </w:pPr>
      <w:r>
        <w:rPr>
          <w:spacing w:val="-4"/>
        </w:rPr>
        <w:t>公司董事、监事及高级管理人员均严格按照《公司法》、《公司章程》的有关规定产生。公司总裁、副总裁、财务总监、</w:t>
      </w:r>
      <w:r>
        <w:rPr/>
        <w:t> </w:t>
      </w:r>
      <w:r>
        <w:rPr>
          <w:spacing w:val="-2"/>
        </w:rPr>
        <w:t>董事会秘书和业务部门负责人均属专职且在公司领取薪酬。公司高级管理人员的推荐符合《公司章程》的规定，不存在超越</w:t>
      </w:r>
      <w:r>
        <w:rPr>
          <w:spacing w:val="-66"/>
        </w:rPr>
        <w:t> </w:t>
      </w:r>
      <w:r>
        <w:rPr>
          <w:spacing w:val="-66"/>
        </w:rPr>
      </w:r>
      <w:r>
        <w:rPr>
          <w:spacing w:val="-2"/>
        </w:rPr>
        <w:t>董事会和股东大会而作出人事任免的决定。公司在劳动、人事及工资管理上完全独立，并根据《劳动法》和公司劳动管理制</w:t>
      </w:r>
      <w:r>
        <w:rPr>
          <w:spacing w:val="-65"/>
        </w:rPr>
        <w:t> </w:t>
      </w:r>
      <w:r>
        <w:rPr>
          <w:spacing w:val="-65"/>
        </w:rPr>
      </w:r>
      <w:r>
        <w:rPr/>
        <w:t>度等有关规定与公司员工签订劳动合同。</w:t>
      </w:r>
    </w:p>
    <w:p>
      <w:pPr>
        <w:pStyle w:val="BodyText"/>
        <w:spacing w:line="357" w:lineRule="auto" w:before="56"/>
        <w:ind w:left="474" w:right="982"/>
        <w:jc w:val="left"/>
      </w:pPr>
      <w:r>
        <w:rPr>
          <w:rFonts w:ascii="宋体" w:hAnsi="宋体" w:cs="宋体" w:eastAsia="宋体" w:hint="default"/>
        </w:rPr>
        <w:t>4</w:t>
      </w:r>
      <w:r>
        <w:rPr/>
        <w:t>、财务独立 </w:t>
      </w:r>
      <w:r>
        <w:rPr>
          <w:spacing w:val="-2"/>
        </w:rPr>
        <w:t>公司设立了独立的财务部门，配备了独立的财务人员，开设了独立的银行账号，建立了独立的会计核算体系，制定了内</w:t>
      </w:r>
    </w:p>
    <w:p>
      <w:pPr>
        <w:pStyle w:val="BodyText"/>
        <w:spacing w:line="224" w:lineRule="exact"/>
        <w:ind w:right="0"/>
        <w:jc w:val="both"/>
      </w:pPr>
      <w:r>
        <w:rPr/>
        <w:t>部财务管理制度等内控制度，独立进行财务决策并依法独立进行纳税申报和履行纳税义务。公司根据企业发展规划，自主决</w:t>
      </w:r>
    </w:p>
    <w:p>
      <w:pPr>
        <w:pStyle w:val="BodyText"/>
        <w:spacing w:line="319" w:lineRule="auto" w:before="76"/>
        <w:ind w:right="982"/>
        <w:jc w:val="left"/>
      </w:pPr>
      <w:r>
        <w:rPr>
          <w:spacing w:val="-2"/>
        </w:rPr>
        <w:t>定投资计划和资金安排，不存在股东干预公司财务决策、资金使用的情况，不存在货币资金或其他资产被股东或其他关联方</w:t>
      </w:r>
      <w:r>
        <w:rPr>
          <w:spacing w:val="-66"/>
        </w:rPr>
        <w:t> </w:t>
      </w:r>
      <w:r>
        <w:rPr>
          <w:spacing w:val="-66"/>
        </w:rPr>
      </w:r>
      <w:r>
        <w:rPr/>
        <w:t>占用的情况，也不存在为各股东、实际控制人及其控制的其他企业提供担保的情况。</w:t>
      </w:r>
    </w:p>
    <w:p>
      <w:pPr>
        <w:pStyle w:val="BodyText"/>
        <w:spacing w:line="357" w:lineRule="auto" w:before="56"/>
        <w:ind w:left="474" w:right="982"/>
        <w:jc w:val="left"/>
      </w:pPr>
      <w:r>
        <w:rPr>
          <w:rFonts w:ascii="宋体" w:hAnsi="宋体" w:cs="宋体" w:eastAsia="宋体" w:hint="default"/>
        </w:rPr>
        <w:t>5</w:t>
      </w:r>
      <w:r>
        <w:rPr/>
        <w:t>、机构独立 </w:t>
      </w:r>
      <w:r>
        <w:rPr>
          <w:spacing w:val="-2"/>
        </w:rPr>
        <w:t>公司设立了股东大会、董事会、监事会等机构，聘请了包括总裁、副总裁、财务总监、董事会秘书等人员在内的高级管</w:t>
      </w:r>
    </w:p>
    <w:p>
      <w:pPr>
        <w:pStyle w:val="BodyText"/>
        <w:spacing w:line="224" w:lineRule="exact"/>
        <w:ind w:right="0"/>
        <w:jc w:val="both"/>
      </w:pPr>
      <w:r>
        <w:rPr/>
        <w:t>理人员，根据自身经营需要，下设行政部、运营部、研发制造中心、财务部、国内贸易部、国际贸易部、人力资源部、证券</w:t>
      </w:r>
    </w:p>
    <w:p>
      <w:pPr>
        <w:pStyle w:val="BodyText"/>
        <w:spacing w:line="319" w:lineRule="auto" w:before="76"/>
        <w:ind w:right="982"/>
        <w:jc w:val="left"/>
      </w:pPr>
      <w:r>
        <w:rPr>
          <w:spacing w:val="-2"/>
        </w:rPr>
        <w:t>部、供应部等职能部门，拥有完整的采购、生产、销售系统和配套部门。自公司设立以来，未发生股东干预公司正常生产经</w:t>
      </w:r>
      <w:r>
        <w:rPr>
          <w:spacing w:val="-68"/>
        </w:rPr>
        <w:t> </w:t>
      </w:r>
      <w:r>
        <w:rPr>
          <w:spacing w:val="-68"/>
        </w:rPr>
      </w:r>
      <w:r>
        <w:rPr/>
        <w:t>营活动的情况。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both"/>
        <w:rPr>
          <w:b w:val="0"/>
          <w:bCs w:val="0"/>
        </w:rPr>
      </w:pPr>
      <w:bookmarkStart w:name="三、同业竞争情况" w:id="141"/>
      <w:bookmarkEnd w:id="14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6" w:right="0"/>
              <w:jc w:val="left"/>
              <w:rPr>
                <w:rFonts w:ascii="Times New Roman" w:hAnsi="Times New Roman" w:cs="Times New Roman" w:eastAsia="Times New Roman" w:hint="default"/>
                <w:sz w:val="18"/>
                <w:szCs w:val="18"/>
              </w:rPr>
            </w:pPr>
            <w:r>
              <w:rPr>
                <w:rFonts w:ascii="Times New Roman"/>
                <w:sz w:val="18"/>
              </w:rPr>
              <w:t>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4"/>
              <w:jc w:val="center"/>
              <w:rPr>
                <w:rFonts w:ascii="Times New Roman" w:hAnsi="Times New Roman" w:cs="Times New Roman" w:eastAsia="Times New Roman" w:hint="default"/>
                <w:sz w:val="18"/>
                <w:szCs w:val="18"/>
              </w:rPr>
            </w:pPr>
            <w:hyperlink r:id="rId17">
              <w:r>
                <w:rPr>
                  <w:rFonts w:ascii="Times New Roman"/>
                  <w:sz w:val="18"/>
                </w:rPr>
                <w:t>www.cninfo.com.c</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8"/>
              <w:jc w:val="left"/>
              <w:rPr>
                <w:rFonts w:ascii="Times New Roman" w:hAnsi="Times New Roman" w:cs="Times New Roman" w:eastAsia="Times New Roman" w:hint="default"/>
                <w:sz w:val="18"/>
                <w:szCs w:val="18"/>
              </w:rPr>
            </w:pPr>
            <w:hyperlink r:id="rId17">
              <w:r>
                <w:rPr>
                  <w:rFonts w:ascii="Times New Roman"/>
                  <w:spacing w:val="-1"/>
                  <w:sz w:val="18"/>
                </w:rPr>
                <w:t>www.cninfo.com.c</w:t>
              </w:r>
            </w:hyperlink>
            <w:r>
              <w:rPr>
                <w:rFonts w:ascii="Times New Roman"/>
                <w:sz w:val="18"/>
              </w:rPr>
              <w:t> n</w:t>
            </w:r>
          </w:p>
        </w:tc>
      </w:tr>
    </w:tbl>
    <w:p>
      <w:pPr>
        <w:spacing w:line="240" w:lineRule="auto" w:before="3"/>
        <w:rPr>
          <w:rFonts w:ascii="宋体" w:hAnsi="宋体" w:cs="宋体" w:eastAsia="宋体" w:hint="default"/>
          <w:b/>
          <w:bCs/>
          <w:sz w:val="19"/>
          <w:szCs w:val="19"/>
        </w:rPr>
      </w:pPr>
    </w:p>
    <w:p>
      <w:pPr>
        <w:pStyle w:val="Heading4"/>
        <w:spacing w:line="240" w:lineRule="auto" w:before="35"/>
        <w:ind w:right="982"/>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82"/>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305"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杨强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both"/>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60" w:lineRule="auto" w:before="116"/>
        <w:ind w:right="6972"/>
        <w:jc w:val="left"/>
      </w:pPr>
      <w:r>
        <w:rPr/>
        <w:t>□ 是 √ 否 报告期内独立董事对公司有关事项未提出异议。</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57" w:lineRule="auto" w:before="116"/>
        <w:ind w:right="6792"/>
        <w:jc w:val="left"/>
      </w:pPr>
      <w:r>
        <w:rPr/>
        <w:t>√ 是 □ 否 独立董事对公司有关建议被采纳或未被采纳的说明</w:t>
      </w:r>
    </w:p>
    <w:p>
      <w:pPr>
        <w:pStyle w:val="BodyText"/>
        <w:spacing w:line="316" w:lineRule="auto" w:before="28"/>
        <w:ind w:right="1133"/>
        <w:jc w:val="both"/>
      </w:pPr>
      <w:r>
        <w:rPr>
          <w:spacing w:val="-2"/>
        </w:rPr>
        <w:t>报告期内公司独立董事严格按照有关法律、法规及《公司章程》的规定履行职责，出席了报告期内召开的董事会、认真审议</w:t>
      </w:r>
      <w:r>
        <w:rPr>
          <w:spacing w:val="-66"/>
        </w:rPr>
        <w:t> </w:t>
      </w:r>
      <w:r>
        <w:rPr>
          <w:spacing w:val="-66"/>
        </w:rPr>
      </w:r>
      <w:r>
        <w:rPr>
          <w:spacing w:val="-2"/>
        </w:rPr>
        <w:t>各项议案，客观地发表自己的看法和观点，并利用自己的专业知识做出独立、公正的判断。同时，几位独立董事还深入公司</w:t>
      </w:r>
      <w:r>
        <w:rPr>
          <w:spacing w:val="-66"/>
        </w:rPr>
        <w:t> </w:t>
      </w:r>
      <w:r>
        <w:rPr>
          <w:spacing w:val="-66"/>
        </w:rPr>
      </w:r>
      <w:r>
        <w:rPr/>
        <w:t>现场调研，了解公司经营状况和内部控制的建设及董事会决议执行情况，为公司经营和发展提出了合理化的意见和建议。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4" w:right="0"/>
        <w:jc w:val="left"/>
      </w:pPr>
      <w:r>
        <w:rPr/>
        <w:t>公司董事会下设审计委员会、薪酬与考核委员会、提名委员会和战略委员会。报告期内，专门委员会按照《公司章程》</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both"/>
      </w:pPr>
      <w:r>
        <w:rPr/>
        <w:t>和各议事规则的规定，对公司经营管理重大事项进行讨论与决策。</w:t>
      </w:r>
    </w:p>
    <w:p>
      <w:pPr>
        <w:pStyle w:val="BodyText"/>
        <w:spacing w:line="338" w:lineRule="auto" w:before="116"/>
        <w:ind w:left="534" w:right="1152"/>
        <w:jc w:val="left"/>
      </w:pPr>
      <w:r>
        <w:rPr>
          <w:rFonts w:ascii="Times New Roman" w:hAnsi="Times New Roman" w:cs="Times New Roman" w:eastAsia="Times New Roman" w:hint="default"/>
        </w:rPr>
        <w:t>1</w:t>
      </w:r>
      <w:r>
        <w:rPr/>
        <w:t>、董事会审计委员会履职情况 董事会审计委员会主要负责公司内外部审计的沟通和协调，组织内部审计等相关工作。报告期内，董事会审计委员会</w:t>
      </w:r>
    </w:p>
    <w:p>
      <w:pPr>
        <w:pStyle w:val="BodyText"/>
        <w:spacing w:line="302" w:lineRule="auto" w:before="2"/>
        <w:ind w:right="1131"/>
        <w:jc w:val="both"/>
      </w:pPr>
      <w:r>
        <w:rPr/>
        <w:t>共召开会议</w:t>
      </w:r>
      <w:r>
        <w:rPr>
          <w:rFonts w:ascii="Times New Roman" w:hAnsi="Times New Roman" w:cs="Times New Roman" w:eastAsia="Times New Roman" w:hint="default"/>
        </w:rPr>
        <w:t>4</w:t>
      </w:r>
      <w:r>
        <w:rPr/>
        <w:t>次，主要审议了公司内部审计部门提交的季度募集资金存放和使用的专项报告和财务报告，对内部审计部门的 </w:t>
      </w:r>
      <w:r>
        <w:rPr>
          <w:spacing w:val="-2"/>
        </w:rPr>
        <w:t>工作进行监督和指导。在</w:t>
      </w:r>
      <w:r>
        <w:rPr>
          <w:rFonts w:ascii="Times New Roman" w:hAnsi="Times New Roman" w:cs="Times New Roman" w:eastAsia="Times New Roman" w:hint="default"/>
          <w:spacing w:val="-2"/>
        </w:rPr>
        <w:t>2018</w:t>
      </w:r>
      <w:r>
        <w:rPr>
          <w:spacing w:val="-2"/>
        </w:rPr>
        <w:t>年年报编制和审计工作过程中，审计委员会与审计机构沟通确定了年度财务报告审计工作的时</w:t>
      </w:r>
      <w:r>
        <w:rPr>
          <w:spacing w:val="-60"/>
        </w:rPr>
        <w:t> </w:t>
      </w:r>
      <w:r>
        <w:rPr>
          <w:spacing w:val="-60"/>
        </w:rPr>
      </w:r>
      <w:r>
        <w:rPr/>
        <w:t>间安排，对公司的财务报表进行了审计并形成了内部审计书面报告。</w:t>
      </w:r>
    </w:p>
    <w:p>
      <w:pPr>
        <w:pStyle w:val="BodyText"/>
        <w:spacing w:line="338" w:lineRule="auto" w:before="69"/>
        <w:ind w:left="534" w:right="1152"/>
        <w:jc w:val="left"/>
      </w:pPr>
      <w:r>
        <w:rPr>
          <w:rFonts w:ascii="Times New Roman" w:hAnsi="Times New Roman" w:cs="Times New Roman" w:eastAsia="Times New Roman" w:hint="default"/>
        </w:rPr>
        <w:t>2</w:t>
      </w:r>
      <w:r>
        <w:rPr/>
        <w:t>、董事会薪酬与考核委员会履职情况 董事会薪酬与考核委员会主要负责公司董事和高级管理人员的薪酬方案及考评方案的制定及执行。报告期内，董事会</w:t>
      </w:r>
    </w:p>
    <w:p>
      <w:pPr>
        <w:pStyle w:val="BodyText"/>
        <w:spacing w:line="338" w:lineRule="auto" w:before="4"/>
        <w:ind w:left="534" w:right="1152" w:hanging="420"/>
        <w:jc w:val="left"/>
      </w:pPr>
      <w:r>
        <w:rPr/>
        <w:t>薪酬与考核委员会共召开会议</w:t>
      </w:r>
      <w:r>
        <w:rPr>
          <w:rFonts w:ascii="宋体" w:hAnsi="宋体" w:cs="宋体" w:eastAsia="宋体" w:hint="default"/>
        </w:rPr>
        <w:t>1</w:t>
      </w:r>
      <w:r>
        <w:rPr/>
        <w:t>次，主要审议</w:t>
      </w:r>
      <w:r>
        <w:rPr>
          <w:rFonts w:ascii="Times New Roman" w:hAnsi="Times New Roman" w:cs="Times New Roman" w:eastAsia="Times New Roman" w:hint="default"/>
        </w:rPr>
        <w:t>201</w:t>
      </w:r>
      <w:r>
        <w:rPr>
          <w:rFonts w:ascii="宋体" w:hAnsi="宋体" w:cs="宋体" w:eastAsia="宋体" w:hint="default"/>
        </w:rPr>
        <w:t>8</w:t>
      </w:r>
      <w:r>
        <w:rPr/>
        <w:t>年董事监事及高级管理人员的薪酬情况，形成决议并提交董事会审议。 </w:t>
      </w:r>
      <w:r>
        <w:rPr>
          <w:rFonts w:ascii="Times New Roman" w:hAnsi="Times New Roman" w:cs="Times New Roman" w:eastAsia="Times New Roman" w:hint="default"/>
        </w:rPr>
        <w:t>3</w:t>
      </w:r>
      <w:r>
        <w:rPr/>
        <w:t>、董事会提名委员会履职情况 董事会提名委员会主要负责对公司董事和高级管理人员的人选、选择标准和选择程序提出建议。报告期内，董事会提</w:t>
      </w:r>
    </w:p>
    <w:p>
      <w:pPr>
        <w:pStyle w:val="BodyText"/>
        <w:spacing w:line="319" w:lineRule="auto" w:before="2"/>
        <w:ind w:right="1122"/>
        <w:jc w:val="left"/>
      </w:pPr>
      <w:r>
        <w:rPr/>
        <w:t>名委员会共召开会议</w:t>
      </w:r>
      <w:r>
        <w:rPr>
          <w:rFonts w:ascii="宋体" w:hAnsi="宋体" w:cs="宋体" w:eastAsia="宋体" w:hint="default"/>
        </w:rPr>
        <w:t>2</w:t>
      </w:r>
      <w:r>
        <w:rPr/>
        <w:t>次，提名委员会对董事、高级管理人员</w:t>
      </w:r>
      <w:r>
        <w:rPr>
          <w:rFonts w:ascii="宋体" w:hAnsi="宋体" w:cs="宋体" w:eastAsia="宋体" w:hint="default"/>
        </w:rPr>
        <w:t>2018</w:t>
      </w:r>
      <w:r>
        <w:rPr/>
        <w:t>年度工作表现进行审查进行审议、审议聘任董事、总裁的 议案。</w:t>
      </w:r>
    </w:p>
    <w:p>
      <w:pPr>
        <w:pStyle w:val="BodyText"/>
        <w:spacing w:line="338" w:lineRule="auto" w:before="56"/>
        <w:ind w:left="534" w:right="1152"/>
        <w:jc w:val="left"/>
      </w:pPr>
      <w:r>
        <w:rPr>
          <w:rFonts w:ascii="Times New Roman" w:hAnsi="Times New Roman" w:cs="Times New Roman" w:eastAsia="Times New Roman" w:hint="default"/>
        </w:rPr>
        <w:t>4</w:t>
      </w:r>
      <w:r>
        <w:rPr/>
        <w:t>、董事会战略委员会 董事会战略委员会主要负责研究公司长期发展战略和重大投资决策，对重大事项提出意见和建议。报告期内，董事会</w:t>
      </w:r>
    </w:p>
    <w:p>
      <w:pPr>
        <w:pStyle w:val="BodyText"/>
        <w:spacing w:line="240" w:lineRule="auto" w:before="4"/>
        <w:ind w:right="0"/>
        <w:jc w:val="both"/>
      </w:pPr>
      <w:r>
        <w:rPr/>
        <w:t>战略委员会共召开会议</w:t>
      </w:r>
      <w:r>
        <w:rPr>
          <w:rFonts w:ascii="宋体" w:hAnsi="宋体" w:cs="宋体" w:eastAsia="宋体" w:hint="default"/>
        </w:rPr>
        <w:t>1</w:t>
      </w:r>
      <w:r>
        <w:rPr/>
        <w:t>次，主要审议了</w:t>
      </w:r>
      <w:r>
        <w:rPr>
          <w:rFonts w:ascii="宋体" w:hAnsi="宋体" w:cs="宋体" w:eastAsia="宋体" w:hint="default"/>
        </w:rPr>
        <w:t>2018</w:t>
      </w:r>
      <w:r>
        <w:rPr/>
        <w:t>年度公司目前战略定位和下一年度公司的战略发展方向。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right="0"/>
        <w:jc w:val="both"/>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60" w:lineRule="auto" w:before="116"/>
        <w:ind w:right="7692"/>
        <w:jc w:val="left"/>
      </w:pPr>
      <w:r>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公司建立了公正、合理、有效的高级管理人员绩效考核评价体系，以公司规范化管理以及经营效益稳步提升为基础，明确责</w:t>
      </w:r>
      <w:r>
        <w:rPr>
          <w:spacing w:val="-66"/>
        </w:rPr>
        <w:t> </w:t>
      </w:r>
      <w:r>
        <w:rPr>
          <w:spacing w:val="-66"/>
        </w:rPr>
      </w:r>
      <w:r>
        <w:rPr>
          <w:spacing w:val="-2"/>
        </w:rPr>
        <w:t>任。董事会薪酬与考核委员会具体审议高级管理人员的薪酬奖励方案，根据公司实际经营完成情况以及高级管理人员的工作</w:t>
      </w:r>
      <w:r>
        <w:rPr>
          <w:spacing w:val="-64"/>
        </w:rPr>
        <w:t> </w:t>
      </w:r>
      <w:r>
        <w:rPr>
          <w:spacing w:val="-64"/>
        </w:rPr>
      </w:r>
      <w:r>
        <w:rPr>
          <w:spacing w:val="-2"/>
        </w:rPr>
        <w:t>绩效，对高级管理人员进行年度绩效考核，并监督薪酬制度执行情况。报告期内，本公司高级管理人员能够严格按照《公司</w:t>
      </w:r>
      <w:r>
        <w:rPr>
          <w:spacing w:val="-66"/>
        </w:rPr>
        <w:t> </w:t>
      </w:r>
      <w:r>
        <w:rPr>
          <w:spacing w:val="-66"/>
        </w:rPr>
      </w:r>
      <w:r>
        <w:rPr>
          <w:spacing w:val="-9"/>
        </w:rPr>
        <w:t>法》、《公司章程》等法律法规，认真履行职责。</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九、内部控制评价报告" w:id="152"/>
      <w:bookmarkEnd w:id="15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是 √ 否</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323"/>
        <w:gridCol w:w="3051"/>
      </w:tblGrid>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64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）具有以下特征的缺陷，认定为重大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w:t>
            </w:r>
            <w:r>
              <w:rPr>
                <w:rFonts w:ascii="宋体" w:hAnsi="宋体" w:cs="宋体" w:eastAsia="宋体" w:hint="default"/>
                <w:spacing w:val="-31"/>
                <w:sz w:val="18"/>
                <w:szCs w:val="18"/>
              </w:rPr>
              <w:t> </w:t>
            </w:r>
            <w:r>
              <w:rPr>
                <w:rFonts w:ascii="宋体" w:hAnsi="宋体" w:cs="宋体" w:eastAsia="宋体" w:hint="default"/>
                <w:sz w:val="18"/>
                <w:szCs w:val="18"/>
              </w:rPr>
              <w:t>①董事、监事和高级管理人员违</w:t>
            </w:r>
            <w:r>
              <w:rPr>
                <w:rFonts w:ascii="宋体" w:hAnsi="宋体" w:cs="宋体" w:eastAsia="宋体" w:hint="default"/>
                <w:sz w:val="18"/>
                <w:szCs w:val="18"/>
              </w:rPr>
              <w:t> 反法律法规；</w:t>
            </w:r>
            <w:r>
              <w:rPr>
                <w:rFonts w:ascii="宋体" w:hAnsi="宋体" w:cs="宋体" w:eastAsia="宋体" w:hint="default"/>
                <w:spacing w:val="-43"/>
                <w:sz w:val="18"/>
                <w:szCs w:val="18"/>
              </w:rPr>
              <w:t> </w:t>
            </w:r>
            <w:r>
              <w:rPr>
                <w:rFonts w:ascii="宋体" w:hAnsi="宋体" w:cs="宋体" w:eastAsia="宋体" w:hint="default"/>
                <w:sz w:val="18"/>
                <w:szCs w:val="18"/>
              </w:rPr>
              <w:t>②对已公告的财务报告出</w:t>
            </w:r>
            <w:r>
              <w:rPr>
                <w:rFonts w:ascii="宋体" w:hAnsi="宋体" w:cs="宋体" w:eastAsia="宋体" w:hint="default"/>
                <w:sz w:val="18"/>
                <w:szCs w:val="18"/>
              </w:rPr>
              <w:t> 现的重大差错进行错报更正（由于政策 变化或其他客观因素变化导致的对以前 </w:t>
            </w:r>
            <w:r>
              <w:rPr>
                <w:rFonts w:ascii="宋体" w:hAnsi="宋体" w:cs="宋体" w:eastAsia="宋体" w:hint="default"/>
                <w:spacing w:val="-8"/>
                <w:sz w:val="18"/>
                <w:szCs w:val="18"/>
              </w:rPr>
              <w:t>年度的追溯调整除外）；③当期财务报告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存在重大错报，而内部控制在运行过程 中未能发现该错报；④审计委员会以及 内部审计部门对财务报告内部控制监督 无效；⑤未建立基本的财务核算体系， </w:t>
            </w:r>
            <w:r>
              <w:rPr>
                <w:rFonts w:ascii="宋体" w:hAnsi="宋体" w:cs="宋体" w:eastAsia="宋体" w:hint="default"/>
                <w:spacing w:val="-3"/>
                <w:sz w:val="18"/>
                <w:szCs w:val="18"/>
              </w:rPr>
              <w:t>无法保证财务信息的完整、及时和准确。</w:t>
            </w:r>
          </w:p>
          <w:p>
            <w:pPr>
              <w:pStyle w:val="TableParagraph"/>
              <w:spacing w:line="314" w:lineRule="auto" w:before="19"/>
              <w:ind w:left="103" w:right="1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）具有以下特征的缺陷，认定为重要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缺陷：①未建立规范约束董事、监事和 高级管理人员行为的内部控制措施；② 对于非常规或特殊交易的账务处理没有 建立相应的控制机制或没有实施且没有 相应的补偿性控制；③财务人员配备数 量和基本素质不能满足需要；④重要财 务内控制度不健全或没有得到严格执 </w:t>
            </w:r>
            <w:r>
              <w:rPr>
                <w:rFonts w:ascii="宋体" w:hAnsi="宋体" w:cs="宋体" w:eastAsia="宋体" w:hint="default"/>
                <w:spacing w:val="-8"/>
                <w:sz w:val="18"/>
                <w:szCs w:val="18"/>
              </w:rPr>
              <w:t>行。（</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）一般缺陷是指除上述重大缺陷、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重要缺陷之外的其他控制缺陷。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）具有以下特征的缺陷，认定为 重大缺陷： ①公司经营活动严重违 </w:t>
            </w:r>
            <w:r>
              <w:rPr>
                <w:rFonts w:ascii="宋体" w:hAnsi="宋体" w:cs="宋体" w:eastAsia="宋体" w:hint="default"/>
                <w:spacing w:val="-3"/>
                <w:sz w:val="18"/>
                <w:szCs w:val="18"/>
              </w:rPr>
              <w:t>反国家法律、法规；②公司决策程序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导致重大失误；③公司中高级管理人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员和高级技术人员流失严重；④媒体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频现负面新闻，涉及面广且负面影响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一直未能消除；⑤公司内部控制重大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或重要缺陷未得到整改。（</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）具有以</w:t>
            </w:r>
            <w:r>
              <w:rPr>
                <w:rFonts w:ascii="宋体" w:hAnsi="宋体" w:cs="宋体" w:eastAsia="宋体" w:hint="default"/>
                <w:sz w:val="18"/>
                <w:szCs w:val="18"/>
              </w:rPr>
              <w:t> </w:t>
            </w:r>
            <w:r>
              <w:rPr>
                <w:rFonts w:ascii="宋体" w:hAnsi="宋体" w:cs="宋体" w:eastAsia="宋体" w:hint="default"/>
                <w:spacing w:val="-3"/>
                <w:sz w:val="18"/>
                <w:szCs w:val="18"/>
              </w:rPr>
              <w:t>下特征的缺陷，认定为重要缺陷：①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公司违反国家法律法规收到轻微处 </w:t>
            </w:r>
            <w:r>
              <w:rPr>
                <w:rFonts w:ascii="宋体" w:hAnsi="宋体" w:cs="宋体" w:eastAsia="宋体" w:hint="default"/>
                <w:spacing w:val="-3"/>
                <w:sz w:val="18"/>
                <w:szCs w:val="18"/>
              </w:rPr>
              <w:t>罚；②公司决策程序导致出现一般失</w:t>
            </w:r>
            <w:r>
              <w:rPr>
                <w:rFonts w:ascii="宋体" w:hAnsi="宋体" w:cs="宋体" w:eastAsia="宋体" w:hint="default"/>
                <w:sz w:val="18"/>
                <w:szCs w:val="18"/>
              </w:rPr>
              <w:t> </w:t>
            </w:r>
            <w:r>
              <w:rPr>
                <w:rFonts w:ascii="宋体" w:hAnsi="宋体" w:cs="宋体" w:eastAsia="宋体" w:hint="default"/>
                <w:spacing w:val="-3"/>
                <w:sz w:val="18"/>
                <w:szCs w:val="18"/>
              </w:rPr>
              <w:t>误；③公司违反企业内部规章，形成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损失；④公司关键岗位业务人员流失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严重；⑤媒体出现负面新闻，波及局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部区域；⑥公司内部控制重要或一般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缺陷未得到整改。（</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）一般缺陷是指</w:t>
            </w:r>
            <w:r>
              <w:rPr>
                <w:rFonts w:ascii="宋体" w:hAnsi="宋体" w:cs="宋体" w:eastAsia="宋体" w:hint="default"/>
                <w:sz w:val="18"/>
                <w:szCs w:val="18"/>
              </w:rPr>
              <w:t> </w:t>
            </w:r>
            <w:r>
              <w:rPr>
                <w:rFonts w:ascii="宋体" w:hAnsi="宋体" w:cs="宋体" w:eastAsia="宋体" w:hint="default"/>
                <w:spacing w:val="-3"/>
                <w:sz w:val="18"/>
                <w:szCs w:val="18"/>
              </w:rPr>
              <w:t>除上述重大缺陷、重要缺陷之外的其</w:t>
            </w:r>
            <w:r>
              <w:rPr>
                <w:rFonts w:ascii="宋体" w:hAnsi="宋体" w:cs="宋体" w:eastAsia="宋体" w:hint="default"/>
                <w:sz w:val="18"/>
                <w:szCs w:val="18"/>
              </w:rPr>
              <w:t> 他控制缺陷。</w:t>
            </w:r>
          </w:p>
        </w:tc>
      </w:tr>
      <w:tr>
        <w:trPr>
          <w:trHeight w:val="258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）重大缺陷：影响金额≥营业收入的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；影响金额≥资产总额的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 重要缺陷：营业收入的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≤影 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）一般缺陷：</w:t>
            </w:r>
            <w:r>
              <w:rPr>
                <w:rFonts w:ascii="宋体" w:hAnsi="宋体" w:cs="宋体" w:eastAsia="宋体" w:hint="default"/>
                <w:sz w:val="18"/>
                <w:szCs w:val="18"/>
              </w:rPr>
              <w:t> 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）重大缺陷：影响金额≥营业收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；影响金额≥资产总额的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）重要缺陷：营业收入的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p>
          <w:p>
            <w:pPr>
              <w:pStyle w:val="TableParagraph"/>
              <w:spacing w:line="300" w:lineRule="auto" w:before="13"/>
              <w:ind w:left="103" w:right="99"/>
              <w:jc w:val="left"/>
              <w:rPr>
                <w:rFonts w:ascii="宋体" w:hAnsi="宋体" w:cs="宋体" w:eastAsia="宋体" w:hint="default"/>
                <w:sz w:val="18"/>
                <w:szCs w:val="18"/>
              </w:rPr>
            </w:pP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；资产总</w:t>
            </w:r>
            <w:r>
              <w:rPr>
                <w:rFonts w:ascii="宋体" w:hAnsi="宋体" w:cs="宋体" w:eastAsia="宋体" w:hint="default"/>
                <w:sz w:val="18"/>
                <w:szCs w:val="18"/>
              </w:rPr>
              <w:t>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）一般缺陷：影响金额</w:t>
            </w:r>
            <w:r>
              <w:rPr>
                <w:rFonts w:ascii="Times New Roman" w:hAnsi="Times New Roman" w:cs="Times New Roman" w:eastAsia="Times New Roman" w:hint="default"/>
                <w:spacing w:val="-7"/>
                <w:sz w:val="18"/>
                <w:szCs w:val="18"/>
              </w:rPr>
              <w:t>&lt;</w:t>
            </w:r>
            <w:r>
              <w:rPr>
                <w:rFonts w:ascii="宋体" w:hAnsi="宋体" w:cs="宋体" w:eastAsia="宋体" w:hint="default"/>
                <w:spacing w:val="-7"/>
                <w:sz w:val="18"/>
                <w:szCs w:val="18"/>
              </w:rPr>
              <w:t>营业</w:t>
            </w:r>
            <w:r>
              <w:rPr>
                <w:rFonts w:ascii="宋体" w:hAnsi="宋体" w:cs="宋体" w:eastAsia="宋体" w:hint="default"/>
                <w:spacing w:val="-83"/>
                <w:sz w:val="18"/>
                <w:szCs w:val="18"/>
              </w:rPr>
              <w:t> </w:t>
            </w:r>
            <w:r>
              <w:rPr>
                <w:rFonts w:ascii="宋体" w:hAnsi="宋体" w:cs="宋体" w:eastAsia="宋体" w:hint="default"/>
                <w:sz w:val="18"/>
                <w:szCs w:val="18"/>
              </w:rPr>
              <w:t>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982"/>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086" w:right="982"/>
        <w:jc w:val="left"/>
        <w:rPr>
          <w:b w:val="0"/>
          <w:bCs w:val="0"/>
        </w:rPr>
      </w:pPr>
      <w:bookmarkStart w:name="第十节 公司债券相关情况" w:id="156"/>
      <w:bookmarkEnd w:id="156"/>
      <w:r>
        <w:rPr>
          <w:b w:val="0"/>
          <w:bCs w:val="0"/>
        </w:rPr>
      </w:r>
      <w:bookmarkStart w:name="_bookmark9" w:id="157"/>
      <w:bookmarkEnd w:id="15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982"/>
        <w:jc w:val="left"/>
        <w:rPr>
          <w:b w:val="0"/>
          <w:bCs w:val="0"/>
        </w:rPr>
      </w:pPr>
      <w:bookmarkStart w:name="一、公司债券基本信息" w:id="158"/>
      <w:bookmarkEnd w:id="158"/>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2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2" w:right="140" w:hanging="360"/>
              <w:jc w:val="left"/>
              <w:rPr>
                <w:rFonts w:ascii="宋体" w:hAnsi="宋体" w:cs="宋体" w:eastAsia="宋体" w:hint="default"/>
                <w:sz w:val="18"/>
                <w:szCs w:val="18"/>
              </w:rPr>
            </w:pPr>
            <w:r>
              <w:rPr>
                <w:rFonts w:ascii="宋体" w:hAnsi="宋体" w:cs="宋体" w:eastAsia="宋体" w:hint="default"/>
                <w:sz w:val="18"/>
                <w:szCs w:val="18"/>
              </w:rPr>
              <w:t>还本付息方 式</w:t>
            </w:r>
          </w:p>
        </w:tc>
      </w:tr>
      <w:tr>
        <w:trPr>
          <w:trHeight w:val="539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103" w:right="138"/>
              <w:jc w:val="both"/>
              <w:rPr>
                <w:rFonts w:ascii="宋体" w:hAnsi="宋体" w:cs="宋体" w:eastAsia="宋体" w:hint="default"/>
                <w:sz w:val="18"/>
                <w:szCs w:val="18"/>
              </w:rPr>
            </w:pPr>
            <w:r>
              <w:rPr>
                <w:rFonts w:ascii="宋体" w:hAnsi="宋体" w:cs="宋体" w:eastAsia="宋体" w:hint="default"/>
                <w:sz w:val="18"/>
                <w:szCs w:val="18"/>
              </w:rPr>
              <w:t>山东丽鹏股 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 合格投资者 公开发行绿 色公司债券</w:t>
            </w:r>
          </w:p>
          <w:p>
            <w:pPr>
              <w:pStyle w:val="TableParagraph"/>
              <w:spacing w:line="240" w:lineRule="auto" w:before="22"/>
              <w:ind w:left="103" w:right="0"/>
              <w:jc w:val="both"/>
              <w:rPr>
                <w:rFonts w:ascii="宋体" w:hAnsi="宋体" w:cs="宋体" w:eastAsia="宋体" w:hint="default"/>
                <w:sz w:val="18"/>
                <w:szCs w:val="18"/>
              </w:rPr>
            </w:pPr>
            <w:r>
              <w:rPr>
                <w:rFonts w:ascii="宋体" w:hAnsi="宋体" w:cs="宋体" w:eastAsia="宋体" w:hint="default"/>
                <w:sz w:val="18"/>
                <w:szCs w:val="18"/>
              </w:rPr>
              <w:t>（第一期）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丽鹏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G1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112623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25,000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利息每年支 付一次，到 期一次还 本，最后一 期利息随本 金一起支 付。还本付 息将按照登 记机构的有 关规定统计 债券持有人 名单，本息 支付方式及 其他具体安 排按照登记 机构的相关 规定办理。</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根据《公司债券发行与交易管理办法》相关规定，本期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丽鹏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债券仅面向符合《管 </w:t>
            </w:r>
            <w:r>
              <w:rPr>
                <w:rFonts w:ascii="宋体" w:hAnsi="宋体" w:cs="宋体" w:eastAsia="宋体" w:hint="default"/>
                <w:spacing w:val="-2"/>
                <w:sz w:val="18"/>
                <w:szCs w:val="18"/>
              </w:rPr>
              <w:t>理办法》规定的合格投资者（法律、法规禁止购买者除外）发行，公众投资者不得参与发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行认购，本期债券上市后将被实施投资者适当性管理，仅限合格投资者参与交易，公众投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资者认购买入的交易行为无效。</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日，公司向截止至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日收市后登记在册的“</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丽鹏</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G1</w:t>
            </w:r>
            <w:r>
              <w:rPr>
                <w:rFonts w:ascii="宋体" w:hAnsi="宋体" w:cs="宋体" w:eastAsia="宋体" w:hint="default"/>
                <w:spacing w:val="-5"/>
                <w:sz w:val="18"/>
                <w:szCs w:val="18"/>
              </w:rPr>
              <w:t>”持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有人支付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日期间的债券利息共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万元（含税）</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7"/>
              <w:jc w:val="both"/>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 特殊条款的，报告期内相关 </w:t>
            </w:r>
            <w:r>
              <w:rPr>
                <w:rFonts w:ascii="宋体" w:hAnsi="宋体" w:cs="宋体" w:eastAsia="宋体" w:hint="default"/>
                <w:spacing w:val="-7"/>
                <w:sz w:val="18"/>
                <w:szCs w:val="18"/>
              </w:rPr>
              <w:t>条款的执行情况（如适用）。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10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丽鹏</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G1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设有发行人调整票面利率选择权和投资者回售选择权，在本期债券存续期的第 三年末，发行人有权行使调整票面利率选择权，投资者有权行使回售选择权。报告期内， 公司债券选择权条款未到行使日。</w:t>
            </w:r>
          </w:p>
        </w:tc>
      </w:tr>
    </w:tbl>
    <w:p>
      <w:pPr>
        <w:spacing w:after="0" w:line="30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982"/>
        <w:jc w:val="left"/>
        <w:rPr>
          <w:b w:val="0"/>
          <w:bCs w:val="0"/>
        </w:rPr>
      </w:pPr>
      <w:bookmarkStart w:name="二、债券受托管理人和资信评级机构信息" w:id="159"/>
      <w:bookmarkEnd w:id="159"/>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03"/>
        <w:gridCol w:w="1195"/>
        <w:gridCol w:w="796"/>
        <w:gridCol w:w="400"/>
        <w:gridCol w:w="1197"/>
        <w:gridCol w:w="1195"/>
        <w:gridCol w:w="1196"/>
        <w:gridCol w:w="1196"/>
        <w:gridCol w:w="1196"/>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348"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3"/>
              <w:ind w:left="103" w:right="180"/>
              <w:jc w:val="left"/>
              <w:rPr>
                <w:rFonts w:ascii="宋体" w:hAnsi="宋体" w:cs="宋体" w:eastAsia="宋体" w:hint="default"/>
                <w:sz w:val="18"/>
                <w:szCs w:val="18"/>
              </w:rPr>
            </w:pPr>
            <w:r>
              <w:rPr>
                <w:rFonts w:ascii="宋体" w:hAnsi="宋体" w:cs="宋体" w:eastAsia="宋体" w:hint="default"/>
                <w:sz w:val="18"/>
                <w:szCs w:val="18"/>
              </w:rPr>
              <w:t>东兴证券股 份有限公司</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6"/>
              <w:ind w:left="103" w:right="102"/>
              <w:jc w:val="left"/>
              <w:rPr>
                <w:rFonts w:ascii="宋体" w:hAnsi="宋体" w:cs="宋体" w:eastAsia="宋体" w:hint="default"/>
                <w:sz w:val="18"/>
                <w:szCs w:val="18"/>
              </w:rPr>
            </w:pPr>
            <w:r>
              <w:rPr>
                <w:rFonts w:ascii="宋体" w:hAnsi="宋体" w:cs="宋体" w:eastAsia="宋体" w:hint="default"/>
                <w:sz w:val="18"/>
                <w:szCs w:val="18"/>
              </w:rPr>
              <w:t>北京市西城 区金融大街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号（新盛大</w:t>
            </w:r>
            <w:r>
              <w:rPr>
                <w:rFonts w:ascii="宋体" w:hAnsi="宋体" w:cs="宋体" w:eastAsia="宋体" w:hint="default"/>
                <w:sz w:val="18"/>
                <w:szCs w:val="18"/>
              </w:rPr>
              <w:t> </w:t>
            </w:r>
            <w:r>
              <w:rPr>
                <w:rFonts w:ascii="宋体" w:hAnsi="宋体" w:cs="宋体" w:eastAsia="宋体" w:hint="default"/>
                <w:spacing w:val="-4"/>
                <w:sz w:val="18"/>
                <w:szCs w:val="18"/>
              </w:rPr>
              <w:t>厦</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3"/>
              <w:ind w:left="102" w:right="11"/>
              <w:jc w:val="left"/>
              <w:rPr>
                <w:rFonts w:ascii="宋体" w:hAnsi="宋体" w:cs="宋体" w:eastAsia="宋体" w:hint="default"/>
                <w:sz w:val="18"/>
                <w:szCs w:val="18"/>
              </w:rPr>
            </w:pPr>
            <w:r>
              <w:rPr>
                <w:rFonts w:ascii="宋体" w:hAnsi="宋体" w:cs="宋体" w:eastAsia="宋体" w:hint="default"/>
                <w:spacing w:val="-2"/>
                <w:sz w:val="18"/>
                <w:szCs w:val="18"/>
              </w:rPr>
              <w:t>曹阳、邓艳、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010-6655525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719"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北京市朝阳区建外大街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1338" w:hRule="exact"/>
        </w:trPr>
        <w:tc>
          <w:tcPr>
            <w:tcW w:w="31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 </w:t>
            </w:r>
            <w:r>
              <w:rPr>
                <w:rFonts w:ascii="宋体" w:hAnsi="宋体" w:cs="宋体" w:eastAsia="宋体" w:hint="default"/>
                <w:spacing w:val="-5"/>
                <w:sz w:val="18"/>
                <w:szCs w:val="18"/>
              </w:rPr>
              <w:t>因、履行的程序、对投资者利益的影响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等（如适用）</w:t>
            </w:r>
          </w:p>
        </w:tc>
        <w:tc>
          <w:tcPr>
            <w:tcW w:w="63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right="982"/>
        <w:jc w:val="left"/>
        <w:rPr>
          <w:b w:val="0"/>
          <w:bCs w:val="0"/>
        </w:rPr>
      </w:pPr>
      <w:bookmarkStart w:name="三、公司债券募集资金使用情况" w:id="160"/>
      <w:bookmarkEnd w:id="160"/>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 程序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本期公司债券募集资金净额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亿元到位后，公司按照募集说明书约定，于</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日对募投项目已投入资金进行了全额置换</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募集资金专项账户按照募集说明书及资金监管协议约定运作</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 的用途、使用计划及其他约定一致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募集资金使用与募集说明书承诺的用途、使用计划及其他约定一致</w:t>
            </w:r>
          </w:p>
        </w:tc>
      </w:tr>
    </w:tbl>
    <w:p>
      <w:pPr>
        <w:spacing w:line="240" w:lineRule="auto" w:before="2"/>
        <w:rPr>
          <w:rFonts w:ascii="宋体" w:hAnsi="宋体" w:cs="宋体" w:eastAsia="宋体" w:hint="default"/>
          <w:b/>
          <w:bCs/>
          <w:sz w:val="18"/>
          <w:szCs w:val="18"/>
        </w:rPr>
      </w:pPr>
    </w:p>
    <w:p>
      <w:pPr>
        <w:pStyle w:val="Heading2"/>
        <w:spacing w:line="240" w:lineRule="auto" w:before="26"/>
        <w:ind w:right="982"/>
        <w:jc w:val="left"/>
        <w:rPr>
          <w:b w:val="0"/>
          <w:bCs w:val="0"/>
        </w:rPr>
      </w:pPr>
      <w:bookmarkStart w:name="四、公司债券信息评级情况" w:id="161"/>
      <w:bookmarkEnd w:id="161"/>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16" w:firstLine="360"/>
        <w:jc w:val="left"/>
      </w:pPr>
      <w:r>
        <w:rPr/>
        <w:t>公司聘请了联合信用评级有限公司对公司进行主体及债项评级</w:t>
      </w:r>
      <w:r>
        <w:rPr>
          <w:spacing w:val="-58"/>
        </w:rPr>
        <w:t>。</w:t>
      </w:r>
      <w:r>
        <w:rPr/>
        <w:t>根据联合信用评级有限公司出具</w:t>
      </w:r>
      <w:r>
        <w:rPr>
          <w:spacing w:val="-58"/>
        </w:rPr>
        <w:t>的</w:t>
      </w:r>
      <w:r>
        <w:rPr/>
        <w:t>《信用评级报告</w:t>
      </w:r>
      <w:r>
        <w:rPr>
          <w:spacing w:val="-148"/>
        </w:rPr>
        <w:t>》</w:t>
      </w:r>
      <w:r>
        <w:rPr/>
        <w:t>（联</w:t>
      </w:r>
      <w:r>
        <w:rPr/>
        <w:t> 合</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645</w:t>
      </w:r>
      <w:r>
        <w:rPr>
          <w:spacing w:val="-90"/>
        </w:rPr>
        <w:t>）</w:t>
      </w:r>
      <w:r>
        <w:rPr>
          <w:spacing w:val="1"/>
        </w:rPr>
        <w:t>，</w:t>
      </w:r>
      <w:r>
        <w:rPr/>
        <w:t>公司主体长期信用等级为</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w w:val="99"/>
        </w:rPr>
        <w:t>A</w:t>
      </w:r>
      <w:r>
        <w:rPr/>
        <w:t>，本期债券信用等级</w:t>
      </w:r>
      <w:r>
        <w:rPr>
          <w:rFonts w:ascii="Times New Roman" w:hAnsi="Times New Roman" w:cs="Times New Roman" w:eastAsia="Times New Roman" w:hint="default"/>
          <w:spacing w:val="-1"/>
          <w:w w:val="99"/>
        </w:rPr>
        <w:t>AAA</w:t>
      </w:r>
      <w:r>
        <w:rPr>
          <w:spacing w:val="1"/>
        </w:rPr>
        <w:t>，</w:t>
      </w:r>
      <w:r>
        <w:rPr/>
        <w:t>评级展望为稳定。</w:t>
      </w:r>
    </w:p>
    <w:p>
      <w:pPr>
        <w:pStyle w:val="BodyText"/>
        <w:spacing w:line="302" w:lineRule="auto" w:before="35"/>
        <w:ind w:right="982" w:firstLine="360"/>
        <w:jc w:val="left"/>
      </w:pPr>
      <w:r>
        <w:rPr>
          <w:spacing w:val="-4"/>
          <w:w w:val="99"/>
        </w:rPr>
        <w:t>报告期内，联合信用评级有限公司出具《跟踪评级报告》（联合</w:t>
      </w:r>
      <w:r>
        <w:rPr>
          <w:rFonts w:ascii="Times New Roman" w:hAnsi="Times New Roman" w:cs="Times New Roman" w:eastAsia="Times New Roman" w:hint="default"/>
          <w:spacing w:val="-4"/>
          <w:w w:val="99"/>
        </w:rPr>
        <w:t>[2018]406</w:t>
      </w:r>
      <w:r>
        <w:rPr>
          <w:spacing w:val="-4"/>
          <w:w w:val="99"/>
        </w:rPr>
        <w:t>号），公司主体长期信用等级为</w:t>
      </w:r>
      <w:r>
        <w:rPr>
          <w:rFonts w:ascii="Times New Roman" w:hAnsi="Times New Roman" w:cs="Times New Roman" w:eastAsia="Times New Roman" w:hint="default"/>
          <w:spacing w:val="-4"/>
          <w:w w:val="99"/>
        </w:rPr>
        <w:t>AA</w:t>
      </w:r>
      <w:r>
        <w:rPr>
          <w:spacing w:val="-4"/>
          <w:w w:val="99"/>
        </w:rPr>
        <w:t>，本期债券</w:t>
      </w:r>
      <w:r>
        <w:rPr/>
        <w:t> 信用等级为</w:t>
      </w:r>
      <w:r>
        <w:rPr>
          <w:rFonts w:ascii="宋体" w:hAnsi="宋体" w:cs="宋体" w:eastAsia="宋体" w:hint="default"/>
        </w:rPr>
        <w:t>AAA</w:t>
      </w:r>
      <w:r>
        <w:rPr/>
        <w:t>，评级展望为稳定。</w:t>
      </w:r>
    </w:p>
    <w:p>
      <w:pPr>
        <w:pStyle w:val="BodyText"/>
        <w:spacing w:line="316" w:lineRule="auto" w:before="69"/>
        <w:ind w:right="982" w:firstLine="360"/>
        <w:jc w:val="left"/>
      </w:pPr>
      <w:r>
        <w:rPr>
          <w:spacing w:val="-2"/>
        </w:rPr>
        <w:t>跟踪评级包括定期和不定期跟踪评级。在跟踪评级期限内，联合评级将于公司年度报告公布后两个月内完成该年度的定</w:t>
      </w:r>
      <w:r>
        <w:rPr/>
        <w:t> 期跟踪评级，并发布定期跟踪评级结果及报告并发布不定期跟踪评级结果。</w:t>
      </w:r>
    </w:p>
    <w:p>
      <w:pPr>
        <w:spacing w:line="240" w:lineRule="auto" w:before="10"/>
        <w:rPr>
          <w:rFonts w:ascii="宋体" w:hAnsi="宋体" w:cs="宋体" w:eastAsia="宋体" w:hint="default"/>
          <w:sz w:val="20"/>
          <w:szCs w:val="20"/>
        </w:rPr>
      </w:pPr>
    </w:p>
    <w:p>
      <w:pPr>
        <w:pStyle w:val="Heading2"/>
        <w:spacing w:line="240" w:lineRule="auto"/>
        <w:ind w:right="982"/>
        <w:jc w:val="left"/>
        <w:rPr>
          <w:b w:val="0"/>
          <w:bCs w:val="0"/>
        </w:rPr>
      </w:pPr>
      <w:bookmarkStart w:name="五、 公司债券增信机制、偿债计划及其他偿债保障措施" w:id="162"/>
      <w:bookmarkEnd w:id="162"/>
      <w:r>
        <w:rPr>
          <w:b w:val="0"/>
          <w:bCs w:val="0"/>
        </w:rPr>
      </w:r>
      <w:r>
        <w:rPr/>
        <w:t>五、</w:t>
      </w:r>
      <w:r>
        <w:rPr>
          <w:spacing w:val="-21"/>
        </w:rPr>
        <w:t> </w:t>
      </w:r>
      <w:r>
        <w:rPr/>
        <w:t>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04" w:right="982"/>
        <w:jc w:val="left"/>
      </w:pPr>
      <w:r>
        <w:rPr>
          <w:rFonts w:ascii="宋体" w:hAnsi="宋体" w:cs="宋体" w:eastAsia="宋体" w:hint="default"/>
        </w:rPr>
        <w:t>1</w:t>
      </w:r>
      <w:r>
        <w:rPr/>
        <w:t>、</w:t>
      </w:r>
      <w:r>
        <w:rPr>
          <w:rFonts w:ascii="宋体" w:hAnsi="宋体" w:cs="宋体" w:eastAsia="宋体" w:hint="default"/>
        </w:rPr>
        <w:t>17</w:t>
      </w:r>
      <w:r>
        <w:rPr/>
        <w:t>丽鹏</w:t>
      </w:r>
      <w:r>
        <w:rPr>
          <w:rFonts w:ascii="宋体" w:hAnsi="宋体" w:cs="宋体" w:eastAsia="宋体" w:hint="default"/>
        </w:rPr>
        <w:t>G1</w:t>
      </w:r>
      <w:r>
        <w:rPr/>
        <w:t>由深圳市高新投集团有限公司提供全额、无条件、不可撤销的连带担保责任担保。</w:t>
      </w:r>
    </w:p>
    <w:p>
      <w:pPr>
        <w:pStyle w:val="BodyText"/>
        <w:spacing w:line="240" w:lineRule="auto" w:before="76"/>
        <w:ind w:left="204" w:right="982"/>
        <w:jc w:val="left"/>
      </w:pPr>
      <w:r>
        <w:rPr>
          <w:rFonts w:ascii="宋体" w:hAnsi="宋体" w:cs="宋体" w:eastAsia="宋体" w:hint="default"/>
        </w:rPr>
        <w:t>2</w:t>
      </w:r>
      <w:r>
        <w:rPr/>
        <w:t>、</w:t>
      </w:r>
      <w:r>
        <w:rPr>
          <w:rFonts w:ascii="宋体" w:hAnsi="宋体" w:cs="宋体" w:eastAsia="宋体" w:hint="default"/>
        </w:rPr>
        <w:t>17</w:t>
      </w:r>
      <w:r>
        <w:rPr/>
        <w:t>丽鹏</w:t>
      </w:r>
      <w:r>
        <w:rPr>
          <w:rFonts w:ascii="宋体" w:hAnsi="宋体" w:cs="宋体" w:eastAsia="宋体" w:hint="default"/>
        </w:rPr>
        <w:t>G1</w:t>
      </w:r>
      <w:r>
        <w:rPr/>
        <w:t>偿债计划</w:t>
      </w:r>
    </w:p>
    <w:p>
      <w:pPr>
        <w:pStyle w:val="BodyText"/>
        <w:spacing w:line="430" w:lineRule="atLeast" w:before="2"/>
        <w:ind w:left="594" w:right="982"/>
        <w:jc w:val="left"/>
        <w:rPr>
          <w:rFonts w:ascii="宋体" w:hAnsi="宋体" w:cs="宋体" w:eastAsia="宋体" w:hint="default"/>
        </w:rPr>
      </w:pPr>
      <w:r>
        <w:rPr/>
        <w:t>（</w:t>
      </w:r>
      <w:r>
        <w:rPr>
          <w:rFonts w:ascii="宋体" w:hAnsi="宋体" w:cs="宋体" w:eastAsia="宋体" w:hint="default"/>
        </w:rPr>
        <w:t>1</w:t>
      </w:r>
      <w:r>
        <w:rPr/>
        <w:t>）利息的支付 </w:t>
      </w:r>
      <w:r>
        <w:rPr>
          <w:rFonts w:ascii="宋体" w:hAnsi="宋体" w:cs="宋体" w:eastAsia="宋体" w:hint="default"/>
          <w:spacing w:val="-3"/>
        </w:rPr>
        <w:t>1</w:t>
      </w:r>
      <w:r>
        <w:rPr>
          <w:spacing w:val="-3"/>
        </w:rPr>
        <w:t>）本期债券在存续期内每年付息一次，最后一期利息随本金的兑付一起支付。本期债券每年的付息日为</w:t>
      </w:r>
      <w:r>
        <w:rPr>
          <w:rFonts w:ascii="宋体" w:hAnsi="宋体" w:cs="宋体" w:eastAsia="宋体" w:hint="default"/>
          <w:spacing w:val="-3"/>
        </w:rPr>
        <w:t>2018</w:t>
      </w:r>
      <w:r>
        <w:rPr>
          <w:spacing w:val="-3"/>
        </w:rPr>
        <w:t>年至</w:t>
      </w:r>
      <w:r>
        <w:rPr>
          <w:rFonts w:ascii="宋体" w:hAnsi="宋体" w:cs="宋体" w:eastAsia="宋体" w:hint="default"/>
          <w:spacing w:val="-3"/>
        </w:rPr>
        <w:t>2022</w:t>
      </w:r>
    </w:p>
    <w:p>
      <w:pPr>
        <w:pStyle w:val="BodyText"/>
        <w:spacing w:line="316" w:lineRule="auto" w:before="76"/>
        <w:ind w:right="982"/>
        <w:jc w:val="left"/>
      </w:pPr>
      <w:r>
        <w:rPr>
          <w:spacing w:val="-2"/>
        </w:rPr>
        <w:t>年每年的</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w:t>
      </w:r>
      <w:r>
        <w:rPr>
          <w:rFonts w:ascii="宋体" w:hAnsi="宋体" w:cs="宋体" w:eastAsia="宋体" w:hint="default"/>
          <w:spacing w:val="-2"/>
        </w:rPr>
        <w:t>(</w:t>
      </w:r>
      <w:r>
        <w:rPr>
          <w:spacing w:val="-2"/>
        </w:rPr>
        <w:t>如遇法定节假日或休息日，则顺延至其后的第</w:t>
      </w:r>
      <w:r>
        <w:rPr>
          <w:rFonts w:ascii="宋体" w:hAnsi="宋体" w:cs="宋体" w:eastAsia="宋体" w:hint="default"/>
          <w:spacing w:val="-2"/>
        </w:rPr>
        <w:t>1</w:t>
      </w:r>
      <w:r>
        <w:rPr>
          <w:spacing w:val="-2"/>
        </w:rPr>
        <w:t>个交易日</w:t>
      </w:r>
      <w:r>
        <w:rPr>
          <w:rFonts w:ascii="宋体" w:hAnsi="宋体" w:cs="宋体" w:eastAsia="宋体" w:hint="default"/>
          <w:spacing w:val="-2"/>
        </w:rPr>
        <w:t>)</w:t>
      </w:r>
      <w:r>
        <w:rPr>
          <w:spacing w:val="-2"/>
        </w:rPr>
        <w:t>。若投资者行使回售选择权，则回售部分债券的</w:t>
      </w:r>
      <w:r>
        <w:rPr>
          <w:spacing w:val="-60"/>
        </w:rPr>
        <w:t> </w:t>
      </w:r>
      <w:r>
        <w:rPr>
          <w:spacing w:val="-60"/>
        </w:rPr>
      </w:r>
      <w:r>
        <w:rPr/>
        <w:t>付息日为自</w:t>
      </w:r>
      <w:r>
        <w:rPr>
          <w:rFonts w:ascii="宋体" w:hAnsi="宋体" w:cs="宋体" w:eastAsia="宋体" w:hint="default"/>
        </w:rPr>
        <w:t>2018</w:t>
      </w:r>
      <w:r>
        <w:rPr/>
        <w:t>年至</w:t>
      </w:r>
      <w:r>
        <w:rPr>
          <w:rFonts w:ascii="宋体" w:hAnsi="宋体" w:cs="宋体" w:eastAsia="宋体" w:hint="default"/>
        </w:rPr>
        <w:t>2020</w:t>
      </w:r>
      <w:r>
        <w:rPr/>
        <w:t>年间每年的</w:t>
      </w:r>
      <w:r>
        <w:rPr>
          <w:rFonts w:ascii="宋体" w:hAnsi="宋体" w:cs="宋体" w:eastAsia="宋体" w:hint="default"/>
        </w:rPr>
        <w:t>12</w:t>
      </w:r>
      <w:r>
        <w:rPr/>
        <w:t>月</w:t>
      </w:r>
      <w:r>
        <w:rPr>
          <w:rFonts w:ascii="宋体" w:hAnsi="宋体" w:cs="宋体" w:eastAsia="宋体" w:hint="default"/>
        </w:rPr>
        <w:t>1</w:t>
      </w:r>
      <w:r>
        <w:rPr/>
        <w:t>日（如遇法定节假日或休息日，则顺延至其后的第</w:t>
      </w:r>
      <w:r>
        <w:rPr>
          <w:rFonts w:ascii="宋体" w:hAnsi="宋体" w:cs="宋体" w:eastAsia="宋体" w:hint="default"/>
        </w:rPr>
        <w:t>1 </w:t>
      </w:r>
      <w:r>
        <w:rPr>
          <w:spacing w:val="-15"/>
        </w:rPr>
        <w:t>个交易日）。</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7" w:firstLine="480"/>
        <w:jc w:val="both"/>
      </w:pPr>
      <w:r>
        <w:rPr>
          <w:rFonts w:ascii="宋体" w:hAnsi="宋体" w:cs="宋体" w:eastAsia="宋体" w:hint="default"/>
        </w:rPr>
        <w:t>2</w:t>
      </w:r>
      <w:r>
        <w:rPr/>
        <w:t>）本期债券利息的支付通过登记机构和有关机构办理。利息支付的具体事项将按照国家有关规定，由发行人在中国 证监会指定媒体上发布的付息公告中加以说明。</w:t>
      </w:r>
    </w:p>
    <w:p>
      <w:pPr>
        <w:pStyle w:val="BodyText"/>
        <w:spacing w:line="240" w:lineRule="auto" w:before="139"/>
        <w:ind w:left="594" w:right="982"/>
        <w:jc w:val="left"/>
      </w:pPr>
      <w:r>
        <w:rPr>
          <w:rFonts w:ascii="宋体" w:hAnsi="宋体" w:cs="宋体" w:eastAsia="宋体" w:hint="default"/>
        </w:rPr>
        <w:t>3</w:t>
      </w:r>
      <w:r>
        <w:rPr/>
        <w:t>）根据国家税收法律、法规，投资者投资本期债券应缴纳的有关税金由投资者自行承担。</w:t>
      </w:r>
    </w:p>
    <w:p>
      <w:pPr>
        <w:spacing w:line="240" w:lineRule="auto" w:before="1"/>
        <w:rPr>
          <w:rFonts w:ascii="宋体" w:hAnsi="宋体" w:cs="宋体" w:eastAsia="宋体" w:hint="default"/>
          <w:sz w:val="15"/>
          <w:szCs w:val="15"/>
        </w:rPr>
      </w:pPr>
    </w:p>
    <w:p>
      <w:pPr>
        <w:pStyle w:val="BodyText"/>
        <w:spacing w:line="240" w:lineRule="auto"/>
        <w:ind w:left="594" w:right="982"/>
        <w:jc w:val="left"/>
      </w:pPr>
      <w:r>
        <w:rPr/>
        <w:t>（</w:t>
      </w:r>
      <w:r>
        <w:rPr>
          <w:rFonts w:ascii="宋体" w:hAnsi="宋体" w:cs="宋体" w:eastAsia="宋体" w:hint="default"/>
        </w:rPr>
        <w:t>2</w:t>
      </w:r>
      <w:r>
        <w:rPr/>
        <w:t>）本金的偿付</w:t>
      </w:r>
    </w:p>
    <w:p>
      <w:pPr>
        <w:spacing w:line="240" w:lineRule="auto" w:before="0"/>
        <w:rPr>
          <w:rFonts w:ascii="宋体" w:hAnsi="宋体" w:cs="宋体" w:eastAsia="宋体" w:hint="default"/>
          <w:sz w:val="15"/>
          <w:szCs w:val="15"/>
        </w:rPr>
      </w:pPr>
    </w:p>
    <w:p>
      <w:pPr>
        <w:pStyle w:val="BodyText"/>
        <w:spacing w:line="316" w:lineRule="auto"/>
        <w:ind w:right="1130" w:firstLine="480"/>
        <w:jc w:val="both"/>
      </w:pPr>
      <w:r>
        <w:rPr>
          <w:rFonts w:ascii="宋体" w:hAnsi="宋体" w:cs="宋体" w:eastAsia="宋体" w:hint="default"/>
        </w:rPr>
        <w:t>1</w:t>
      </w:r>
      <w:r>
        <w:rPr/>
        <w:t>）本期债券的本金兑付日为</w:t>
      </w:r>
      <w:r>
        <w:rPr>
          <w:rFonts w:ascii="宋体" w:hAnsi="宋体" w:cs="宋体" w:eastAsia="宋体" w:hint="default"/>
        </w:rPr>
        <w:t>2022</w:t>
      </w:r>
      <w:r>
        <w:rPr/>
        <w:t>年</w:t>
      </w:r>
      <w:r>
        <w:rPr>
          <w:rFonts w:ascii="宋体" w:hAnsi="宋体" w:cs="宋体" w:eastAsia="宋体" w:hint="default"/>
        </w:rPr>
        <w:t>12</w:t>
      </w:r>
      <w:r>
        <w:rPr/>
        <w:t>月</w:t>
      </w:r>
      <w:r>
        <w:rPr>
          <w:rFonts w:ascii="宋体" w:hAnsi="宋体" w:cs="宋体" w:eastAsia="宋体" w:hint="default"/>
        </w:rPr>
        <w:t>1</w:t>
      </w:r>
      <w:r>
        <w:rPr/>
        <w:t>日</w:t>
      </w:r>
      <w:r>
        <w:rPr>
          <w:rFonts w:ascii="宋体" w:hAnsi="宋体" w:cs="宋体" w:eastAsia="宋体" w:hint="default"/>
        </w:rPr>
        <w:t>(</w:t>
      </w:r>
      <w:r>
        <w:rPr/>
        <w:t>如遇法定节假日或休息日</w:t>
      </w:r>
      <w:r>
        <w:rPr>
          <w:rFonts w:ascii="宋体" w:hAnsi="宋体" w:cs="宋体" w:eastAsia="宋体" w:hint="default"/>
        </w:rPr>
        <w:t>, </w:t>
      </w:r>
      <w:r>
        <w:rPr/>
        <w:t>则顺延至其后的第</w:t>
      </w:r>
      <w:r>
        <w:rPr>
          <w:rFonts w:ascii="宋体" w:hAnsi="宋体" w:cs="宋体" w:eastAsia="宋体" w:hint="default"/>
        </w:rPr>
        <w:t>1</w:t>
      </w:r>
      <w:r>
        <w:rPr>
          <w:rFonts w:ascii="宋体" w:hAnsi="宋体" w:cs="宋体" w:eastAsia="宋体" w:hint="default"/>
          <w:spacing w:val="-22"/>
        </w:rPr>
        <w:t> </w:t>
      </w:r>
      <w:r>
        <w:rPr/>
        <w:t>个交易日</w:t>
      </w:r>
      <w:r>
        <w:rPr>
          <w:rFonts w:ascii="宋体" w:hAnsi="宋体" w:cs="宋体" w:eastAsia="宋体" w:hint="default"/>
        </w:rPr>
        <w:t>)</w:t>
      </w:r>
      <w:r>
        <w:rPr/>
        <w:t>。如投资者行 使回售选择权，则其回售部分债券的兑付日为</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1</w:t>
      </w:r>
      <w:r>
        <w:rPr/>
        <w:t>日（如遇法定及政府指定节假日或休息日，则顺延至其后的第</w:t>
      </w:r>
      <w:r>
        <w:rPr>
          <w:rFonts w:ascii="宋体" w:hAnsi="宋体" w:cs="宋体" w:eastAsia="宋体" w:hint="default"/>
        </w:rPr>
        <w:t>1 </w:t>
      </w:r>
      <w:r>
        <w:rPr>
          <w:spacing w:val="-5"/>
        </w:rPr>
        <w:t>个交易日；顺延期间兑付款项不另计利息）。</w:t>
      </w:r>
    </w:p>
    <w:p>
      <w:pPr>
        <w:pStyle w:val="BodyText"/>
        <w:spacing w:line="316" w:lineRule="auto" w:before="139"/>
        <w:ind w:right="1137" w:firstLine="480"/>
        <w:jc w:val="both"/>
      </w:pPr>
      <w:r>
        <w:rPr>
          <w:rFonts w:ascii="宋体" w:hAnsi="宋体" w:cs="宋体" w:eastAsia="宋体" w:hint="default"/>
        </w:rPr>
        <w:t>2</w:t>
      </w:r>
      <w:r>
        <w:rPr/>
        <w:t>）本期债券本金的偿付通过债券登记机构和有关机构办理。本金偿付的具体事项将按照国家有关规定，由发行人在 中国证监会指定媒体上发布的兑付公告中加以说明。</w:t>
      </w:r>
    </w:p>
    <w:p>
      <w:pPr>
        <w:pStyle w:val="BodyText"/>
        <w:spacing w:line="432" w:lineRule="exact" w:before="3"/>
        <w:ind w:left="594" w:right="982"/>
        <w:jc w:val="left"/>
      </w:pPr>
      <w:r>
        <w:rPr/>
        <w:t>（</w:t>
      </w:r>
      <w:r>
        <w:rPr>
          <w:rFonts w:ascii="宋体" w:hAnsi="宋体" w:cs="宋体" w:eastAsia="宋体" w:hint="default"/>
        </w:rPr>
        <w:t>3</w:t>
      </w:r>
      <w:r>
        <w:rPr/>
        <w:t>）具体偿债计划 </w:t>
      </w:r>
      <w:r>
        <w:rPr>
          <w:spacing w:val="-1"/>
        </w:rPr>
        <w:t>本期债券发行后，本公司将根据债务结构进一步加强资产负债管理、流动性管理和募集资金运用管理，保证资金按计</w:t>
      </w:r>
    </w:p>
    <w:p>
      <w:pPr>
        <w:pStyle w:val="BodyText"/>
        <w:spacing w:line="240" w:lineRule="auto" w:before="15"/>
        <w:ind w:right="982"/>
        <w:jc w:val="left"/>
      </w:pPr>
      <w:r>
        <w:rPr/>
        <w:t>划使用，及时、足额准备资金用于每年的利息支付和到期的本金兑付，以充分保障投资者的利益。</w:t>
      </w:r>
    </w:p>
    <w:p>
      <w:pPr>
        <w:pStyle w:val="BodyText"/>
        <w:spacing w:line="430" w:lineRule="atLeast" w:before="2"/>
        <w:ind w:left="474" w:right="982" w:firstLine="120"/>
        <w:jc w:val="left"/>
      </w:pPr>
      <w:r>
        <w:rPr/>
        <w:t>（</w:t>
      </w:r>
      <w:r>
        <w:rPr>
          <w:rFonts w:ascii="宋体" w:hAnsi="宋体" w:cs="宋体" w:eastAsia="宋体" w:hint="default"/>
        </w:rPr>
        <w:t>4</w:t>
      </w:r>
      <w:r>
        <w:rPr/>
        <w:t>）偿债资金来源 </w:t>
      </w:r>
      <w:r>
        <w:rPr>
          <w:spacing w:val="-2"/>
        </w:rPr>
        <w:t>随着未来业务的不断发展，核心竞争力不断增强，本公司的营业收入有望进一步提升，净利润也将有所提升，同时本公</w:t>
      </w:r>
    </w:p>
    <w:p>
      <w:pPr>
        <w:pStyle w:val="BodyText"/>
        <w:spacing w:line="439" w:lineRule="auto" w:before="76"/>
        <w:ind w:left="594" w:right="4452" w:hanging="480"/>
        <w:jc w:val="left"/>
      </w:pPr>
      <w:r>
        <w:rPr/>
        <w:t>司货币资金余额较为充足且保持相对稳定，可以为偿还本期债券本息提供保障。 </w:t>
      </w:r>
      <w:r>
        <w:rPr>
          <w:rFonts w:ascii="宋体" w:hAnsi="宋体" w:cs="宋体" w:eastAsia="宋体" w:hint="default"/>
        </w:rPr>
        <w:t>3</w:t>
      </w:r>
      <w:r>
        <w:rPr/>
        <w:t>、偿债保障措施</w:t>
      </w:r>
    </w:p>
    <w:p>
      <w:pPr>
        <w:pStyle w:val="BodyText"/>
        <w:spacing w:line="319" w:lineRule="auto" w:before="47"/>
        <w:ind w:right="1133" w:firstLine="480"/>
        <w:jc w:val="both"/>
      </w:pPr>
      <w:r>
        <w:rPr>
          <w:spacing w:val="-1"/>
        </w:rPr>
        <w:t>为了充分、有效地维护债券持有人的利益，本公司为本次债券的按时、足额偿付制定了一系列工作计划，包括切实做</w:t>
      </w:r>
      <w:r>
        <w:rPr/>
        <w:t> </w:t>
      </w:r>
      <w:r>
        <w:rPr>
          <w:spacing w:val="-2"/>
        </w:rPr>
        <w:t>到专款专用、设立专门的偿付工作小组、充分发挥债券受托管理人的作用、严格履行信息披露义务、公司承诺等，努力形成</w:t>
      </w:r>
      <w:r>
        <w:rPr>
          <w:spacing w:val="-66"/>
        </w:rPr>
        <w:t> </w:t>
      </w:r>
      <w:r>
        <w:rPr>
          <w:spacing w:val="-66"/>
        </w:rPr>
      </w:r>
      <w:r>
        <w:rPr/>
        <w:t>一套确保债券安全付息、兑付的保障措施。</w:t>
      </w:r>
    </w:p>
    <w:p>
      <w:pPr>
        <w:pStyle w:val="BodyText"/>
        <w:spacing w:line="432" w:lineRule="exact" w:before="1"/>
        <w:ind w:left="594" w:right="982"/>
        <w:jc w:val="left"/>
      </w:pPr>
      <w:r>
        <w:rPr/>
        <w:t>（</w:t>
      </w:r>
      <w:r>
        <w:rPr>
          <w:rFonts w:ascii="宋体" w:hAnsi="宋体" w:cs="宋体" w:eastAsia="宋体" w:hint="default"/>
        </w:rPr>
        <w:t>1</w:t>
      </w:r>
      <w:r>
        <w:rPr/>
        <w:t>）设立专门的偿付工作小组 </w:t>
      </w:r>
      <w:r>
        <w:rPr>
          <w:spacing w:val="-1"/>
        </w:rPr>
        <w:t>本公司将在每年的财务预算中落实安排本期债券本息的兑付资金，保证本息的如期偿付，保证债券持有人的利益。在</w:t>
      </w:r>
    </w:p>
    <w:p>
      <w:pPr>
        <w:pStyle w:val="BodyText"/>
        <w:spacing w:line="240" w:lineRule="auto" w:before="15"/>
        <w:ind w:right="982"/>
        <w:jc w:val="left"/>
      </w:pPr>
      <w:r>
        <w:rPr/>
        <w:t>利息和到期本金偿付日之前的十五个交易日内，本公司将组成偿付工作小组，负责利息和本金的偿付及与之相关的工作。</w:t>
      </w:r>
    </w:p>
    <w:p>
      <w:pPr>
        <w:pStyle w:val="BodyText"/>
        <w:spacing w:line="430" w:lineRule="atLeast" w:before="2"/>
        <w:ind w:left="594" w:right="982"/>
        <w:jc w:val="left"/>
      </w:pPr>
      <w:r>
        <w:rPr/>
        <w:t>（</w:t>
      </w:r>
      <w:r>
        <w:rPr>
          <w:rFonts w:ascii="宋体" w:hAnsi="宋体" w:cs="宋体" w:eastAsia="宋体" w:hint="default"/>
        </w:rPr>
        <w:t>2</w:t>
      </w:r>
      <w:r>
        <w:rPr/>
        <w:t>）备用偿债措施 </w:t>
      </w:r>
      <w:r>
        <w:rPr>
          <w:spacing w:val="-1"/>
        </w:rPr>
        <w:t>如果经济环境发生重大不利变化或其他因素致使本公司未来主营业务的经营情况未达到预期水平，或由于不可预见的</w:t>
      </w:r>
    </w:p>
    <w:p>
      <w:pPr>
        <w:pStyle w:val="BodyText"/>
        <w:spacing w:line="439" w:lineRule="auto" w:before="76"/>
        <w:ind w:left="594" w:right="4632" w:hanging="480"/>
        <w:jc w:val="left"/>
      </w:pPr>
      <w:r>
        <w:rPr/>
        <w:t>原因使本公司不能按期偿还债券本息时，本公司还安排了如下应急保障措施： </w:t>
      </w:r>
      <w:r>
        <w:rPr>
          <w:rFonts w:ascii="宋体" w:hAnsi="宋体" w:cs="宋体" w:eastAsia="宋体" w:hint="default"/>
        </w:rPr>
        <w:t>1</w:t>
      </w:r>
      <w:r>
        <w:rPr/>
        <w:t>）使用银行贷款偿付债券本息。</w:t>
      </w:r>
    </w:p>
    <w:p>
      <w:pPr>
        <w:pStyle w:val="BodyText"/>
        <w:spacing w:line="240" w:lineRule="auto" w:before="47"/>
        <w:ind w:left="594" w:right="982"/>
        <w:jc w:val="left"/>
      </w:pPr>
      <w:r>
        <w:rPr>
          <w:rFonts w:ascii="宋体" w:hAnsi="宋体" w:cs="宋体" w:eastAsia="宋体" w:hint="default"/>
        </w:rPr>
        <w:t>2</w:t>
      </w:r>
      <w:r>
        <w:rPr/>
        <w:t>）通过资产出售、股权转让等收回现金来偿还债券本息。</w:t>
      </w:r>
    </w:p>
    <w:p>
      <w:pPr>
        <w:pStyle w:val="BodyText"/>
        <w:spacing w:line="430" w:lineRule="atLeast" w:before="2"/>
        <w:ind w:left="594" w:right="982"/>
        <w:jc w:val="left"/>
      </w:pPr>
      <w:r>
        <w:rPr/>
        <w:t>（</w:t>
      </w:r>
      <w:r>
        <w:rPr>
          <w:rFonts w:ascii="宋体" w:hAnsi="宋体" w:cs="宋体" w:eastAsia="宋体" w:hint="default"/>
        </w:rPr>
        <w:t>3</w:t>
      </w:r>
      <w:r>
        <w:rPr/>
        <w:t>）募集资金专款专用 </w:t>
      </w:r>
      <w:r>
        <w:rPr>
          <w:spacing w:val="-1"/>
        </w:rPr>
        <w:t>公司将严格依照股东大会决议及本募集说明书披露的资金投向，确保专款专用。同时，本公司将制定专门的债券募集</w:t>
      </w:r>
    </w:p>
    <w:p>
      <w:pPr>
        <w:pStyle w:val="BodyText"/>
        <w:spacing w:line="316" w:lineRule="auto" w:before="76"/>
        <w:ind w:right="1132"/>
        <w:jc w:val="both"/>
      </w:pPr>
      <w:r>
        <w:rPr>
          <w:spacing w:val="-2"/>
        </w:rPr>
        <w:t>资金使用计划，相关业务部门对资金使用情况将进行严格检查，切实做到专款专用，保证募集资金的投入、运用、稽核等方</w:t>
      </w:r>
      <w:r>
        <w:rPr>
          <w:spacing w:val="-66"/>
        </w:rPr>
        <w:t> </w:t>
      </w:r>
      <w:r>
        <w:rPr>
          <w:spacing w:val="-66"/>
        </w:rPr>
      </w:r>
      <w:r>
        <w:rPr/>
        <w:t>面顺畅运作。</w:t>
      </w:r>
    </w:p>
    <w:p>
      <w:pPr>
        <w:pStyle w:val="BodyText"/>
        <w:spacing w:line="432" w:lineRule="exact" w:before="3"/>
        <w:ind w:left="594" w:right="982"/>
        <w:jc w:val="left"/>
      </w:pPr>
      <w:r>
        <w:rPr/>
        <w:t>（</w:t>
      </w:r>
      <w:r>
        <w:rPr>
          <w:rFonts w:ascii="宋体" w:hAnsi="宋体" w:cs="宋体" w:eastAsia="宋体" w:hint="default"/>
        </w:rPr>
        <w:t>4</w:t>
      </w:r>
      <w:r>
        <w:rPr/>
        <w:t>）聘请受托管理人 </w:t>
      </w:r>
      <w:r>
        <w:rPr>
          <w:spacing w:val="-1"/>
        </w:rPr>
        <w:t>公司按照《管理办法》的要求引入了债券受托管理人制度，聘任主承销商担任本次公司债券的受托管理人，并订立了</w:t>
      </w:r>
    </w:p>
    <w:p>
      <w:pPr>
        <w:pStyle w:val="BodyText"/>
        <w:spacing w:line="316" w:lineRule="auto" w:before="15"/>
        <w:ind w:right="1130"/>
        <w:jc w:val="both"/>
      </w:pPr>
      <w:r>
        <w:rPr>
          <w:spacing w:val="-2"/>
        </w:rPr>
        <w:t>《债券受托管理协议》。在债券存续期间，由债券受托管理人代表债券持有人对本公司的相关情况进行监督，并在债券本息</w:t>
      </w:r>
      <w:r>
        <w:rPr>
          <w:spacing w:val="-65"/>
        </w:rPr>
        <w:t> </w:t>
      </w:r>
      <w:r>
        <w:rPr>
          <w:spacing w:val="-65"/>
        </w:rPr>
      </w:r>
      <w:r>
        <w:rPr>
          <w:spacing w:val="-2"/>
        </w:rPr>
        <w:t>无法按时偿付时，代表债券持有人，采取一切必要及可行的措施，保护债券持有人的正当权益。本公司将严格按照《债券受</w:t>
      </w:r>
      <w:r>
        <w:rPr>
          <w:spacing w:val="-66"/>
        </w:rPr>
        <w:t> </w:t>
      </w:r>
      <w:r>
        <w:rPr>
          <w:spacing w:val="-66"/>
        </w:rPr>
      </w:r>
      <w:r>
        <w:rPr>
          <w:spacing w:val="-2"/>
        </w:rPr>
        <w:t>托管理协议》的规定，配合债券受托管理人履行职责，定期向债券受托管理人报送本公司承诺履行情况，并在本公司可能出</w:t>
      </w:r>
      <w:r>
        <w:rPr>
          <w:spacing w:val="-66"/>
        </w:rPr>
        <w:t> </w:t>
      </w:r>
      <w:r>
        <w:rPr>
          <w:spacing w:val="-66"/>
        </w:rPr>
      </w:r>
      <w:r>
        <w:rPr>
          <w:spacing w:val="-2"/>
        </w:rPr>
        <w:t>现债券违约时及时通知债券受托管理人，便于债券受托管理人及时根据《债券受托管理协议》采取其他必要的措施。有关债</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82"/>
        <w:jc w:val="left"/>
      </w:pPr>
      <w:r>
        <w:rPr/>
        <w:t>券受托管理人的权利和义务，详见本募集说明书“第九节 债券受托管理人”的内容。</w:t>
      </w:r>
    </w:p>
    <w:p>
      <w:pPr>
        <w:pStyle w:val="BodyText"/>
        <w:spacing w:line="430" w:lineRule="atLeast" w:before="2"/>
        <w:ind w:left="594" w:right="982"/>
        <w:jc w:val="left"/>
      </w:pPr>
      <w:r>
        <w:rPr/>
        <w:t>（</w:t>
      </w:r>
      <w:r>
        <w:rPr>
          <w:rFonts w:ascii="宋体" w:hAnsi="宋体" w:cs="宋体" w:eastAsia="宋体" w:hint="default"/>
        </w:rPr>
        <w:t>5</w:t>
      </w:r>
      <w:r>
        <w:rPr/>
        <w:t>）制定《债券持有人会议规则》 </w:t>
      </w:r>
      <w:r>
        <w:rPr>
          <w:spacing w:val="-1"/>
        </w:rPr>
        <w:t>公司已按照《管理办法》的要求制定了《债券持有人会议规则》，约定债券持有人通过债券持有人会议行使权利的范</w:t>
      </w:r>
    </w:p>
    <w:p>
      <w:pPr>
        <w:pStyle w:val="BodyText"/>
        <w:spacing w:line="316" w:lineRule="auto" w:before="77"/>
        <w:ind w:right="982"/>
        <w:jc w:val="left"/>
      </w:pPr>
      <w:r>
        <w:rPr>
          <w:spacing w:val="-2"/>
        </w:rPr>
        <w:t>围、程序和其他重要事项，为保障本次公司债券本息及时足额偿付做出了合理的制度安排。有关《债券持有人会议规则》具</w:t>
      </w:r>
      <w:r>
        <w:rPr>
          <w:spacing w:val="-66"/>
        </w:rPr>
        <w:t> </w:t>
      </w:r>
      <w:r>
        <w:rPr>
          <w:spacing w:val="-66"/>
        </w:rPr>
      </w:r>
      <w:r>
        <w:rPr/>
        <w:t>体内容，详见本募集说明书“第八节 </w:t>
      </w:r>
      <w:r>
        <w:rPr>
          <w:spacing w:val="-10"/>
        </w:rPr>
        <w:t>债券持有人会议”。</w:t>
      </w:r>
    </w:p>
    <w:p>
      <w:pPr>
        <w:pStyle w:val="BodyText"/>
        <w:spacing w:line="432" w:lineRule="exact" w:before="3"/>
        <w:ind w:left="594" w:right="982"/>
        <w:jc w:val="left"/>
      </w:pPr>
      <w:r>
        <w:rPr/>
        <w:t>（</w:t>
      </w:r>
      <w:r>
        <w:rPr>
          <w:rFonts w:ascii="宋体" w:hAnsi="宋体" w:cs="宋体" w:eastAsia="宋体" w:hint="default"/>
        </w:rPr>
        <w:t>6</w:t>
      </w:r>
      <w:r>
        <w:rPr/>
        <w:t>）严格的信息披露 </w:t>
      </w:r>
      <w:r>
        <w:rPr>
          <w:spacing w:val="-1"/>
        </w:rPr>
        <w:t>本公司将遵循真实、准确、完整、及时的信息披露原则，按《债券受托管理协议》及中国证监会的有关规定进行重大</w:t>
      </w:r>
    </w:p>
    <w:p>
      <w:pPr>
        <w:pStyle w:val="BodyText"/>
        <w:spacing w:line="240" w:lineRule="auto" w:before="15"/>
        <w:ind w:right="982"/>
        <w:jc w:val="left"/>
      </w:pPr>
      <w:r>
        <w:rPr/>
        <w:t>事项信息披露，使本公司偿债能力、募集资金使用等情况受到债券持有人、债券受托管理人和股东的监督，防范偿债风险。</w:t>
      </w:r>
    </w:p>
    <w:p>
      <w:pPr>
        <w:pStyle w:val="BodyText"/>
        <w:spacing w:line="430" w:lineRule="atLeast" w:before="2"/>
        <w:ind w:left="594" w:right="982"/>
        <w:jc w:val="left"/>
      </w:pPr>
      <w:r>
        <w:rPr/>
        <w:t>（</w:t>
      </w:r>
      <w:r>
        <w:rPr>
          <w:rFonts w:ascii="宋体" w:hAnsi="宋体" w:cs="宋体" w:eastAsia="宋体" w:hint="default"/>
        </w:rPr>
        <w:t>7</w:t>
      </w:r>
      <w:r>
        <w:rPr/>
        <w:t>）其他保障措施 </w:t>
      </w:r>
      <w:r>
        <w:rPr>
          <w:spacing w:val="-1"/>
        </w:rPr>
        <w:t>根据公司</w:t>
      </w:r>
      <w:r>
        <w:rPr>
          <w:rFonts w:ascii="宋体" w:hAnsi="宋体" w:cs="宋体" w:eastAsia="宋体" w:hint="default"/>
          <w:spacing w:val="-1"/>
        </w:rPr>
        <w:t>2016</w:t>
      </w:r>
      <w:r>
        <w:rPr>
          <w:spacing w:val="-1"/>
        </w:rPr>
        <w:t>年度股东大会的决议，公司股东大会授权董事会在出现预计不能按期偿付债券本息或者到期未能按期偿</w:t>
      </w:r>
    </w:p>
    <w:p>
      <w:pPr>
        <w:pStyle w:val="BodyText"/>
        <w:spacing w:line="439" w:lineRule="auto" w:before="76"/>
        <w:ind w:left="594" w:right="6432" w:hanging="480"/>
        <w:jc w:val="left"/>
      </w:pPr>
      <w:r>
        <w:rPr/>
        <w:t>付债券本息的情况时，作出如下决议并采取相应措施： </w:t>
      </w:r>
      <w:r>
        <w:rPr>
          <w:rFonts w:ascii="宋体" w:hAnsi="宋体" w:cs="宋体" w:eastAsia="宋体" w:hint="default"/>
        </w:rPr>
        <w:t>1</w:t>
      </w:r>
      <w:r>
        <w:rPr/>
        <w:t>）不向股东分配利润；</w:t>
      </w:r>
    </w:p>
    <w:p>
      <w:pPr>
        <w:pStyle w:val="BodyText"/>
        <w:spacing w:line="240" w:lineRule="auto" w:before="47"/>
        <w:ind w:left="594" w:right="982"/>
        <w:jc w:val="left"/>
      </w:pPr>
      <w:r>
        <w:rPr>
          <w:rFonts w:ascii="宋体" w:hAnsi="宋体" w:cs="宋体" w:eastAsia="宋体" w:hint="default"/>
        </w:rPr>
        <w:t>2</w:t>
      </w:r>
      <w:r>
        <w:rPr/>
        <w:t>）暂缓重大对外投资、收购兼并等资本性支出项目的实施；</w:t>
      </w:r>
    </w:p>
    <w:p>
      <w:pPr>
        <w:spacing w:line="240" w:lineRule="auto" w:before="0"/>
        <w:rPr>
          <w:rFonts w:ascii="宋体" w:hAnsi="宋体" w:cs="宋体" w:eastAsia="宋体" w:hint="default"/>
          <w:sz w:val="15"/>
          <w:szCs w:val="15"/>
        </w:rPr>
      </w:pPr>
    </w:p>
    <w:p>
      <w:pPr>
        <w:pStyle w:val="BodyText"/>
        <w:spacing w:line="240" w:lineRule="auto"/>
        <w:ind w:left="594" w:right="982"/>
        <w:jc w:val="left"/>
      </w:pPr>
      <w:r>
        <w:rPr>
          <w:rFonts w:ascii="宋体" w:hAnsi="宋体" w:cs="宋体" w:eastAsia="宋体" w:hint="default"/>
        </w:rPr>
        <w:t>3</w:t>
      </w:r>
      <w:r>
        <w:rPr/>
        <w:t>）调减或停发董事和高级管理人员的工资和奖金；</w:t>
      </w:r>
    </w:p>
    <w:p>
      <w:pPr>
        <w:spacing w:line="240" w:lineRule="auto" w:before="0"/>
        <w:rPr>
          <w:rFonts w:ascii="宋体" w:hAnsi="宋体" w:cs="宋体" w:eastAsia="宋体" w:hint="default"/>
          <w:sz w:val="15"/>
          <w:szCs w:val="15"/>
        </w:rPr>
      </w:pPr>
    </w:p>
    <w:p>
      <w:pPr>
        <w:pStyle w:val="BodyText"/>
        <w:spacing w:line="240" w:lineRule="auto"/>
        <w:ind w:left="594" w:right="982"/>
        <w:jc w:val="left"/>
      </w:pPr>
      <w:r>
        <w:rPr>
          <w:rFonts w:ascii="宋体" w:hAnsi="宋体" w:cs="宋体" w:eastAsia="宋体" w:hint="default"/>
        </w:rPr>
        <w:t>4</w:t>
      </w:r>
      <w:r>
        <w:rPr/>
        <w:t>）主要责任人不得调离。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2"/>
        <w:spacing w:line="240" w:lineRule="auto"/>
        <w:ind w:right="982"/>
        <w:jc w:val="left"/>
        <w:rPr>
          <w:b w:val="0"/>
          <w:bCs w:val="0"/>
        </w:rPr>
      </w:pPr>
      <w:bookmarkStart w:name="六、报告期内债券持有人会议的召开情况" w:id="163"/>
      <w:bookmarkEnd w:id="163"/>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报告期内未召开债券持有人会议。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982"/>
        <w:jc w:val="left"/>
        <w:rPr>
          <w:b w:val="0"/>
          <w:bCs w:val="0"/>
        </w:rPr>
      </w:pPr>
      <w:bookmarkStart w:name="七、报告期内债券受托管理人履行职责的情况" w:id="164"/>
      <w:bookmarkEnd w:id="164"/>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29" w:firstLine="360"/>
        <w:jc w:val="left"/>
      </w:pPr>
      <w:r>
        <w:rPr>
          <w:spacing w:val="-5"/>
        </w:rPr>
        <w:t>报告期内，债券受托管理人东兴证券股份有限公司严格依照《公司债券发行与交易管理办法》、《公司债券受托管理人执</w:t>
      </w:r>
      <w:r>
        <w:rPr/>
        <w:t> </w:t>
      </w:r>
      <w:r>
        <w:rPr>
          <w:spacing w:val="-2"/>
        </w:rPr>
        <w:t>业行为准则》等相关法律法规及募集说明书、受托管理协议履行信息披露相关职责。由东兴证券股份有限公司于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rFonts w:ascii="宋体" w:hAnsi="宋体" w:cs="宋体" w:eastAsia="宋体" w:hint="default"/>
          <w:spacing w:val="-59"/>
        </w:rPr>
        <w:t> </w:t>
      </w:r>
      <w:r>
        <w:rPr/>
        <w:t>日出具的《</w:t>
      </w:r>
      <w:r>
        <w:rPr>
          <w:rFonts w:ascii="宋体" w:hAnsi="宋体" w:cs="宋体" w:eastAsia="宋体" w:hint="default"/>
        </w:rPr>
        <w:t>2018 </w:t>
      </w:r>
      <w:r>
        <w:rPr>
          <w:spacing w:val="-5"/>
        </w:rPr>
        <w:t>年度第一次临时受托管理事务报告》、</w:t>
      </w:r>
      <w:r>
        <w:rPr>
          <w:rFonts w:ascii="宋体" w:hAnsi="宋体" w:cs="宋体" w:eastAsia="宋体" w:hint="default"/>
          <w:spacing w:val="-5"/>
        </w:rPr>
        <w:t>2018</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21</w:t>
      </w:r>
      <w:r>
        <w:rPr>
          <w:spacing w:val="-5"/>
        </w:rPr>
        <w:t>日出具的《受托管理事务报告（</w:t>
      </w:r>
      <w:r>
        <w:rPr>
          <w:rFonts w:ascii="宋体" w:hAnsi="宋体" w:cs="宋体" w:eastAsia="宋体" w:hint="default"/>
          <w:spacing w:val="-5"/>
        </w:rPr>
        <w:t>2017</w:t>
      </w:r>
      <w:r>
        <w:rPr>
          <w:spacing w:val="-5"/>
        </w:rPr>
        <w:t>年度）》、</w:t>
      </w:r>
      <w:r>
        <w:rPr>
          <w:rFonts w:ascii="宋体" w:hAnsi="宋体" w:cs="宋体" w:eastAsia="宋体" w:hint="default"/>
          <w:spacing w:val="-5"/>
        </w:rPr>
        <w:t>2018</w:t>
      </w:r>
      <w:r>
        <w:rPr>
          <w:spacing w:val="-5"/>
        </w:rPr>
        <w:t>年</w:t>
      </w:r>
      <w:r>
        <w:rPr>
          <w:rFonts w:ascii="宋体" w:hAnsi="宋体" w:cs="宋体" w:eastAsia="宋体" w:hint="default"/>
          <w:spacing w:val="-5"/>
        </w:rPr>
        <w:t>7</w:t>
      </w:r>
      <w:r>
        <w:rPr>
          <w:rFonts w:ascii="宋体" w:hAnsi="宋体" w:cs="宋体" w:eastAsia="宋体" w:hint="default"/>
          <w:spacing w:val="-85"/>
        </w:rPr>
        <w:t> </w:t>
      </w:r>
      <w:r>
        <w:rPr>
          <w:spacing w:val="-3"/>
        </w:rPr>
        <w:t>月</w:t>
      </w:r>
      <w:r>
        <w:rPr>
          <w:rFonts w:ascii="宋体" w:hAnsi="宋体" w:cs="宋体" w:eastAsia="宋体" w:hint="default"/>
          <w:spacing w:val="-3"/>
        </w:rPr>
        <w:t>3</w:t>
      </w:r>
      <w:r>
        <w:rPr>
          <w:spacing w:val="-3"/>
        </w:rPr>
        <w:t>日出具的《</w:t>
      </w:r>
      <w:r>
        <w:rPr>
          <w:rFonts w:ascii="宋体" w:hAnsi="宋体" w:cs="宋体" w:eastAsia="宋体" w:hint="default"/>
          <w:spacing w:val="-3"/>
        </w:rPr>
        <w:t>2018</w:t>
      </w:r>
      <w:r>
        <w:rPr>
          <w:rFonts w:ascii="宋体" w:hAnsi="宋体" w:cs="宋体" w:eastAsia="宋体" w:hint="default"/>
          <w:spacing w:val="12"/>
        </w:rPr>
        <w:t> </w:t>
      </w:r>
      <w:r>
        <w:rPr>
          <w:spacing w:val="-3"/>
        </w:rPr>
        <w:t>年度第二次临时受托管理事务报告》、</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20</w:t>
      </w:r>
      <w:r>
        <w:rPr>
          <w:spacing w:val="-3"/>
        </w:rPr>
        <w:t>日出具的《</w:t>
      </w:r>
      <w:r>
        <w:rPr>
          <w:rFonts w:ascii="宋体" w:hAnsi="宋体" w:cs="宋体" w:eastAsia="宋体" w:hint="default"/>
          <w:spacing w:val="-3"/>
        </w:rPr>
        <w:t>2018</w:t>
      </w:r>
      <w:r>
        <w:rPr>
          <w:spacing w:val="-3"/>
        </w:rPr>
        <w:t>年度第三次临时受托管理事务报告》</w:t>
      </w:r>
      <w:r>
        <w:rPr/>
        <w:t> 已于深交所网站披露。</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982"/>
        <w:jc w:val="left"/>
        <w:rPr>
          <w:b w:val="0"/>
          <w:bCs w:val="0"/>
        </w:rPr>
      </w:pPr>
      <w:bookmarkStart w:name="八、截至报告期末公司近2年的主要会计数据和财务指标" w:id="165"/>
      <w:bookmarkEnd w:id="165"/>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-55,667.2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26,397.96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-310.88%</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-365.31%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-2.27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-5.72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-4.62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-225.89%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-2.90%</w:t>
            </w:r>
          </w:p>
        </w:tc>
      </w:tr>
    </w:tbl>
    <w:p>
      <w:pPr>
        <w:pStyle w:val="BodyText"/>
        <w:spacing w:line="240" w:lineRule="auto" w:before="51"/>
        <w:ind w:right="982"/>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338" w:lineRule="auto" w:before="103"/>
        <w:ind w:right="982"/>
        <w:jc w:val="left"/>
      </w:pPr>
      <w:r>
        <w:rPr/>
        <w:t>√ 适用 □ 不适用 </w:t>
      </w:r>
      <w:r>
        <w:rPr>
          <w:rFonts w:ascii="宋体" w:hAnsi="宋体" w:cs="宋体" w:eastAsia="宋体" w:hint="default"/>
        </w:rPr>
        <w:t>1</w:t>
      </w:r>
      <w:r>
        <w:rPr/>
        <w:t>、息税折旧摊销前利润报告期较上年同期比减少</w:t>
      </w:r>
      <w:r>
        <w:rPr>
          <w:rFonts w:ascii="宋体" w:hAnsi="宋体" w:cs="宋体" w:eastAsia="宋体" w:hint="default"/>
        </w:rPr>
        <w:t>310.88%</w:t>
      </w:r>
      <w:r>
        <w:rPr/>
        <w:t>的主要原因是报告期内计提商誉等大额减值损失致净利润下降所 致。</w:t>
      </w:r>
    </w:p>
    <w:p>
      <w:pPr>
        <w:pStyle w:val="BodyText"/>
        <w:spacing w:line="240" w:lineRule="auto" w:before="2"/>
        <w:ind w:right="982"/>
        <w:jc w:val="left"/>
      </w:pPr>
      <w:r>
        <w:rPr>
          <w:rFonts w:ascii="宋体" w:hAnsi="宋体" w:cs="宋体" w:eastAsia="宋体" w:hint="default"/>
        </w:rPr>
        <w:t>2</w:t>
      </w:r>
      <w:r>
        <w:rPr/>
        <w:t>、</w:t>
      </w:r>
      <w:r>
        <w:rPr>
          <w:rFonts w:ascii="宋体" w:hAnsi="宋体" w:cs="宋体" w:eastAsia="宋体" w:hint="default"/>
        </w:rPr>
        <w:t>EBITDA</w:t>
      </w:r>
      <w:r>
        <w:rPr/>
        <w:t>全部债务比报告期较上年同期比减少</w:t>
      </w:r>
      <w:r>
        <w:rPr>
          <w:rFonts w:ascii="宋体" w:hAnsi="宋体" w:cs="宋体" w:eastAsia="宋体" w:hint="default"/>
        </w:rPr>
        <w:t>42.69%</w:t>
      </w:r>
      <w:r>
        <w:rPr/>
        <w:t>的主要原因是报告期内计提商誉等大额减值损失致净利润下降所致。</w:t>
      </w:r>
    </w:p>
    <w:p>
      <w:pPr>
        <w:pStyle w:val="BodyText"/>
        <w:spacing w:line="240" w:lineRule="auto" w:before="76"/>
        <w:ind w:right="982"/>
        <w:jc w:val="left"/>
      </w:pPr>
      <w:r>
        <w:rPr>
          <w:rFonts w:ascii="宋体" w:hAnsi="宋体" w:cs="宋体" w:eastAsia="宋体" w:hint="default"/>
        </w:rPr>
        <w:t>3</w:t>
      </w:r>
      <w:r>
        <w:rPr/>
        <w:t>、利息保障倍数报告期较上年同期比减少</w:t>
      </w:r>
      <w:r>
        <w:rPr>
          <w:rFonts w:ascii="宋体" w:hAnsi="宋体" w:cs="宋体" w:eastAsia="宋体" w:hint="default"/>
        </w:rPr>
        <w:t>365.31%</w:t>
      </w:r>
      <w:r>
        <w:rPr/>
        <w:t>的主要原因是报告期内计提商誉等大额减值损失致净利润下降所致。</w:t>
      </w:r>
    </w:p>
    <w:p>
      <w:pPr>
        <w:pStyle w:val="BodyText"/>
        <w:spacing w:line="240" w:lineRule="auto" w:before="76"/>
        <w:ind w:right="982"/>
        <w:jc w:val="left"/>
      </w:pPr>
      <w:r>
        <w:rPr>
          <w:rFonts w:ascii="宋体" w:hAnsi="宋体" w:cs="宋体" w:eastAsia="宋体" w:hint="default"/>
        </w:rPr>
        <w:t>4</w:t>
      </w:r>
      <w:r>
        <w:rPr/>
        <w:t>、现金利息保障倍数报告期较上年同期比增加</w:t>
      </w:r>
      <w:r>
        <w:rPr>
          <w:rFonts w:ascii="宋体" w:hAnsi="宋体" w:cs="宋体" w:eastAsia="宋体" w:hint="default"/>
        </w:rPr>
        <w:t>60.31%</w:t>
      </w:r>
      <w:r>
        <w:rPr/>
        <w:t>的主要原因是报告期内经营活动产生的现金流量增加所致。</w:t>
      </w:r>
    </w:p>
    <w:p>
      <w:pPr>
        <w:pStyle w:val="BodyText"/>
        <w:spacing w:line="316" w:lineRule="auto" w:before="76"/>
        <w:ind w:right="1212"/>
        <w:jc w:val="left"/>
      </w:pPr>
      <w:r>
        <w:rPr>
          <w:rFonts w:ascii="宋体" w:hAnsi="宋体" w:cs="宋体" w:eastAsia="宋体" w:hint="default"/>
        </w:rPr>
        <w:t>5</w:t>
      </w:r>
      <w:r>
        <w:rPr/>
        <w:t>、</w:t>
      </w:r>
      <w:r>
        <w:rPr>
          <w:rFonts w:ascii="宋体" w:hAnsi="宋体" w:cs="宋体" w:eastAsia="宋体" w:hint="default"/>
        </w:rPr>
        <w:t>EBITDA</w:t>
      </w:r>
      <w:r>
        <w:rPr/>
        <w:t>利息保障倍数报告期较上年同期比减少</w:t>
      </w:r>
      <w:r>
        <w:rPr>
          <w:rFonts w:ascii="宋体" w:hAnsi="宋体" w:cs="宋体" w:eastAsia="宋体" w:hint="default"/>
        </w:rPr>
        <w:t>225.89%</w:t>
      </w:r>
      <w:r>
        <w:rPr/>
        <w:t>的主要原因是报告期内计提商誉等大额减值损失致净利润下降所 致。</w:t>
      </w:r>
    </w:p>
    <w:p>
      <w:pPr>
        <w:spacing w:line="240" w:lineRule="auto" w:before="10"/>
        <w:rPr>
          <w:rFonts w:ascii="宋体" w:hAnsi="宋体" w:cs="宋体" w:eastAsia="宋体" w:hint="default"/>
          <w:sz w:val="20"/>
          <w:szCs w:val="20"/>
        </w:rPr>
      </w:pPr>
    </w:p>
    <w:p>
      <w:pPr>
        <w:pStyle w:val="Heading2"/>
        <w:spacing w:line="240" w:lineRule="auto"/>
        <w:ind w:right="982"/>
        <w:jc w:val="left"/>
        <w:rPr>
          <w:b w:val="0"/>
          <w:bCs w:val="0"/>
        </w:rPr>
      </w:pPr>
      <w:bookmarkStart w:name="九、报告期内对其他债券和债务融资工具的付息兑付情况" w:id="166"/>
      <w:bookmarkEnd w:id="166"/>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报告期内，公司无其他债券和债务融资工具。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982"/>
        <w:jc w:val="left"/>
        <w:rPr>
          <w:b w:val="0"/>
          <w:bCs w:val="0"/>
        </w:rPr>
      </w:pPr>
      <w:bookmarkStart w:name="十、报告期内获得的银行授信情况、使用情况以及偿还银行贷款的情况" w:id="167"/>
      <w:bookmarkEnd w:id="167"/>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报告期内公司共获得银行授信</w:t>
      </w:r>
      <w:r>
        <w:rPr>
          <w:rFonts w:ascii="宋体" w:hAnsi="宋体" w:cs="宋体" w:eastAsia="宋体" w:hint="default"/>
        </w:rPr>
        <w:t>13.30</w:t>
      </w:r>
      <w:r>
        <w:rPr/>
        <w:t>亿元，已经使用</w:t>
      </w:r>
      <w:r>
        <w:rPr>
          <w:rFonts w:ascii="宋体" w:hAnsi="宋体" w:cs="宋体" w:eastAsia="宋体" w:hint="default"/>
        </w:rPr>
        <w:t>10.84</w:t>
      </w:r>
      <w:r>
        <w:rPr/>
        <w:t>亿元，公司按时偿还银行贷款</w:t>
      </w:r>
      <w:r>
        <w:rPr>
          <w:rFonts w:ascii="宋体" w:hAnsi="宋体" w:cs="宋体" w:eastAsia="宋体" w:hint="default"/>
        </w:rPr>
        <w:t>14.11</w:t>
      </w:r>
      <w:r>
        <w:rPr/>
        <w:t>亿元，无违约情况。</w:t>
      </w:r>
    </w:p>
    <w:p>
      <w:pPr>
        <w:spacing w:line="240" w:lineRule="auto" w:before="2"/>
        <w:rPr>
          <w:rFonts w:ascii="宋体" w:hAnsi="宋体" w:cs="宋体" w:eastAsia="宋体" w:hint="default"/>
          <w:sz w:val="25"/>
          <w:szCs w:val="25"/>
        </w:rPr>
      </w:pPr>
    </w:p>
    <w:p>
      <w:pPr>
        <w:pStyle w:val="Heading2"/>
        <w:spacing w:line="240" w:lineRule="auto"/>
        <w:ind w:right="982"/>
        <w:jc w:val="left"/>
        <w:rPr>
          <w:b w:val="0"/>
          <w:bCs w:val="0"/>
        </w:rPr>
      </w:pPr>
      <w:bookmarkStart w:name="十一、报告期内执行公司债券募集说明书相关约定或承诺的情况" w:id="168"/>
      <w:bookmarkEnd w:id="168"/>
      <w:r>
        <w:rPr>
          <w:b w:val="0"/>
          <w:bCs w:val="0"/>
        </w:rPr>
      </w: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360"/>
        <w:jc w:val="both"/>
      </w:pPr>
      <w:r>
        <w:rPr>
          <w:spacing w:val="-9"/>
        </w:rPr>
        <w:t>根据《公司债券管理办法》、《深圳证券交易所公司债券上市规则》、《深圳证券交易所关于开展绿色公司债券业务试点的</w:t>
      </w:r>
      <w:r>
        <w:rPr/>
        <w:t> 通知》有关规定，现对“山东丽鹏股份有限公司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spacing w:val="-3"/>
        </w:rPr>
        <w:t>年面向合格投资者公开发行绿色公司债券（第一期）”中有关绿色项</w:t>
      </w:r>
      <w:r>
        <w:rPr/>
        <w:t> 目进展及环境效益披露如下：</w:t>
      </w:r>
    </w:p>
    <w:p>
      <w:pPr>
        <w:pStyle w:val="BodyText"/>
        <w:spacing w:line="240" w:lineRule="auto" w:before="64"/>
        <w:ind w:left="474" w:right="982"/>
        <w:jc w:val="left"/>
      </w:pPr>
      <w:r>
        <w:rPr/>
        <w:t>安顺市西秀区生态修复综合治理二期（</w:t>
      </w:r>
      <w:r>
        <w:rPr>
          <w:rFonts w:ascii="Times New Roman" w:hAnsi="Times New Roman" w:cs="Times New Roman" w:eastAsia="Times New Roman" w:hint="default"/>
        </w:rPr>
        <w:t>PPP</w:t>
      </w:r>
      <w:r>
        <w:rPr/>
        <w:t>）项目</w:t>
      </w:r>
    </w:p>
    <w:p>
      <w:pPr>
        <w:pStyle w:val="BodyText"/>
        <w:spacing w:line="240" w:lineRule="auto" w:before="102"/>
        <w:ind w:left="294" w:right="982"/>
        <w:jc w:val="left"/>
      </w:pPr>
      <w:r>
        <w:rPr/>
        <w:t>（</w:t>
      </w:r>
      <w:r>
        <w:rPr>
          <w:rFonts w:ascii="Times New Roman" w:hAnsi="Times New Roman" w:cs="Times New Roman" w:eastAsia="Times New Roman" w:hint="default"/>
        </w:rPr>
        <w:t>1</w:t>
      </w:r>
      <w:r>
        <w:rPr/>
        <w:t>）项目进展情况</w:t>
      </w:r>
    </w:p>
    <w:p>
      <w:pPr>
        <w:pStyle w:val="BodyText"/>
        <w:spacing w:line="240" w:lineRule="auto" w:before="103"/>
        <w:ind w:left="474" w:right="982"/>
        <w:jc w:val="left"/>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日，本项目尚在建设中。</w:t>
      </w:r>
    </w:p>
    <w:p>
      <w:pPr>
        <w:pStyle w:val="BodyText"/>
        <w:spacing w:line="338" w:lineRule="auto" w:before="102"/>
        <w:ind w:left="384" w:right="1122" w:hanging="90"/>
        <w:jc w:val="left"/>
      </w:pPr>
      <w:r>
        <w:rPr/>
        <w:t>（</w:t>
      </w:r>
      <w:r>
        <w:rPr>
          <w:rFonts w:ascii="Times New Roman" w:hAnsi="Times New Roman" w:cs="Times New Roman" w:eastAsia="Times New Roman" w:hint="default"/>
        </w:rPr>
        <w:t>2</w:t>
      </w:r>
      <w:r>
        <w:rPr/>
        <w:t>）项目环境效率 本项目建成后可改善和提升区域整体居民生活环境，增加绿化面积，有效控制面源污染，可实现提升河水水质、维护生</w:t>
      </w:r>
    </w:p>
    <w:p>
      <w:pPr>
        <w:pStyle w:val="BodyText"/>
        <w:spacing w:line="316" w:lineRule="auto" w:before="2"/>
        <w:ind w:right="982"/>
        <w:jc w:val="left"/>
      </w:pPr>
      <w:r>
        <w:rPr>
          <w:spacing w:val="-2"/>
        </w:rPr>
        <w:t>态平衡、防风固沙、调控洪水，维护河流生态完整性等多种生态功能，将极大地改善区域生态环境和鸟类栖息环境，提升区</w:t>
      </w:r>
      <w:r>
        <w:rPr>
          <w:spacing w:val="-66"/>
        </w:rPr>
        <w:t> </w:t>
      </w:r>
      <w:r>
        <w:rPr>
          <w:spacing w:val="-66"/>
        </w:rPr>
      </w:r>
      <w:r>
        <w:rPr/>
        <w:t>域景观多样性。坚守生态底线，走可持续发展之路、为保障人民群众身体健康和推进生态文明建设做出积极贡献。</w:t>
      </w:r>
    </w:p>
    <w:p>
      <w:pPr>
        <w:pStyle w:val="BodyText"/>
        <w:spacing w:line="319" w:lineRule="auto" w:before="19"/>
        <w:ind w:right="1109" w:firstLine="360"/>
        <w:jc w:val="both"/>
      </w:pPr>
      <w:r>
        <w:rPr>
          <w:spacing w:val="-2"/>
        </w:rPr>
        <w:t>联合赤道也对公司进行跟踪评估认证，结论为：本期绿色公司债券募集资金已全部用于绿色产业项目，符合《中国证监</w:t>
      </w:r>
      <w:r>
        <w:rPr/>
        <w:t> </w:t>
      </w:r>
      <w:r>
        <w:rPr>
          <w:spacing w:val="-5"/>
        </w:rPr>
        <w:t>会关于支持绿色债券发展的指导意见》（证监会公告</w:t>
      </w:r>
      <w:r>
        <w:rPr>
          <w:rFonts w:ascii="Times New Roman" w:hAnsi="Times New Roman" w:cs="Times New Roman" w:eastAsia="Times New Roman" w:hint="default"/>
          <w:spacing w:val="-5"/>
        </w:rPr>
        <w:t>[2017]6</w:t>
      </w:r>
      <w:r>
        <w:rPr>
          <w:spacing w:val="-5"/>
        </w:rPr>
        <w:t>号）、《深圳证券交易所关于开展绿色公司债券业务试点的通知》</w:t>
      </w:r>
    </w:p>
    <w:p>
      <w:pPr>
        <w:pStyle w:val="BodyText"/>
        <w:spacing w:line="246" w:lineRule="exact"/>
        <w:ind w:right="982"/>
        <w:jc w:val="left"/>
      </w:pPr>
      <w:r>
        <w:rPr/>
        <w:t>（深证上</w:t>
      </w:r>
      <w:r>
        <w:rPr>
          <w:rFonts w:ascii="Times New Roman" w:hAnsi="Times New Roman" w:cs="Times New Roman" w:eastAsia="Times New Roman" w:hint="default"/>
        </w:rPr>
        <w:t>[2016 </w:t>
      </w:r>
      <w:r>
        <w:rPr>
          <w:rFonts w:ascii="Times New Roman" w:hAnsi="Times New Roman" w:cs="Times New Roman" w:eastAsia="Times New Roman" w:hint="default"/>
          <w:spacing w:val="-2"/>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6</w:t>
      </w:r>
      <w:r>
        <w:rPr/>
        <w:t>号）及</w:t>
      </w:r>
      <w:r>
        <w:rPr>
          <w:spacing w:val="1"/>
        </w:rPr>
        <w:t>《</w:t>
      </w:r>
      <w:r>
        <w:rPr/>
        <w:t>绿色债券支持项目录</w:t>
      </w:r>
      <w:r>
        <w:rPr>
          <w:spacing w:val="-90"/>
        </w:rPr>
        <w:t>》</w:t>
      </w:r>
      <w:r>
        <w:rPr/>
        <w:t>（</w:t>
      </w:r>
      <w:r>
        <w:rPr>
          <w:rFonts w:ascii="Times New Roman" w:hAnsi="Times New Roman" w:cs="Times New Roman" w:eastAsia="Times New Roman" w:hint="default"/>
        </w:rPr>
        <w:t>2015</w:t>
      </w:r>
      <w:r>
        <w:rPr/>
        <w:t>年版）的相关要求。</w:t>
      </w:r>
    </w:p>
    <w:p>
      <w:pPr>
        <w:spacing w:after="0" w:line="246" w:lineRule="exact"/>
        <w:jc w:val="left"/>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2"/>
        <w:jc w:val="left"/>
        <w:rPr>
          <w:b w:val="0"/>
          <w:bCs w:val="0"/>
        </w:rPr>
      </w:pPr>
      <w:bookmarkStart w:name="十二、报告期内发生的重大事项" w:id="169"/>
      <w:bookmarkEnd w:id="169"/>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4" w:right="982"/>
        <w:jc w:val="left"/>
      </w:pPr>
      <w:r>
        <w:rPr>
          <w:rFonts w:ascii="宋体" w:hAnsi="宋体" w:cs="宋体" w:eastAsia="宋体" w:hint="default"/>
        </w:rPr>
        <w:t>1</w:t>
      </w:r>
      <w:r>
        <w:rPr/>
        <w:t>、实际控制人变更 </w:t>
      </w:r>
      <w:r>
        <w:rPr>
          <w:spacing w:val="-2"/>
        </w:rPr>
        <w:t>公司原实际控制人孙世尧、霍文菊、于志芬、孙红丽与中锐控股集团有限公司、中锐控股全资子公司苏州睿畅投资管理</w:t>
      </w:r>
    </w:p>
    <w:p>
      <w:pPr>
        <w:pStyle w:val="BodyText"/>
        <w:spacing w:line="316" w:lineRule="auto" w:before="19"/>
        <w:ind w:right="1035"/>
        <w:jc w:val="left"/>
      </w:pPr>
      <w:r>
        <w:rPr>
          <w:spacing w:val="-2"/>
        </w:rPr>
        <w:t>有限公司于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日签署了《股份转让协议》，约定上述四人将分别持有的合计占上市公司已发行股份总额的</w:t>
      </w:r>
      <w:r>
        <w:rPr>
          <w:rFonts w:ascii="宋体" w:hAnsi="宋体" w:cs="宋体" w:eastAsia="宋体" w:hint="default"/>
          <w:spacing w:val="-2"/>
        </w:rPr>
        <w:t>11%</w:t>
      </w:r>
      <w:r>
        <w:rPr>
          <w:spacing w:val="-2"/>
        </w:rPr>
        <w:t>的股</w:t>
      </w:r>
      <w:r>
        <w:rPr>
          <w:spacing w:val="-62"/>
        </w:rPr>
        <w:t> </w:t>
      </w:r>
      <w:r>
        <w:rPr>
          <w:spacing w:val="-3"/>
        </w:rPr>
        <w:t>份，共计</w:t>
      </w:r>
      <w:r>
        <w:rPr>
          <w:rFonts w:ascii="宋体" w:hAnsi="宋体" w:cs="宋体" w:eastAsia="宋体" w:hint="default"/>
          <w:spacing w:val="-3"/>
        </w:rPr>
        <w:t>96,517,021</w:t>
      </w:r>
      <w:r>
        <w:rPr>
          <w:spacing w:val="-3"/>
        </w:rPr>
        <w:t>股无限售流通股份转让给睿畅投资。本次股权转让后，睿畅投资在丽鹏股份拥有的持股比例达到</w:t>
      </w:r>
      <w:r>
        <w:rPr>
          <w:rFonts w:ascii="宋体" w:hAnsi="宋体" w:cs="宋体" w:eastAsia="宋体" w:hint="default"/>
          <w:spacing w:val="-3"/>
        </w:rPr>
        <w:t>11.00%</w:t>
      </w:r>
      <w:r>
        <w:rPr>
          <w:spacing w:val="-3"/>
        </w:rPr>
        <w:t>，</w:t>
      </w:r>
      <w:r>
        <w:rPr>
          <w:spacing w:val="-75"/>
        </w:rPr>
        <w:t> </w:t>
      </w:r>
      <w:r>
        <w:rPr>
          <w:spacing w:val="-2"/>
        </w:rPr>
        <w:t>为丽鹏股份第一大股东。同时，孙世尧将其继续持有的丽鹏股份</w:t>
      </w:r>
      <w:r>
        <w:rPr>
          <w:rFonts w:ascii="宋体" w:hAnsi="宋体" w:cs="宋体" w:eastAsia="宋体" w:hint="default"/>
          <w:spacing w:val="-2"/>
        </w:rPr>
        <w:t>7.6%</w:t>
      </w:r>
      <w:r>
        <w:rPr>
          <w:spacing w:val="-2"/>
        </w:rPr>
        <w:t>股权所对应的表决权委托给睿畅投资行使，睿畅投资将</w:t>
      </w:r>
      <w:r>
        <w:rPr>
          <w:spacing w:val="-62"/>
        </w:rPr>
        <w:t> </w:t>
      </w:r>
      <w:r>
        <w:rPr>
          <w:spacing w:val="-62"/>
        </w:rPr>
      </w:r>
      <w:r>
        <w:rPr>
          <w:spacing w:val="-3"/>
        </w:rPr>
        <w:t>合计取得丽鹏股份表决权比例占丽鹏股份总股本的</w:t>
      </w:r>
      <w:r>
        <w:rPr>
          <w:rFonts w:ascii="宋体" w:hAnsi="宋体" w:cs="宋体" w:eastAsia="宋体" w:hint="default"/>
          <w:spacing w:val="-3"/>
        </w:rPr>
        <w:t>18.60%</w:t>
      </w:r>
      <w:r>
        <w:rPr>
          <w:spacing w:val="-3"/>
        </w:rPr>
        <w:t>。丽鹏股份实际控制人变更为钱建蓉先生。</w:t>
      </w:r>
      <w:r>
        <w:rPr>
          <w:rFonts w:ascii="宋体" w:hAnsi="宋体" w:cs="宋体" w:eastAsia="宋体" w:hint="default"/>
          <w:spacing w:val="-3"/>
        </w:rPr>
        <w:t>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6</w:t>
      </w:r>
      <w:r>
        <w:rPr>
          <w:spacing w:val="-3"/>
        </w:rPr>
        <w:t>日，孙世尧、</w:t>
      </w:r>
      <w:r>
        <w:rPr>
          <w:spacing w:val="-81"/>
        </w:rPr>
        <w:t> </w:t>
      </w:r>
      <w:r>
        <w:rPr>
          <w:spacing w:val="-81"/>
        </w:rPr>
      </w:r>
      <w:r>
        <w:rPr>
          <w:spacing w:val="-2"/>
        </w:rPr>
        <w:t>霍文菊、于志芬、孙红丽与中锐控股集团有限公司、中锐控股全资子公司苏州睿畅投资管理有限公司重新签署了《股份转让</w:t>
      </w:r>
      <w:r>
        <w:rPr>
          <w:spacing w:val="-65"/>
        </w:rPr>
        <w:t> </w:t>
      </w:r>
      <w:r>
        <w:rPr>
          <w:spacing w:val="-65"/>
        </w:rPr>
      </w:r>
      <w:r>
        <w:rPr>
          <w:spacing w:val="-2"/>
        </w:rPr>
        <w:t>协议》，公司对已披露的《关于控股股东及一致行动人协议转让公司股份和委托股票表决权暨实际控制人拟发生变更的提示</w:t>
      </w:r>
      <w:r>
        <w:rPr>
          <w:spacing w:val="-72"/>
        </w:rPr>
        <w:t> </w:t>
      </w:r>
      <w:r>
        <w:rPr>
          <w:spacing w:val="-72"/>
        </w:rPr>
      </w:r>
      <w:r>
        <w:rPr>
          <w:spacing w:val="-7"/>
        </w:rPr>
        <w:t>性公告》、《简式权益变动报告书》、《详式权益变动报告书》等文件进行补充更正，详细情况详见</w:t>
      </w:r>
      <w:r>
        <w:rPr>
          <w:rFonts w:ascii="宋体" w:hAnsi="宋体" w:cs="宋体" w:eastAsia="宋体" w:hint="default"/>
          <w:spacing w:val="-7"/>
        </w:rPr>
        <w:t>2018</w:t>
      </w:r>
      <w:r>
        <w:rPr>
          <w:spacing w:val="-7"/>
        </w:rPr>
        <w:t>年</w:t>
      </w:r>
      <w:r>
        <w:rPr>
          <w:rFonts w:ascii="宋体" w:hAnsi="宋体" w:cs="宋体" w:eastAsia="宋体" w:hint="default"/>
          <w:spacing w:val="-7"/>
        </w:rPr>
        <w:t>7</w:t>
      </w:r>
      <w:r>
        <w:rPr>
          <w:spacing w:val="-7"/>
        </w:rPr>
        <w:t>月</w:t>
      </w:r>
      <w:r>
        <w:rPr>
          <w:rFonts w:ascii="宋体" w:hAnsi="宋体" w:cs="宋体" w:eastAsia="宋体" w:hint="default"/>
          <w:spacing w:val="-7"/>
        </w:rPr>
        <w:t>7</w:t>
      </w:r>
      <w:r>
        <w:rPr>
          <w:spacing w:val="-7"/>
        </w:rPr>
        <w:t>日巨潮资讯网</w:t>
      </w:r>
    </w:p>
    <w:p>
      <w:pPr>
        <w:pStyle w:val="BodyText"/>
        <w:spacing w:line="316" w:lineRule="auto" w:before="19"/>
        <w:ind w:right="1131"/>
        <w:jc w:val="both"/>
      </w:pPr>
      <w:r>
        <w:rPr>
          <w:spacing w:val="-2"/>
        </w:rPr>
        <w:t>（</w:t>
      </w:r>
      <w:hyperlink r:id="rId13">
        <w:r>
          <w:rPr>
            <w:rFonts w:ascii="宋体" w:hAnsi="宋体" w:cs="宋体" w:eastAsia="宋体" w:hint="default"/>
            <w:spacing w:val="-2"/>
          </w:rPr>
          <w:t>http://www.cninfo.com.cn</w:t>
        </w:r>
      </w:hyperlink>
      <w:r>
        <w:rPr>
          <w:spacing w:val="-2"/>
        </w:rPr>
        <w:t>）披露的《关于控股股东及一致行动人协议转让公司股份和委托股票表决权暨实际控制人拟发</w:t>
      </w:r>
      <w:r>
        <w:rPr>
          <w:spacing w:val="-40"/>
        </w:rPr>
        <w:t> </w:t>
      </w:r>
      <w:r>
        <w:rPr>
          <w:spacing w:val="-40"/>
        </w:rPr>
      </w:r>
      <w:r>
        <w:rPr>
          <w:spacing w:val="-11"/>
        </w:rPr>
        <w:t>生变更及权益变动报告书的补充更正公告》、《简式权益变动报告书（修订稿）》、《详式权益变动报告书修订稿》等文件。</w:t>
      </w:r>
      <w:r>
        <w:rPr>
          <w:rFonts w:ascii="宋体" w:hAnsi="宋体" w:cs="宋体" w:eastAsia="宋体" w:hint="default"/>
          <w:spacing w:val="-11"/>
        </w:rPr>
        <w:t>2018</w:t>
      </w:r>
      <w:r>
        <w:rPr>
          <w:rFonts w:ascii="宋体" w:hAnsi="宋体" w:cs="宋体" w:eastAsia="宋体" w:hint="default"/>
          <w:spacing w:val="-64"/>
        </w:rPr>
        <w:t> </w:t>
      </w:r>
      <w:r>
        <w:rPr>
          <w:rFonts w:ascii="宋体" w:hAnsi="宋体" w:cs="宋体" w:eastAsia="宋体" w:hint="default"/>
          <w:spacing w:val="-64"/>
        </w:rPr>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8</w:t>
      </w:r>
      <w:r>
        <w:rPr>
          <w:spacing w:val="-3"/>
        </w:rPr>
        <w:t>日，取得中国证券登记结算有限责任公司《证券过户登记确认书》，过户完成。</w:t>
      </w:r>
    </w:p>
    <w:p>
      <w:pPr>
        <w:pStyle w:val="BodyText"/>
        <w:spacing w:line="240" w:lineRule="auto" w:before="19"/>
        <w:ind w:left="474" w:right="982"/>
        <w:jc w:val="left"/>
      </w:pPr>
      <w:r>
        <w:rPr>
          <w:rFonts w:ascii="宋体" w:hAnsi="宋体" w:cs="宋体" w:eastAsia="宋体" w:hint="default"/>
        </w:rPr>
        <w:t>2</w:t>
      </w:r>
      <w:r>
        <w:rPr/>
        <w:t>、重大诉讼</w:t>
      </w:r>
    </w:p>
    <w:p>
      <w:pPr>
        <w:pStyle w:val="BodyText"/>
        <w:spacing w:line="316" w:lineRule="auto" w:before="76"/>
        <w:ind w:left="474" w:right="1114"/>
        <w:jc w:val="left"/>
      </w:pPr>
      <w:r>
        <w:rPr>
          <w:rFonts w:ascii="宋体" w:hAnsi="宋体" w:cs="宋体" w:eastAsia="宋体" w:hint="default"/>
        </w:rPr>
        <w:t>1</w:t>
      </w:r>
      <w:r>
        <w:rPr>
          <w:spacing w:val="-90"/>
        </w:rPr>
        <w:t>）</w:t>
      </w:r>
      <w:r>
        <w:rPr/>
        <w:t>（</w:t>
      </w:r>
      <w:r>
        <w:rPr>
          <w:rFonts w:ascii="宋体" w:hAnsi="宋体" w:cs="宋体" w:eastAsia="宋体" w:hint="default"/>
        </w:rPr>
        <w:t>2018</w:t>
      </w:r>
      <w:r>
        <w:rPr/>
        <w:t>）鲁民初</w:t>
      </w:r>
      <w:r>
        <w:rPr>
          <w:rFonts w:ascii="宋体" w:hAnsi="宋体" w:cs="宋体" w:eastAsia="宋体" w:hint="default"/>
        </w:rPr>
        <w:t>93</w:t>
      </w:r>
      <w:r>
        <w:rPr/>
        <w:t>号 因莱芜市雪野湖旅游产业发展有限公司长期拖欠应付华宇园林的工程款项</w:t>
      </w:r>
      <w:r>
        <w:rPr>
          <w:spacing w:val="-82"/>
        </w:rPr>
        <w:t>，</w:t>
      </w:r>
      <w:r>
        <w:rPr/>
        <w:t>华宇园林向山东省高级人民法院提起诉讼并</w:t>
      </w:r>
    </w:p>
    <w:p>
      <w:pPr>
        <w:pStyle w:val="BodyText"/>
        <w:spacing w:line="316" w:lineRule="auto" w:before="19"/>
        <w:ind w:left="474" w:right="982" w:hanging="360"/>
        <w:jc w:val="left"/>
      </w:pPr>
      <w:r>
        <w:rPr>
          <w:spacing w:val="-2"/>
        </w:rPr>
        <w:t>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日收到山东省高级人民法院送达的案号为（</w:t>
      </w:r>
      <w:r>
        <w:rPr>
          <w:rFonts w:ascii="宋体" w:hAnsi="宋体" w:cs="宋体" w:eastAsia="宋体" w:hint="default"/>
          <w:spacing w:val="-2"/>
        </w:rPr>
        <w:t>2018</w:t>
      </w:r>
      <w:r>
        <w:rPr>
          <w:spacing w:val="-2"/>
        </w:rPr>
        <w:t>）鲁民初</w:t>
      </w:r>
      <w:r>
        <w:rPr>
          <w:rFonts w:ascii="宋体" w:hAnsi="宋体" w:cs="宋体" w:eastAsia="宋体" w:hint="default"/>
          <w:spacing w:val="-2"/>
        </w:rPr>
        <w:t>93</w:t>
      </w:r>
      <w:r>
        <w:rPr>
          <w:spacing w:val="-2"/>
        </w:rPr>
        <w:t>号《受理案件通知书》。</w:t>
      </w:r>
      <w:r>
        <w:rPr>
          <w:spacing w:val="-80"/>
        </w:rPr>
        <w:t> </w:t>
      </w:r>
      <w:r>
        <w:rPr>
          <w:spacing w:val="-80"/>
        </w:rPr>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日，莱芜市雪野湖旅游产业发展有限公司向山东省高级人民法院提出管辖权异议申请，申请将（</w:t>
      </w:r>
      <w:r>
        <w:rPr>
          <w:rFonts w:ascii="宋体" w:hAnsi="宋体" w:cs="宋体" w:eastAsia="宋体" w:hint="default"/>
          <w:spacing w:val="-2"/>
        </w:rPr>
        <w:t>2018</w:t>
      </w:r>
      <w:r>
        <w:rPr>
          <w:spacing w:val="-2"/>
        </w:rPr>
        <w:t>）鲁民</w:t>
      </w:r>
    </w:p>
    <w:p>
      <w:pPr>
        <w:pStyle w:val="BodyText"/>
        <w:spacing w:line="316" w:lineRule="auto" w:before="19"/>
        <w:ind w:right="1131"/>
        <w:jc w:val="both"/>
      </w:pPr>
      <w:r>
        <w:rPr>
          <w:spacing w:val="-2"/>
        </w:rPr>
        <w:t>初</w:t>
      </w:r>
      <w:r>
        <w:rPr>
          <w:rFonts w:ascii="宋体" w:hAnsi="宋体" w:cs="宋体" w:eastAsia="宋体" w:hint="default"/>
          <w:spacing w:val="-2"/>
        </w:rPr>
        <w:t>93</w:t>
      </w:r>
      <w:r>
        <w:rPr>
          <w:spacing w:val="-2"/>
        </w:rPr>
        <w:t>号案件由山东省高级人民法院移至莱芜市中级人民法院审理。经审查，山东省高级人民法院认为莱芜市雪野湖旅游产业</w:t>
      </w:r>
      <w:r>
        <w:rPr>
          <w:spacing w:val="-62"/>
        </w:rPr>
        <w:t> </w:t>
      </w:r>
      <w:r>
        <w:rPr>
          <w:spacing w:val="-62"/>
        </w:rPr>
      </w:r>
      <w:r>
        <w:rPr/>
        <w:t>发展有限公司提出的管辖权异议不能成立，驳回其提出的管辖权异议。</w:t>
      </w:r>
    </w:p>
    <w:p>
      <w:pPr>
        <w:pStyle w:val="BodyText"/>
        <w:spacing w:line="319" w:lineRule="auto" w:before="19"/>
        <w:ind w:right="982" w:firstLine="360"/>
        <w:jc w:val="left"/>
      </w:pP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9</w:t>
      </w:r>
      <w:r>
        <w:rPr>
          <w:spacing w:val="-2"/>
        </w:rPr>
        <w:t>日，莱芜市雪野湖旅游产业发展有限公司因不服山东省高级人民法院（</w:t>
      </w:r>
      <w:r>
        <w:rPr>
          <w:rFonts w:ascii="宋体" w:hAnsi="宋体" w:cs="宋体" w:eastAsia="宋体" w:hint="default"/>
          <w:spacing w:val="-2"/>
        </w:rPr>
        <w:t>2018</w:t>
      </w:r>
      <w:r>
        <w:rPr>
          <w:spacing w:val="-2"/>
        </w:rPr>
        <w:t>）鲁民初</w:t>
      </w:r>
      <w:r>
        <w:rPr>
          <w:rFonts w:ascii="宋体" w:hAnsi="宋体" w:cs="宋体" w:eastAsia="宋体" w:hint="default"/>
          <w:spacing w:val="-2"/>
        </w:rPr>
        <w:t>93</w:t>
      </w:r>
      <w:r>
        <w:rPr>
          <w:spacing w:val="-2"/>
        </w:rPr>
        <w:t>号驳回管辖权异议裁</w:t>
      </w:r>
      <w:r>
        <w:rPr/>
        <w:t> 定书向中华人民共和国最高人民法院提出上诉。</w:t>
      </w:r>
    </w:p>
    <w:p>
      <w:pPr>
        <w:pStyle w:val="BodyText"/>
        <w:spacing w:line="316" w:lineRule="auto" w:before="17"/>
        <w:ind w:right="1132" w:firstLine="360"/>
        <w:jc w:val="both"/>
      </w:pPr>
      <w:r>
        <w:rPr>
          <w:rFonts w:ascii="宋体" w:hAnsi="宋体" w:cs="宋体" w:eastAsia="宋体" w:hint="default"/>
          <w:spacing w:val="-6"/>
        </w:rPr>
        <w:t>2019</w:t>
      </w:r>
      <w:r>
        <w:rPr>
          <w:spacing w:val="-6"/>
        </w:rPr>
        <w:t>年</w:t>
      </w:r>
      <w:r>
        <w:rPr>
          <w:rFonts w:ascii="宋体" w:hAnsi="宋体" w:cs="宋体" w:eastAsia="宋体" w:hint="default"/>
          <w:spacing w:val="-6"/>
        </w:rPr>
        <w:t>1</w:t>
      </w:r>
      <w:r>
        <w:rPr>
          <w:spacing w:val="-6"/>
        </w:rPr>
        <w:t>月</w:t>
      </w:r>
      <w:r>
        <w:rPr>
          <w:rFonts w:ascii="宋体" w:hAnsi="宋体" w:cs="宋体" w:eastAsia="宋体" w:hint="default"/>
          <w:spacing w:val="-6"/>
        </w:rPr>
        <w:t>24</w:t>
      </w:r>
      <w:r>
        <w:rPr>
          <w:spacing w:val="-6"/>
        </w:rPr>
        <w:t>日，公司收到最高法发来的《民事裁定书》（（</w:t>
      </w:r>
      <w:r>
        <w:rPr>
          <w:rFonts w:ascii="宋体" w:hAnsi="宋体" w:cs="宋体" w:eastAsia="宋体" w:hint="default"/>
          <w:spacing w:val="-6"/>
        </w:rPr>
        <w:t>2018</w:t>
      </w:r>
      <w:r>
        <w:rPr>
          <w:spacing w:val="-6"/>
        </w:rPr>
        <w:t>）最高法民辖终</w:t>
      </w:r>
      <w:r>
        <w:rPr>
          <w:rFonts w:ascii="宋体" w:hAnsi="宋体" w:cs="宋体" w:eastAsia="宋体" w:hint="default"/>
          <w:spacing w:val="-6"/>
        </w:rPr>
        <w:t>401</w:t>
      </w:r>
      <w:r>
        <w:rPr>
          <w:spacing w:val="-6"/>
        </w:rPr>
        <w:t>号），最高法根据</w:t>
      </w:r>
      <w:r>
        <w:rPr>
          <w:rFonts w:ascii="宋体" w:hAnsi="宋体" w:cs="宋体" w:eastAsia="宋体" w:hint="default"/>
          <w:spacing w:val="-6"/>
        </w:rPr>
        <w:t>(</w:t>
      </w:r>
      <w:r>
        <w:rPr>
          <w:spacing w:val="-6"/>
        </w:rPr>
        <w:t>中华人民共和国民</w:t>
      </w:r>
      <w:r>
        <w:rPr/>
        <w:t> </w:t>
      </w:r>
      <w:r>
        <w:rPr>
          <w:spacing w:val="-2"/>
        </w:rPr>
        <w:t>事诉讼法》第一百七十条第一款第</w:t>
      </w: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项和第一百七十一条之规定，裁定驳回莱芜市雪野湖旅游产业发展有限公司上诉，维</w:t>
      </w:r>
      <w:r>
        <w:rPr>
          <w:spacing w:val="-64"/>
        </w:rPr>
        <w:t> </w:t>
      </w:r>
      <w:r>
        <w:rPr>
          <w:spacing w:val="-64"/>
        </w:rPr>
      </w:r>
      <w:r>
        <w:rPr/>
        <w:t>持原裁定。本裁定为终审裁定。</w:t>
      </w:r>
    </w:p>
    <w:p>
      <w:pPr>
        <w:pStyle w:val="BodyText"/>
        <w:spacing w:line="316" w:lineRule="auto" w:before="19"/>
        <w:ind w:right="1212" w:firstLine="360"/>
        <w:jc w:val="left"/>
      </w:pPr>
      <w:r>
        <w:rPr/>
        <w:t>上述具体内容公司已于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28</w:t>
      </w:r>
      <w:r>
        <w:rPr/>
        <w:t>日、</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20</w:t>
      </w:r>
      <w:r>
        <w:rPr/>
        <w:t>日、</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w:t>
      </w:r>
      <w:r>
        <w:rPr/>
        <w:t>日、</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20</w:t>
      </w:r>
      <w:r>
        <w:rPr/>
        <w:t>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18</w:t>
      </w:r>
      <w:r>
        <w:rPr/>
        <w:t>日、</w:t>
      </w:r>
      <w:r>
        <w:rPr>
          <w:rFonts w:ascii="宋体" w:hAnsi="宋体" w:cs="宋体" w:eastAsia="宋体" w:hint="default"/>
        </w:rPr>
        <w:t>2019</w:t>
      </w:r>
      <w:r>
        <w:rPr/>
        <w:t>年</w:t>
      </w:r>
      <w:r>
        <w:rPr>
          <w:rFonts w:ascii="宋体" w:hAnsi="宋体" w:cs="宋体" w:eastAsia="宋体" w:hint="default"/>
        </w:rPr>
        <w:t>1 </w:t>
      </w:r>
      <w:r>
        <w:rPr>
          <w:spacing w:val="-11"/>
        </w:rPr>
        <w:t>月</w:t>
      </w:r>
      <w:r>
        <w:rPr>
          <w:rFonts w:ascii="宋体" w:hAnsi="宋体" w:cs="宋体" w:eastAsia="宋体" w:hint="default"/>
          <w:spacing w:val="-11"/>
        </w:rPr>
        <w:t>24</w:t>
      </w:r>
      <w:r>
        <w:rPr>
          <w:spacing w:val="-11"/>
        </w:rPr>
        <w:t>日在公司指定的信息披露媒体《中国证券报》、《上海证券报》、《证券日报》、《证券时报》及巨潮资讯网</w:t>
      </w:r>
    </w:p>
    <w:p>
      <w:pPr>
        <w:pStyle w:val="BodyText"/>
        <w:spacing w:line="316" w:lineRule="auto" w:before="19"/>
        <w:ind w:right="1129"/>
        <w:jc w:val="both"/>
      </w:pPr>
      <w:r>
        <w:rPr/>
        <w:t>（</w:t>
      </w:r>
      <w:hyperlink r:id="rId13">
        <w:r>
          <w:rPr>
            <w:rFonts w:ascii="宋体" w:hAnsi="宋体" w:cs="宋体" w:eastAsia="宋体" w:hint="default"/>
          </w:rPr>
          <w:t>www.cninfo.com.cn</w:t>
        </w:r>
      </w:hyperlink>
      <w:r>
        <w:rPr/>
        <w:t>）进行披露，具体内容详见《关于重大诉讼的公告</w:t>
      </w:r>
      <w:r>
        <w:rPr>
          <w:spacing w:val="-90"/>
        </w:rPr>
        <w:t>》</w:t>
      </w:r>
      <w:r>
        <w:rPr/>
        <w:t>（公告编号：</w:t>
      </w:r>
      <w:r>
        <w:rPr>
          <w:rFonts w:ascii="宋体" w:hAnsi="宋体" w:cs="宋体" w:eastAsia="宋体" w:hint="default"/>
        </w:rPr>
        <w:t>2018-41</w:t>
      </w:r>
      <w:r>
        <w:rPr>
          <w:spacing w:val="-90"/>
        </w:rPr>
        <w:t>）、</w:t>
      </w:r>
      <w:r>
        <w:rPr/>
        <w:t>《关于重大诉讼进展的公</w:t>
      </w:r>
      <w:r>
        <w:rPr/>
        <w:t> 告</w:t>
      </w:r>
      <w:r>
        <w:rPr>
          <w:spacing w:val="-99"/>
        </w:rPr>
        <w:t>》</w:t>
      </w:r>
      <w:r>
        <w:rPr/>
        <w:t>（公告编号</w:t>
      </w:r>
      <w:r>
        <w:rPr>
          <w:spacing w:val="-8"/>
        </w:rPr>
        <w:t>：</w:t>
      </w:r>
      <w:r>
        <w:rPr>
          <w:rFonts w:ascii="宋体" w:hAnsi="宋体" w:cs="宋体" w:eastAsia="宋体" w:hint="default"/>
        </w:rPr>
        <w:t>2018-53</w:t>
      </w:r>
      <w:r>
        <w:rPr>
          <w:spacing w:val="-90"/>
        </w:rPr>
        <w:t>）</w:t>
      </w:r>
      <w:r>
        <w:rPr>
          <w:spacing w:val="-99"/>
        </w:rPr>
        <w:t>、</w:t>
      </w:r>
      <w:r>
        <w:rPr/>
        <w:t>《关</w:t>
      </w:r>
      <w:r>
        <w:rPr>
          <w:spacing w:val="-9"/>
        </w:rPr>
        <w:t>于</w:t>
      </w:r>
      <w:r>
        <w:rPr/>
        <w:t>（</w:t>
      </w:r>
      <w:r>
        <w:rPr>
          <w:rFonts w:ascii="宋体" w:hAnsi="宋体" w:cs="宋体" w:eastAsia="宋体" w:hint="default"/>
        </w:rPr>
        <w:t>2018</w:t>
      </w:r>
      <w:r>
        <w:rPr>
          <w:spacing w:val="-9"/>
        </w:rPr>
        <w:t>）</w:t>
      </w:r>
      <w:r>
        <w:rPr/>
        <w:t>鲁民初</w:t>
      </w:r>
      <w:r>
        <w:rPr>
          <w:rFonts w:ascii="宋体" w:hAnsi="宋体" w:cs="宋体" w:eastAsia="宋体" w:hint="default"/>
        </w:rPr>
        <w:t>93</w:t>
      </w:r>
      <w:r>
        <w:rPr/>
        <w:t>号诉讼案进展的公告</w:t>
      </w:r>
      <w:r>
        <w:rPr>
          <w:spacing w:val="-99"/>
        </w:rPr>
        <w:t>》</w:t>
      </w:r>
      <w:r>
        <w:rPr/>
        <w:t>（公告编号</w:t>
      </w:r>
      <w:r>
        <w:rPr>
          <w:spacing w:val="-9"/>
        </w:rPr>
        <w:t>：</w:t>
      </w:r>
      <w:r>
        <w:rPr>
          <w:rFonts w:ascii="宋体" w:hAnsi="宋体" w:cs="宋体" w:eastAsia="宋体" w:hint="default"/>
        </w:rPr>
        <w:t>2018-56</w:t>
      </w:r>
      <w:r>
        <w:rPr>
          <w:spacing w:val="-90"/>
        </w:rPr>
        <w:t>）</w:t>
      </w:r>
      <w:r>
        <w:rPr>
          <w:spacing w:val="-99"/>
        </w:rPr>
        <w:t>、</w:t>
      </w:r>
      <w:r>
        <w:rPr/>
        <w:t>《关</w:t>
      </w:r>
      <w:r>
        <w:rPr>
          <w:spacing w:val="-9"/>
        </w:rPr>
        <w:t>于</w:t>
      </w:r>
      <w:r>
        <w:rPr/>
        <w:t>（</w:t>
      </w:r>
      <w:r>
        <w:rPr>
          <w:rFonts w:ascii="宋体" w:hAnsi="宋体" w:cs="宋体" w:eastAsia="宋体" w:hint="default"/>
        </w:rPr>
        <w:t>2018</w:t>
      </w:r>
      <w:r>
        <w:rPr>
          <w:spacing w:val="-9"/>
        </w:rPr>
        <w:t>）</w:t>
      </w:r>
      <w:r>
        <w:rPr/>
        <w:t>鲁民初</w:t>
      </w:r>
      <w:r>
        <w:rPr>
          <w:rFonts w:ascii="宋体" w:hAnsi="宋体" w:cs="宋体" w:eastAsia="宋体" w:hint="default"/>
          <w:spacing w:val="1"/>
        </w:rPr>
        <w:t>93 </w:t>
      </w:r>
      <w:r>
        <w:rPr/>
        <w:t>号诉讼案进展的公告</w:t>
      </w:r>
      <w:r>
        <w:rPr>
          <w:spacing w:val="-104"/>
        </w:rPr>
        <w:t>》</w:t>
      </w:r>
      <w:r>
        <w:rPr/>
        <w:t>（公告编号</w:t>
      </w:r>
      <w:r>
        <w:rPr>
          <w:spacing w:val="-13"/>
        </w:rPr>
        <w:t>：</w:t>
      </w:r>
      <w:r>
        <w:rPr>
          <w:rFonts w:ascii="宋体" w:hAnsi="宋体" w:cs="宋体" w:eastAsia="宋体" w:hint="default"/>
        </w:rPr>
        <w:t>2018-74</w:t>
      </w:r>
      <w:r>
        <w:rPr>
          <w:spacing w:val="-90"/>
        </w:rPr>
        <w:t>）</w:t>
      </w:r>
      <w:r>
        <w:rPr>
          <w:spacing w:val="-104"/>
        </w:rPr>
        <w:t>，</w:t>
      </w:r>
      <w:r>
        <w:rPr/>
        <w:t>《关于全资子公司涉及重大诉讼及进展的公告</w:t>
      </w:r>
      <w:r>
        <w:rPr>
          <w:spacing w:val="-104"/>
        </w:rPr>
        <w:t>》</w:t>
      </w:r>
      <w:r>
        <w:rPr/>
        <w:t>（公告编号</w:t>
      </w:r>
      <w:r>
        <w:rPr>
          <w:spacing w:val="-13"/>
        </w:rPr>
        <w:t>：</w:t>
      </w:r>
      <w:r>
        <w:rPr>
          <w:rFonts w:ascii="宋体" w:hAnsi="宋体" w:cs="宋体" w:eastAsia="宋体" w:hint="default"/>
        </w:rPr>
        <w:t>2018-91</w:t>
      </w:r>
      <w:r>
        <w:rPr>
          <w:spacing w:val="-90"/>
        </w:rPr>
        <w:t>）</w:t>
      </w:r>
      <w:r>
        <w:rPr>
          <w:spacing w:val="-104"/>
        </w:rPr>
        <w:t>、</w:t>
      </w:r>
      <w:r>
        <w:rPr/>
        <w:t>《</w:t>
      </w:r>
      <w:r>
        <w:rPr>
          <w:spacing w:val="-2"/>
        </w:rPr>
        <w:t>关</w:t>
      </w:r>
      <w:r>
        <w:rPr/>
        <w:t>于</w:t>
      </w:r>
    </w:p>
    <w:p>
      <w:pPr>
        <w:pStyle w:val="BodyText"/>
        <w:spacing w:line="316" w:lineRule="auto" w:before="19"/>
        <w:ind w:left="474" w:right="6612" w:hanging="360"/>
        <w:jc w:val="left"/>
      </w:pPr>
      <w:r>
        <w:rPr/>
        <w:t>（</w:t>
      </w:r>
      <w:r>
        <w:rPr>
          <w:rFonts w:ascii="宋体" w:hAnsi="宋体" w:cs="宋体" w:eastAsia="宋体" w:hint="default"/>
        </w:rPr>
        <w:t>2018</w:t>
      </w:r>
      <w:r>
        <w:rPr/>
        <w:t>）鲁民初</w:t>
      </w:r>
      <w:r>
        <w:rPr>
          <w:rFonts w:ascii="宋体" w:hAnsi="宋体" w:cs="宋体" w:eastAsia="宋体" w:hint="default"/>
        </w:rPr>
        <w:t>93</w:t>
      </w:r>
      <w:r>
        <w:rPr/>
        <w:t>号诉讼案进展的公告</w:t>
      </w:r>
      <w:r>
        <w:rPr>
          <w:spacing w:val="-90"/>
        </w:rPr>
        <w:t>》</w:t>
      </w:r>
      <w:r>
        <w:rPr/>
        <w:t>（</w:t>
      </w:r>
      <w:r>
        <w:rPr>
          <w:rFonts w:ascii="宋体" w:hAnsi="宋体" w:cs="宋体" w:eastAsia="宋体" w:hint="default"/>
        </w:rPr>
        <w:t>2019-08</w:t>
      </w:r>
      <w:r>
        <w:rPr>
          <w:spacing w:val="-90"/>
        </w:rPr>
        <w:t>）。 </w:t>
      </w:r>
      <w:r>
        <w:rPr>
          <w:rFonts w:ascii="宋体" w:hAnsi="宋体" w:cs="宋体" w:eastAsia="宋体" w:hint="default"/>
        </w:rPr>
        <w:t>2</w:t>
      </w:r>
      <w:r>
        <w:rPr>
          <w:spacing w:val="-90"/>
        </w:rPr>
        <w:t>）</w:t>
      </w:r>
      <w:r>
        <w:rPr/>
        <w:t>（</w:t>
      </w:r>
      <w:r>
        <w:rPr>
          <w:rFonts w:ascii="宋体" w:hAnsi="宋体" w:cs="宋体" w:eastAsia="宋体" w:hint="default"/>
        </w:rPr>
        <w:t>2018</w:t>
      </w:r>
      <w:r>
        <w:rPr/>
        <w:t>）鲁民初</w:t>
      </w:r>
      <w:r>
        <w:rPr>
          <w:rFonts w:ascii="宋体" w:hAnsi="宋体" w:cs="宋体" w:eastAsia="宋体" w:hint="default"/>
        </w:rPr>
        <w:t>94</w:t>
      </w:r>
      <w:r>
        <w:rPr/>
        <w:t>号</w:t>
      </w:r>
    </w:p>
    <w:p>
      <w:pPr>
        <w:pStyle w:val="BodyText"/>
        <w:spacing w:line="316" w:lineRule="auto" w:before="19"/>
        <w:ind w:right="982" w:firstLine="360"/>
        <w:jc w:val="left"/>
      </w:pP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12</w:t>
      </w:r>
      <w:r>
        <w:rPr>
          <w:spacing w:val="-2"/>
        </w:rPr>
        <w:t>日对拖欠应付公司工程款项的山东省肥城市人民政府向山东省高级人民法院提起诉讼请求。于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rFonts w:ascii="宋体" w:hAnsi="宋体" w:cs="宋体" w:eastAsia="宋体" w:hint="default"/>
        </w:rPr>
        <w:t> </w:t>
      </w:r>
      <w:r>
        <w:rPr>
          <w:spacing w:val="-5"/>
        </w:rPr>
        <w:t>日收到案号为（</w:t>
      </w:r>
      <w:r>
        <w:rPr>
          <w:rFonts w:ascii="宋体" w:hAnsi="宋体" w:cs="宋体" w:eastAsia="宋体" w:hint="default"/>
          <w:spacing w:val="-5"/>
        </w:rPr>
        <w:t>2018</w:t>
      </w:r>
      <w:r>
        <w:rPr>
          <w:spacing w:val="-5"/>
        </w:rPr>
        <w:t>）鲁民初</w:t>
      </w:r>
      <w:r>
        <w:rPr>
          <w:rFonts w:ascii="宋体" w:hAnsi="宋体" w:cs="宋体" w:eastAsia="宋体" w:hint="default"/>
          <w:spacing w:val="-5"/>
        </w:rPr>
        <w:t>94</w:t>
      </w:r>
      <w:r>
        <w:rPr>
          <w:spacing w:val="-5"/>
        </w:rPr>
        <w:t>号的《受理案件通知书》。</w:t>
      </w:r>
      <w:r>
        <w:rPr>
          <w:rFonts w:ascii="宋体" w:hAnsi="宋体" w:cs="宋体" w:eastAsia="宋体" w:hint="default"/>
          <w:spacing w:val="-5"/>
        </w:rPr>
        <w:t>2018</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17</w:t>
      </w:r>
      <w:r>
        <w:rPr>
          <w:spacing w:val="-5"/>
        </w:rPr>
        <w:t>日，华宇园林与山东省肥城市人民政府达成债务和解，</w:t>
      </w:r>
      <w:r>
        <w:rPr>
          <w:spacing w:val="-45"/>
        </w:rPr>
        <w:t> </w:t>
      </w:r>
      <w:r>
        <w:rPr>
          <w:spacing w:val="-45"/>
        </w:rPr>
      </w:r>
      <w:r>
        <w:rPr/>
        <w:t>约定山东省肥城市人民政府于</w:t>
      </w:r>
      <w:r>
        <w:rPr>
          <w:rFonts w:ascii="宋体" w:hAnsi="宋体" w:cs="宋体" w:eastAsia="宋体" w:hint="default"/>
        </w:rPr>
        <w:t>2018</w:t>
      </w:r>
      <w:r>
        <w:rPr/>
        <w:t>年内支付</w:t>
      </w:r>
      <w:r>
        <w:rPr>
          <w:rFonts w:ascii="宋体" w:hAnsi="宋体" w:cs="宋体" w:eastAsia="宋体" w:hint="default"/>
        </w:rPr>
        <w:t>14,000</w:t>
      </w:r>
      <w:r>
        <w:rPr/>
        <w:t>万元工程款项；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30</w:t>
      </w:r>
      <w:r>
        <w:rPr/>
        <w:t>日期间支付剩余款项 </w:t>
      </w:r>
      <w:r>
        <w:rPr>
          <w:rFonts w:ascii="宋体" w:hAnsi="宋体" w:cs="宋体" w:eastAsia="宋体" w:hint="default"/>
          <w:spacing w:val="-2"/>
        </w:rPr>
        <w:t>9,138.71</w:t>
      </w:r>
      <w:r>
        <w:rPr>
          <w:spacing w:val="-2"/>
        </w:rPr>
        <w:t>万元；山东省肥城市人民政府支付第一笔工程款项</w:t>
      </w:r>
      <w:r>
        <w:rPr>
          <w:rFonts w:ascii="宋体" w:hAnsi="宋体" w:cs="宋体" w:eastAsia="宋体" w:hint="default"/>
          <w:spacing w:val="-2"/>
        </w:rPr>
        <w:t>4,000</w:t>
      </w:r>
      <w:r>
        <w:rPr>
          <w:spacing w:val="-2"/>
        </w:rPr>
        <w:t>万元后，华宇园林将向山东省高级人民法院递交撤诉申请。</w:t>
      </w:r>
    </w:p>
    <w:p>
      <w:pPr>
        <w:pStyle w:val="BodyText"/>
        <w:spacing w:line="240" w:lineRule="auto" w:before="19"/>
        <w:ind w:left="474" w:right="982"/>
        <w:jc w:val="left"/>
      </w:pP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18</w:t>
      </w:r>
      <w:r>
        <w:rPr/>
        <w:t>日，华宇园林已收到山东省肥城市人民政府支付的第一笔工程款项</w:t>
      </w:r>
      <w:r>
        <w:rPr>
          <w:rFonts w:ascii="宋体" w:hAnsi="宋体" w:cs="宋体" w:eastAsia="宋体" w:hint="default"/>
        </w:rPr>
        <w:t>4,000</w:t>
      </w:r>
      <w:r>
        <w:rPr/>
        <w:t>万元。</w:t>
      </w:r>
    </w:p>
    <w:p>
      <w:pPr>
        <w:pStyle w:val="BodyText"/>
        <w:spacing w:line="240" w:lineRule="auto" w:before="76"/>
        <w:ind w:left="474" w:right="982"/>
        <w:jc w:val="left"/>
      </w:pP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19</w:t>
      </w:r>
      <w:r>
        <w:rPr/>
        <w:t>日华宇园林向山东省高级人民法院递交了撤诉申请。</w:t>
      </w:r>
    </w:p>
    <w:p>
      <w:pPr>
        <w:pStyle w:val="BodyText"/>
        <w:spacing w:line="319" w:lineRule="auto" w:before="76"/>
        <w:ind w:right="982" w:firstLine="360"/>
        <w:jc w:val="left"/>
      </w:pPr>
      <w:r>
        <w:rPr>
          <w:rFonts w:ascii="宋体" w:hAnsi="宋体" w:cs="宋体" w:eastAsia="宋体" w:hint="default"/>
          <w:spacing w:val="-4"/>
        </w:rPr>
        <w:t>2018</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24</w:t>
      </w:r>
      <w:r>
        <w:rPr>
          <w:spacing w:val="-4"/>
        </w:rPr>
        <w:t>日收到山东省高级人民法院送达的案号为：（</w:t>
      </w:r>
      <w:r>
        <w:rPr>
          <w:rFonts w:ascii="宋体" w:hAnsi="宋体" w:cs="宋体" w:eastAsia="宋体" w:hint="default"/>
          <w:spacing w:val="-4"/>
        </w:rPr>
        <w:t>2018</w:t>
      </w:r>
      <w:r>
        <w:rPr>
          <w:spacing w:val="-4"/>
        </w:rPr>
        <w:t>）鲁民初</w:t>
      </w:r>
      <w:r>
        <w:rPr>
          <w:rFonts w:ascii="宋体" w:hAnsi="宋体" w:cs="宋体" w:eastAsia="宋体" w:hint="default"/>
          <w:spacing w:val="-4"/>
        </w:rPr>
        <w:t>94</w:t>
      </w:r>
      <w:r>
        <w:rPr>
          <w:spacing w:val="-4"/>
        </w:rPr>
        <w:t>号《民事裁定书》，山东省高级人民法院裁定</w:t>
      </w:r>
      <w:r>
        <w:rPr/>
        <w:t> 准许华宇园林撤诉。</w:t>
      </w:r>
    </w:p>
    <w:p>
      <w:pPr>
        <w:pStyle w:val="BodyText"/>
        <w:spacing w:line="316" w:lineRule="auto" w:before="17"/>
        <w:ind w:right="1212" w:firstLine="360"/>
        <w:jc w:val="left"/>
      </w:pPr>
      <w:r>
        <w:rPr/>
        <w:t>公司在</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28</w:t>
      </w:r>
      <w:r>
        <w:rPr/>
        <w:t>日、</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20</w:t>
      </w:r>
      <w:r>
        <w:rPr/>
        <w:t>日发布的公告中详细披露了及进展情况。具体内容详见</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28</w:t>
      </w:r>
      <w:r>
        <w:rPr/>
        <w:t>日、</w:t>
      </w:r>
      <w:r>
        <w:rPr>
          <w:rFonts w:ascii="宋体" w:hAnsi="宋体" w:cs="宋体" w:eastAsia="宋体" w:hint="default"/>
        </w:rPr>
        <w:t>2018</w:t>
      </w:r>
      <w:r>
        <w:rPr/>
        <w:t>年</w:t>
      </w:r>
      <w:r>
        <w:rPr>
          <w:rFonts w:ascii="宋体" w:hAnsi="宋体" w:cs="宋体" w:eastAsia="宋体" w:hint="default"/>
        </w:rPr>
        <w:t>7 </w:t>
      </w:r>
      <w:r>
        <w:rPr>
          <w:spacing w:val="-11"/>
        </w:rPr>
        <w:t>月</w:t>
      </w:r>
      <w:r>
        <w:rPr>
          <w:rFonts w:ascii="宋体" w:hAnsi="宋体" w:cs="宋体" w:eastAsia="宋体" w:hint="default"/>
          <w:spacing w:val="-11"/>
        </w:rPr>
        <w:t>20</w:t>
      </w:r>
      <w:r>
        <w:rPr>
          <w:spacing w:val="-11"/>
        </w:rPr>
        <w:t>日在公司指定的信息披露媒体《中国证券报》、《上海证券报》、《证券日报》、《证券时报》及巨潮资讯网</w:t>
      </w:r>
    </w:p>
    <w:p>
      <w:pPr>
        <w:pStyle w:val="BodyText"/>
        <w:spacing w:line="240" w:lineRule="auto" w:before="19"/>
        <w:ind w:right="982"/>
        <w:jc w:val="left"/>
      </w:pPr>
      <w:r>
        <w:rPr/>
        <w:t>（</w:t>
      </w:r>
      <w:hyperlink r:id="rId13">
        <w:r>
          <w:rPr>
            <w:rFonts w:ascii="宋体" w:hAnsi="宋体" w:cs="宋体" w:eastAsia="宋体" w:hint="default"/>
          </w:rPr>
          <w:t>www.cninfo.com.cn</w:t>
        </w:r>
      </w:hyperlink>
      <w:r>
        <w:rPr/>
        <w:t>）发布的《关于重大诉讼的公告</w:t>
      </w:r>
      <w:r>
        <w:rPr>
          <w:spacing w:val="-90"/>
        </w:rPr>
        <w:t>》</w:t>
      </w:r>
      <w:r>
        <w:rPr/>
        <w:t>（公告编号：</w:t>
      </w:r>
      <w:r>
        <w:rPr>
          <w:rFonts w:ascii="宋体" w:hAnsi="宋体" w:cs="宋体" w:eastAsia="宋体" w:hint="default"/>
        </w:rPr>
        <w:t>2018-41</w:t>
      </w:r>
      <w:r>
        <w:rPr>
          <w:spacing w:val="-90"/>
        </w:rPr>
        <w:t>）、</w:t>
      </w:r>
      <w:r>
        <w:rPr/>
        <w:t>《关于重大诉讼进展的公告</w:t>
      </w:r>
      <w:r>
        <w:rPr>
          <w:spacing w:val="-90"/>
        </w:rPr>
        <w:t>》</w:t>
      </w:r>
      <w:r>
        <w:rPr/>
        <w:t>（公告编号：</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82"/>
        <w:jc w:val="left"/>
      </w:pPr>
      <w:r>
        <w:rPr>
          <w:rFonts w:ascii="宋体" w:hAnsi="宋体" w:cs="宋体" w:eastAsia="宋体" w:hint="default"/>
        </w:rPr>
        <w:t>2018-53</w:t>
      </w:r>
      <w:r>
        <w:rPr>
          <w:spacing w:val="-90"/>
        </w:rPr>
        <w:t>）。</w:t>
      </w:r>
      <w:r>
        <w:rPr/>
      </w:r>
    </w:p>
    <w:p>
      <w:pPr>
        <w:pStyle w:val="BodyText"/>
        <w:spacing w:line="240" w:lineRule="auto" w:before="76"/>
        <w:ind w:left="474" w:right="982"/>
        <w:jc w:val="left"/>
      </w:pPr>
      <w:r>
        <w:rPr>
          <w:rFonts w:ascii="宋体" w:hAnsi="宋体" w:cs="宋体" w:eastAsia="宋体" w:hint="default"/>
        </w:rPr>
        <w:t>3</w:t>
      </w:r>
      <w:r>
        <w:rPr>
          <w:spacing w:val="-90"/>
        </w:rPr>
        <w:t>）</w:t>
      </w:r>
      <w:r>
        <w:rPr/>
        <w:t>（</w:t>
      </w:r>
      <w:r>
        <w:rPr>
          <w:rFonts w:ascii="宋体" w:hAnsi="宋体" w:cs="宋体" w:eastAsia="宋体" w:hint="default"/>
        </w:rPr>
        <w:t>2018</w:t>
      </w:r>
      <w:r>
        <w:rPr/>
        <w:t>）川</w:t>
      </w:r>
      <w:r>
        <w:rPr>
          <w:rFonts w:ascii="宋体" w:hAnsi="宋体" w:cs="宋体" w:eastAsia="宋体" w:hint="default"/>
        </w:rPr>
        <w:t>17</w:t>
      </w:r>
      <w:r>
        <w:rPr/>
        <w:t>民初</w:t>
      </w:r>
      <w:r>
        <w:rPr>
          <w:rFonts w:ascii="宋体" w:hAnsi="宋体" w:cs="宋体" w:eastAsia="宋体" w:hint="default"/>
        </w:rPr>
        <w:t>52</w:t>
      </w:r>
      <w:r>
        <w:rPr/>
        <w:t>号</w:t>
      </w:r>
    </w:p>
    <w:p>
      <w:pPr>
        <w:pStyle w:val="BodyText"/>
        <w:spacing w:line="319" w:lineRule="auto" w:before="76"/>
        <w:ind w:right="1139"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月，华宇园林、四川省渠县交通发展有限公司（以下简称“交通公司”）及攀枝花公路建设有限公司（以下简</w:t>
      </w:r>
      <w:r>
        <w:rPr/>
        <w:t> </w:t>
      </w:r>
      <w:r>
        <w:rPr>
          <w:spacing w:val="-5"/>
        </w:rPr>
        <w:t>称“攀路公司”）签订了《渠县至三汇快速通道工程二级公路部分二标段</w:t>
      </w:r>
      <w:r>
        <w:rPr>
          <w:rFonts w:ascii="宋体" w:hAnsi="宋体" w:cs="宋体" w:eastAsia="宋体" w:hint="default"/>
          <w:spacing w:val="-5"/>
        </w:rPr>
        <w:t>(</w:t>
      </w:r>
      <w:r>
        <w:rPr>
          <w:spacing w:val="-5"/>
        </w:rPr>
        <w:t>土溪至涌兴</w:t>
      </w:r>
      <w:r>
        <w:rPr>
          <w:rFonts w:ascii="宋体" w:hAnsi="宋体" w:cs="宋体" w:eastAsia="宋体" w:hint="default"/>
          <w:spacing w:val="-5"/>
        </w:rPr>
        <w:t>)</w:t>
      </w:r>
      <w:r>
        <w:rPr>
          <w:spacing w:val="-5"/>
        </w:rPr>
        <w:t>建设工程协议书》（以下简称“《工程</w:t>
      </w:r>
      <w:r>
        <w:rPr>
          <w:spacing w:val="-80"/>
        </w:rPr>
        <w:t> </w:t>
      </w:r>
      <w:r>
        <w:rPr>
          <w:spacing w:val="-80"/>
        </w:rPr>
      </w:r>
      <w:r>
        <w:rPr>
          <w:spacing w:val="-5"/>
        </w:rPr>
        <w:t>协议》”），约定华宇园林代攀路公司向交通公司支付垫付资金</w:t>
      </w:r>
      <w:r>
        <w:rPr>
          <w:rFonts w:ascii="宋体" w:hAnsi="宋体" w:cs="宋体" w:eastAsia="宋体" w:hint="default"/>
          <w:spacing w:val="-5"/>
        </w:rPr>
        <w:t>8000</w:t>
      </w:r>
      <w:r>
        <w:rPr>
          <w:spacing w:val="-5"/>
        </w:rPr>
        <w:t>万元，交通公司将在向攀路公司支付回购款前优先归还华</w:t>
      </w:r>
      <w:r>
        <w:rPr>
          <w:spacing w:val="-75"/>
        </w:rPr>
        <w:t> </w:t>
      </w:r>
      <w:r>
        <w:rPr/>
        <w:t>宇园林垫付资金。</w:t>
      </w:r>
    </w:p>
    <w:p>
      <w:pPr>
        <w:pStyle w:val="BodyText"/>
        <w:spacing w:line="316" w:lineRule="auto" w:before="17"/>
        <w:ind w:right="1139" w:firstLine="360"/>
        <w:jc w:val="both"/>
      </w:pPr>
      <w:r>
        <w:rPr/>
        <w:t>其后，华宇园林按约分别于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5</w:t>
      </w:r>
      <w:r>
        <w:rPr/>
        <w:t>日、</w:t>
      </w:r>
      <w:r>
        <w:rPr>
          <w:rFonts w:ascii="宋体" w:hAnsi="宋体" w:cs="宋体" w:eastAsia="宋体" w:hint="default"/>
        </w:rPr>
        <w:t>11</w:t>
      </w:r>
      <w:r>
        <w:rPr/>
        <w:t>月</w:t>
      </w:r>
      <w:r>
        <w:rPr>
          <w:rFonts w:ascii="宋体" w:hAnsi="宋体" w:cs="宋体" w:eastAsia="宋体" w:hint="default"/>
        </w:rPr>
        <w:t>6</w:t>
      </w:r>
      <w:r>
        <w:rPr/>
        <w:t>日、</w:t>
      </w:r>
      <w:r>
        <w:rPr>
          <w:rFonts w:ascii="宋体" w:hAnsi="宋体" w:cs="宋体" w:eastAsia="宋体" w:hint="default"/>
        </w:rPr>
        <w:t>11</w:t>
      </w:r>
      <w:r>
        <w:rPr/>
        <w:t>月</w:t>
      </w:r>
      <w:r>
        <w:rPr>
          <w:rFonts w:ascii="宋体" w:hAnsi="宋体" w:cs="宋体" w:eastAsia="宋体" w:hint="default"/>
        </w:rPr>
        <w:t>24</w:t>
      </w:r>
      <w:r>
        <w:rPr/>
        <w:t>日向交通公司履行了付款义务，但交通公司于</w:t>
      </w:r>
      <w:r>
        <w:rPr>
          <w:rFonts w:ascii="宋体" w:hAnsi="宋体" w:cs="宋体" w:eastAsia="宋体" w:hint="default"/>
        </w:rPr>
        <w:t>2016</w:t>
      </w:r>
      <w:r>
        <w:rPr/>
        <w:t>年</w:t>
      </w:r>
      <w:r>
        <w:rPr>
          <w:rFonts w:ascii="宋体" w:hAnsi="宋体" w:cs="宋体" w:eastAsia="宋体" w:hint="default"/>
        </w:rPr>
        <w:t>8</w:t>
      </w:r>
      <w:r>
        <w:rPr/>
        <w:t>月 </w:t>
      </w:r>
      <w:r>
        <w:rPr>
          <w:rFonts w:ascii="宋体" w:hAnsi="宋体" w:cs="宋体" w:eastAsia="宋体" w:hint="default"/>
        </w:rPr>
        <w:t>25</w:t>
      </w:r>
      <w:r>
        <w:rPr/>
        <w:t>日向攀枝花公路公司支付第一笔回购款</w:t>
      </w:r>
      <w:r>
        <w:rPr>
          <w:rFonts w:ascii="宋体" w:hAnsi="宋体" w:cs="宋体" w:eastAsia="宋体" w:hint="default"/>
        </w:rPr>
        <w:t>5200</w:t>
      </w:r>
      <w:r>
        <w:rPr/>
        <w:t>万元时，并未依约优先归还华宇园林垫付款。</w:t>
      </w:r>
    </w:p>
    <w:p>
      <w:pPr>
        <w:pStyle w:val="BodyText"/>
        <w:spacing w:line="316" w:lineRule="auto" w:before="19"/>
        <w:ind w:right="1132" w:firstLine="360"/>
        <w:jc w:val="both"/>
      </w:pPr>
      <w:r>
        <w:rPr>
          <w:spacing w:val="-2"/>
        </w:rPr>
        <w:t>因交通公司迟迟未依约向华宇园林归还垫付款，华宇园林向四川省达州市中级人民法院提起诉讼，请求交通公司按《工</w:t>
      </w:r>
      <w:r>
        <w:rPr/>
        <w:t> 程协议》约定偿还原告垫付资金</w:t>
      </w:r>
      <w:r>
        <w:rPr>
          <w:rFonts w:ascii="宋体" w:hAnsi="宋体" w:cs="宋体" w:eastAsia="宋体" w:hint="default"/>
        </w:rPr>
        <w:t>7000</w:t>
      </w:r>
      <w:r>
        <w:rPr/>
        <w:t>万元本金（交通公司经原告催要于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11</w:t>
      </w:r>
      <w:r>
        <w:rPr/>
        <w:t>日偿还</w:t>
      </w:r>
      <w:r>
        <w:rPr>
          <w:rFonts w:ascii="宋体" w:hAnsi="宋体" w:cs="宋体" w:eastAsia="宋体" w:hint="default"/>
        </w:rPr>
        <w:t>1000</w:t>
      </w:r>
      <w:r>
        <w:rPr/>
        <w:t>万元，剩余</w:t>
      </w:r>
      <w:r>
        <w:rPr>
          <w:rFonts w:ascii="宋体" w:hAnsi="宋体" w:cs="宋体" w:eastAsia="宋体" w:hint="default"/>
        </w:rPr>
        <w:t>7000</w:t>
      </w:r>
      <w:r>
        <w:rPr/>
        <w:t>万元）及相 关利息，并请求渠县国有资产监督管理办公室承担连带清偿责任。</w:t>
      </w:r>
    </w:p>
    <w:p>
      <w:pPr>
        <w:pStyle w:val="BodyText"/>
        <w:spacing w:line="316" w:lineRule="auto" w:before="19"/>
        <w:ind w:right="1132" w:firstLine="360"/>
        <w:jc w:val="both"/>
      </w:pPr>
      <w:r>
        <w:rPr>
          <w:rFonts w:ascii="宋体" w:hAnsi="宋体" w:cs="宋体" w:eastAsia="宋体" w:hint="default"/>
        </w:rPr>
        <w:t>2019</w:t>
      </w:r>
      <w:r>
        <w:rPr/>
        <w:t>年</w:t>
      </w:r>
      <w:r>
        <w:rPr>
          <w:rFonts w:ascii="宋体" w:hAnsi="宋体" w:cs="宋体" w:eastAsia="宋体" w:hint="default"/>
        </w:rPr>
        <w:t>4</w:t>
      </w:r>
      <w:r>
        <w:rPr/>
        <w:t>月，达州中级人民法院认为案涉项目虽然已竣工交付使用，但未进行审计结算。现既未竣工验收结算审计又无 </w:t>
      </w:r>
      <w:r>
        <w:rPr>
          <w:spacing w:val="-2"/>
        </w:rPr>
        <w:t>第三人攀枝花公路公司委托，不符合协议约定的被告渠县交通公司向原告华宇园林先行直接支付的条件，因此驳回华宇园林</w:t>
      </w:r>
      <w:r>
        <w:rPr>
          <w:spacing w:val="-64"/>
        </w:rPr>
        <w:t> </w:t>
      </w:r>
      <w:r>
        <w:rPr>
          <w:spacing w:val="-64"/>
        </w:rPr>
      </w:r>
      <w:r>
        <w:rPr/>
        <w:t>的起诉。</w:t>
      </w:r>
    </w:p>
    <w:p>
      <w:pPr>
        <w:pStyle w:val="BodyText"/>
        <w:spacing w:line="316" w:lineRule="auto" w:before="19"/>
        <w:ind w:right="1041" w:firstLine="360"/>
        <w:jc w:val="both"/>
      </w:pPr>
      <w:r>
        <w:rPr/>
        <w:t>具体内容公司已于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18</w:t>
      </w:r>
      <w:r>
        <w:rPr/>
        <w:t>日在公司指定的信息披露媒</w:t>
      </w:r>
      <w:r>
        <w:rPr>
          <w:spacing w:val="-21"/>
        </w:rPr>
        <w:t>体</w:t>
      </w:r>
      <w:r>
        <w:rPr/>
        <w:t>《中国证券报</w:t>
      </w:r>
      <w:r>
        <w:rPr>
          <w:spacing w:val="-90"/>
        </w:rPr>
        <w:t>》</w:t>
      </w:r>
      <w:r>
        <w:rPr>
          <w:spacing w:val="-111"/>
        </w:rPr>
        <w:t>、</w:t>
      </w:r>
      <w:r>
        <w:rPr/>
        <w:t>《上海证券报</w:t>
      </w:r>
      <w:r>
        <w:rPr>
          <w:spacing w:val="-90"/>
        </w:rPr>
        <w:t>》</w:t>
      </w:r>
      <w:r>
        <w:rPr>
          <w:spacing w:val="-111"/>
        </w:rPr>
        <w:t>、</w:t>
      </w:r>
      <w:r>
        <w:rPr/>
        <w:t>《证券日报</w:t>
      </w:r>
      <w:r>
        <w:rPr>
          <w:spacing w:val="-90"/>
        </w:rPr>
        <w:t>》</w:t>
      </w:r>
      <w:r>
        <w:rPr>
          <w:spacing w:val="-111"/>
        </w:rPr>
        <w:t>、</w:t>
      </w:r>
      <w:r>
        <w:rPr/>
        <w:t>《证券时报》</w:t>
      </w:r>
      <w:r>
        <w:rPr/>
        <w:t> 及巨潮资讯网（</w:t>
      </w:r>
      <w:hyperlink r:id="rId13">
        <w:r>
          <w:rPr>
            <w:rFonts w:ascii="宋体" w:hAnsi="宋体" w:cs="宋体" w:eastAsia="宋体" w:hint="default"/>
          </w:rPr>
          <w:t>www.cninfo.com.cn</w:t>
        </w:r>
      </w:hyperlink>
      <w:r>
        <w:rPr/>
        <w:t>）进行披露，具体内容详见《关于全资子公司涉及重大诉讼及进展的公告</w:t>
      </w:r>
      <w:r>
        <w:rPr>
          <w:spacing w:val="-90"/>
        </w:rPr>
        <w:t>》</w:t>
      </w:r>
      <w:r>
        <w:rPr/>
        <w:t>（公告编号：</w:t>
      </w:r>
      <w:r>
        <w:rPr/>
        <w:t> </w:t>
      </w:r>
      <w:r>
        <w:rPr>
          <w:rFonts w:ascii="宋体" w:hAnsi="宋体" w:cs="宋体" w:eastAsia="宋体" w:hint="default"/>
        </w:rPr>
        <w:t>2018-91</w:t>
      </w:r>
      <w:r>
        <w:rPr>
          <w:spacing w:val="-90"/>
        </w:rPr>
        <w:t>）。</w:t>
      </w:r>
      <w:r>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982"/>
        <w:jc w:val="left"/>
        <w:rPr>
          <w:b w:val="0"/>
          <w:bCs w:val="0"/>
        </w:rPr>
      </w:pPr>
      <w:bookmarkStart w:name="十三、公司债券是否存在保证人" w:id="170"/>
      <w:bookmarkEnd w:id="170"/>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512"/>
        <w:jc w:val="left"/>
      </w:pPr>
      <w:r>
        <w:rPr/>
        <w:t>√ 是 □ 否 公司债券的保证人是否为法人或其他组织</w:t>
      </w:r>
    </w:p>
    <w:p>
      <w:pPr>
        <w:pStyle w:val="BodyText"/>
        <w:spacing w:line="240" w:lineRule="auto" w:before="29"/>
        <w:ind w:right="982"/>
        <w:jc w:val="left"/>
      </w:pPr>
      <w:r>
        <w:rPr/>
        <w:t>√ 是 □ 否</w:t>
      </w:r>
    </w:p>
    <w:p>
      <w:pPr>
        <w:pStyle w:val="BodyText"/>
        <w:spacing w:line="302" w:lineRule="auto" w:before="115"/>
        <w:ind w:right="1121"/>
        <w:jc w:val="left"/>
      </w:pPr>
      <w:r>
        <w:rPr/>
        <w:t>是否在每个会计年度结束之日起</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spacing w:val="-3"/>
        </w:rPr>
        <w:t>个月内单独披露保证人报告期财务报表，包括资产负债表、利润表、现金流量表、所有者</w:t>
      </w:r>
      <w:r>
        <w:rPr>
          <w:spacing w:val="-87"/>
        </w:rPr>
        <w:t> </w:t>
      </w:r>
      <w:r>
        <w:rPr>
          <w:spacing w:val="-87"/>
        </w:rPr>
      </w:r>
      <w:r>
        <w:rPr/>
        <w:t>权益（股东权益）变动表和财务报表附注</w:t>
      </w:r>
    </w:p>
    <w:p>
      <w:pPr>
        <w:pStyle w:val="BodyText"/>
        <w:spacing w:line="240" w:lineRule="auto" w:before="69"/>
        <w:ind w:right="982"/>
        <w:jc w:val="left"/>
      </w:pPr>
      <w:r>
        <w:rPr/>
        <w:t>√ 是 □ 否</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568" w:right="982"/>
        <w:jc w:val="left"/>
        <w:rPr>
          <w:b w:val="0"/>
          <w:bCs w:val="0"/>
        </w:rPr>
      </w:pPr>
      <w:bookmarkStart w:name="第十一节 财务报告" w:id="171"/>
      <w:bookmarkEnd w:id="171"/>
      <w:r>
        <w:rPr>
          <w:b w:val="0"/>
          <w:bCs w:val="0"/>
        </w:rPr>
      </w:r>
      <w:bookmarkStart w:name="_bookmark10" w:id="172"/>
      <w:bookmarkEnd w:id="17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2"/>
        <w:jc w:val="left"/>
        <w:rPr>
          <w:b w:val="0"/>
          <w:bCs w:val="0"/>
        </w:rPr>
      </w:pPr>
      <w:bookmarkStart w:name="一、审计报告" w:id="173"/>
      <w:bookmarkEnd w:id="17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000465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王丽敏、王建英</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4394" w:right="982"/>
        <w:jc w:val="left"/>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BodyText"/>
        <w:spacing w:line="316" w:lineRule="auto"/>
        <w:ind w:left="474" w:right="8052" w:hanging="360"/>
        <w:jc w:val="left"/>
      </w:pPr>
      <w:r>
        <w:rPr/>
        <w:t>山东丽鹏股份有限公司全体股东： 一、审计意见</w:t>
      </w:r>
    </w:p>
    <w:p>
      <w:pPr>
        <w:pStyle w:val="BodyText"/>
        <w:spacing w:line="240" w:lineRule="auto" w:before="19"/>
        <w:ind w:left="474" w:right="982"/>
        <w:jc w:val="left"/>
      </w:pPr>
      <w:r>
        <w:rPr>
          <w:spacing w:val="-3"/>
        </w:rPr>
        <w:t>我们审计了山东丽鹏股份有限公司（以下简称丽鹏公司）财务报表，包括</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日的合并及公司资产负债表，</w:t>
      </w:r>
    </w:p>
    <w:p>
      <w:pPr>
        <w:pStyle w:val="BodyText"/>
        <w:spacing w:line="240" w:lineRule="auto" w:before="63"/>
        <w:ind w:right="98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年度的合并及公司利润表、合并及公司现金流量表、合并及公司股东权益变动表以及相关财务报表附注。</w:t>
      </w:r>
    </w:p>
    <w:p>
      <w:pPr>
        <w:pStyle w:val="BodyText"/>
        <w:spacing w:line="240" w:lineRule="auto" w:before="63"/>
        <w:ind w:left="474" w:right="982"/>
        <w:jc w:val="left"/>
      </w:pPr>
      <w:r>
        <w:rPr/>
        <w:t>我们认为，后附的财务报表在所有重大方面按照企业会计准则的规定编制，公允反映了丽鹏公司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w:t>
      </w:r>
    </w:p>
    <w:p>
      <w:pPr>
        <w:pStyle w:val="BodyText"/>
        <w:spacing w:line="300" w:lineRule="auto" w:before="63"/>
        <w:ind w:left="474" w:right="4184" w:hanging="360"/>
        <w:jc w:val="left"/>
      </w:pPr>
      <w:r>
        <w:rPr/>
        <w:t>合并及公司财务状况以及</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年度的合并及公司经营成果和合并及公司现金流量。 二、形成审计意见的基础</w:t>
      </w:r>
    </w:p>
    <w:p>
      <w:pPr>
        <w:pStyle w:val="BodyText"/>
        <w:spacing w:line="316" w:lineRule="auto" w:before="31"/>
        <w:ind w:right="1132"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步阐述了我们在这些准则下的责任。按照中国注册会计师职业道德守则，我们独立于丽鹏公司，并履行了职业道德方面的其</w:t>
      </w:r>
      <w:r>
        <w:rPr>
          <w:spacing w:val="-66"/>
        </w:rPr>
        <w:t> </w:t>
      </w:r>
      <w:r>
        <w:rPr>
          <w:spacing w:val="-66"/>
        </w:rPr>
      </w:r>
      <w:r>
        <w:rPr/>
        <w:t>他责任。我们相信，我们获取的审计证据是充分、适当的，为发表审计意见提供了基础。</w:t>
      </w:r>
    </w:p>
    <w:p>
      <w:pPr>
        <w:pStyle w:val="BodyText"/>
        <w:spacing w:line="316" w:lineRule="auto" w:before="19"/>
        <w:ind w:left="474" w:right="982"/>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9"/>
        <w:ind w:right="982"/>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BodyText"/>
        <w:spacing w:line="240" w:lineRule="auto" w:before="76"/>
        <w:ind w:left="474" w:right="982"/>
        <w:jc w:val="left"/>
      </w:pPr>
      <w:r>
        <w:rPr/>
        <w:t>（一）建造合同收入及成本确认</w:t>
      </w:r>
    </w:p>
    <w:p>
      <w:pPr>
        <w:pStyle w:val="BodyText"/>
        <w:spacing w:line="240" w:lineRule="auto" w:before="76"/>
        <w:ind w:left="474" w:right="982"/>
        <w:jc w:val="left"/>
      </w:pPr>
      <w:r>
        <w:rPr>
          <w:rFonts w:ascii="Times New Roman" w:hAnsi="Times New Roman" w:cs="Times New Roman" w:eastAsia="Times New Roman" w:hint="default"/>
        </w:rPr>
        <w:t>1</w:t>
      </w:r>
      <w:r>
        <w:rPr/>
        <w:t>、事项描述</w:t>
      </w:r>
    </w:p>
    <w:p>
      <w:pPr>
        <w:pStyle w:val="BodyText"/>
        <w:spacing w:line="300" w:lineRule="auto" w:before="63"/>
        <w:ind w:right="1118"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年度丽鹏公司营业收入为</w:t>
      </w:r>
      <w:r>
        <w:rPr>
          <w:spacing w:val="-47"/>
        </w:rPr>
        <w:t> </w:t>
      </w:r>
      <w:r>
        <w:rPr>
          <w:rFonts w:ascii="Times New Roman" w:hAnsi="Times New Roman" w:cs="Times New Roman" w:eastAsia="Times New Roman" w:hint="default"/>
        </w:rPr>
        <w:t>1,247,889,350.41</w:t>
      </w:r>
      <w:r>
        <w:rPr>
          <w:rFonts w:ascii="Times New Roman" w:hAnsi="Times New Roman" w:cs="Times New Roman" w:eastAsia="Times New Roman" w:hint="default"/>
          <w:spacing w:val="-1"/>
        </w:rPr>
        <w:t> </w:t>
      </w:r>
      <w:r>
        <w:rPr/>
        <w:t>元，其中采用建造合同完工百分比法确认的收入为</w:t>
      </w:r>
      <w:r>
        <w:rPr>
          <w:spacing w:val="-47"/>
        </w:rPr>
        <w:t> </w:t>
      </w:r>
      <w:r>
        <w:rPr>
          <w:rFonts w:ascii="Times New Roman" w:hAnsi="Times New Roman" w:cs="Times New Roman" w:eastAsia="Times New Roman" w:hint="default"/>
        </w:rPr>
        <w:t>593,175,755.89</w:t>
      </w:r>
      <w:r>
        <w:rPr>
          <w:rFonts w:ascii="Times New Roman" w:hAnsi="Times New Roman" w:cs="Times New Roman" w:eastAsia="Times New Roman" w:hint="default"/>
          <w:spacing w:val="-1"/>
        </w:rPr>
        <w:t> </w:t>
      </w:r>
      <w:r>
        <w:rPr/>
        <w:t>元， 占营业收入总额的</w:t>
      </w:r>
      <w:r>
        <w:rPr>
          <w:spacing w:val="-64"/>
        </w:rPr>
        <w:t> </w:t>
      </w:r>
      <w:r>
        <w:rPr>
          <w:rFonts w:ascii="Times New Roman" w:hAnsi="Times New Roman" w:cs="Times New Roman" w:eastAsia="Times New Roman" w:hint="default"/>
        </w:rPr>
        <w:t>47.53%</w:t>
      </w:r>
      <w:r>
        <w:rPr/>
        <w:t>，工程收入占营业收入的比例较大，丽鹏公司的园林景观等工程项目按照《企业会计准则第</w:t>
      </w:r>
      <w:r>
        <w:rPr>
          <w:spacing w:val="-63"/>
        </w:rPr>
        <w:t> </w:t>
      </w:r>
      <w:r>
        <w:rPr>
          <w:rFonts w:ascii="Times New Roman" w:hAnsi="Times New Roman" w:cs="Times New Roman" w:eastAsia="Times New Roman" w:hint="default"/>
        </w:rPr>
        <w:t>15</w:t>
      </w:r>
      <w:r>
        <w:rPr>
          <w:rFonts w:ascii="Times New Roman" w:hAnsi="Times New Roman" w:cs="Times New Roman" w:eastAsia="Times New Roman" w:hint="default"/>
          <w:spacing w:val="-19"/>
        </w:rPr>
        <w:t> </w:t>
      </w:r>
      <w:r>
        <w:rPr/>
        <w:t>号</w:t>
      </w:r>
    </w:p>
    <w:p>
      <w:pPr>
        <w:pStyle w:val="BodyText"/>
        <w:spacing w:line="300" w:lineRule="auto" w:before="13"/>
        <w:ind w:right="1027"/>
        <w:jc w:val="left"/>
      </w:pPr>
      <w:r>
        <w:rPr>
          <w:rFonts w:ascii="Times New Roman" w:hAnsi="Times New Roman" w:cs="Times New Roman" w:eastAsia="Times New Roman" w:hint="default"/>
          <w:spacing w:val="-1"/>
        </w:rPr>
        <w:t>-</w:t>
      </w:r>
      <w:r>
        <w:rPr>
          <w:spacing w:val="-1"/>
        </w:rPr>
        <w:t>建造合同》规定，按完工百分比法确认合同收入和成本。建造合同完工百分比法的确定涉及管理层重要的判断和会计估计，</w:t>
      </w:r>
      <w:r>
        <w:rPr>
          <w:w w:val="99"/>
        </w:rPr>
        <w:t> </w:t>
      </w:r>
      <w:r>
        <w:rPr/>
        <w:t>包含工程服务范围、合同预计总收入、合同预计总成本等。因此我们将建造合同收入和成本确认确定为关键审计事项。</w:t>
      </w:r>
    </w:p>
    <w:p>
      <w:pPr>
        <w:pStyle w:val="BodyText"/>
        <w:spacing w:line="240" w:lineRule="auto" w:before="31"/>
        <w:ind w:left="474" w:right="982"/>
        <w:jc w:val="left"/>
      </w:pPr>
      <w:r>
        <w:rPr/>
        <w:t>关于建造合同工程收入确认的会计政策见附注三</w:t>
      </w:r>
      <w:r>
        <w:rPr>
          <w:spacing w:val="-90"/>
        </w:rPr>
        <w:t>、</w:t>
      </w:r>
      <w:r>
        <w:rPr/>
        <w:t>（二十七</w:t>
      </w:r>
      <w:r>
        <w:rPr>
          <w:spacing w:val="-90"/>
        </w:rPr>
        <w:t>）</w:t>
      </w:r>
      <w:r>
        <w:rPr/>
        <w:t>；关于收入及成本类别的披露见附注五</w:t>
      </w:r>
      <w:r>
        <w:rPr>
          <w:spacing w:val="1"/>
        </w:rPr>
        <w:t>、</w:t>
      </w:r>
      <w:r>
        <w:rPr>
          <w:rFonts w:ascii="Times New Roman" w:hAnsi="Times New Roman" w:cs="Times New Roman" w:eastAsia="Times New Roman" w:hint="default"/>
        </w:rPr>
        <w:t>36</w:t>
      </w:r>
      <w:r>
        <w:rPr/>
        <w:t>；</w:t>
      </w:r>
    </w:p>
    <w:p>
      <w:pPr>
        <w:pStyle w:val="BodyText"/>
        <w:spacing w:line="240" w:lineRule="auto" w:before="63"/>
        <w:ind w:left="474" w:right="982"/>
        <w:jc w:val="left"/>
      </w:pPr>
      <w:r>
        <w:rPr>
          <w:rFonts w:ascii="Times New Roman" w:hAnsi="Times New Roman" w:cs="Times New Roman" w:eastAsia="Times New Roman" w:hint="default"/>
        </w:rPr>
        <w:t>2</w:t>
      </w:r>
      <w:r>
        <w:rPr/>
        <w:t>、审计应对</w:t>
      </w:r>
    </w:p>
    <w:p>
      <w:pPr>
        <w:pStyle w:val="BodyText"/>
        <w:spacing w:line="240" w:lineRule="auto" w:before="63"/>
        <w:ind w:left="474" w:right="982"/>
        <w:jc w:val="left"/>
      </w:pPr>
      <w:r>
        <w:rPr/>
        <w:t>（</w:t>
      </w:r>
      <w:r>
        <w:rPr>
          <w:rFonts w:ascii="Times New Roman" w:hAnsi="Times New Roman" w:cs="Times New Roman" w:eastAsia="Times New Roman" w:hint="default"/>
        </w:rPr>
        <w:t>1</w:t>
      </w:r>
      <w:r>
        <w:rPr/>
        <w:t>）了解、评估并测试了与建造合同收入及成本确认相关的内部控制；</w:t>
      </w:r>
    </w:p>
    <w:p>
      <w:pPr>
        <w:pStyle w:val="BodyText"/>
        <w:spacing w:line="240" w:lineRule="auto" w:before="63"/>
        <w:ind w:left="474" w:right="982"/>
        <w:jc w:val="left"/>
      </w:pPr>
      <w:r>
        <w:rPr/>
        <w:t>（</w:t>
      </w:r>
      <w:r>
        <w:rPr>
          <w:rFonts w:ascii="Times New Roman" w:hAnsi="Times New Roman" w:cs="Times New Roman" w:eastAsia="Times New Roman" w:hint="default"/>
        </w:rPr>
        <w:t>2</w:t>
      </w:r>
      <w:r>
        <w:rPr/>
        <w:t>）检查建造合同收入确认的会计政策，检查重大建造工程合同及关键合同条款；</w:t>
      </w:r>
    </w:p>
    <w:p>
      <w:pPr>
        <w:pStyle w:val="BodyText"/>
        <w:spacing w:line="300" w:lineRule="auto" w:before="63"/>
        <w:ind w:right="1122" w:firstLine="360"/>
        <w:jc w:val="left"/>
      </w:pPr>
      <w:r>
        <w:rPr/>
        <w:t>（</w:t>
      </w:r>
      <w:r>
        <w:rPr>
          <w:rFonts w:ascii="Times New Roman" w:hAnsi="Times New Roman" w:cs="Times New Roman" w:eastAsia="Times New Roman" w:hint="default"/>
        </w:rPr>
        <w:t>3</w:t>
      </w:r>
      <w:r>
        <w:rPr/>
        <w:t>）选取建造合同样本，检查管理层预计总收入和预计总成本所依据的建造合同和成本预算资料，评估管理层所作估 计的合理性及依据的充分性；</w:t>
      </w:r>
    </w:p>
    <w:p>
      <w:pPr>
        <w:spacing w:after="0" w:line="30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right="1122" w:firstLine="360"/>
        <w:jc w:val="left"/>
      </w:pPr>
      <w:r>
        <w:rPr/>
        <w:t>（</w:t>
      </w:r>
      <w:r>
        <w:rPr>
          <w:rFonts w:ascii="Times New Roman" w:hAnsi="Times New Roman" w:cs="Times New Roman" w:eastAsia="Times New Roman" w:hint="default"/>
        </w:rPr>
        <w:t>4</w:t>
      </w:r>
      <w:r>
        <w:rPr/>
        <w:t>）选取建造合同样本，检查实际发生工程成本的合同、发票、原料收发单等支持性文件，以评估实际成本归集的相 关认定；</w:t>
      </w:r>
    </w:p>
    <w:p>
      <w:pPr>
        <w:pStyle w:val="BodyText"/>
        <w:spacing w:line="240" w:lineRule="auto" w:before="31"/>
        <w:ind w:left="474" w:right="982"/>
        <w:jc w:val="left"/>
      </w:pPr>
      <w:r>
        <w:rPr/>
        <w:t>（</w:t>
      </w:r>
      <w:r>
        <w:rPr>
          <w:rFonts w:ascii="Times New Roman" w:hAnsi="Times New Roman" w:cs="Times New Roman" w:eastAsia="Times New Roman" w:hint="default"/>
        </w:rPr>
        <w:t>5</w:t>
      </w:r>
      <w:r>
        <w:rPr/>
        <w:t>）选取建造合同样本，复核完工百分比计算表，评估建造合同收入及成本确认的准确性。</w:t>
      </w:r>
    </w:p>
    <w:p>
      <w:pPr>
        <w:pStyle w:val="BodyText"/>
        <w:spacing w:line="240" w:lineRule="auto" w:before="63"/>
        <w:ind w:left="474" w:right="982"/>
        <w:jc w:val="left"/>
      </w:pPr>
      <w:r>
        <w:rPr/>
        <w:t>（二）商誉的减值</w:t>
      </w:r>
    </w:p>
    <w:p>
      <w:pPr>
        <w:pStyle w:val="BodyText"/>
        <w:spacing w:line="240" w:lineRule="auto" w:before="77"/>
        <w:ind w:left="474" w:right="982"/>
        <w:jc w:val="left"/>
      </w:pPr>
      <w:r>
        <w:rPr>
          <w:rFonts w:ascii="Times New Roman" w:hAnsi="Times New Roman" w:cs="Times New Roman" w:eastAsia="Times New Roman" w:hint="default"/>
        </w:rPr>
        <w:t>1</w:t>
      </w:r>
      <w:r>
        <w:rPr/>
        <w:t>、事项描述</w:t>
      </w:r>
    </w:p>
    <w:p>
      <w:pPr>
        <w:pStyle w:val="BodyText"/>
        <w:spacing w:line="312" w:lineRule="auto" w:before="63"/>
        <w:ind w:right="1131" w:firstLine="360"/>
        <w:jc w:val="both"/>
      </w:pPr>
      <w:r>
        <w:rPr/>
        <w:t>如财务报表附注五、</w:t>
      </w:r>
      <w:r>
        <w:rPr>
          <w:rFonts w:ascii="Times New Roman" w:hAnsi="Times New Roman" w:cs="Times New Roman" w:eastAsia="Times New Roman" w:hint="default"/>
        </w:rPr>
        <w:t>15</w:t>
      </w:r>
      <w:r>
        <w:rPr>
          <w:rFonts w:ascii="Times New Roman" w:hAnsi="Times New Roman" w:cs="Times New Roman" w:eastAsia="Times New Roman" w:hint="default"/>
          <w:spacing w:val="38"/>
        </w:rPr>
        <w:t> </w:t>
      </w:r>
      <w:r>
        <w:rPr/>
        <w:t>所述，截至</w:t>
      </w:r>
      <w:r>
        <w:rPr>
          <w:spacing w:val="-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日，丽鹏公司商誉账面余额</w:t>
      </w:r>
      <w:r>
        <w:rPr>
          <w:spacing w:val="-50"/>
        </w:rPr>
        <w:t> </w:t>
      </w:r>
      <w:r>
        <w:rPr>
          <w:rFonts w:ascii="Times New Roman" w:hAnsi="Times New Roman" w:cs="Times New Roman" w:eastAsia="Times New Roman" w:hint="default"/>
        </w:rPr>
        <w:t>29,627.86</w:t>
      </w:r>
      <w:r>
        <w:rPr>
          <w:rFonts w:ascii="Times New Roman" w:hAnsi="Times New Roman" w:cs="Times New Roman" w:eastAsia="Times New Roman" w:hint="default"/>
          <w:spacing w:val="-4"/>
        </w:rPr>
        <w:t> </w:t>
      </w:r>
      <w:r>
        <w:rPr/>
        <w:t>万元，为丽鹏公司合并资产 </w:t>
      </w:r>
      <w:r>
        <w:rPr>
          <w:spacing w:val="-2"/>
        </w:rPr>
        <w:t>负债表重要组成项目。企业合并所形成的商誉是母公司根据其在子公司所拥有的权益而确认的商誉，丽鹏公司至少在每年年</w:t>
      </w:r>
      <w:r>
        <w:rPr>
          <w:spacing w:val="-64"/>
        </w:rPr>
        <w:t> </w:t>
      </w:r>
      <w:r>
        <w:rPr>
          <w:spacing w:val="-64"/>
        </w:rPr>
      </w:r>
      <w:r>
        <w:rPr>
          <w:spacing w:val="-2"/>
        </w:rPr>
        <w:t>度终了对商誉进行减值测试，管理层根据包含分摊的商誉的资产组或资产组组合的可收回金额低于其账面价值的部分，确认</w:t>
      </w:r>
      <w:r>
        <w:rPr>
          <w:spacing w:val="-64"/>
        </w:rPr>
        <w:t> </w:t>
      </w:r>
      <w:r>
        <w:rPr>
          <w:spacing w:val="-64"/>
        </w:rPr>
      </w:r>
      <w:r>
        <w:rPr/>
        <w:t>相应的商誉减值准备，在评估可收回金额时涉及的关键假设包括收入增长率、毛利率、费用率以及折现率。</w:t>
      </w:r>
    </w:p>
    <w:p>
      <w:pPr>
        <w:pStyle w:val="BodyText"/>
        <w:spacing w:line="240" w:lineRule="auto" w:before="22"/>
        <w:ind w:left="474" w:right="982"/>
        <w:jc w:val="left"/>
      </w:pPr>
      <w:r>
        <w:rPr/>
        <w:t>管理层在测算商誉减值时需要作出重大的会计估计，因此我们将商誉的减值确定为关键审计事项。</w:t>
      </w:r>
    </w:p>
    <w:p>
      <w:pPr>
        <w:pStyle w:val="BodyText"/>
        <w:spacing w:line="240" w:lineRule="auto" w:before="76"/>
        <w:ind w:left="474" w:right="982"/>
        <w:jc w:val="left"/>
      </w:pPr>
      <w:r>
        <w:rPr>
          <w:rFonts w:ascii="Times New Roman" w:hAnsi="Times New Roman" w:cs="Times New Roman" w:eastAsia="Times New Roman" w:hint="default"/>
        </w:rPr>
        <w:t>2</w:t>
      </w:r>
      <w:r>
        <w:rPr/>
        <w:t>、审计应对</w:t>
      </w:r>
    </w:p>
    <w:p>
      <w:pPr>
        <w:pStyle w:val="BodyText"/>
        <w:spacing w:line="240" w:lineRule="auto" w:before="63"/>
        <w:ind w:left="384" w:right="982"/>
        <w:jc w:val="left"/>
      </w:pPr>
      <w:r>
        <w:rPr/>
        <w:t>（</w:t>
      </w:r>
      <w:r>
        <w:rPr>
          <w:rFonts w:ascii="Times New Roman" w:hAnsi="Times New Roman" w:cs="Times New Roman" w:eastAsia="Times New Roman" w:hint="default"/>
        </w:rPr>
        <w:t>1</w:t>
      </w:r>
      <w:r>
        <w:rPr/>
        <w:t>）评价与商誉减值测试相关的内部控制的设计及执行有效性；</w:t>
      </w:r>
    </w:p>
    <w:p>
      <w:pPr>
        <w:pStyle w:val="BodyText"/>
        <w:spacing w:line="300" w:lineRule="auto" w:before="63"/>
        <w:ind w:right="982" w:firstLine="360"/>
        <w:jc w:val="left"/>
      </w:pPr>
      <w:r>
        <w:rPr>
          <w:spacing w:val="-2"/>
        </w:rPr>
        <w:t>（</w:t>
      </w:r>
      <w:r>
        <w:rPr>
          <w:rFonts w:ascii="Times New Roman" w:hAnsi="Times New Roman" w:cs="Times New Roman" w:eastAsia="Times New Roman" w:hint="default"/>
          <w:spacing w:val="-2"/>
        </w:rPr>
        <w:t>2</w:t>
      </w:r>
      <w:r>
        <w:rPr>
          <w:spacing w:val="-2"/>
        </w:rPr>
        <w:t>）了解公司对资产组的发展规划，分析公司对商誉所属资产组的认定和进行商誉减值测试时采用的关键假设和方法，</w:t>
      </w:r>
      <w:r>
        <w:rPr/>
        <w:t> 检查相关假设和方法的合理性；</w:t>
      </w:r>
    </w:p>
    <w:p>
      <w:pPr>
        <w:pStyle w:val="BodyText"/>
        <w:spacing w:line="240" w:lineRule="auto" w:before="31"/>
        <w:ind w:left="474" w:right="982"/>
        <w:jc w:val="left"/>
      </w:pPr>
      <w:r>
        <w:rPr/>
        <w:t>（</w:t>
      </w:r>
      <w:r>
        <w:rPr>
          <w:rFonts w:ascii="Times New Roman" w:hAnsi="Times New Roman" w:cs="Times New Roman" w:eastAsia="Times New Roman" w:hint="default"/>
        </w:rPr>
        <w:t>3</w:t>
      </w:r>
      <w:r>
        <w:rPr/>
        <w:t>）了解公司聘请的外部估值专家估值方法，并对其出具的评估报告进行复核；</w:t>
      </w:r>
    </w:p>
    <w:p>
      <w:pPr>
        <w:pStyle w:val="BodyText"/>
        <w:spacing w:line="240" w:lineRule="auto" w:before="63"/>
        <w:ind w:left="474" w:right="982"/>
        <w:jc w:val="left"/>
      </w:pPr>
      <w:r>
        <w:rPr/>
        <w:t>（</w:t>
      </w:r>
      <w:r>
        <w:rPr>
          <w:rFonts w:ascii="Times New Roman" w:hAnsi="Times New Roman" w:cs="Times New Roman" w:eastAsia="Times New Roman" w:hint="default"/>
        </w:rPr>
        <w:t>4</w:t>
      </w:r>
      <w:r>
        <w:rPr/>
        <w:t>）复核公司编制的商誉所属资产组可收回金额的计算表；</w:t>
      </w:r>
    </w:p>
    <w:p>
      <w:pPr>
        <w:pStyle w:val="BodyText"/>
        <w:spacing w:line="240" w:lineRule="auto" w:before="63"/>
        <w:ind w:left="474" w:right="982"/>
        <w:jc w:val="left"/>
      </w:pPr>
      <w:r>
        <w:rPr/>
        <w:t>（</w:t>
      </w:r>
      <w:r>
        <w:rPr>
          <w:rFonts w:ascii="Times New Roman" w:hAnsi="Times New Roman" w:cs="Times New Roman" w:eastAsia="Times New Roman" w:hint="default"/>
        </w:rPr>
        <w:t>5</w:t>
      </w:r>
      <w:r>
        <w:rPr/>
        <w:t>）比较商誉所属资产组的账面价值与其可收回金额的差异，确认是否存在商誉减值情况；</w:t>
      </w:r>
    </w:p>
    <w:p>
      <w:pPr>
        <w:pStyle w:val="BodyText"/>
        <w:spacing w:line="300" w:lineRule="auto" w:before="63"/>
        <w:ind w:left="474" w:right="3102"/>
        <w:jc w:val="left"/>
      </w:pPr>
      <w:r>
        <w:rPr/>
        <w:t>（</w:t>
      </w:r>
      <w:r>
        <w:rPr>
          <w:rFonts w:ascii="Times New Roman" w:hAnsi="Times New Roman" w:cs="Times New Roman" w:eastAsia="Times New Roman" w:hint="default"/>
        </w:rPr>
        <w:t>6</w:t>
      </w:r>
      <w:r>
        <w:rPr/>
        <w:t>）评价在财务报表中有关商誉的减值以及采用的关键假设是否符合企业会计准则的要求。 四、其他信息</w:t>
      </w:r>
    </w:p>
    <w:p>
      <w:pPr>
        <w:pStyle w:val="BodyText"/>
        <w:spacing w:line="316" w:lineRule="auto" w:before="31"/>
        <w:ind w:right="982" w:firstLine="360"/>
        <w:jc w:val="left"/>
      </w:pPr>
      <w:r>
        <w:rPr>
          <w:spacing w:val="-2"/>
        </w:rPr>
        <w:t>丽鹏公司管理层（以下简称管理层）对其他信息负责。其他信息包括年度报告中涵盖的信息，但不包括财务报表和我们</w:t>
      </w:r>
      <w:r>
        <w:rPr/>
        <w:t> 的审计报告。</w:t>
      </w:r>
    </w:p>
    <w:p>
      <w:pPr>
        <w:pStyle w:val="BodyText"/>
        <w:spacing w:line="319" w:lineRule="auto" w:before="19"/>
        <w:ind w:left="474" w:right="98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7"/>
        <w:ind w:left="474" w:right="982"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982"/>
        <w:jc w:val="left"/>
      </w:pPr>
      <w:r>
        <w:rPr/>
        <w:t>报告。</w:t>
      </w:r>
    </w:p>
    <w:p>
      <w:pPr>
        <w:pStyle w:val="BodyText"/>
        <w:spacing w:line="316" w:lineRule="auto" w:before="76"/>
        <w:ind w:left="474" w:right="982"/>
        <w:jc w:val="left"/>
      </w:pPr>
      <w:r>
        <w:rPr/>
        <w:t>五、管理层和治理层对财务报表的责任 </w:t>
      </w:r>
      <w:r>
        <w:rPr>
          <w:spacing w:val="-2"/>
        </w:rPr>
        <w:t>丽鹏公司管理层（以下简称管理层）负责按照企业会计准则的规定编制财务报表，使其实现公允反映，并设计、执行和</w:t>
      </w:r>
    </w:p>
    <w:p>
      <w:pPr>
        <w:pStyle w:val="BodyText"/>
        <w:spacing w:line="316" w:lineRule="auto" w:before="19"/>
        <w:ind w:left="474" w:right="982" w:hanging="360"/>
        <w:jc w:val="left"/>
      </w:pPr>
      <w:r>
        <w:rPr/>
        <w:t>维护必要的内部控制，以使财务报表不存在由于舞弊或错误导致的重大错报。 </w:t>
      </w:r>
      <w:r>
        <w:rPr>
          <w:spacing w:val="-2"/>
        </w:rPr>
        <w:t>在编制财务报表时，管理层负责评估丽鹏公司的持续经营能力，披露与持续经营相关的事项，并运用持续经营假设，除</w:t>
      </w:r>
    </w:p>
    <w:p>
      <w:pPr>
        <w:pStyle w:val="BodyText"/>
        <w:spacing w:line="316" w:lineRule="auto" w:before="19"/>
        <w:ind w:left="474" w:right="5712" w:hanging="360"/>
        <w:jc w:val="left"/>
      </w:pPr>
      <w:r>
        <w:rPr/>
        <w:t>非管理层计划清算丽鹏公司、终止运营或别无其他现实的选择。 治理层负责监督丽鹏公司的财务报告过程。 六、注册会计师对财务报表审计的责任</w:t>
      </w:r>
    </w:p>
    <w:p>
      <w:pPr>
        <w:pStyle w:val="BodyText"/>
        <w:spacing w:line="316" w:lineRule="auto" w:before="1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474" w:right="982"/>
        <w:jc w:val="left"/>
      </w:pPr>
      <w:r>
        <w:rPr/>
        <w:t>在按照审计准则执行审计工作的过程中，我们运用职业判断，并保持职业怀疑。同时，我们也执行以下工作：</w:t>
      </w:r>
    </w:p>
    <w:p>
      <w:pPr>
        <w:pStyle w:val="BodyText"/>
        <w:spacing w:line="319" w:lineRule="auto" w:before="76"/>
        <w:ind w:right="1049"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7"/>
        <w:ind w:left="474" w:right="982"/>
        <w:jc w:val="left"/>
      </w:pPr>
      <w:r>
        <w:rPr/>
        <w:t>（二）了解与审计相关的内部控制，以设计恰当的审计程序，但目的并非对内部控制的有效性发表意见。</w:t>
      </w:r>
    </w:p>
    <w:p>
      <w:pPr>
        <w:pStyle w:val="BodyText"/>
        <w:spacing w:line="240" w:lineRule="auto" w:before="76"/>
        <w:ind w:left="474" w:right="982"/>
        <w:jc w:val="left"/>
      </w:pPr>
      <w:r>
        <w:rPr/>
        <w:t>（三）评价管理层选用会计政策的恰当性和作出会计估计及相关披露的合理性。</w:t>
      </w:r>
    </w:p>
    <w:p>
      <w:pPr>
        <w:pStyle w:val="BodyText"/>
        <w:spacing w:line="240" w:lineRule="auto" w:before="76"/>
        <w:ind w:left="474" w:right="982"/>
        <w:jc w:val="left"/>
      </w:pPr>
      <w:r>
        <w:rPr/>
        <w:t>（四）对管理层使用持续经营假设的恰当性得出结论。同时，根据获取的审计证据，就可能导致对丽鹏公司持续经营能</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2"/>
        <w:jc w:val="both"/>
      </w:pP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于截至审计报告日可获得的信息。然而，未来的事项或情况可能导致丽鹏公司不能持续经营。</w:t>
      </w:r>
    </w:p>
    <w:p>
      <w:pPr>
        <w:pStyle w:val="BodyText"/>
        <w:spacing w:line="240" w:lineRule="auto" w:before="19"/>
        <w:ind w:left="474" w:right="982"/>
        <w:jc w:val="left"/>
      </w:pPr>
      <w:r>
        <w:rPr/>
        <w:t>（五）评价财务报表的总体列报、结构和内容（包括披露</w:t>
      </w:r>
      <w:r>
        <w:rPr>
          <w:spacing w:val="-90"/>
        </w:rPr>
        <w:t>）</w:t>
      </w:r>
      <w:r>
        <w:rPr/>
        <w:t>，并评价财务报表是否公允反映相关交易和事项。</w:t>
      </w:r>
    </w:p>
    <w:p>
      <w:pPr>
        <w:pStyle w:val="BodyText"/>
        <w:spacing w:line="316" w:lineRule="auto" w:before="77"/>
        <w:ind w:right="1131" w:firstLine="360"/>
        <w:jc w:val="both"/>
      </w:pPr>
      <w:r>
        <w:rPr>
          <w:spacing w:val="-2"/>
        </w:rPr>
        <w:t>（六）就丽鹏公司中实体或业务活动的财务信息获取充分、适当的审计证据，以对合并财务报表发表审计意见。我们负</w:t>
      </w:r>
      <w:r>
        <w:rPr/>
        <w:t> 责指导、监督和执行集团审计，并对审计意见承担全部责任。</w:t>
      </w:r>
    </w:p>
    <w:p>
      <w:pPr>
        <w:pStyle w:val="BodyText"/>
        <w:spacing w:line="316" w:lineRule="auto" w:before="19"/>
        <w:ind w:right="1130"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19"/>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二、财务报表" w:id="174"/>
      <w:bookmarkEnd w:id="17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1、合并资产负债表" w:id="175"/>
      <w:bookmarkEnd w:id="17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right="-20"/>
        <w:jc w:val="left"/>
      </w:pPr>
      <w:r>
        <w:rPr/>
        <w:t>编制单位：山东丽鹏股份有限公司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1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3" w:equalWidth="0">
            <w:col w:w="2815" w:space="1263"/>
            <w:col w:w="1599" w:space="3243"/>
            <w:col w:w="197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174,383,618.38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716,912,382.47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1,002,843,942.76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708,638,438.68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6,345,434.30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10,038,310.53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996,498,508.46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698,600,128.15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15,285,717.82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25,009,402.79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155,419,804.06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212,408,075.08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475,342.47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911,417,260.77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1,327,531,064.83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2,718,544.98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38,312,592.06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27,162,222.93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12,548,989.60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2,289,231,111.70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3,041,360,945.51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7,550,000.00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2,372,811,643.42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2,036,685,504.80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4,094,282.02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3,761,615.33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12,546,381.15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3,466,950.84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679,107,843.10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681,030,053.72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27,235,874.39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79,318,080.73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100,645,616.34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103,149,875.71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46,925,986.20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296,278,562.27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1,383,517.91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2,094,762.07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62,263,598.29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53,896,928.95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31,510,508.45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53,741,715.29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3,346,075,251.27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3,330,474,049.71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5,635,306,362.97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6,371,834,995.22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942,111,426.06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1,206,034,200.00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860,064,037.09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1,068,203,738.79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12,098,516.75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20,461,526.40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18,966,289.18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18,571,722.09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12,544,959.51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12,093,127.83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363,424,902.05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32,181,623.92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8,832,912.58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3,342,520.95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257,968.05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129,266,890.09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142,054,760.98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103,945,762.14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104,857,120.67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2,442,422,782.87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2,604,457,820.68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246,517,735.60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246,085,263.48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220,116,328.65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266,315,675.83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23,090,167.64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22,812,250.97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1,058,000.00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4,149,498.43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10,413,187.87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17,650,732.19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671,195,419.76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557,013,420.90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3,113,618,202.63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3,161,471,241.58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877,427,468.00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877,427,468.00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1,806,339,597.75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1,806,339,597.75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15,220,557.25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15,220,557.25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-304,269,804.30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485,570,751.86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2,394,717,818.70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3,184,558,374.86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126,970,341.64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25,805,378.78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2,521,688,160.34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3,210,363,753.64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5,635,306,362.97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6,371,834,995.22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法定代表人：孙鲲鹏</w:t>
        <w:tab/>
        <w:t>主管会计工作负责人：张国平</w:t>
        <w:tab/>
        <w:t>会计机构负责人：张国平</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bookmarkStart w:name="2、母公司资产负债表" w:id="176"/>
      <w:bookmarkEnd w:id="17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41,989,039.74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165,018,331.27</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188,178,792.76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213,598,174.91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3,743,434.30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7,539,080.53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184,435,358.46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206,059,094.38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1,851,389.48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7,991,335.75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104,352,599.03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61,360,944.31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44,659,734.51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6,174,900.51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27,699,661.20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33,699,661.20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86,840,609.47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143,769,542.17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118,156.63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4,216,059.64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423,330,587.11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595,954,388.05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986,035,948.72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867,299,600.00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1,938,430,003.68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2,011,815,375.84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3,383,506.41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3,466,950.84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366,999,609.27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408,276,724.97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112,672.00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21,208,079.61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24,056,474.17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24,636,512.83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36,504,085.01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9,588,482.00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28,827,164.97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3,330,606,696.25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3,412,034,494.07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3,753,937,283.36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4,007,988,882.12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503,501,426.06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711,534,200.00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51,090,128.52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107,802,115.95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18,544,651.59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6,523,199.59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4,233,972.58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4,994,934.74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2,340,484.12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973,651.02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332,228,287.59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2,385,187.89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3,837,335.40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1,182,163.13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89,486,566.61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102,669,570.42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2,122,338.71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1,001,425,517.07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939,005,198.32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246,517,735.60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246,085,263.48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72,754,970.97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81,748,725.59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14,856,371.01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14,856,371.01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2,815,498.43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10,413,187.87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17,650,732.19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344,542,265.45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363,156,590.70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1,345,967,782.52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1,302,161,789.02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877,427,468.00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877,427,468.00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1,807,309,824.49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1,807,309,824.49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15,220,557.25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15,220,557.25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-291,988,348.90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5,869,243.36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2,407,969,500.84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2,705,827,093.10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3,753,937,283.36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4,007,988,882.12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2"/>
        <w:jc w:val="left"/>
        <w:rPr>
          <w:b w:val="0"/>
          <w:bCs w:val="0"/>
        </w:rPr>
      </w:pPr>
      <w:bookmarkStart w:name="3、合并利润表" w:id="177"/>
      <w:bookmarkEnd w:id="17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1,247,889,350.41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1,857,817,488.80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3"/>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1,247,889,350.41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1,857,817,488.80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2,034,101,251.27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1,755,543,627.70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1,115,398,370.52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1,589,227,081.39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8"/>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14,289,707.23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11,299,282.64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45,565,996.08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26,539,693.64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105,926,943.99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95,268,290.56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4,414,748.04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7,290,050.40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-1,565,896.49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-14,310,790.42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120,362,438.31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71,945,069.70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124,917,339.68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89,863,865.19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750,071,381.90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40,230,019.49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5,258,846.69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5,633,340.29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-1,127,333.31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-1,451,537.47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-1,127,333.31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-3,451,537.47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134,400.88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-156,235.56</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-781,945,986.60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106,299,428.36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273,299.71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991,945.73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1,158,277.77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2,647,552.77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-782,830,964.66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104,643,821.32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5,221,947.13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12,135,021.78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-788,052,911.79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92,508,799.54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-788,052,911.79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92,508,799.54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-789,840,556.16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90,057,231.12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1,787,644.37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2,451,568.42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5"/>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-788,052,911.79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92,508,799.54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-789,840,556.16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90,057,231.12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2"/>
              <w:jc w:val="right"/>
              <w:rPr>
                <w:rFonts w:ascii="宋体" w:hAnsi="宋体" w:cs="宋体" w:eastAsia="宋体" w:hint="default"/>
                <w:sz w:val="18"/>
                <w:szCs w:val="18"/>
              </w:rPr>
            </w:pPr>
            <w:r>
              <w:rPr>
                <w:rFonts w:ascii="宋体" w:hAnsi="宋体" w:cs="宋体" w:eastAsia="宋体" w:hint="default"/>
                <w:sz w:val="18"/>
                <w:szCs w:val="18"/>
              </w:rPr>
              <w:t>归属于少数股东的综合收益总</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1,787,644.37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2,451,568.42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r>
    </w:tbl>
    <w:p>
      <w:pPr>
        <w:pStyle w:val="BodyText"/>
        <w:tabs>
          <w:tab w:pos="3534" w:val="left" w:leader="none"/>
          <w:tab w:pos="7675" w:val="left" w:leader="none"/>
        </w:tabs>
        <w:spacing w:line="624" w:lineRule="auto" w:before="51"/>
        <w:ind w:right="1229"/>
        <w:jc w:val="left"/>
      </w:pPr>
      <w:r>
        <w:rPr/>
        <w:t>本期发生同一控制下企业合并的，被合并方在合并前实现的净利润为：元，上期被合并方实现的净利润为：元。 法定代表人：孙鲲鹏</w:t>
        <w:tab/>
        <w:t>主管会计工作负责人：张国平</w:t>
        <w:tab/>
        <w:t>会计机构负责人：张国平</w:t>
      </w:r>
    </w:p>
    <w:p>
      <w:pPr>
        <w:pStyle w:val="Heading4"/>
        <w:spacing w:line="240" w:lineRule="auto" w:before="63"/>
        <w:ind w:right="982"/>
        <w:jc w:val="left"/>
        <w:rPr>
          <w:b w:val="0"/>
          <w:bCs w:val="0"/>
        </w:rPr>
      </w:pPr>
      <w:bookmarkStart w:name="4、母公司利润表" w:id="178"/>
      <w:bookmarkEnd w:id="17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335,023,956.13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353,360,065.32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314,447,924.21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317,925,128.37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5,394,601.72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5,121,504.52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30,871,898.96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16,906,505.33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32,717,744.65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32,827,676.45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32,219,387.25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19,307,156.04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75,174,369.17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42,376,277.12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45,531,274.91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24,644,741.64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184,823,028.23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14,232,558.62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2,306,604.62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2,288,403.71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-893,099.28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19,206,251.63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-893,099.28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-3,111,409.70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60,193.43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-172,252.15</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-263,976,930.12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-31,638,060.82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195,175.87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211,978.54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387,251.43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1,612,686.02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-264,169,005.68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-33,038,768.30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33,688,586.58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-11,764,434.69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-297,857,592.26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-21,274,333.61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-297,857,592.26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-21,274,333.61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-297,857,592.26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-21,274,333.61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5、合并现金流量表" w:id="179"/>
      <w:bookmarkEnd w:id="17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8" w:right="0"/>
              <w:jc w:val="left"/>
              <w:rPr>
                <w:rFonts w:ascii="Times New Roman" w:hAnsi="Times New Roman" w:cs="Times New Roman" w:eastAsia="Times New Roman" w:hint="default"/>
                <w:sz w:val="18"/>
                <w:szCs w:val="18"/>
              </w:rPr>
            </w:pPr>
            <w:r>
              <w:rPr>
                <w:rFonts w:ascii="Times New Roman"/>
                <w:sz w:val="18"/>
              </w:rPr>
              <w:t>1,181,028,672.79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4" w:right="0"/>
              <w:jc w:val="left"/>
              <w:rPr>
                <w:rFonts w:ascii="Times New Roman" w:hAnsi="Times New Roman" w:cs="Times New Roman" w:eastAsia="Times New Roman" w:hint="default"/>
                <w:sz w:val="18"/>
                <w:szCs w:val="18"/>
              </w:rPr>
            </w:pPr>
            <w:r>
              <w:rPr>
                <w:rFonts w:ascii="Times New Roman"/>
                <w:sz w:val="18"/>
              </w:rPr>
              <w:t>1,198,023,116.85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8,954,577.14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7,238,501.40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246,448,768.91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20,458,250.85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1,436,432,018.84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1,225,719,869.10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1,347,480,240.71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1,336,391,664.88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161,930,487.55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153,366,716.48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65,231,452.69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82,348,709.81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247,224,378.37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178,176,261.73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1,821,866,559.32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1,750,283,352.90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-385,434,540.48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-524,563,483.80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8,842,600.03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1,604,147.92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51,360,000.00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7,732,960.00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74,702,600.03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11,337,107.92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124,379,691.10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113,967,278.53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255,979,420.00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138,230,679.98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381,819,111.10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254,857,958.51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-307,116,511.07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-243,520,850.59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1,330,869,429.23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1,329,390,208.00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342,800,000.00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2,042,369,429.23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1,922,190,208.00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1,430,390,208.00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1,060,580,000.00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92,568,942.03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87,586,594.70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291,770.77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378,444,446.37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121,808,693.56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1,901,403,596.40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1,269,975,288.26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140,965,832.83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652,214,919.74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343,511.78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-1,499,724.43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-551,241,706.94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-117,369,139.08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640,953,911.34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758,323,050.42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89,712,204.40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640,953,911.34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2"/>
        <w:jc w:val="left"/>
        <w:rPr>
          <w:b w:val="0"/>
          <w:bCs w:val="0"/>
        </w:rPr>
      </w:pPr>
      <w:bookmarkStart w:name="6、母公司现金流量表" w:id="180"/>
      <w:bookmarkEnd w:id="18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459,987,290.51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344,831,176.05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2,192,877.67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2,529,234.11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1,366,090.67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3,153,551.19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463,546,258.85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350,513,961.35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343,692,774.55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298,964,594.14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59,351,592.68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67,026,274.11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7,914,373.56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12,236,088.03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30,455,373.60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26,119,162.54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441,414,114.39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404,346,118.82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22,132,144.46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-53,832,157.47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3,120,839.52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1,137,324.21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500,068,288.85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21,983,555.17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517,189,128.37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28,120,879.38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32,451,671.10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53,661,394.97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612,629,737.06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363,002,279.98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645,841,408.16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419,323,674.95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-128,652,279.79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-391,202,795.57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646,621,304.23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806,890,208.00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1,263,121,304.23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1,201,890,208.00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856,890,208.00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53,190,496.48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57,601,165.48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341,633,986.73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121,808,693.56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1,251,714,691.21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849,409,859.04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11,406,613.02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352,480,348.96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180,655.53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-1,228,385.03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-94,932,866.78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-93,782,989.11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117,071,261.94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210,854,251.05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22,138,395.16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117,071,261.94</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7、合并所有者权益变动表" w:id="181"/>
      <w:bookmarkEnd w:id="18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6810"/>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7"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3" w:right="0"/>
              <w:jc w:val="left"/>
              <w:rPr>
                <w:rFonts w:ascii="宋体" w:hAnsi="宋体" w:cs="宋体" w:eastAsia="宋体" w:hint="default"/>
                <w:sz w:val="18"/>
                <w:szCs w:val="18"/>
              </w:rPr>
            </w:pPr>
            <w:r>
              <w:rPr>
                <w:rFonts w:ascii="宋体" w:hAnsi="宋体" w:cs="宋体" w:eastAsia="宋体" w:hint="default"/>
                <w:sz w:val="18"/>
                <w:szCs w:val="18"/>
              </w:rPr>
              <w:t>所有</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single" w:sz="4" w:space="0" w:color="000000"/>
              <w:left w:val="single" w:sz="4" w:space="0" w:color="000000"/>
              <w:right w:val="single" w:sz="4" w:space="0" w:color="000000"/>
            </w:tcBorders>
          </w:tcPr>
          <w:p>
            <w:pPr>
              <w:pStyle w:val="TableParagraph"/>
              <w:spacing w:line="319" w:lineRule="auto" w:before="10"/>
              <w:ind w:left="147" w:right="145"/>
              <w:jc w:val="left"/>
              <w:rPr>
                <w:rFonts w:ascii="宋体" w:hAnsi="宋体" w:cs="宋体" w:eastAsia="宋体" w:hint="default"/>
                <w:sz w:val="18"/>
                <w:szCs w:val="18"/>
              </w:rPr>
            </w:pPr>
            <w:r>
              <w:rPr>
                <w:rFonts w:ascii="宋体" w:hAnsi="宋体" w:cs="宋体" w:eastAsia="宋体" w:hint="default"/>
                <w:sz w:val="18"/>
                <w:szCs w:val="18"/>
              </w:rPr>
              <w:t>股东 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143" w:right="143"/>
              <w:jc w:val="both"/>
              <w:rPr>
                <w:rFonts w:ascii="宋体" w:hAnsi="宋体" w:cs="宋体" w:eastAsia="宋体" w:hint="default"/>
                <w:sz w:val="18"/>
                <w:szCs w:val="18"/>
              </w:rPr>
            </w:pPr>
            <w:r>
              <w:rPr>
                <w:rFonts w:ascii="宋体" w:hAnsi="宋体" w:cs="宋体" w:eastAsia="宋体" w:hint="default"/>
                <w:sz w:val="18"/>
                <w:szCs w:val="18"/>
              </w:rPr>
              <w:t>者权 益合 计</w:t>
            </w: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485,5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70,75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1.86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5,378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3,210</w:t>
            </w:r>
          </w:p>
          <w:p>
            <w:pPr>
              <w:pStyle w:val="TableParagraph"/>
              <w:spacing w:line="240" w:lineRule="auto" w:before="105"/>
              <w:ind w:left="185" w:right="0"/>
              <w:jc w:val="left"/>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753.6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485,5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70,75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1.86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5,378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3,210</w:t>
            </w:r>
          </w:p>
          <w:p>
            <w:pPr>
              <w:pStyle w:val="TableParagraph"/>
              <w:spacing w:line="240" w:lineRule="auto" w:before="105"/>
              <w:ind w:left="185" w:right="0"/>
              <w:jc w:val="left"/>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753.6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840,5</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56.16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64,96</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2.86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-688,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675,5</w:t>
            </w:r>
          </w:p>
          <w:p>
            <w:pPr>
              <w:pStyle w:val="TableParagraph"/>
              <w:spacing w:line="240" w:lineRule="auto" w:before="106"/>
              <w:ind w:left="141" w:right="0"/>
              <w:jc w:val="left"/>
              <w:rPr>
                <w:rFonts w:ascii="Times New Roman" w:hAnsi="Times New Roman" w:cs="Times New Roman" w:eastAsia="Times New Roman" w:hint="default"/>
                <w:sz w:val="18"/>
                <w:szCs w:val="18"/>
              </w:rPr>
            </w:pPr>
            <w:r>
              <w:rPr>
                <w:rFonts w:ascii="Times New Roman"/>
                <w:sz w:val="18"/>
              </w:rPr>
              <w:t>93.30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840,5</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56.16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1,787</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,644.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-788,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052,9</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11.79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7" w:right="0"/>
              <w:jc w:val="left"/>
              <w:rPr>
                <w:rFonts w:ascii="Times New Roman" w:hAnsi="Times New Roman" w:cs="Times New Roman" w:eastAsia="Times New Roman" w:hint="default"/>
                <w:sz w:val="18"/>
                <w:szCs w:val="18"/>
              </w:rPr>
            </w:pPr>
            <w:r>
              <w:rPr>
                <w:rFonts w:ascii="Times New Roman"/>
                <w:sz w:val="18"/>
              </w:rPr>
              <w:t>-622,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1" w:right="0"/>
              <w:jc w:val="left"/>
              <w:rPr>
                <w:rFonts w:ascii="Times New Roman" w:hAnsi="Times New Roman" w:cs="Times New Roman" w:eastAsia="Times New Roman" w:hint="default"/>
                <w:sz w:val="18"/>
                <w:szCs w:val="18"/>
              </w:rPr>
            </w:pPr>
            <w:r>
              <w:rPr>
                <w:rFonts w:ascii="Times New Roman"/>
                <w:sz w:val="18"/>
              </w:rPr>
              <w:t>-622,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681.5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681.5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681.5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681.5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-304,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269,8</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04.30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126,9</w:t>
            </w:r>
          </w:p>
          <w:p>
            <w:pPr>
              <w:pStyle w:val="TableParagraph"/>
              <w:spacing w:line="240" w:lineRule="auto" w:before="104"/>
              <w:ind w:left="147" w:right="0"/>
              <w:jc w:val="left"/>
              <w:rPr>
                <w:rFonts w:ascii="Times New Roman" w:hAnsi="Times New Roman" w:cs="Times New Roman" w:eastAsia="Times New Roman" w:hint="default"/>
                <w:sz w:val="18"/>
                <w:szCs w:val="18"/>
              </w:rPr>
            </w:pPr>
            <w:r>
              <w:rPr>
                <w:rFonts w:ascii="Times New Roman"/>
                <w:sz w:val="18"/>
              </w:rPr>
              <w:t>70,34</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1.64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2,521</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,688,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160.3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982"/>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减： 库存</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其他 综合</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一般 风险</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153" w:right="152"/>
              <w:jc w:val="left"/>
              <w:rPr>
                <w:rFonts w:ascii="宋体" w:hAnsi="宋体" w:cs="宋体" w:eastAsia="宋体" w:hint="default"/>
                <w:sz w:val="18"/>
                <w:szCs w:val="18"/>
              </w:rPr>
            </w:pPr>
            <w:r>
              <w:rPr>
                <w:rFonts w:ascii="宋体" w:hAnsi="宋体" w:cs="宋体" w:eastAsia="宋体" w:hint="default"/>
                <w:sz w:val="18"/>
                <w:szCs w:val="18"/>
              </w:rPr>
              <w:t>未分 配利</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53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70" w:right="0"/>
              <w:jc w:val="left"/>
              <w:rPr>
                <w:rFonts w:ascii="宋体" w:hAnsi="宋体" w:cs="宋体" w:eastAsia="宋体" w:hint="default"/>
                <w:sz w:val="18"/>
                <w:szCs w:val="18"/>
              </w:rPr>
            </w:pPr>
            <w:r>
              <w:rPr>
                <w:rFonts w:ascii="宋体" w:hAnsi="宋体" w:cs="宋体" w:eastAsia="宋体" w:hint="default"/>
                <w:sz w:val="18"/>
                <w:szCs w:val="18"/>
              </w:rPr>
              <w:t>优</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70" w:right="0"/>
              <w:jc w:val="left"/>
              <w:rPr>
                <w:rFonts w:ascii="宋体" w:hAnsi="宋体" w:cs="宋体" w:eastAsia="宋体" w:hint="default"/>
                <w:sz w:val="18"/>
                <w:szCs w:val="18"/>
              </w:rPr>
            </w:pPr>
            <w:r>
              <w:rPr>
                <w:rFonts w:ascii="宋体" w:hAnsi="宋体" w:cs="宋体" w:eastAsia="宋体" w:hint="default"/>
                <w:sz w:val="18"/>
                <w:szCs w:val="18"/>
              </w:rPr>
              <w:t>永</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7"/>
              <w:ind w:left="170" w:right="0"/>
              <w:jc w:val="left"/>
              <w:rPr>
                <w:rFonts w:ascii="宋体" w:hAnsi="宋体" w:cs="宋体" w:eastAsia="宋体" w:hint="default"/>
                <w:sz w:val="18"/>
                <w:szCs w:val="18"/>
              </w:rPr>
            </w:pPr>
            <w:r>
              <w:rPr>
                <w:rFonts w:ascii="宋体" w:hAnsi="宋体" w:cs="宋体" w:eastAsia="宋体" w:hint="default"/>
                <w:sz w:val="18"/>
                <w:szCs w:val="18"/>
              </w:rPr>
              <w:t>其</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0" w:right="168"/>
              <w:jc w:val="left"/>
              <w:rPr>
                <w:rFonts w:ascii="宋体" w:hAnsi="宋体" w:cs="宋体" w:eastAsia="宋体" w:hint="default"/>
                <w:sz w:val="18"/>
                <w:szCs w:val="18"/>
              </w:rPr>
            </w:pPr>
            <w:r>
              <w:rPr>
                <w:rFonts w:ascii="宋体" w:hAnsi="宋体" w:cs="宋体" w:eastAsia="宋体" w:hint="default"/>
                <w:sz w:val="18"/>
                <w:szCs w:val="18"/>
              </w:rPr>
              <w:t>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0" w:right="169"/>
              <w:jc w:val="left"/>
              <w:rPr>
                <w:rFonts w:ascii="宋体" w:hAnsi="宋体" w:cs="宋体" w:eastAsia="宋体" w:hint="default"/>
                <w:sz w:val="18"/>
                <w:szCs w:val="18"/>
              </w:rPr>
            </w:pPr>
            <w:r>
              <w:rPr>
                <w:rFonts w:ascii="宋体" w:hAnsi="宋体" w:cs="宋体" w:eastAsia="宋体" w:hint="default"/>
                <w:sz w:val="18"/>
                <w:szCs w:val="18"/>
              </w:rPr>
              <w:t>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7"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421,8</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25,35</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3,810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421,8</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25,35</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3,810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3,146</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63,73</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4,407.</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451,5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68.42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64,18</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5,975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90,05</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7,231.</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2,451</w:t>
            </w:r>
          </w:p>
          <w:p>
            <w:pPr>
              <w:pStyle w:val="TableParagraph"/>
              <w:spacing w:line="240" w:lineRule="auto" w:before="104"/>
              <w:ind w:left="75" w:right="0"/>
              <w:jc w:val="center"/>
              <w:rPr>
                <w:rFonts w:ascii="Times New Roman" w:hAnsi="Times New Roman" w:cs="Times New Roman" w:eastAsia="Times New Roman" w:hint="default"/>
                <w:sz w:val="18"/>
                <w:szCs w:val="18"/>
              </w:rPr>
            </w:pPr>
            <w:r>
              <w:rPr>
                <w:rFonts w:ascii="Times New Roman"/>
                <w:sz w:val="18"/>
              </w:rPr>
              <w:t>,568.</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92,50</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8,799</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4.04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,339,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485,5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70,75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5,378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3,210</w:t>
            </w:r>
          </w:p>
          <w:p>
            <w:pPr>
              <w:pStyle w:val="TableParagraph"/>
              <w:spacing w:line="240" w:lineRule="auto" w:before="105"/>
              <w:ind w:left="185" w:right="0"/>
              <w:jc w:val="left"/>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753.6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2"/>
        <w:jc w:val="left"/>
        <w:rPr>
          <w:b w:val="0"/>
          <w:bCs w:val="0"/>
        </w:rPr>
      </w:pPr>
      <w:bookmarkStart w:name="8、母公司所有者权益变动表" w:id="182"/>
      <w:bookmarkEnd w:id="18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27,46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09,824.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2" w:right="0"/>
              <w:jc w:val="left"/>
              <w:rPr>
                <w:rFonts w:ascii="Times New Roman" w:hAnsi="Times New Roman" w:cs="Times New Roman" w:eastAsia="Times New Roman" w:hint="default"/>
                <w:sz w:val="18"/>
                <w:szCs w:val="18"/>
              </w:rPr>
            </w:pPr>
            <w:r>
              <w:rPr>
                <w:rFonts w:ascii="Times New Roman"/>
                <w:sz w:val="18"/>
              </w:rPr>
              <w:t>5,869,</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243.3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2,705,8</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27,093.</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8" w:right="0"/>
              <w:jc w:val="left"/>
              <w:rPr>
                <w:rFonts w:ascii="Times New Roman" w:hAnsi="Times New Roman" w:cs="Times New Roman" w:eastAsia="Times New Roman" w:hint="default"/>
                <w:sz w:val="18"/>
                <w:szCs w:val="18"/>
              </w:rPr>
            </w:pPr>
            <w:r>
              <w:rPr>
                <w:rFonts w:ascii="Times New Roman"/>
                <w:sz w:val="18"/>
              </w:rPr>
              <w:t>10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09,824.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243.3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2,705,8</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27,093.</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10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857,5</w:t>
            </w:r>
          </w:p>
          <w:p>
            <w:pPr>
              <w:pStyle w:val="TableParagraph"/>
              <w:spacing w:line="240" w:lineRule="auto" w:before="106"/>
              <w:ind w:left="158" w:right="0"/>
              <w:jc w:val="left"/>
              <w:rPr>
                <w:rFonts w:ascii="Times New Roman" w:hAnsi="Times New Roman" w:cs="Times New Roman" w:eastAsia="Times New Roman" w:hint="default"/>
                <w:sz w:val="18"/>
                <w:szCs w:val="18"/>
              </w:rPr>
            </w:pPr>
            <w:r>
              <w:rPr>
                <w:rFonts w:ascii="Times New Roman"/>
                <w:sz w:val="18"/>
              </w:rPr>
              <w:t>92.26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-297,85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7,592.2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857,5</w:t>
            </w:r>
          </w:p>
          <w:p>
            <w:pPr>
              <w:pStyle w:val="TableParagraph"/>
              <w:spacing w:line="240" w:lineRule="auto" w:before="106"/>
              <w:ind w:left="158" w:right="0"/>
              <w:jc w:val="left"/>
              <w:rPr>
                <w:rFonts w:ascii="Times New Roman" w:hAnsi="Times New Roman" w:cs="Times New Roman" w:eastAsia="Times New Roman" w:hint="default"/>
                <w:sz w:val="18"/>
                <w:szCs w:val="18"/>
              </w:rPr>
            </w:pPr>
            <w:r>
              <w:rPr>
                <w:rFonts w:ascii="Times New Roman"/>
                <w:sz w:val="18"/>
              </w:rPr>
              <w:t>92.26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-297,85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7,592.2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09,824.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988,3</w:t>
            </w:r>
          </w:p>
          <w:p>
            <w:pPr>
              <w:pStyle w:val="TableParagraph"/>
              <w:spacing w:line="240" w:lineRule="auto" w:before="106"/>
              <w:ind w:left="158" w:right="0"/>
              <w:jc w:val="left"/>
              <w:rPr>
                <w:rFonts w:ascii="Times New Roman" w:hAnsi="Times New Roman" w:cs="Times New Roman" w:eastAsia="Times New Roman" w:hint="default"/>
                <w:sz w:val="18"/>
                <w:szCs w:val="18"/>
              </w:rPr>
            </w:pPr>
            <w:r>
              <w:rPr>
                <w:rFonts w:ascii="Times New Roman"/>
                <w:sz w:val="18"/>
              </w:rPr>
              <w:t>48.90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2,407,9</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69,500.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84</w:t>
            </w:r>
          </w:p>
        </w:tc>
      </w:tr>
    </w:tbl>
    <w:p>
      <w:pPr>
        <w:pStyle w:val="BodyText"/>
        <w:spacing w:line="240" w:lineRule="auto" w:before="51"/>
        <w:ind w:right="982"/>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09,824.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53,46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6,401.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2,753,4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24,250.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75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09,824.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53,46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6,401.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2,753,4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24,250.</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75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-47,5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97,15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-47,597</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,157.65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-21,2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74,33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-21,274</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,333.61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5"/>
                <w:sz w:val="18"/>
                <w:szCs w:val="18"/>
              </w:rPr>
              <w:t>（二）所有者投</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-26,322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,824.04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22,82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-26,322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,824.04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27,46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3" w:right="0"/>
              <w:jc w:val="left"/>
              <w:rPr>
                <w:rFonts w:ascii="Times New Roman" w:hAnsi="Times New Roman" w:cs="Times New Roman" w:eastAsia="Times New Roman" w:hint="default"/>
                <w:sz w:val="18"/>
                <w:szCs w:val="18"/>
              </w:rPr>
            </w:pPr>
            <w:r>
              <w:rPr>
                <w:rFonts w:ascii="Times New Roman"/>
                <w:sz w:val="18"/>
              </w:rPr>
              <w:t>1,807,3</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09,824.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2" w:right="0"/>
              <w:jc w:val="left"/>
              <w:rPr>
                <w:rFonts w:ascii="Times New Roman" w:hAnsi="Times New Roman" w:cs="Times New Roman" w:eastAsia="Times New Roman" w:hint="default"/>
                <w:sz w:val="18"/>
                <w:szCs w:val="18"/>
              </w:rPr>
            </w:pPr>
            <w:r>
              <w:rPr>
                <w:rFonts w:ascii="Times New Roman"/>
                <w:sz w:val="18"/>
              </w:rPr>
              <w:t>5,869,</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243.3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2,705,8</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27,093.</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40"/>
          <w:pgMar w:footer="1019" w:header="907"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8" w:right="0"/>
              <w:jc w:val="left"/>
              <w:rPr>
                <w:rFonts w:ascii="Times New Roman" w:hAnsi="Times New Roman" w:cs="Times New Roman" w:eastAsia="Times New Roman" w:hint="default"/>
                <w:sz w:val="18"/>
                <w:szCs w:val="18"/>
              </w:rPr>
            </w:pPr>
            <w:r>
              <w:rPr>
                <w:rFonts w:ascii="Times New Roman"/>
                <w:sz w:val="18"/>
              </w:rPr>
              <w:t>10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82"/>
        <w:jc w:val="left"/>
        <w:rPr>
          <w:b w:val="0"/>
          <w:bCs w:val="0"/>
        </w:rPr>
      </w:pPr>
      <w:bookmarkStart w:name="三、公司基本情况" w:id="183"/>
      <w:bookmarkEnd w:id="183"/>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1136"/>
        <w:jc w:val="left"/>
      </w:pPr>
      <w:r>
        <w:rPr/>
        <w:t>（一）公司概况 </w:t>
      </w:r>
      <w:r>
        <w:rPr>
          <w:spacing w:val="-2"/>
        </w:rPr>
        <w:t>山东丽鹏股份有限公司（以下简称“本公司”或“公司”）是由山东丽鹏包装有限公司整体变更设立的股份有限公司。</w:t>
      </w:r>
    </w:p>
    <w:p>
      <w:pPr>
        <w:pStyle w:val="BodyText"/>
        <w:spacing w:line="316" w:lineRule="auto" w:before="19"/>
        <w:ind w:right="1122"/>
        <w:jc w:val="left"/>
      </w:pPr>
      <w:r>
        <w:rPr/>
        <w:t>山东丽鹏包装有限公司原名烟台市丽鹏包装有限责任公司，成立于</w:t>
      </w:r>
      <w:r>
        <w:rPr>
          <w:rFonts w:ascii="宋体" w:hAnsi="宋体" w:cs="宋体" w:eastAsia="宋体" w:hint="default"/>
        </w:rPr>
        <w:t>1995</w:t>
      </w:r>
      <w:r>
        <w:rPr/>
        <w:t>年</w:t>
      </w:r>
      <w:r>
        <w:rPr>
          <w:rFonts w:ascii="宋体" w:hAnsi="宋体" w:cs="宋体" w:eastAsia="宋体" w:hint="default"/>
        </w:rPr>
        <w:t>2</w:t>
      </w:r>
      <w:r>
        <w:rPr/>
        <w:t>月，设立时注册资本</w:t>
      </w:r>
      <w:r>
        <w:rPr>
          <w:rFonts w:ascii="宋体" w:hAnsi="宋体" w:cs="宋体" w:eastAsia="宋体" w:hint="default"/>
        </w:rPr>
        <w:t>500</w:t>
      </w:r>
      <w:r>
        <w:rPr/>
        <w:t>万元，</w:t>
      </w:r>
      <w:r>
        <w:rPr>
          <w:rFonts w:ascii="宋体" w:hAnsi="宋体" w:cs="宋体" w:eastAsia="宋体" w:hint="default"/>
        </w:rPr>
        <w:t>1998</w:t>
      </w:r>
      <w:r>
        <w:rPr/>
        <w:t>年</w:t>
      </w:r>
      <w:r>
        <w:rPr>
          <w:rFonts w:ascii="宋体" w:hAnsi="宋体" w:cs="宋体" w:eastAsia="宋体" w:hint="default"/>
        </w:rPr>
        <w:t>3</w:t>
      </w:r>
      <w:r>
        <w:rPr/>
        <w:t>月注册资 本变更为</w:t>
      </w:r>
      <w:r>
        <w:rPr>
          <w:rFonts w:ascii="宋体" w:hAnsi="宋体" w:cs="宋体" w:eastAsia="宋体" w:hint="default"/>
        </w:rPr>
        <w:t>3000</w:t>
      </w:r>
      <w:r>
        <w:rPr/>
        <w:t>万元。</w:t>
      </w:r>
    </w:p>
    <w:p>
      <w:pPr>
        <w:pStyle w:val="BodyText"/>
        <w:spacing w:line="316" w:lineRule="auto" w:before="19"/>
        <w:ind w:right="1132" w:firstLine="360"/>
        <w:jc w:val="both"/>
      </w:pPr>
      <w:r>
        <w:rPr>
          <w:rFonts w:ascii="宋体" w:hAnsi="宋体" w:cs="宋体" w:eastAsia="宋体" w:hint="default"/>
          <w:spacing w:val="-2"/>
        </w:rPr>
        <w:t>1999</w:t>
      </w:r>
      <w:r>
        <w:rPr>
          <w:spacing w:val="-2"/>
        </w:rPr>
        <w:t>年</w:t>
      </w:r>
      <w:r>
        <w:rPr>
          <w:rFonts w:ascii="宋体" w:hAnsi="宋体" w:cs="宋体" w:eastAsia="宋体" w:hint="default"/>
          <w:spacing w:val="-2"/>
        </w:rPr>
        <w:t>5</w:t>
      </w:r>
      <w:r>
        <w:rPr>
          <w:spacing w:val="-2"/>
        </w:rPr>
        <w:t>月，烟台市丽鹏包装有限责任公司更名为山东丽鹏包装有限公司，</w:t>
      </w:r>
      <w:r>
        <w:rPr>
          <w:rFonts w:ascii="宋体" w:hAnsi="宋体" w:cs="宋体" w:eastAsia="宋体" w:hint="default"/>
          <w:spacing w:val="-2"/>
        </w:rPr>
        <w:t>2007</w:t>
      </w:r>
      <w:r>
        <w:rPr>
          <w:spacing w:val="-2"/>
        </w:rPr>
        <w:t>年</w:t>
      </w:r>
      <w:r>
        <w:rPr>
          <w:rFonts w:ascii="宋体" w:hAnsi="宋体" w:cs="宋体" w:eastAsia="宋体" w:hint="default"/>
          <w:spacing w:val="-2"/>
        </w:rPr>
        <w:t>9</w:t>
      </w:r>
      <w:r>
        <w:rPr>
          <w:spacing w:val="-2"/>
        </w:rPr>
        <w:t>月，经山东丽鹏包装有限公司第一次</w:t>
      </w:r>
      <w:r>
        <w:rPr/>
        <w:t> 临时股东会决议通过，注册资本变更为</w:t>
      </w:r>
      <w:r>
        <w:rPr>
          <w:rFonts w:ascii="宋体" w:hAnsi="宋体" w:cs="宋体" w:eastAsia="宋体" w:hint="default"/>
        </w:rPr>
        <w:t>4000</w:t>
      </w:r>
      <w:r>
        <w:rPr/>
        <w:t>万元。</w:t>
      </w:r>
    </w:p>
    <w:p>
      <w:pPr>
        <w:pStyle w:val="BodyText"/>
        <w:spacing w:line="316" w:lineRule="auto" w:before="19"/>
        <w:ind w:right="982" w:firstLine="360"/>
        <w:jc w:val="left"/>
      </w:pPr>
      <w:r>
        <w:rPr>
          <w:rFonts w:ascii="宋体" w:hAnsi="宋体" w:cs="宋体" w:eastAsia="宋体" w:hint="default"/>
          <w:spacing w:val="-2"/>
        </w:rPr>
        <w:t>2007</w:t>
      </w:r>
      <w:r>
        <w:rPr>
          <w:spacing w:val="-2"/>
        </w:rPr>
        <w:t>年</w:t>
      </w:r>
      <w:r>
        <w:rPr>
          <w:rFonts w:ascii="宋体" w:hAnsi="宋体" w:cs="宋体" w:eastAsia="宋体" w:hint="default"/>
          <w:spacing w:val="-2"/>
        </w:rPr>
        <w:t>11</w:t>
      </w:r>
      <w:r>
        <w:rPr>
          <w:spacing w:val="-2"/>
        </w:rPr>
        <w:t>月，经山东丽鹏包装有限公司</w:t>
      </w:r>
      <w:r>
        <w:rPr>
          <w:rFonts w:ascii="宋体" w:hAnsi="宋体" w:cs="宋体" w:eastAsia="宋体" w:hint="default"/>
          <w:spacing w:val="-2"/>
        </w:rPr>
        <w:t>2007</w:t>
      </w:r>
      <w:r>
        <w:rPr>
          <w:spacing w:val="-2"/>
        </w:rPr>
        <w:t>年第二次临时股东会决议通过，山东丽鹏包装有限公司整体变更为山东丽鹏</w:t>
      </w:r>
      <w:r>
        <w:rPr/>
        <w:t> 股份有限公司，变更后注册资本仍为</w:t>
      </w:r>
      <w:r>
        <w:rPr>
          <w:rFonts w:ascii="宋体" w:hAnsi="宋体" w:cs="宋体" w:eastAsia="宋体" w:hint="default"/>
        </w:rPr>
        <w:t>4000</w:t>
      </w:r>
      <w:r>
        <w:rPr/>
        <w:t>万元。</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4</w:t>
      </w:r>
      <w:r>
        <w:rPr/>
        <w:t>日，公司取得了山东省工商行政管理局换发的注册号为 </w:t>
      </w:r>
      <w:r>
        <w:rPr>
          <w:rFonts w:ascii="宋体" w:hAnsi="宋体" w:cs="宋体" w:eastAsia="宋体" w:hint="default"/>
        </w:rPr>
        <w:t>370600228099328</w:t>
      </w:r>
      <w:r>
        <w:rPr/>
        <w:t>的企业法人营业执照。</w:t>
      </w:r>
    </w:p>
    <w:p>
      <w:pPr>
        <w:pStyle w:val="BodyText"/>
        <w:spacing w:line="316" w:lineRule="auto" w:before="19"/>
        <w:ind w:right="1131" w:firstLine="360"/>
        <w:jc w:val="both"/>
      </w:pPr>
      <w:r>
        <w:rPr>
          <w:rFonts w:ascii="宋体" w:hAnsi="宋体" w:cs="宋体" w:eastAsia="宋体" w:hint="default"/>
          <w:spacing w:val="-2"/>
        </w:rPr>
        <w:t>2010</w:t>
      </w:r>
      <w:r>
        <w:rPr>
          <w:spacing w:val="-2"/>
        </w:rPr>
        <w:t>年</w:t>
      </w:r>
      <w:r>
        <w:rPr>
          <w:rFonts w:ascii="宋体" w:hAnsi="宋体" w:cs="宋体" w:eastAsia="宋体" w:hint="default"/>
          <w:spacing w:val="-2"/>
        </w:rPr>
        <w:t>2</w:t>
      </w:r>
      <w:r>
        <w:rPr>
          <w:spacing w:val="-2"/>
        </w:rPr>
        <w:t>月，经中国证券监督管理委员会以证监许可</w:t>
      </w:r>
      <w:r>
        <w:rPr>
          <w:rFonts w:ascii="宋体" w:hAnsi="宋体" w:cs="宋体" w:eastAsia="宋体" w:hint="default"/>
          <w:spacing w:val="-2"/>
        </w:rPr>
        <w:t>[2010]238</w:t>
      </w:r>
      <w:r>
        <w:rPr>
          <w:spacing w:val="-2"/>
        </w:rPr>
        <w:t>号文《关于核准山东丽鹏股份有限公司首次公开发行股票</w:t>
      </w:r>
      <w:r>
        <w:rPr/>
        <w:t> 的批复》的核准，丽鹏公司向社会公开发行人民币普通股</w:t>
      </w:r>
      <w:r>
        <w:rPr>
          <w:rFonts w:ascii="宋体" w:hAnsi="宋体" w:cs="宋体" w:eastAsia="宋体" w:hint="default"/>
        </w:rPr>
        <w:t>1350</w:t>
      </w:r>
      <w:r>
        <w:rPr/>
        <w:t>万股，公司注册资本变更为</w:t>
      </w:r>
      <w:r>
        <w:rPr>
          <w:rFonts w:ascii="宋体" w:hAnsi="宋体" w:cs="宋体" w:eastAsia="宋体" w:hint="default"/>
        </w:rPr>
        <w:t>5350</w:t>
      </w:r>
      <w:r>
        <w:rPr/>
        <w:t>万元。</w:t>
      </w:r>
      <w:r>
        <w:rPr>
          <w:rFonts w:ascii="宋体" w:hAnsi="宋体" w:cs="宋体" w:eastAsia="宋体" w:hint="default"/>
        </w:rPr>
        <w:t>2010</w:t>
      </w:r>
      <w:r>
        <w:rPr/>
        <w:t>年</w:t>
      </w:r>
      <w:r>
        <w:rPr>
          <w:rFonts w:ascii="宋体" w:hAnsi="宋体" w:cs="宋体" w:eastAsia="宋体" w:hint="default"/>
        </w:rPr>
        <w:t>3</w:t>
      </w:r>
      <w:r>
        <w:rPr/>
        <w:t>月在深圳证券 交易所挂牌上市，上市后公司股本总额为人民币</w:t>
      </w:r>
      <w:r>
        <w:rPr>
          <w:rFonts w:ascii="宋体" w:hAnsi="宋体" w:cs="宋体" w:eastAsia="宋体" w:hint="default"/>
        </w:rPr>
        <w:t>5350</w:t>
      </w:r>
      <w:r>
        <w:rPr/>
        <w:t>万元。</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8</w:t>
      </w:r>
      <w:r>
        <w:rPr/>
        <w:t>日，公司完成了工商变更。</w:t>
      </w:r>
    </w:p>
    <w:p>
      <w:pPr>
        <w:pStyle w:val="BodyText"/>
        <w:spacing w:line="316" w:lineRule="auto" w:before="19"/>
        <w:ind w:right="1124"/>
        <w:jc w:val="left"/>
      </w:pP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w:t>
      </w:r>
      <w:r>
        <w:rPr>
          <w:rFonts w:ascii="宋体" w:hAnsi="宋体" w:cs="宋体" w:eastAsia="宋体" w:hint="default"/>
          <w:spacing w:val="16"/>
        </w:rPr>
        <w:t> </w:t>
      </w:r>
      <w:r>
        <w:rPr>
          <w:spacing w:val="-2"/>
        </w:rPr>
        <w:t>根据公司</w:t>
      </w:r>
      <w:r>
        <w:rPr>
          <w:rFonts w:ascii="宋体" w:hAnsi="宋体" w:cs="宋体" w:eastAsia="宋体" w:hint="default"/>
          <w:spacing w:val="-2"/>
        </w:rPr>
        <w:t>2010</w:t>
      </w:r>
      <w:r>
        <w:rPr>
          <w:spacing w:val="-2"/>
        </w:rPr>
        <w:t>年股东大会通过《</w:t>
      </w:r>
      <w:r>
        <w:rPr>
          <w:rFonts w:ascii="宋体" w:hAnsi="宋体" w:cs="宋体" w:eastAsia="宋体" w:hint="default"/>
          <w:spacing w:val="-2"/>
        </w:rPr>
        <w:t>2010</w:t>
      </w:r>
      <w:r>
        <w:rPr>
          <w:spacing w:val="-2"/>
        </w:rPr>
        <w:t>年利润分配预案》，公司按每</w:t>
      </w:r>
      <w:r>
        <w:rPr>
          <w:rFonts w:ascii="宋体" w:hAnsi="宋体" w:cs="宋体" w:eastAsia="宋体" w:hint="default"/>
          <w:spacing w:val="-2"/>
        </w:rPr>
        <w:t>10</w:t>
      </w:r>
      <w:r>
        <w:rPr>
          <w:spacing w:val="-2"/>
        </w:rPr>
        <w:t>股转增</w:t>
      </w:r>
      <w:r>
        <w:rPr>
          <w:rFonts w:ascii="宋体" w:hAnsi="宋体" w:cs="宋体" w:eastAsia="宋体" w:hint="default"/>
          <w:spacing w:val="-2"/>
        </w:rPr>
        <w:t>6</w:t>
      </w:r>
      <w:r>
        <w:rPr>
          <w:spacing w:val="-2"/>
        </w:rPr>
        <w:t>股的比例，以资本公积向全体股东</w:t>
      </w:r>
      <w:r>
        <w:rPr/>
        <w:t> 转增股份总额</w:t>
      </w:r>
      <w:r>
        <w:rPr>
          <w:rFonts w:ascii="宋体" w:hAnsi="宋体" w:cs="宋体" w:eastAsia="宋体" w:hint="default"/>
        </w:rPr>
        <w:t>3210</w:t>
      </w:r>
      <w:r>
        <w:rPr/>
        <w:t>万股，增加股本</w:t>
      </w:r>
      <w:r>
        <w:rPr>
          <w:rFonts w:ascii="宋体" w:hAnsi="宋体" w:cs="宋体" w:eastAsia="宋体" w:hint="default"/>
        </w:rPr>
        <w:t>3210</w:t>
      </w:r>
      <w:r>
        <w:rPr/>
        <w:t>万元。</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27</w:t>
      </w:r>
      <w:r>
        <w:rPr/>
        <w:t>日，公司完成了工商变更，注册资本变更为</w:t>
      </w:r>
      <w:r>
        <w:rPr>
          <w:rFonts w:ascii="宋体" w:hAnsi="宋体" w:cs="宋体" w:eastAsia="宋体" w:hint="default"/>
        </w:rPr>
        <w:t>8560</w:t>
      </w:r>
      <w:r>
        <w:rPr/>
        <w:t>万元。</w:t>
      </w:r>
    </w:p>
    <w:p>
      <w:pPr>
        <w:pStyle w:val="BodyText"/>
        <w:spacing w:line="316" w:lineRule="auto" w:before="19"/>
        <w:ind w:right="1139" w:firstLine="360"/>
        <w:jc w:val="both"/>
      </w:pP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w:t>
      </w:r>
      <w:r>
        <w:rPr/>
        <w:t>经中国证券监督管理委员会以证监许可【</w:t>
      </w:r>
      <w:r>
        <w:rPr>
          <w:rFonts w:ascii="宋体" w:hAnsi="宋体" w:cs="宋体" w:eastAsia="宋体" w:hint="default"/>
        </w:rPr>
        <w:t>2012</w:t>
      </w:r>
      <w:r>
        <w:rPr/>
        <w:t>】</w:t>
      </w:r>
      <w:r>
        <w:rPr>
          <w:rFonts w:ascii="宋体" w:hAnsi="宋体" w:cs="宋体" w:eastAsia="宋体" w:hint="default"/>
        </w:rPr>
        <w:t>1328</w:t>
      </w:r>
      <w:r>
        <w:rPr/>
        <w:t>号文《关于核准山东丽鹏股份有限公司非公开发行股 票的批复》核准，公司向特定对象非公开发行人民币普通股</w:t>
      </w:r>
      <w:r>
        <w:rPr>
          <w:rFonts w:ascii="宋体" w:hAnsi="宋体" w:cs="宋体" w:eastAsia="宋体" w:hint="default"/>
        </w:rPr>
        <w:t>20,738,461</w:t>
      </w:r>
      <w:r>
        <w:rPr/>
        <w:t>股。</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w:t>
      </w:r>
      <w:r>
        <w:rPr/>
        <w:t>日，公司完成了工商变更，注册资 本变更为</w:t>
      </w:r>
      <w:r>
        <w:rPr>
          <w:rFonts w:ascii="宋体" w:hAnsi="宋体" w:cs="宋体" w:eastAsia="宋体" w:hint="default"/>
        </w:rPr>
        <w:t>106,338,461</w:t>
      </w:r>
      <w:r>
        <w:rPr/>
        <w:t>元。</w:t>
      </w:r>
    </w:p>
    <w:p>
      <w:pPr>
        <w:pStyle w:val="BodyText"/>
        <w:spacing w:line="319" w:lineRule="auto" w:before="19"/>
        <w:ind w:right="1139" w:firstLine="360"/>
        <w:jc w:val="both"/>
      </w:pP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月，依据公司</w:t>
      </w:r>
      <w:r>
        <w:rPr>
          <w:rFonts w:ascii="宋体" w:hAnsi="宋体" w:cs="宋体" w:eastAsia="宋体" w:hint="default"/>
          <w:spacing w:val="-2"/>
        </w:rPr>
        <w:t>2012</w:t>
      </w:r>
      <w:r>
        <w:rPr>
          <w:spacing w:val="-2"/>
        </w:rPr>
        <w:t>年年度股东大会决议通过的《公司</w:t>
      </w:r>
      <w:r>
        <w:rPr>
          <w:rFonts w:ascii="宋体" w:hAnsi="宋体" w:cs="宋体" w:eastAsia="宋体" w:hint="default"/>
          <w:spacing w:val="-2"/>
        </w:rPr>
        <w:t>2012</w:t>
      </w:r>
      <w:r>
        <w:rPr>
          <w:spacing w:val="-2"/>
        </w:rPr>
        <w:t>年度利润分配预案》，按每</w:t>
      </w:r>
      <w:r>
        <w:rPr>
          <w:rFonts w:ascii="宋体" w:hAnsi="宋体" w:cs="宋体" w:eastAsia="宋体" w:hint="default"/>
          <w:spacing w:val="-2"/>
        </w:rPr>
        <w:t>10</w:t>
      </w:r>
      <w:r>
        <w:rPr>
          <w:spacing w:val="-2"/>
        </w:rPr>
        <w:t>股转增</w:t>
      </w:r>
      <w:r>
        <w:rPr>
          <w:rFonts w:ascii="宋体" w:hAnsi="宋体" w:cs="宋体" w:eastAsia="宋体" w:hint="default"/>
          <w:spacing w:val="-2"/>
        </w:rPr>
        <w:t>8</w:t>
      </w:r>
      <w:r>
        <w:rPr>
          <w:spacing w:val="-2"/>
        </w:rPr>
        <w:t>股的比例，以资</w:t>
      </w:r>
      <w:r>
        <w:rPr/>
        <w:t> 本公积向全体股东转增股份</w:t>
      </w:r>
      <w:r>
        <w:rPr>
          <w:rFonts w:ascii="宋体" w:hAnsi="宋体" w:cs="宋体" w:eastAsia="宋体" w:hint="default"/>
        </w:rPr>
        <w:t>,</w:t>
      </w:r>
      <w:r>
        <w:rPr/>
        <w:t>增加股本</w:t>
      </w:r>
      <w:r>
        <w:rPr>
          <w:rFonts w:ascii="宋体" w:hAnsi="宋体" w:cs="宋体" w:eastAsia="宋体" w:hint="default"/>
        </w:rPr>
        <w:t>85,070,768.00</w:t>
      </w:r>
      <w:r>
        <w:rPr/>
        <w:t>元，变更后的注册资本人民币</w:t>
      </w:r>
      <w:r>
        <w:rPr>
          <w:rFonts w:ascii="宋体" w:hAnsi="宋体" w:cs="宋体" w:eastAsia="宋体" w:hint="default"/>
        </w:rPr>
        <w:t>191,409,229.00</w:t>
      </w:r>
      <w:r>
        <w:rPr/>
        <w:t>元。</w:t>
      </w:r>
      <w:r>
        <w:rPr>
          <w:rFonts w:ascii="宋体" w:hAnsi="宋体" w:cs="宋体" w:eastAsia="宋体" w:hint="default"/>
        </w:rPr>
        <w:t>2013</w:t>
      </w:r>
      <w:r>
        <w:rPr/>
        <w:t>年</w:t>
      </w:r>
      <w:r>
        <w:rPr>
          <w:rFonts w:ascii="宋体" w:hAnsi="宋体" w:cs="宋体" w:eastAsia="宋体" w:hint="default"/>
        </w:rPr>
        <w:t>6</w:t>
      </w:r>
      <w:r>
        <w:rPr/>
        <w:t>月，公司完 成了工商变更。</w:t>
      </w:r>
    </w:p>
    <w:p>
      <w:pPr>
        <w:pStyle w:val="BodyText"/>
        <w:spacing w:line="316" w:lineRule="auto" w:before="17"/>
        <w:ind w:right="982" w:firstLine="360"/>
        <w:jc w:val="left"/>
      </w:pP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月，经中国证券监督管理委员会文《关于核准山东丽鹏股份有限公司向汤于等发行股份购买资产并募集配套资</w:t>
      </w:r>
      <w:r>
        <w:rPr/>
        <w:t> </w:t>
      </w:r>
      <w:r>
        <w:rPr>
          <w:spacing w:val="-3"/>
        </w:rPr>
        <w:t>金的批复》（证监许可</w:t>
      </w:r>
      <w:r>
        <w:rPr>
          <w:rFonts w:ascii="宋体" w:hAnsi="宋体" w:cs="宋体" w:eastAsia="宋体" w:hint="default"/>
          <w:spacing w:val="-3"/>
        </w:rPr>
        <w:t>[2014]1256</w:t>
      </w:r>
      <w:r>
        <w:rPr>
          <w:spacing w:val="-3"/>
        </w:rPr>
        <w:t>号）核准，公司向汤于等</w:t>
      </w:r>
      <w:r>
        <w:rPr>
          <w:rFonts w:ascii="宋体" w:hAnsi="宋体" w:cs="宋体" w:eastAsia="宋体" w:hint="default"/>
          <w:spacing w:val="-3"/>
        </w:rPr>
        <w:t>58</w:t>
      </w:r>
      <w:r>
        <w:rPr>
          <w:spacing w:val="-3"/>
        </w:rPr>
        <w:t>名交易对象发行人民币普通股</w:t>
      </w:r>
      <w:r>
        <w:rPr>
          <w:rFonts w:ascii="宋体" w:hAnsi="宋体" w:cs="宋体" w:eastAsia="宋体" w:hint="default"/>
          <w:spacing w:val="-3"/>
        </w:rPr>
        <w:t>101,553,992.00</w:t>
      </w:r>
      <w:r>
        <w:rPr>
          <w:spacing w:val="-3"/>
        </w:rPr>
        <w:t>股；向孙世尧等</w:t>
      </w:r>
      <w:r>
        <w:rPr>
          <w:rFonts w:ascii="宋体" w:hAnsi="宋体" w:cs="宋体" w:eastAsia="宋体" w:hint="default"/>
          <w:spacing w:val="-3"/>
        </w:rPr>
        <w:t>9</w:t>
      </w:r>
      <w:r>
        <w:rPr>
          <w:rFonts w:ascii="宋体" w:hAnsi="宋体" w:cs="宋体" w:eastAsia="宋体" w:hint="default"/>
          <w:spacing w:val="-61"/>
        </w:rPr>
        <w:t> </w:t>
      </w:r>
      <w:r>
        <w:rPr/>
        <w:t>名特定对象非公开发行人民币普通股</w:t>
      </w:r>
      <w:r>
        <w:rPr>
          <w:rFonts w:ascii="宋体" w:hAnsi="宋体" w:cs="宋体" w:eastAsia="宋体" w:hint="default"/>
        </w:rPr>
        <w:t>36,690,000.00</w:t>
      </w:r>
      <w:r>
        <w:rPr/>
        <w:t>股。</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9</w:t>
      </w:r>
      <w:r>
        <w:rPr/>
        <w:t>日，公司完成了工商变更，注册资本变更为 </w:t>
      </w:r>
      <w:r>
        <w:rPr>
          <w:rFonts w:ascii="宋体" w:hAnsi="宋体" w:cs="宋体" w:eastAsia="宋体" w:hint="default"/>
        </w:rPr>
        <w:t>329,653,221.00 </w:t>
      </w:r>
      <w:r>
        <w:rPr/>
        <w:t>元。</w:t>
      </w:r>
    </w:p>
    <w:p>
      <w:pPr>
        <w:pStyle w:val="BodyText"/>
        <w:spacing w:line="316" w:lineRule="auto" w:before="19"/>
        <w:ind w:right="982" w:firstLine="360"/>
        <w:jc w:val="left"/>
      </w:pP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月，经中国证券监督管理委员会文《关于核准山东丽鹏股份有限公司非公开发行股票的批复》（证监许可</w:t>
      </w:r>
      <w:r>
        <w:rPr/>
        <w:t> </w:t>
      </w:r>
      <w:r>
        <w:rPr>
          <w:rFonts w:ascii="宋体" w:hAnsi="宋体" w:cs="宋体" w:eastAsia="宋体" w:hint="default"/>
          <w:spacing w:val="-2"/>
        </w:rPr>
        <w:t>[2015]2986</w:t>
      </w:r>
      <w:r>
        <w:rPr>
          <w:spacing w:val="-2"/>
        </w:rPr>
        <w:t>号）核准，公司向兰坤等三位特定对象非公开发行人民币普通股</w:t>
      </w:r>
      <w:r>
        <w:rPr>
          <w:rFonts w:ascii="宋体" w:hAnsi="宋体" w:cs="宋体" w:eastAsia="宋体" w:hint="default"/>
          <w:spacing w:val="-2"/>
        </w:rPr>
        <w:t>21,970,000.00</w:t>
      </w:r>
      <w:r>
        <w:rPr>
          <w:spacing w:val="-2"/>
        </w:rPr>
        <w:t>股。</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29</w:t>
      </w:r>
      <w:r>
        <w:rPr>
          <w:spacing w:val="-2"/>
        </w:rPr>
        <w:t>日，公司完成了</w:t>
      </w:r>
      <w:r>
        <w:rPr>
          <w:spacing w:val="-36"/>
        </w:rPr>
        <w:t> </w:t>
      </w:r>
      <w:r>
        <w:rPr>
          <w:spacing w:val="-36"/>
        </w:rPr>
      </w:r>
      <w:r>
        <w:rPr/>
        <w:t>工商变更，注册资本变更为</w:t>
      </w:r>
      <w:r>
        <w:rPr>
          <w:rFonts w:ascii="宋体" w:hAnsi="宋体" w:cs="宋体" w:eastAsia="宋体" w:hint="default"/>
        </w:rPr>
        <w:t>351,623,221.00</w:t>
      </w:r>
      <w:r>
        <w:rPr/>
        <w:t>元。</w:t>
      </w:r>
    </w:p>
    <w:p>
      <w:pPr>
        <w:pStyle w:val="BodyText"/>
        <w:spacing w:line="316" w:lineRule="auto" w:before="19"/>
        <w:ind w:right="1130" w:firstLine="360"/>
        <w:jc w:val="both"/>
      </w:pPr>
      <w:r>
        <w:rPr>
          <w:rFonts w:ascii="宋体" w:hAnsi="宋体" w:cs="宋体" w:eastAsia="宋体" w:hint="default"/>
          <w:spacing w:val="-3"/>
        </w:rPr>
        <w:t>2016</w:t>
      </w:r>
      <w:r>
        <w:rPr>
          <w:spacing w:val="-3"/>
        </w:rPr>
        <w:t>年</w:t>
      </w:r>
      <w:r>
        <w:rPr>
          <w:rFonts w:ascii="宋体" w:hAnsi="宋体" w:cs="宋体" w:eastAsia="宋体" w:hint="default"/>
          <w:spacing w:val="-3"/>
        </w:rPr>
        <w:t>4</w:t>
      </w:r>
      <w:r>
        <w:rPr>
          <w:spacing w:val="-3"/>
        </w:rPr>
        <w:t>月，依据公司</w:t>
      </w:r>
      <w:r>
        <w:rPr>
          <w:rFonts w:ascii="宋体" w:hAnsi="宋体" w:cs="宋体" w:eastAsia="宋体" w:hint="default"/>
          <w:spacing w:val="-3"/>
        </w:rPr>
        <w:t>2015</w:t>
      </w:r>
      <w:r>
        <w:rPr>
          <w:spacing w:val="-3"/>
        </w:rPr>
        <w:t>年年度股东大会决议通过的《公司</w:t>
      </w:r>
      <w:r>
        <w:rPr>
          <w:rFonts w:ascii="宋体" w:hAnsi="宋体" w:cs="宋体" w:eastAsia="宋体" w:hint="default"/>
          <w:spacing w:val="-3"/>
        </w:rPr>
        <w:t>2015</w:t>
      </w:r>
      <w:r>
        <w:rPr>
          <w:spacing w:val="-3"/>
        </w:rPr>
        <w:t>年度利润分配预案》，按每</w:t>
      </w:r>
      <w:r>
        <w:rPr>
          <w:rFonts w:ascii="宋体" w:hAnsi="宋体" w:cs="宋体" w:eastAsia="宋体" w:hint="default"/>
          <w:spacing w:val="-3"/>
        </w:rPr>
        <w:t>10</w:t>
      </w:r>
      <w:r>
        <w:rPr>
          <w:spacing w:val="-3"/>
        </w:rPr>
        <w:t>股转增</w:t>
      </w:r>
      <w:r>
        <w:rPr>
          <w:rFonts w:ascii="宋体" w:hAnsi="宋体" w:cs="宋体" w:eastAsia="宋体" w:hint="default"/>
          <w:spacing w:val="-3"/>
        </w:rPr>
        <w:t>12</w:t>
      </w:r>
      <w:r>
        <w:rPr>
          <w:spacing w:val="-3"/>
        </w:rPr>
        <w:t>股的比例，以资</w:t>
      </w:r>
      <w:r>
        <w:rPr/>
        <w:t> </w:t>
      </w:r>
      <w:r>
        <w:rPr>
          <w:spacing w:val="-2"/>
        </w:rPr>
        <w:t>本公积向全体股东转增股份</w:t>
      </w:r>
      <w:r>
        <w:rPr>
          <w:rFonts w:ascii="宋体" w:hAnsi="宋体" w:cs="宋体" w:eastAsia="宋体" w:hint="default"/>
          <w:spacing w:val="-2"/>
        </w:rPr>
        <w:t>,</w:t>
      </w:r>
      <w:r>
        <w:rPr>
          <w:spacing w:val="-2"/>
        </w:rPr>
        <w:t>增加股本</w:t>
      </w:r>
      <w:r>
        <w:rPr>
          <w:rFonts w:ascii="宋体" w:hAnsi="宋体" w:cs="宋体" w:eastAsia="宋体" w:hint="default"/>
          <w:spacing w:val="-2"/>
        </w:rPr>
        <w:t>421,947,865.00</w:t>
      </w:r>
      <w:r>
        <w:rPr>
          <w:spacing w:val="-2"/>
        </w:rPr>
        <w:t>元，变更后的注册资本人民币</w:t>
      </w:r>
      <w:r>
        <w:rPr>
          <w:rFonts w:ascii="宋体" w:hAnsi="宋体" w:cs="宋体" w:eastAsia="宋体" w:hint="default"/>
          <w:spacing w:val="-2"/>
        </w:rPr>
        <w:t>773,571,086.00</w:t>
      </w:r>
      <w:r>
        <w:rPr>
          <w:spacing w:val="-2"/>
        </w:rPr>
        <w:t>元。</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月，公司完</w:t>
      </w:r>
      <w:r>
        <w:rPr>
          <w:spacing w:val="-33"/>
        </w:rPr>
        <w:t> </w:t>
      </w:r>
      <w:r>
        <w:rPr>
          <w:spacing w:val="-33"/>
        </w:rPr>
      </w:r>
      <w:r>
        <w:rPr/>
        <w:t>成了工商变更。</w:t>
      </w:r>
    </w:p>
    <w:p>
      <w:pPr>
        <w:pStyle w:val="BodyText"/>
        <w:spacing w:line="240" w:lineRule="auto" w:before="19"/>
        <w:ind w:left="474" w:right="982"/>
        <w:jc w:val="left"/>
        <w:rPr>
          <w:rFonts w:ascii="宋体" w:hAnsi="宋体" w:cs="宋体" w:eastAsia="宋体" w:hint="default"/>
        </w:rPr>
      </w:pPr>
      <w:r>
        <w:rPr>
          <w:rFonts w:ascii="宋体" w:hAnsi="宋体" w:cs="宋体" w:eastAsia="宋体" w:hint="default"/>
        </w:rPr>
        <w:t>2016</w:t>
      </w:r>
      <w:r>
        <w:rPr/>
        <w:t>年</w:t>
      </w:r>
      <w:r>
        <w:rPr>
          <w:rFonts w:ascii="宋体" w:hAnsi="宋体" w:cs="宋体" w:eastAsia="宋体" w:hint="default"/>
        </w:rPr>
        <w:t>9</w:t>
      </w:r>
      <w:r>
        <w:rPr/>
        <w:t>月</w:t>
      </w:r>
      <w:r>
        <w:rPr>
          <w:spacing w:val="-28"/>
        </w:rPr>
        <w:t>，</w:t>
      </w:r>
      <w:r>
        <w:rPr/>
        <w:t>经中国证券监督管理委员会</w:t>
      </w:r>
      <w:r>
        <w:rPr>
          <w:spacing w:val="-28"/>
        </w:rPr>
        <w:t>文</w:t>
      </w:r>
      <w:r>
        <w:rPr/>
        <w:t>《关于核准山东丽鹏股份有限公司非公开发行股票的批复</w:t>
      </w:r>
      <w:r>
        <w:rPr>
          <w:spacing w:val="-118"/>
        </w:rPr>
        <w:t>》</w:t>
      </w:r>
      <w:r>
        <w:rPr/>
        <w:t>（证监许可</w:t>
      </w:r>
      <w:r>
        <w:rPr>
          <w:rFonts w:ascii="宋体" w:hAnsi="宋体" w:cs="宋体" w:eastAsia="宋体" w:hint="default"/>
        </w:rPr>
        <w:t>[2016]</w:t>
      </w:r>
    </w:p>
    <w:p>
      <w:pPr>
        <w:pStyle w:val="BodyText"/>
        <w:spacing w:line="316" w:lineRule="auto" w:before="76"/>
        <w:ind w:right="1122"/>
        <w:jc w:val="left"/>
      </w:pPr>
      <w:r>
        <w:rPr>
          <w:rFonts w:ascii="宋体" w:hAnsi="宋体" w:cs="宋体" w:eastAsia="宋体" w:hint="default"/>
        </w:rPr>
        <w:t>2025</w:t>
      </w:r>
      <w:r>
        <w:rPr/>
        <w:t>号）核准，公司向诺德基金管理有限公司等</w:t>
      </w:r>
      <w:r>
        <w:rPr>
          <w:rFonts w:ascii="宋体" w:hAnsi="宋体" w:cs="宋体" w:eastAsia="宋体" w:hint="default"/>
        </w:rPr>
        <w:t>9</w:t>
      </w:r>
      <w:r>
        <w:rPr/>
        <w:t>名特定投资者非公开发行人民币普通股</w:t>
      </w:r>
      <w:r>
        <w:rPr>
          <w:rFonts w:ascii="宋体" w:hAnsi="宋体" w:cs="宋体" w:eastAsia="宋体" w:hint="default"/>
        </w:rPr>
        <w:t>103,856,382.00</w:t>
      </w:r>
      <w:r>
        <w:rPr/>
        <w:t>股。</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13 </w:t>
      </w:r>
      <w:r>
        <w:rPr/>
        <w:t>日，公司完成了工商变更，注册资本变更为</w:t>
      </w:r>
      <w:r>
        <w:rPr>
          <w:rFonts w:ascii="宋体" w:hAnsi="宋体" w:cs="宋体" w:eastAsia="宋体" w:hint="default"/>
        </w:rPr>
        <w:t>877,427,468.00</w:t>
      </w:r>
      <w:r>
        <w:rPr/>
        <w:t>元。</w:t>
      </w:r>
    </w:p>
    <w:p>
      <w:pPr>
        <w:pStyle w:val="BodyText"/>
        <w:spacing w:line="316" w:lineRule="auto" w:before="19"/>
        <w:ind w:left="474" w:right="982"/>
        <w:jc w:val="left"/>
      </w:pPr>
      <w:r>
        <w:rPr/>
        <w:t>公司住所为烟台市牟平区姜格街道办事处丽鹏路</w:t>
      </w:r>
      <w:r>
        <w:rPr>
          <w:rFonts w:ascii="宋体" w:hAnsi="宋体" w:cs="宋体" w:eastAsia="宋体" w:hint="default"/>
        </w:rPr>
        <w:t>1</w:t>
      </w:r>
      <w:r>
        <w:rPr/>
        <w:t>号，公司法定代表人为孙鲲鹏。 </w:t>
      </w:r>
      <w:r>
        <w:rPr>
          <w:spacing w:val="-2"/>
        </w:rPr>
        <w:t>公司经营范围：铝板轧制、印铁、涂料、瓶盖加工、模具制作、橡胶塑料制品、机械设备、针纺织品、服装鞋帽的加工</w:t>
      </w:r>
    </w:p>
    <w:p>
      <w:pPr>
        <w:pStyle w:val="BodyText"/>
        <w:spacing w:line="319" w:lineRule="auto" w:before="19"/>
        <w:ind w:right="982"/>
        <w:jc w:val="left"/>
      </w:pPr>
      <w:r>
        <w:rPr>
          <w:spacing w:val="-5"/>
        </w:rPr>
        <w:t>销售、五金交电、建筑装饰材料、机电产品（不含小轿车）、日用百货，农副产品销售（以上均不含专营专控）；经营本企业</w:t>
      </w:r>
      <w:r>
        <w:rPr>
          <w:spacing w:val="-80"/>
        </w:rPr>
        <w:t> </w:t>
      </w:r>
      <w:r>
        <w:rPr>
          <w:spacing w:val="-80"/>
        </w:rPr>
      </w:r>
      <w:r>
        <w:rPr>
          <w:spacing w:val="-4"/>
        </w:rPr>
        <w:t>自产产品及相关技术的出口业务，本企业生产、科研所需的原辅材料、机械设备、仪器仪表，零配件及相关技术的进口业务；</w:t>
      </w:r>
      <w:r>
        <w:rPr>
          <w:spacing w:val="-44"/>
        </w:rPr>
        <w:t> </w:t>
      </w:r>
      <w:r>
        <w:rPr>
          <w:spacing w:val="-44"/>
        </w:rPr>
      </w:r>
      <w:r>
        <w:rPr>
          <w:spacing w:val="-2"/>
        </w:rPr>
        <w:t>本企业的进料加工和“三来一补”业务；太阳能发电销售。（依法须经批准的项目，经相关部门批准后方可开展经营活动）</w:t>
      </w:r>
    </w:p>
    <w:p>
      <w:pPr>
        <w:pStyle w:val="BodyText"/>
        <w:spacing w:line="316" w:lineRule="auto" w:before="17"/>
        <w:ind w:right="1133" w:firstLine="360"/>
        <w:jc w:val="both"/>
      </w:pPr>
      <w:r>
        <w:rPr>
          <w:spacing w:val="-2"/>
        </w:rPr>
        <w:t>公司主营业务：铝板复合型防伪印刷和防伪瓶盖的生产、销售及相关业务；园林规划设计、施工、养护，苗木养殖、销</w:t>
      </w:r>
      <w:r>
        <w:rPr/>
        <w:t> 售。</w:t>
      </w:r>
    </w:p>
    <w:p>
      <w:pPr>
        <w:spacing w:after="0" w:line="316" w:lineRule="auto"/>
        <w:jc w:val="both"/>
        <w:sectPr>
          <w:footerReference w:type="default" r:id="rId19"/>
          <w:pgSz w:w="11910" w:h="16840"/>
          <w:pgMar w:footer="1019" w:header="907" w:top="1100" w:bottom="1200" w:left="1020" w:right="0"/>
          <w:pgNumType w:start="101"/>
        </w:sectPr>
      </w:pPr>
    </w:p>
    <w:p>
      <w:pPr>
        <w:spacing w:line="240" w:lineRule="auto" w:before="11"/>
        <w:rPr>
          <w:rFonts w:ascii="宋体" w:hAnsi="宋体" w:cs="宋体" w:eastAsia="宋体" w:hint="default"/>
          <w:sz w:val="22"/>
          <w:szCs w:val="22"/>
        </w:rPr>
      </w:pPr>
    </w:p>
    <w:p>
      <w:pPr>
        <w:pStyle w:val="BodyText"/>
        <w:spacing w:line="316" w:lineRule="auto" w:before="44"/>
        <w:ind w:left="474" w:right="1032"/>
        <w:jc w:val="left"/>
      </w:pPr>
      <w:r>
        <w:rPr/>
        <w:t>公司所属行业：瓶盖包装制品制造业；园林工程施工、专业技术服务、园林景观规划设计、苗木种植销售、园林养护。 本财务报表由公司董事会决议批准于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26</w:t>
      </w:r>
      <w:r>
        <w:rPr/>
        <w:t>日报出。</w:t>
      </w:r>
    </w:p>
    <w:p>
      <w:pPr>
        <w:spacing w:line="240" w:lineRule="auto" w:before="4"/>
        <w:rPr>
          <w:rFonts w:ascii="宋体" w:hAnsi="宋体" w:cs="宋体" w:eastAsia="宋体" w:hint="default"/>
          <w:sz w:val="25"/>
          <w:szCs w:val="25"/>
        </w:rPr>
      </w:pPr>
    </w:p>
    <w:p>
      <w:pPr>
        <w:pStyle w:val="BodyText"/>
        <w:spacing w:line="319" w:lineRule="auto"/>
        <w:ind w:left="474" w:right="5352"/>
        <w:jc w:val="left"/>
      </w:pPr>
      <w:r>
        <w:rPr/>
        <w:t>（二）合并报表范围 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日，本公司合并财务报表范围内子公司如下：</w:t>
      </w:r>
    </w:p>
    <w:tbl>
      <w:tblPr>
        <w:tblW w:w="0" w:type="auto"/>
        <w:jc w:val="left"/>
        <w:tblInd w:w="106" w:type="dxa"/>
        <w:tblLayout w:type="fixed"/>
        <w:tblCellMar>
          <w:top w:w="0" w:type="dxa"/>
          <w:left w:w="0" w:type="dxa"/>
          <w:bottom w:w="0" w:type="dxa"/>
          <w:right w:w="0" w:type="dxa"/>
        </w:tblCellMar>
        <w:tblLook w:val="01E0"/>
      </w:tblPr>
      <w:tblGrid>
        <w:gridCol w:w="2998"/>
        <w:gridCol w:w="4483"/>
        <w:gridCol w:w="1728"/>
      </w:tblGrid>
      <w:tr>
        <w:trPr>
          <w:trHeight w:val="355" w:hRule="exact"/>
        </w:trPr>
        <w:tc>
          <w:tcPr>
            <w:tcW w:w="29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44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17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蒲江县工业集中发展区</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3"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北京鹏和祥包装制品有限公司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北京市怀柔区桥梓镇八龙桥雅苑</w:t>
            </w:r>
            <w:r>
              <w:rPr>
                <w:rFonts w:ascii="宋体" w:hAnsi="宋体" w:cs="宋体" w:eastAsia="宋体" w:hint="default"/>
                <w:sz w:val="18"/>
                <w:szCs w:val="18"/>
              </w:rPr>
              <w:t>1</w:t>
            </w:r>
            <w:r>
              <w:rPr>
                <w:rFonts w:ascii="宋体" w:hAnsi="宋体" w:cs="宋体" w:eastAsia="宋体" w:hint="default"/>
                <w:sz w:val="18"/>
                <w:szCs w:val="18"/>
              </w:rPr>
              <w:t>号楼</w:t>
            </w:r>
            <w:r>
              <w:rPr>
                <w:rFonts w:ascii="宋体" w:hAnsi="宋体" w:cs="宋体" w:eastAsia="宋体" w:hint="default"/>
                <w:sz w:val="18"/>
                <w:szCs w:val="18"/>
              </w:rPr>
              <w:t>102</w:t>
            </w:r>
            <w:r>
              <w:rPr>
                <w:rFonts w:ascii="宋体" w:hAnsi="宋体" w:cs="宋体" w:eastAsia="宋体" w:hint="default"/>
                <w:sz w:val="18"/>
                <w:szCs w:val="18"/>
              </w:rPr>
              <w:t>室</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新疆军鹏制盖有限公司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新源县肖尔布拉克</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60.00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亳州丽鹏制盖有限公司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亳州经济开发区华佗大道</w:t>
            </w:r>
            <w:r>
              <w:rPr>
                <w:rFonts w:ascii="宋体" w:hAnsi="宋体" w:cs="宋体" w:eastAsia="宋体" w:hint="default"/>
                <w:sz w:val="18"/>
                <w:szCs w:val="18"/>
              </w:rPr>
              <w:t>1009</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665"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四川泸州丽鹏制盖有限公司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 w:right="6"/>
              <w:jc w:val="left"/>
              <w:rPr>
                <w:rFonts w:ascii="宋体" w:hAnsi="宋体" w:cs="宋体" w:eastAsia="宋体" w:hint="default"/>
                <w:sz w:val="18"/>
                <w:szCs w:val="18"/>
              </w:rPr>
            </w:pPr>
            <w:r>
              <w:rPr>
                <w:rFonts w:ascii="宋体" w:hAnsi="宋体" w:cs="宋体" w:eastAsia="宋体" w:hint="default"/>
                <w:spacing w:val="13"/>
                <w:sz w:val="18"/>
                <w:szCs w:val="18"/>
              </w:rPr>
              <w:t>泸州市场江阳区黄舣镇泸州酒业集中发展区聚源大道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F006</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85.71</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山东丽鹏国际贸易有限公司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烟台市牟平区姜格庄街道办事处丽鹏路</w:t>
            </w:r>
            <w:r>
              <w:rPr>
                <w:rFonts w:ascii="宋体" w:hAnsi="宋体" w:cs="宋体" w:eastAsia="宋体" w:hint="default"/>
                <w:sz w:val="18"/>
                <w:szCs w:val="18"/>
              </w:rPr>
              <w:t>1</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大冶市劲鹏制盖有限公司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湖北省大冶市金港路</w:t>
            </w:r>
            <w:r>
              <w:rPr>
                <w:rFonts w:ascii="宋体" w:hAnsi="宋体" w:cs="宋体" w:eastAsia="宋体" w:hint="default"/>
                <w:sz w:val="18"/>
                <w:szCs w:val="18"/>
              </w:rPr>
              <w:t>5</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3"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烟台市鹏科能源有限公司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山东省烟台市牟平区姜格庄街道办事处丽鹏路</w:t>
            </w:r>
            <w:r>
              <w:rPr>
                <w:rFonts w:ascii="宋体" w:hAnsi="宋体" w:cs="宋体" w:eastAsia="宋体" w:hint="default"/>
                <w:sz w:val="18"/>
                <w:szCs w:val="18"/>
              </w:rPr>
              <w:t>1</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烟台丽鹏投资有限公司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山东省烟台市莱山区港城东大街</w:t>
            </w:r>
            <w:r>
              <w:rPr>
                <w:rFonts w:ascii="宋体" w:hAnsi="宋体" w:cs="宋体" w:eastAsia="宋体" w:hint="default"/>
                <w:sz w:val="18"/>
                <w:szCs w:val="18"/>
              </w:rPr>
              <w:t>289</w:t>
            </w:r>
            <w:r>
              <w:rPr>
                <w:rFonts w:ascii="宋体" w:hAnsi="宋体" w:cs="宋体" w:eastAsia="宋体" w:hint="default"/>
                <w:sz w:val="18"/>
                <w:szCs w:val="18"/>
              </w:rPr>
              <w:t>号</w:t>
            </w:r>
            <w:r>
              <w:rPr>
                <w:rFonts w:ascii="宋体" w:hAnsi="宋体" w:cs="宋体" w:eastAsia="宋体" w:hint="default"/>
                <w:sz w:val="18"/>
                <w:szCs w:val="18"/>
              </w:rPr>
              <w:t>2504</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51.00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山东丽鹏包装科技有限公司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山东省烟台市牟平区姜格庄街道丽鹏路</w:t>
            </w:r>
            <w:r>
              <w:rPr>
                <w:rFonts w:ascii="宋体" w:hAnsi="宋体" w:cs="宋体" w:eastAsia="宋体" w:hint="default"/>
                <w:sz w:val="18"/>
                <w:szCs w:val="18"/>
              </w:rPr>
              <w:t>1</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3"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重庆市江北区渝北四村</w:t>
            </w:r>
            <w:r>
              <w:rPr>
                <w:rFonts w:ascii="宋体" w:hAnsi="宋体" w:cs="宋体" w:eastAsia="宋体" w:hint="default"/>
                <w:sz w:val="18"/>
                <w:szCs w:val="18"/>
              </w:rPr>
              <w:t>155</w:t>
            </w:r>
            <w:r>
              <w:rPr>
                <w:rFonts w:ascii="宋体" w:hAnsi="宋体" w:cs="宋体" w:eastAsia="宋体" w:hint="default"/>
                <w:sz w:val="18"/>
                <w:szCs w:val="18"/>
              </w:rPr>
              <w:t>号</w:t>
            </w:r>
            <w:r>
              <w:rPr>
                <w:rFonts w:ascii="宋体" w:hAnsi="宋体" w:cs="宋体" w:eastAsia="宋体" w:hint="default"/>
                <w:sz w:val="18"/>
                <w:szCs w:val="18"/>
              </w:rPr>
              <w:t>7-1</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664"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巴中华丰建设发展有限公司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 w:right="0"/>
              <w:jc w:val="left"/>
              <w:rPr>
                <w:rFonts w:ascii="宋体" w:hAnsi="宋体" w:cs="宋体" w:eastAsia="宋体" w:hint="default"/>
                <w:sz w:val="18"/>
                <w:szCs w:val="18"/>
              </w:rPr>
            </w:pPr>
            <w:r>
              <w:rPr>
                <w:rFonts w:ascii="宋体" w:hAnsi="宋体" w:cs="宋体" w:eastAsia="宋体" w:hint="default"/>
                <w:spacing w:val="5"/>
                <w:sz w:val="18"/>
                <w:szCs w:val="18"/>
              </w:rPr>
              <w:t>四川省巴中市巴州区巴州大道中段龙湖花园十五幢</w:t>
            </w:r>
            <w:r>
              <w:rPr>
                <w:rFonts w:ascii="宋体" w:hAnsi="宋体" w:cs="宋体" w:eastAsia="宋体" w:hint="default"/>
                <w:spacing w:val="5"/>
                <w:sz w:val="18"/>
                <w:szCs w:val="18"/>
              </w:rPr>
              <w:t>F2</w:t>
            </w:r>
            <w:r>
              <w:rPr>
                <w:rFonts w:ascii="宋体" w:hAnsi="宋体" w:cs="宋体" w:eastAsia="宋体" w:hint="default"/>
                <w:spacing w:val="5"/>
                <w:sz w:val="18"/>
                <w:szCs w:val="18"/>
              </w:rPr>
              <w:t>单</w:t>
            </w:r>
            <w:r>
              <w:rPr>
                <w:rFonts w:ascii="宋体" w:hAnsi="宋体" w:cs="宋体" w:eastAsia="宋体" w:hint="default"/>
                <w:spacing w:val="-88"/>
                <w:sz w:val="18"/>
                <w:szCs w:val="18"/>
              </w:rPr>
              <w:t> </w:t>
            </w:r>
            <w:r>
              <w:rPr>
                <w:rFonts w:ascii="宋体" w:hAnsi="宋体" w:cs="宋体" w:eastAsia="宋体" w:hint="default"/>
                <w:sz w:val="18"/>
                <w:szCs w:val="18"/>
              </w:rPr>
              <w:t>元二楼一号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80.00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安顺华宇生态建设有限公司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贵州省安顺市西秀区龙青路电力城天瀑阳光商业街</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7"/>
              <w:jc w:val="right"/>
              <w:rPr>
                <w:rFonts w:ascii="宋体" w:hAnsi="宋体" w:cs="宋体" w:eastAsia="宋体" w:hint="default"/>
                <w:sz w:val="18"/>
                <w:szCs w:val="18"/>
              </w:rPr>
            </w:pPr>
            <w:r>
              <w:rPr>
                <w:rFonts w:ascii="宋体"/>
                <w:sz w:val="18"/>
              </w:rPr>
              <w:t>80.00</w:t>
            </w:r>
          </w:p>
        </w:tc>
      </w:tr>
      <w:tr>
        <w:trPr>
          <w:trHeight w:val="665"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
              <w:jc w:val="left"/>
              <w:rPr>
                <w:rFonts w:ascii="宋体" w:hAnsi="宋体" w:cs="宋体" w:eastAsia="宋体" w:hint="default"/>
                <w:sz w:val="18"/>
                <w:szCs w:val="18"/>
              </w:rPr>
            </w:pPr>
            <w:r>
              <w:rPr>
                <w:rFonts w:ascii="宋体" w:hAnsi="宋体" w:cs="宋体" w:eastAsia="宋体" w:hint="default"/>
                <w:spacing w:val="5"/>
                <w:sz w:val="18"/>
                <w:szCs w:val="18"/>
              </w:rPr>
              <w:t>重庆东飞凯格建筑景观设计咨询有限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重庆市江北区北滨一路</w:t>
            </w:r>
            <w:r>
              <w:rPr>
                <w:rFonts w:ascii="宋体" w:hAnsi="宋体" w:cs="宋体" w:eastAsia="宋体" w:hint="default"/>
                <w:sz w:val="18"/>
                <w:szCs w:val="18"/>
              </w:rPr>
              <w:t>506</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65.00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重庆秉创新材料科技有限公司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重庆市正阳工业园区园区路白家河</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重庆广裕鑫投资有限公司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重庆市江北区北滨一路</w:t>
            </w:r>
            <w:r>
              <w:rPr>
                <w:rFonts w:ascii="宋体" w:hAnsi="宋体" w:cs="宋体" w:eastAsia="宋体" w:hint="default"/>
                <w:sz w:val="18"/>
                <w:szCs w:val="18"/>
              </w:rPr>
              <w:t>506</w:t>
            </w:r>
            <w:r>
              <w:rPr>
                <w:rFonts w:ascii="宋体" w:hAnsi="宋体" w:cs="宋体" w:eastAsia="宋体" w:hint="default"/>
                <w:sz w:val="18"/>
                <w:szCs w:val="18"/>
              </w:rPr>
              <w:t>号四楼</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3"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山东丽鹏生态建设有限公司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color w:val="121212"/>
                <w:sz w:val="18"/>
                <w:szCs w:val="18"/>
              </w:rPr>
              <w:t>山东省烟台市牟平区姜格庄街道丽鹏路</w:t>
            </w:r>
            <w:r>
              <w:rPr>
                <w:rFonts w:ascii="宋体" w:hAnsi="宋体" w:cs="宋体" w:eastAsia="宋体" w:hint="default"/>
                <w:color w:val="121212"/>
                <w:sz w:val="18"/>
                <w:szCs w:val="18"/>
              </w:rPr>
              <w:t>1</w:t>
            </w:r>
            <w:r>
              <w:rPr>
                <w:rFonts w:ascii="宋体" w:hAnsi="宋体" w:cs="宋体" w:eastAsia="宋体" w:hint="default"/>
                <w:color w:val="121212"/>
                <w:sz w:val="18"/>
                <w:szCs w:val="18"/>
              </w:rPr>
              <w:t>号</w:t>
            </w:r>
            <w:r>
              <w:rPr>
                <w:rFonts w:ascii="宋体" w:hAnsi="宋体" w:cs="宋体" w:eastAsia="宋体" w:hint="default"/>
                <w:sz w:val="18"/>
                <w:szCs w:val="18"/>
              </w:rPr>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重庆翠荟生态旅游文化发展有限公司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color w:val="121212"/>
                <w:sz w:val="18"/>
                <w:szCs w:val="18"/>
              </w:rPr>
              <w:t>重庆市江北区北滨一路</w:t>
            </w:r>
            <w:r>
              <w:rPr>
                <w:rFonts w:ascii="宋体" w:hAnsi="宋体" w:cs="宋体" w:eastAsia="宋体" w:hint="default"/>
                <w:color w:val="121212"/>
                <w:sz w:val="18"/>
                <w:szCs w:val="18"/>
              </w:rPr>
              <w:t>506</w:t>
            </w:r>
            <w:r>
              <w:rPr>
                <w:rFonts w:ascii="宋体" w:hAnsi="宋体" w:cs="宋体" w:eastAsia="宋体" w:hint="default"/>
                <w:color w:val="121212"/>
                <w:sz w:val="18"/>
                <w:szCs w:val="18"/>
              </w:rPr>
              <w:t>号</w:t>
            </w:r>
            <w:r>
              <w:rPr>
                <w:rFonts w:ascii="宋体" w:hAnsi="宋体" w:cs="宋体" w:eastAsia="宋体" w:hint="default"/>
                <w:color w:val="121212"/>
                <w:sz w:val="18"/>
                <w:szCs w:val="18"/>
              </w:rPr>
              <w:t>1</w:t>
            </w:r>
            <w:r>
              <w:rPr>
                <w:rFonts w:ascii="宋体" w:hAnsi="宋体" w:cs="宋体" w:eastAsia="宋体" w:hint="default"/>
                <w:color w:val="121212"/>
                <w:sz w:val="18"/>
                <w:szCs w:val="18"/>
              </w:rPr>
              <w:t>楼</w:t>
            </w:r>
            <w:r>
              <w:rPr>
                <w:rFonts w:ascii="宋体" w:hAnsi="宋体" w:cs="宋体" w:eastAsia="宋体" w:hint="default"/>
                <w:sz w:val="18"/>
                <w:szCs w:val="18"/>
              </w:rPr>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成都丽宇建设工程有限公司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成都市浦江县鹤山街道盐井路</w:t>
            </w:r>
            <w:r>
              <w:rPr>
                <w:rFonts w:ascii="宋体" w:hAnsi="宋体" w:cs="宋体" w:eastAsia="宋体" w:hint="default"/>
                <w:sz w:val="18"/>
                <w:szCs w:val="18"/>
              </w:rPr>
              <w:t>144</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3"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华阴市双华城乡建设工程有限公司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陕西省渭南市华阴市东岳路政府广场东侧嘉阳国际</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79.88</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上海锐科教育科技有限公司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上海市长宁区金钟路</w:t>
            </w:r>
            <w:r>
              <w:rPr>
                <w:rFonts w:ascii="宋体" w:hAnsi="宋体" w:cs="宋体" w:eastAsia="宋体" w:hint="default"/>
                <w:sz w:val="18"/>
                <w:szCs w:val="18"/>
              </w:rPr>
              <w:t>767</w:t>
            </w:r>
            <w:r>
              <w:rPr>
                <w:rFonts w:ascii="宋体" w:hAnsi="宋体" w:cs="宋体" w:eastAsia="宋体" w:hint="default"/>
                <w:sz w:val="18"/>
                <w:szCs w:val="18"/>
              </w:rPr>
              <w:t>弄</w:t>
            </w:r>
            <w:r>
              <w:rPr>
                <w:rFonts w:ascii="宋体" w:hAnsi="宋体" w:cs="宋体" w:eastAsia="宋体" w:hint="default"/>
                <w:sz w:val="18"/>
                <w:szCs w:val="18"/>
              </w:rPr>
              <w:t>2</w:t>
            </w:r>
            <w:r>
              <w:rPr>
                <w:rFonts w:ascii="宋体" w:hAnsi="宋体" w:cs="宋体" w:eastAsia="宋体" w:hint="default"/>
                <w:sz w:val="18"/>
                <w:szCs w:val="18"/>
              </w:rPr>
              <w:t>号</w:t>
            </w:r>
            <w:r>
              <w:rPr>
                <w:rFonts w:ascii="宋体" w:hAnsi="宋体" w:cs="宋体" w:eastAsia="宋体" w:hint="default"/>
                <w:sz w:val="18"/>
                <w:szCs w:val="18"/>
              </w:rPr>
              <w:t>509B</w:t>
            </w:r>
            <w:r>
              <w:rPr>
                <w:rFonts w:ascii="宋体" w:hAnsi="宋体" w:cs="宋体" w:eastAsia="宋体" w:hint="default"/>
                <w:sz w:val="18"/>
                <w:szCs w:val="18"/>
              </w:rPr>
              <w:t>室</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r>
        <w:trPr>
          <w:trHeight w:val="35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苏州中锐智信教育投资有限公司</w:t>
            </w:r>
          </w:p>
        </w:tc>
        <w:tc>
          <w:tcPr>
            <w:tcW w:w="4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苏州工业园区普惠路</w:t>
            </w:r>
            <w:r>
              <w:rPr>
                <w:rFonts w:ascii="宋体" w:hAnsi="宋体" w:cs="宋体" w:eastAsia="宋体" w:hint="default"/>
                <w:sz w:val="18"/>
                <w:szCs w:val="18"/>
              </w:rPr>
              <w:t>456</w:t>
            </w:r>
            <w:r>
              <w:rPr>
                <w:rFonts w:ascii="宋体" w:hAnsi="宋体" w:cs="宋体" w:eastAsia="宋体" w:hint="default"/>
                <w:sz w:val="18"/>
                <w:szCs w:val="18"/>
              </w:rPr>
              <w:t>号</w:t>
            </w:r>
          </w:p>
        </w:tc>
        <w:tc>
          <w:tcPr>
            <w:tcW w:w="17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100.00</w:t>
            </w:r>
          </w:p>
        </w:tc>
      </w:tr>
    </w:tbl>
    <w:p>
      <w:pPr>
        <w:pStyle w:val="BodyText"/>
        <w:spacing w:line="240" w:lineRule="auto" w:before="17"/>
        <w:ind w:right="0"/>
        <w:jc w:val="both"/>
      </w:pPr>
      <w:r>
        <w:rPr/>
        <w:t>本期合并财务报表范围变化情况详见本附注“六、合并范围的变更”和“七、在其他主体中的权益”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both"/>
        <w:rPr>
          <w:b w:val="0"/>
          <w:bCs w:val="0"/>
        </w:rPr>
      </w:pPr>
      <w:bookmarkStart w:name="四、财务报表的编制基础" w:id="184"/>
      <w:bookmarkEnd w:id="18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85"/>
      <w:bookmarkEnd w:id="18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29"/>
        <w:jc w:val="both"/>
      </w:pPr>
      <w:r>
        <w:rPr>
          <w:spacing w:val="-4"/>
        </w:rPr>
        <w:t>本公司财务报表以持续经营为基础，根据实际发生的交易和事项，按照财政部颁布的《企业会计准则</w:t>
      </w:r>
      <w:r>
        <w:rPr>
          <w:rFonts w:ascii="宋体" w:hAnsi="宋体" w:cs="宋体" w:eastAsia="宋体" w:hint="default"/>
          <w:spacing w:val="-4"/>
        </w:rPr>
        <w:t>-</w:t>
      </w:r>
      <w:r>
        <w:rPr>
          <w:spacing w:val="-4"/>
        </w:rPr>
        <w:t>基本准则》、具体会计</w:t>
      </w:r>
      <w:r>
        <w:rPr>
          <w:spacing w:val="-43"/>
        </w:rPr>
        <w:t> </w:t>
      </w:r>
      <w:r>
        <w:rPr>
          <w:spacing w:val="-43"/>
        </w:rPr>
      </w:r>
      <w:r>
        <w:rPr>
          <w:spacing w:val="-2"/>
        </w:rPr>
        <w:t>准则和其后颁布的企业会计准则应用指南、企业会计准则解释及其他相关规定（以下简称“企业会计准则”）以及中国证券</w:t>
      </w:r>
      <w:r>
        <w:rPr>
          <w:spacing w:val="-64"/>
        </w:rPr>
        <w:t> </w:t>
      </w:r>
      <w:r>
        <w:rPr>
          <w:spacing w:val="-64"/>
        </w:rPr>
      </w:r>
      <w:r>
        <w:rPr/>
        <w:t>监督管理委员会《公开发行证券的公司信息披露编报规则第</w:t>
      </w:r>
      <w:r>
        <w:rPr>
          <w:rFonts w:ascii="宋体" w:hAnsi="宋体" w:cs="宋体" w:eastAsia="宋体" w:hint="default"/>
        </w:rPr>
        <w:t>15</w:t>
      </w:r>
      <w:r>
        <w:rPr>
          <w:rFonts w:ascii="宋体" w:hAnsi="宋体" w:cs="宋体" w:eastAsia="宋体" w:hint="default"/>
          <w:spacing w:val="8"/>
        </w:rPr>
        <w:t> </w:t>
      </w:r>
      <w:r>
        <w:rPr/>
        <w:t>号——财务报告的一般规定》</w:t>
      </w:r>
      <w:r>
        <w:rPr>
          <w:rFonts w:ascii="宋体" w:hAnsi="宋体" w:cs="宋体" w:eastAsia="宋体" w:hint="default"/>
        </w:rPr>
        <w:t>(2014</w:t>
      </w:r>
      <w:r>
        <w:rPr/>
        <w:t>年修订</w:t>
      </w:r>
      <w:r>
        <w:rPr>
          <w:rFonts w:ascii="宋体" w:hAnsi="宋体" w:cs="宋体" w:eastAsia="宋体" w:hint="default"/>
        </w:rPr>
        <w:t>)</w:t>
      </w:r>
      <w:r>
        <w:rPr/>
        <w:t>的披露规定，并</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82"/>
        <w:jc w:val="left"/>
      </w:pPr>
      <w:r>
        <w:rPr/>
        <w:t>基于以下所述重要会计政策、会计估计进行编制。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82"/>
        <w:jc w:val="left"/>
        <w:rPr>
          <w:b w:val="0"/>
          <w:bCs w:val="0"/>
        </w:rPr>
      </w:pPr>
      <w:bookmarkStart w:name="2、持续经营" w:id="186"/>
      <w:bookmarkEnd w:id="18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jc w:val="left"/>
      </w:pPr>
      <w:r>
        <w:rPr>
          <w:spacing w:val="-2"/>
        </w:rPr>
        <w:t>报告期内及报告期末起至少十二个月，公司生产经营稳定，资产负债结构合理，具备持续经营能力，不存在影响持续经营能</w:t>
      </w:r>
      <w:r>
        <w:rPr>
          <w:spacing w:val="-66"/>
        </w:rPr>
        <w:t> </w:t>
      </w:r>
      <w:r>
        <w:rPr>
          <w:spacing w:val="-66"/>
        </w:rPr>
      </w:r>
      <w:r>
        <w:rPr/>
        <w:t>力的重大不利风险。</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982"/>
        <w:jc w:val="left"/>
        <w:rPr>
          <w:b w:val="0"/>
          <w:bCs w:val="0"/>
        </w:rPr>
      </w:pPr>
      <w:bookmarkStart w:name="五、重要会计政策及会计估计" w:id="187"/>
      <w:bookmarkEnd w:id="18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9"/>
        <w:ind w:right="8232"/>
        <w:jc w:val="left"/>
      </w:pPr>
      <w:r>
        <w:rPr/>
        <w:t>土木工程建筑业 具体会计政策和会计估计提示：</w:t>
      </w:r>
    </w:p>
    <w:p>
      <w:pPr>
        <w:pStyle w:val="BodyText"/>
        <w:spacing w:line="240" w:lineRule="auto" w:before="26"/>
        <w:ind w:right="982"/>
        <w:jc w:val="left"/>
      </w:pPr>
      <w:r>
        <w:rPr/>
        <w:t>公司根据现行的会计制度规定结合实际生产经营特点制定本公司的会计政策和会计估计</w:t>
      </w:r>
    </w:p>
    <w:p>
      <w:pPr>
        <w:spacing w:line="240" w:lineRule="auto" w:before="12"/>
        <w:rPr>
          <w:rFonts w:ascii="宋体" w:hAnsi="宋体" w:cs="宋体" w:eastAsia="宋体" w:hint="default"/>
          <w:sz w:val="26"/>
          <w:szCs w:val="26"/>
        </w:rPr>
      </w:pPr>
    </w:p>
    <w:p>
      <w:pPr>
        <w:pStyle w:val="Heading4"/>
        <w:spacing w:line="240" w:lineRule="auto"/>
        <w:ind w:right="982"/>
        <w:jc w:val="left"/>
        <w:rPr>
          <w:b w:val="0"/>
          <w:bCs w:val="0"/>
        </w:rPr>
      </w:pPr>
      <w:bookmarkStart w:name="1、遵循企业会计准则的声明" w:id="188"/>
      <w:bookmarkEnd w:id="18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82"/>
        <w:jc w:val="left"/>
      </w:pPr>
      <w:r>
        <w:rPr>
          <w:spacing w:val="-2"/>
        </w:rPr>
        <w:t>公司基于上述基础编制的财务报表符合《企业会计准则》的要求，真实、完整地反映了公司的财务状况、经营成果和现金流</w:t>
      </w:r>
      <w:r>
        <w:rPr>
          <w:spacing w:val="-66"/>
        </w:rPr>
        <w:t> </w:t>
      </w:r>
      <w:r>
        <w:rPr>
          <w:spacing w:val="-66"/>
        </w:rPr>
      </w:r>
      <w:r>
        <w:rPr/>
        <w:t>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982"/>
        <w:jc w:val="left"/>
        <w:rPr>
          <w:b w:val="0"/>
          <w:bCs w:val="0"/>
        </w:rPr>
      </w:pPr>
      <w:bookmarkStart w:name="2、会计期间" w:id="189"/>
      <w:bookmarkEnd w:id="18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会计年度为公历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82"/>
        <w:jc w:val="left"/>
        <w:rPr>
          <w:b w:val="0"/>
          <w:bCs w:val="0"/>
        </w:rPr>
      </w:pPr>
      <w:bookmarkStart w:name="3、营业周期" w:id="190"/>
      <w:bookmarkEnd w:id="19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jc w:val="left"/>
      </w:pPr>
      <w:r>
        <w:rPr>
          <w:spacing w:val="-2"/>
        </w:rPr>
        <w:t>正常营业周期，是指企业从购买用于加工的资产起至实现现金或现金等价物的期间。本公司以</w:t>
      </w:r>
      <w:r>
        <w:rPr>
          <w:rFonts w:ascii="宋体" w:hAnsi="宋体" w:cs="宋体" w:eastAsia="宋体" w:hint="default"/>
          <w:spacing w:val="-2"/>
        </w:rPr>
        <w:t>12</w:t>
      </w:r>
      <w:r>
        <w:rPr>
          <w:spacing w:val="-2"/>
        </w:rPr>
        <w:t>个月作为正常营业周期，并</w:t>
      </w:r>
      <w:r>
        <w:rPr>
          <w:spacing w:val="-63"/>
        </w:rPr>
        <w:t> </w:t>
      </w:r>
      <w:r>
        <w:rPr>
          <w:spacing w:val="-63"/>
        </w:rPr>
      </w:r>
      <w:r>
        <w:rPr/>
        <w:t>以其作为资产与负债流动性划分的标准。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2"/>
        <w:jc w:val="left"/>
        <w:rPr>
          <w:b w:val="0"/>
          <w:bCs w:val="0"/>
        </w:rPr>
      </w:pPr>
      <w:bookmarkStart w:name="4、记账本位币" w:id="191"/>
      <w:bookmarkEnd w:id="19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以人民币作为记账本位币。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82"/>
        <w:jc w:val="left"/>
        <w:rPr>
          <w:b w:val="0"/>
          <w:bCs w:val="0"/>
        </w:rPr>
      </w:pPr>
      <w:bookmarkStart w:name="5、同一控制下和非同一控制下企业合并的会计处理方法" w:id="192"/>
      <w:bookmarkEnd w:id="19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240" w:lineRule="auto" w:before="19"/>
        <w:ind w:left="474" w:right="982"/>
        <w:jc w:val="left"/>
      </w:pPr>
      <w:r>
        <w:rPr>
          <w:rFonts w:ascii="宋体" w:hAnsi="宋体" w:cs="宋体" w:eastAsia="宋体" w:hint="default"/>
        </w:rPr>
        <w:t>1</w:t>
      </w:r>
      <w:r>
        <w:rPr/>
        <w:t>）同一控制下的企业合并</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032" w:firstLine="360"/>
        <w:jc w:val="left"/>
      </w:pPr>
      <w:r>
        <w:rPr>
          <w:spacing w:val="-2"/>
        </w:rPr>
        <w:t>参与合并的企业在合并前后均受同一方或相同的多方最终控制且该控制并非暂时性的，为同一控制下的企业合并。同一</w:t>
      </w:r>
      <w:r>
        <w:rPr/>
        <w:t> 控制下的企业合并，在合并日取得对其他参与合并企业控制权的一方为合并方，参与合并的其他企业为被合并方。合并日， 是指合并方实际取得对被合并方控制权的日期。</w:t>
      </w:r>
    </w:p>
    <w:p>
      <w:pPr>
        <w:pStyle w:val="BodyText"/>
        <w:spacing w:line="316" w:lineRule="auto" w:before="19"/>
        <w:ind w:right="982" w:firstLine="360"/>
        <w:jc w:val="left"/>
      </w:pPr>
      <w:r>
        <w:rPr>
          <w:spacing w:val="-2"/>
        </w:rPr>
        <w:t>同一控制下企业合并形成的长期股权投资合并方以支付现金、转让非现金资产或承担债务方式作为合并对价的，本公司</w:t>
      </w:r>
      <w:r>
        <w:rPr/>
        <w:t> 在合并日按照所取得的被合并方在最终控制方合并财务报表中的净资产的账面价值的份额作为长期股权投资的初始投资成 </w:t>
      </w:r>
      <w:r>
        <w:rPr>
          <w:spacing w:val="-2"/>
        </w:rPr>
        <w:t>本。被合并方在合并日的净资产账面价值为负数的，长期股权投资成本按零确定。如果被合并方在被合并以前，是最终控制</w:t>
      </w:r>
      <w:r>
        <w:rPr>
          <w:spacing w:val="-66"/>
        </w:rPr>
        <w:t> </w:t>
      </w:r>
      <w:r>
        <w:rPr>
          <w:spacing w:val="-66"/>
        </w:rPr>
      </w:r>
      <w:r>
        <w:rPr>
          <w:spacing w:val="-2"/>
        </w:rPr>
        <w:t>方通过非同一控制下的企业合并所控制的，则合并方长期股权投资的初始投资成本包含了相关的商誉金额。长期股权投资的</w:t>
      </w:r>
      <w:r>
        <w:rPr>
          <w:spacing w:val="-64"/>
        </w:rPr>
        <w:t> </w:t>
      </w:r>
      <w:r>
        <w:rPr>
          <w:spacing w:val="-64"/>
        </w:rPr>
      </w:r>
      <w:r>
        <w:rPr>
          <w:spacing w:val="-2"/>
        </w:rPr>
        <w:t>初始投资成本与支付的现金、转让的非现金资产及所承担债务账面价值之间的差额，应当调整资本公积（资本溢价或股本溢</w:t>
      </w:r>
      <w:r>
        <w:rPr>
          <w:spacing w:val="-66"/>
        </w:rPr>
        <w:t> </w:t>
      </w:r>
      <w:r>
        <w:rPr>
          <w:spacing w:val="-66"/>
        </w:rPr>
      </w:r>
      <w:r>
        <w:rPr>
          <w:spacing w:val="-2"/>
        </w:rPr>
        <w:t>价）；资本公积（资本溢价或股本溢价）的余额不足冲减的，依次冲减盈余公积和未分配利润。合并方以发行权益性工具作</w:t>
      </w:r>
      <w:r>
        <w:rPr>
          <w:spacing w:val="-72"/>
        </w:rPr>
        <w:t> </w:t>
      </w:r>
      <w:r>
        <w:rPr>
          <w:spacing w:val="-72"/>
        </w:rPr>
      </w:r>
      <w:r>
        <w:rPr>
          <w:spacing w:val="-2"/>
        </w:rPr>
        <w:t>为合并对价的，按发行股份的面值总额作为股本，长期股权投资的初始投资成本与所发行股份面值总额之间的差额，调整资</w:t>
      </w:r>
      <w:r>
        <w:rPr>
          <w:spacing w:val="-66"/>
        </w:rPr>
        <w:t> </w:t>
      </w:r>
      <w:r>
        <w:rPr>
          <w:spacing w:val="-66"/>
        </w:rPr>
      </w:r>
      <w:r>
        <w:rPr>
          <w:spacing w:val="-2"/>
        </w:rPr>
        <w:t>本公积（资本溢价或股本溢价）；资本公积（资本溢价或股本溢价）不足冲减的，依次冲减盈余公积和未分配利润。</w:t>
      </w:r>
    </w:p>
    <w:p>
      <w:pPr>
        <w:pStyle w:val="BodyText"/>
        <w:spacing w:line="316" w:lineRule="auto" w:before="19"/>
        <w:ind w:right="1131" w:firstLine="360"/>
        <w:jc w:val="both"/>
      </w:pPr>
      <w:r>
        <w:rPr>
          <w:spacing w:val="-2"/>
        </w:rPr>
        <w:t>合并方发生的审计、法律服务、评估咨询等中介费用以及其他相关管理费用，于发生时计入当期损益。与发行权益性工</w:t>
      </w:r>
      <w:r>
        <w:rPr/>
        <w:t> </w:t>
      </w:r>
      <w:r>
        <w:rPr>
          <w:spacing w:val="-2"/>
        </w:rPr>
        <w:t>具作为合并对价直接相关的交易费用，冲减资本公积（股本溢价），资本公积（股本溢价）不足冲减的，依次冲减盈余公积</w:t>
      </w:r>
      <w:r>
        <w:rPr>
          <w:spacing w:val="-72"/>
        </w:rPr>
        <w:t> </w:t>
      </w:r>
      <w:r>
        <w:rPr>
          <w:spacing w:val="-72"/>
        </w:rPr>
      </w:r>
      <w:r>
        <w:rPr/>
        <w:t>和未分配利润。与发行债务性工具作为合并对价直接相关的交易费用，计入债务性工具的初始确认金额。</w:t>
      </w:r>
    </w:p>
    <w:p>
      <w:pPr>
        <w:pStyle w:val="BodyText"/>
        <w:spacing w:line="316" w:lineRule="auto" w:before="19"/>
        <w:ind w:right="1131" w:firstLine="360"/>
        <w:jc w:val="both"/>
      </w:pPr>
      <w:r>
        <w:rPr>
          <w:spacing w:val="-2"/>
        </w:rPr>
        <w:t>通过多次交易分步实现同一控制下企业合并，属于“一揽子交易”的，合并方应当将各项交易作为一项取得控制权的交</w:t>
      </w:r>
      <w:r>
        <w:rPr/>
        <w:t> </w:t>
      </w:r>
      <w:r>
        <w:rPr>
          <w:spacing w:val="-2"/>
        </w:rPr>
        <w:t>易进行会计处理。不属于“一揽子交易”的，在母公司财务报表中，以合并日持股比例计算的合并日应享有被合并方账面所</w:t>
      </w:r>
      <w:r>
        <w:rPr>
          <w:spacing w:val="-65"/>
        </w:rPr>
        <w:t> </w:t>
      </w:r>
      <w:r>
        <w:rPr>
          <w:spacing w:val="-65"/>
        </w:rPr>
      </w:r>
      <w:r>
        <w:rPr>
          <w:spacing w:val="-2"/>
        </w:rPr>
        <w:t>有者权益份额作为该项投资的初始投资成本，初始投资成本与其原长期股权投资账面价值加上合并日取得进一步股份新支付</w:t>
      </w:r>
      <w:r>
        <w:rPr>
          <w:spacing w:val="-64"/>
        </w:rPr>
        <w:t> </w:t>
      </w:r>
      <w:r>
        <w:rPr>
          <w:spacing w:val="-64"/>
        </w:rPr>
      </w:r>
      <w:r>
        <w:rPr>
          <w:spacing w:val="-3"/>
        </w:rPr>
        <w:t>对价的账面价值之和的差额，调整资本公积（股本溢价），资本公积不足冲减的，冲减留存收益。</w:t>
      </w:r>
    </w:p>
    <w:p>
      <w:pPr>
        <w:pStyle w:val="BodyText"/>
        <w:spacing w:line="316" w:lineRule="auto" w:before="19"/>
        <w:ind w:right="1131" w:firstLine="360"/>
        <w:jc w:val="both"/>
      </w:pPr>
      <w:r>
        <w:rPr>
          <w:spacing w:val="-2"/>
        </w:rPr>
        <w:t>在合并财务报表中，合并方在达到合并之前持有的长期股权投资，在取得日与合并方与被合并方向处于同一最终控制之</w:t>
      </w:r>
      <w:r>
        <w:rPr/>
        <w:t> </w:t>
      </w:r>
      <w:r>
        <w:rPr>
          <w:spacing w:val="-2"/>
        </w:rPr>
        <w:t>日孰晚日与合并日之间已确认有关损益、其他综合收益和其他所有者权益变动，应分别冲减比较报表期间的期初留存收益或</w:t>
      </w:r>
      <w:r>
        <w:rPr>
          <w:spacing w:val="-64"/>
        </w:rPr>
        <w:t> </w:t>
      </w:r>
      <w:r>
        <w:rPr>
          <w:spacing w:val="-64"/>
        </w:rPr>
      </w:r>
      <w:r>
        <w:rPr/>
        <w:t>当期损益。</w:t>
      </w:r>
    </w:p>
    <w:p>
      <w:pPr>
        <w:pStyle w:val="BodyText"/>
        <w:spacing w:line="319" w:lineRule="auto" w:before="19"/>
        <w:ind w:left="474" w:right="982"/>
        <w:jc w:val="left"/>
      </w:pPr>
      <w:r>
        <w:rPr>
          <w:rFonts w:ascii="宋体" w:hAnsi="宋体" w:cs="宋体" w:eastAsia="宋体" w:hint="default"/>
        </w:rPr>
        <w:t>2</w:t>
      </w:r>
      <w:r>
        <w:rPr/>
        <w:t>）非同一控制下的企业合并 </w:t>
      </w:r>
      <w:r>
        <w:rPr>
          <w:spacing w:val="-2"/>
        </w:rPr>
        <w:t>参与合并的各方在合并前后不受同一方或相同的多方最终控制的，为非同一控制下的企业合并。非同一控制下的企业合</w:t>
      </w:r>
    </w:p>
    <w:p>
      <w:pPr>
        <w:pStyle w:val="BodyText"/>
        <w:spacing w:line="316" w:lineRule="auto" w:before="17"/>
        <w:ind w:right="982"/>
        <w:jc w:val="left"/>
      </w:pPr>
      <w:r>
        <w:rPr>
          <w:spacing w:val="-2"/>
        </w:rPr>
        <w:t>并，在购买日取得对其他参与合并企业控制权的一方为购买方，参与合并的其他企业为被购买方。购买日，是指购买方实际</w:t>
      </w:r>
      <w:r>
        <w:rPr>
          <w:spacing w:val="-66"/>
        </w:rPr>
        <w:t> </w:t>
      </w:r>
      <w:r>
        <w:rPr>
          <w:spacing w:val="-66"/>
        </w:rPr>
      </w:r>
      <w:r>
        <w:rPr/>
        <w:t>取得对被购买方控制权的日期。</w:t>
      </w:r>
    </w:p>
    <w:p>
      <w:pPr>
        <w:pStyle w:val="BodyText"/>
        <w:spacing w:line="316" w:lineRule="auto" w:before="19"/>
        <w:ind w:right="1130" w:firstLine="360"/>
        <w:jc w:val="both"/>
      </w:pPr>
      <w:r>
        <w:rPr>
          <w:spacing w:val="-2"/>
        </w:rPr>
        <w:t>对于非同一控制下的企业合并，合并成本为购买方在购买日为取得对被购买方的控制权而付出的资产、发生或承担的负</w:t>
      </w:r>
      <w:r>
        <w:rPr/>
        <w:t> </w:t>
      </w:r>
      <w:r>
        <w:rPr>
          <w:spacing w:val="-2"/>
        </w:rPr>
        <w:t>债以及发行的权益性证券的公允价值之和。购买方为企业合并发生的审计、法律服务、评估咨询等中介费用以及其他相关管</w:t>
      </w:r>
      <w:r>
        <w:rPr>
          <w:spacing w:val="-66"/>
        </w:rPr>
        <w:t> </w:t>
      </w:r>
      <w:r>
        <w:rPr>
          <w:spacing w:val="-66"/>
        </w:rPr>
      </w:r>
      <w:r>
        <w:rPr>
          <w:spacing w:val="-2"/>
        </w:rPr>
        <w:t>理费用，应于发生时计入当期损益。购买方作为合并对价发行的权益性工具或债务性工具的交易费用，应当计人权益性工具</w:t>
      </w:r>
      <w:r>
        <w:rPr>
          <w:spacing w:val="-66"/>
        </w:rPr>
        <w:t> </w:t>
      </w:r>
      <w:r>
        <w:rPr>
          <w:spacing w:val="-66"/>
        </w:rPr>
      </w:r>
      <w:r>
        <w:rPr/>
        <w:t>或债务性工具的初始确认金额。所涉及的或有对价按其在购买日的公允价值计入合并成本，购买日后</w:t>
      </w:r>
      <w:r>
        <w:rPr>
          <w:spacing w:val="-39"/>
        </w:rPr>
        <w:t> </w:t>
      </w:r>
      <w:r>
        <w:rPr>
          <w:rFonts w:ascii="宋体" w:hAnsi="宋体" w:cs="宋体" w:eastAsia="宋体" w:hint="default"/>
        </w:rPr>
        <w:t>12</w:t>
      </w:r>
      <w:r>
        <w:rPr>
          <w:rFonts w:ascii="宋体" w:hAnsi="宋体" w:cs="宋体" w:eastAsia="宋体" w:hint="default"/>
          <w:spacing w:val="-40"/>
        </w:rPr>
        <w:t> </w:t>
      </w:r>
      <w:r>
        <w:rPr/>
        <w:t>个月内出现对购买 日已存在情况的新的或进一步证据而需要调整或有对价的，相应调整合并商誉。</w:t>
      </w:r>
    </w:p>
    <w:p>
      <w:pPr>
        <w:pStyle w:val="BodyText"/>
        <w:spacing w:line="316" w:lineRule="auto" w:before="19"/>
        <w:ind w:right="1130" w:firstLine="360"/>
        <w:jc w:val="both"/>
      </w:pPr>
      <w:r>
        <w:rPr>
          <w:spacing w:val="-2"/>
        </w:rPr>
        <w:t>购买方发生的合并成本及在合并中取得的可辨认净资产按购买日的公允价值计量。合并成本大于合并中取得的被购买方</w:t>
      </w:r>
      <w:r>
        <w:rPr/>
        <w:t> </w:t>
      </w:r>
      <w:r>
        <w:rPr>
          <w:spacing w:val="-2"/>
        </w:rPr>
        <w:t>于购买日可辨认净资产公允价值份额的差额，确认为商誉。合并成本小于合并中取得的被购买方可辨认净资产公允价值份额</w:t>
      </w:r>
      <w:r>
        <w:rPr>
          <w:spacing w:val="-64"/>
        </w:rPr>
        <w:t> </w:t>
      </w:r>
      <w:r>
        <w:rPr>
          <w:spacing w:val="-64"/>
        </w:rPr>
      </w:r>
      <w:r>
        <w:rPr>
          <w:spacing w:val="-2"/>
        </w:rPr>
        <w:t>的，首先对取得的被购买方各项可辨认资产、负债及或有负债的公允价值以及合并成本的计量进行复核，复核后合并成本仍</w:t>
      </w:r>
      <w:r>
        <w:rPr>
          <w:spacing w:val="-66"/>
        </w:rPr>
        <w:t> </w:t>
      </w:r>
      <w:r>
        <w:rPr>
          <w:spacing w:val="-66"/>
        </w:rPr>
      </w:r>
      <w:r>
        <w:rPr/>
        <w:t>小于合并中取得的被购买方可辨认净资产公允价值份额的，其差额计入当期损益。</w:t>
      </w:r>
    </w:p>
    <w:p>
      <w:pPr>
        <w:pStyle w:val="BodyText"/>
        <w:spacing w:line="316" w:lineRule="auto" w:before="19"/>
        <w:ind w:right="1132" w:firstLine="360"/>
        <w:jc w:val="both"/>
      </w:pPr>
      <w:r>
        <w:rPr>
          <w:spacing w:val="-2"/>
        </w:rPr>
        <w:t>通过多次交易分步实现非同一控制下企业合并的，在母公司个别财务报表中，以购买日之前所持被购买方的股权投资的</w:t>
      </w:r>
      <w:r>
        <w:rPr/>
        <w:t> 账面价值与购买日新增投资成本之和，作为该项投资的初始投资成本。</w:t>
      </w:r>
    </w:p>
    <w:p>
      <w:pPr>
        <w:pStyle w:val="BodyText"/>
        <w:spacing w:line="316" w:lineRule="auto" w:before="19"/>
        <w:ind w:right="113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t>应当转为购买日所属当期投资收益，不能重分类计入当期损益的其他综合收益除外。</w:t>
      </w:r>
    </w:p>
    <w:p>
      <w:pPr>
        <w:pStyle w:val="BodyText"/>
        <w:spacing w:line="319" w:lineRule="auto" w:before="19"/>
        <w:ind w:right="982" w:firstLine="360"/>
        <w:jc w:val="left"/>
      </w:pPr>
      <w:r>
        <w:rPr/>
        <w:t>本公司以购买日之前所持被购买方的股权于购买日的公允价值与购买日新购入股权所支付对价的公允价值之和作为合 </w:t>
      </w:r>
      <w:r>
        <w:rPr>
          <w:spacing w:val="-2"/>
        </w:rPr>
        <w:t>并成本，与购买方取得的按购买日持股比例计算应享有的被购买方可辨认净资产于购买日的公允价值的份额比较，确定购买</w:t>
      </w:r>
      <w:r>
        <w:rPr>
          <w:spacing w:val="-64"/>
        </w:rPr>
        <w:t> </w:t>
      </w:r>
      <w:r>
        <w:rPr>
          <w:spacing w:val="-64"/>
        </w:rPr>
      </w:r>
      <w:r>
        <w:rPr/>
        <w:t>日应予确认的商誉或应计入合并当期损益的金额。</w:t>
      </w:r>
    </w:p>
    <w:p>
      <w:pPr>
        <w:spacing w:after="0" w:line="319"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both"/>
        <w:rPr>
          <w:b w:val="0"/>
          <w:bCs w:val="0"/>
        </w:rPr>
      </w:pPr>
      <w:bookmarkStart w:name="6、合并财务报表的编制方法" w:id="193"/>
      <w:bookmarkEnd w:id="19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982"/>
        <w:jc w:val="left"/>
      </w:pPr>
      <w:r>
        <w:rPr/>
        <w:t>（</w:t>
      </w:r>
      <w:r>
        <w:rPr>
          <w:rFonts w:ascii="宋体" w:hAnsi="宋体" w:cs="宋体" w:eastAsia="宋体" w:hint="default"/>
        </w:rPr>
        <w:t>1</w:t>
      </w:r>
      <w:r>
        <w:rPr/>
        <w:t>）合并财务报表范围 </w:t>
      </w:r>
      <w:r>
        <w:rPr>
          <w:spacing w:val="-2"/>
        </w:rPr>
        <w:t>本公司将所有控制的子公司（包括本公司所控制的单独主体）纳入合并财务报表范围，包括被本公司控制的企业、被投</w:t>
      </w:r>
    </w:p>
    <w:p>
      <w:pPr>
        <w:pStyle w:val="BodyText"/>
        <w:spacing w:line="316" w:lineRule="auto" w:before="19"/>
        <w:ind w:right="1132"/>
        <w:jc w:val="both"/>
      </w:pPr>
      <w:r>
        <w:rPr>
          <w:spacing w:val="-2"/>
        </w:rPr>
        <w:t>资单位中可分割的部分以及结构化主体。控制是指本公司拥有对被投资方的权力，通过参与被投资方的相关活动而享有可变</w:t>
      </w:r>
      <w:r>
        <w:rPr>
          <w:spacing w:val="-64"/>
        </w:rPr>
        <w:t> </w:t>
      </w:r>
      <w:r>
        <w:rPr>
          <w:spacing w:val="-64"/>
        </w:rPr>
      </w:r>
      <w:r>
        <w:rPr/>
        <w:t>回报，并且有能力运用对被投资方的权力影响该回报金额。</w:t>
      </w:r>
    </w:p>
    <w:p>
      <w:pPr>
        <w:pStyle w:val="BodyText"/>
        <w:spacing w:line="316" w:lineRule="auto" w:before="19"/>
        <w:ind w:left="474" w:right="982"/>
        <w:jc w:val="left"/>
      </w:pPr>
      <w:r>
        <w:rPr/>
        <w:t>（</w:t>
      </w:r>
      <w:r>
        <w:rPr>
          <w:rFonts w:ascii="宋体" w:hAnsi="宋体" w:cs="宋体" w:eastAsia="宋体" w:hint="default"/>
        </w:rPr>
        <w:t>2</w:t>
      </w:r>
      <w:r>
        <w:rPr/>
        <w:t>）统一母子公司的会计政策、统一母子公司的资产负债表日及会计期间 </w:t>
      </w:r>
      <w:r>
        <w:rPr>
          <w:spacing w:val="-2"/>
        </w:rPr>
        <w:t>子公司与本公司采用的会计政策或会计期间不一致的，在编制合并财务报表时，按照本公司的会计政策或会计期间对子</w:t>
      </w:r>
    </w:p>
    <w:p>
      <w:pPr>
        <w:pStyle w:val="BodyText"/>
        <w:spacing w:line="316" w:lineRule="auto" w:before="19"/>
        <w:ind w:right="1132"/>
        <w:jc w:val="both"/>
      </w:pPr>
      <w:r>
        <w:rPr>
          <w:spacing w:val="-2"/>
        </w:rPr>
        <w:t>公司财务报表进行必要的调整。对非同一控制下企业合并取得的子公司，已按照购买日该子公司可辨认的资产、负债及或有</w:t>
      </w:r>
      <w:r>
        <w:rPr>
          <w:spacing w:val="-66"/>
        </w:rPr>
        <w:t> </w:t>
      </w:r>
      <w:r>
        <w:rPr>
          <w:spacing w:val="-66"/>
        </w:rPr>
      </w:r>
      <w:r>
        <w:rPr/>
        <w:t>负债的公允价值对子公司财务报表进行了相应的调整。</w:t>
      </w:r>
    </w:p>
    <w:p>
      <w:pPr>
        <w:pStyle w:val="BodyText"/>
        <w:spacing w:line="316" w:lineRule="auto" w:before="19"/>
        <w:ind w:left="474" w:right="982"/>
        <w:jc w:val="left"/>
      </w:pPr>
      <w:r>
        <w:rPr/>
        <w:t>（</w:t>
      </w:r>
      <w:r>
        <w:rPr>
          <w:rFonts w:ascii="宋体" w:hAnsi="宋体" w:cs="宋体" w:eastAsia="宋体" w:hint="default"/>
        </w:rPr>
        <w:t>3</w:t>
      </w:r>
      <w:r>
        <w:rPr/>
        <w:t>）合并财务报表抵销事项 </w:t>
      </w:r>
      <w:r>
        <w:rPr>
          <w:spacing w:val="-2"/>
        </w:rPr>
        <w:t>合并财务报表以本公司和子公司的财务报表为基础，本公司与子公司、子公司相互之间所有重大往来余额、交易及未实</w:t>
      </w:r>
    </w:p>
    <w:p>
      <w:pPr>
        <w:pStyle w:val="BodyText"/>
        <w:spacing w:line="316" w:lineRule="auto" w:before="19"/>
        <w:ind w:right="1131"/>
        <w:jc w:val="both"/>
      </w:pPr>
      <w:r>
        <w:rPr>
          <w:spacing w:val="-2"/>
        </w:rPr>
        <w:t>现利润予以抵销。本公司编制合并财务报表，将整个企业集团视为一个会计主体，依据相关企业会计准则的确认、计量和列</w:t>
      </w:r>
      <w:r>
        <w:rPr>
          <w:spacing w:val="-66"/>
        </w:rPr>
        <w:t> </w:t>
      </w:r>
      <w:r>
        <w:rPr>
          <w:spacing w:val="-66"/>
        </w:rPr>
      </w:r>
      <w:r>
        <w:rPr>
          <w:spacing w:val="-2"/>
        </w:rPr>
        <w:t>报要求，按照统一的会计政策，反映本企业集团整体财务状况、经营成果和现金流量。子公司所有者权益中不属于本公司的</w:t>
      </w:r>
      <w:r>
        <w:rPr>
          <w:spacing w:val="-66"/>
        </w:rPr>
        <w:t> </w:t>
      </w:r>
      <w:r>
        <w:rPr>
          <w:spacing w:val="-66"/>
        </w:rPr>
      </w:r>
      <w:r>
        <w:rPr>
          <w:spacing w:val="-2"/>
        </w:rPr>
        <w:t>份额，作为少数股东权益，在合并资产负债表中所有者权益项目下以“少数股东权益”项目列示。子公司当期净损益中属于</w:t>
      </w:r>
      <w:r>
        <w:rPr>
          <w:spacing w:val="-66"/>
        </w:rPr>
        <w:t> </w:t>
      </w:r>
      <w:r>
        <w:rPr>
          <w:spacing w:val="-66"/>
        </w:rPr>
      </w:r>
      <w:r>
        <w:rPr>
          <w:spacing w:val="-2"/>
        </w:rPr>
        <w:t>少数股东权益的份额，在合并利润表中净利润项目下以“少数股东损益”项目列示。少数股东分担的子公司的亏损超过了少</w:t>
      </w:r>
      <w:r>
        <w:rPr>
          <w:spacing w:val="-65"/>
        </w:rPr>
        <w:t> </w:t>
      </w:r>
      <w:r>
        <w:rPr>
          <w:spacing w:val="-65"/>
        </w:rPr>
      </w:r>
      <w:r>
        <w:rPr/>
        <w:t>数股东在该子公司期初股东权益中所享有的份额，仍然冲减少数股东权益。</w:t>
      </w:r>
    </w:p>
    <w:p>
      <w:pPr>
        <w:pStyle w:val="BodyText"/>
        <w:spacing w:line="316" w:lineRule="auto" w:before="19"/>
        <w:ind w:right="982" w:firstLine="360"/>
        <w:jc w:val="left"/>
      </w:pPr>
      <w:r>
        <w:rPr>
          <w:spacing w:val="-2"/>
        </w:rPr>
        <w:t>子公司持有本公司的长期股权投资，视为公司的库存股，作为所有者权益的减项，在合并资产负债表中所有者权益项目</w:t>
      </w:r>
      <w:r>
        <w:rPr/>
        <w:t> 下以“减：库存股”项目列示。</w:t>
      </w:r>
    </w:p>
    <w:p>
      <w:pPr>
        <w:pStyle w:val="BodyText"/>
        <w:spacing w:line="316" w:lineRule="auto" w:before="19"/>
        <w:ind w:left="474" w:right="982"/>
        <w:jc w:val="left"/>
      </w:pPr>
      <w:r>
        <w:rPr/>
        <w:t>（</w:t>
      </w:r>
      <w:r>
        <w:rPr>
          <w:rFonts w:ascii="宋体" w:hAnsi="宋体" w:cs="宋体" w:eastAsia="宋体" w:hint="default"/>
        </w:rPr>
        <w:t>4</w:t>
      </w:r>
      <w:r>
        <w:rPr/>
        <w:t>）合并取得子公司会计处理 </w:t>
      </w:r>
      <w:r>
        <w:rPr>
          <w:spacing w:val="-2"/>
        </w:rPr>
        <w:t>对于同一控制下企业合并取得的子公司，视同该企业合并于自最终控制方开始实际控制时已经发生，从合并当期的期初</w:t>
      </w:r>
    </w:p>
    <w:p>
      <w:pPr>
        <w:pStyle w:val="BodyText"/>
        <w:spacing w:line="319" w:lineRule="auto" w:before="19"/>
        <w:ind w:right="1131"/>
        <w:jc w:val="both"/>
      </w:pPr>
      <w:r>
        <w:rPr>
          <w:spacing w:val="-2"/>
        </w:rPr>
        <w:t>起将其资产、负债、经营成果和现金流量纳入合并财务报表；对于非同一控制下企业合并取得的子公司，在编制合并财务报</w:t>
      </w:r>
      <w:r>
        <w:rPr>
          <w:spacing w:val="-66"/>
        </w:rPr>
        <w:t> </w:t>
      </w:r>
      <w:r>
        <w:rPr>
          <w:spacing w:val="-66"/>
        </w:rPr>
      </w:r>
      <w:r>
        <w:rPr/>
        <w:t>表时，以购买日可辨认净资产公允价值为基础对其个别财务报表进行调整。</w:t>
      </w:r>
    </w:p>
    <w:p>
      <w:pPr>
        <w:pStyle w:val="BodyText"/>
        <w:spacing w:line="316" w:lineRule="auto" w:before="17"/>
        <w:ind w:right="982" w:firstLine="360"/>
        <w:jc w:val="left"/>
      </w:pPr>
      <w:r>
        <w:rPr>
          <w:spacing w:val="-2"/>
        </w:rPr>
        <w:t>对于因非同一控制企业合并形成的子公司，合并成本大于合并中取得的子公司可辨认净资产公允价值份额的差额，不调</w:t>
      </w:r>
      <w:r>
        <w:rPr/>
        <w:t> 整投资成本，在合并财务报表中列作商誉。</w:t>
      </w:r>
    </w:p>
    <w:p>
      <w:pPr>
        <w:pStyle w:val="BodyText"/>
        <w:spacing w:line="316" w:lineRule="auto" w:before="19"/>
        <w:ind w:right="982" w:firstLine="360"/>
        <w:jc w:val="left"/>
      </w:pPr>
      <w:r>
        <w:rPr>
          <w:spacing w:val="-2"/>
        </w:rPr>
        <w:t>对于报告期内增加的子公司，若属于同一控制下企业合并的，调整合并资产负债表的期初数，并将该子公司当期期初至</w:t>
      </w:r>
      <w:r>
        <w:rPr/>
        <w:t> </w:t>
      </w:r>
      <w:r>
        <w:rPr>
          <w:spacing w:val="-4"/>
        </w:rPr>
        <w:t>报告期末的收入、费用、利润纳入合并利润表，将同期的现金流量纳入合并现金流量表；若属于非同一控制下的企业合并的，</w:t>
      </w:r>
      <w:r>
        <w:rPr>
          <w:spacing w:val="-46"/>
        </w:rPr>
        <w:t> </w:t>
      </w:r>
      <w:r>
        <w:rPr>
          <w:spacing w:val="-46"/>
        </w:rPr>
      </w:r>
      <w:r>
        <w:rPr>
          <w:spacing w:val="-2"/>
        </w:rPr>
        <w:t>则不调整合并资产负债表的期初数，并将该子公司购买日至报告期末的收入、费用、利润纳入合并利润表，将同期的现金流</w:t>
      </w:r>
      <w:r>
        <w:rPr>
          <w:spacing w:val="-66"/>
        </w:rPr>
        <w:t> </w:t>
      </w:r>
      <w:r>
        <w:rPr>
          <w:spacing w:val="-66"/>
        </w:rPr>
      </w:r>
      <w:r>
        <w:rPr>
          <w:spacing w:val="-2"/>
        </w:rPr>
        <w:t>量纳入合并现金流量表。对于报告期内处置的子公司，不论属于同一控制抑或非同一控制企业合并，均不调整合并资产负债</w:t>
      </w:r>
      <w:r>
        <w:rPr>
          <w:spacing w:val="-66"/>
        </w:rPr>
        <w:t> </w:t>
      </w:r>
      <w:r>
        <w:rPr>
          <w:spacing w:val="-66"/>
        </w:rPr>
      </w:r>
      <w:r>
        <w:rPr/>
        <w:t>表的期初数，并将该子公司期初至处置日收入、费用、利润纳入合并利润表，及同期的现金流量纳入合并现金流量表。</w:t>
      </w:r>
    </w:p>
    <w:p>
      <w:pPr>
        <w:pStyle w:val="BodyText"/>
        <w:spacing w:line="240" w:lineRule="auto" w:before="19"/>
        <w:ind w:left="474" w:right="982"/>
        <w:jc w:val="left"/>
      </w:pPr>
      <w:r>
        <w:rPr/>
        <w:t>（</w:t>
      </w:r>
      <w:r>
        <w:rPr>
          <w:rFonts w:ascii="宋体" w:hAnsi="宋体" w:cs="宋体" w:eastAsia="宋体" w:hint="default"/>
        </w:rPr>
        <w:t>5</w:t>
      </w:r>
      <w:r>
        <w:rPr/>
        <w:t>）分步处置子公司股权至丧失控制权的会计处理方法</w:t>
      </w:r>
    </w:p>
    <w:p>
      <w:pPr>
        <w:pStyle w:val="BodyText"/>
        <w:spacing w:line="316" w:lineRule="auto" w:before="76"/>
        <w:ind w:right="1130" w:firstLine="360"/>
        <w:jc w:val="right"/>
      </w:pPr>
      <w:r>
        <w:rPr>
          <w:spacing w:val="-2"/>
        </w:rPr>
        <w:t>①不属于“一揽子交易”的分步处置股权至丧失控制权的各项交易在母公司财务报表和合并财务报表中的会计处理方法</w:t>
      </w:r>
      <w:r>
        <w:rPr/>
        <w:t> </w:t>
      </w:r>
      <w:r>
        <w:rPr>
          <w:spacing w:val="-2"/>
        </w:rPr>
        <w:t>对丧失控制权之前的各项交易，母公司财务报表中，出售所得价款与处置长期股权投资账面价值之间的差额计入当期投</w:t>
      </w:r>
      <w:r>
        <w:rPr/>
        <w:t> </w:t>
      </w:r>
      <w:r>
        <w:rPr>
          <w:spacing w:val="-2"/>
        </w:rPr>
        <w:t>资收益。在合并报表层面，处置价款与处置长期投资相对应享有子公司自购买日或者合并日开始持续计算的净资产份额之间</w:t>
      </w:r>
    </w:p>
    <w:p>
      <w:pPr>
        <w:pStyle w:val="BodyText"/>
        <w:spacing w:line="316" w:lineRule="auto" w:before="19"/>
        <w:ind w:left="474" w:right="982" w:hanging="360"/>
        <w:jc w:val="left"/>
      </w:pPr>
      <w:r>
        <w:rPr>
          <w:spacing w:val="-3"/>
        </w:rPr>
        <w:t>的差额，调整资本公积（股本溢价），不足冲减的，调整留存收益。</w:t>
      </w:r>
      <w:r>
        <w:rPr/>
        <w:t> </w:t>
      </w:r>
      <w:r>
        <w:rPr>
          <w:spacing w:val="-2"/>
        </w:rPr>
        <w:t>对于失去控制权时的交易，不能再对被投资单位实施控制的、共同控制或重大影响的，母公司财务报表中，对于剩余股</w:t>
      </w:r>
    </w:p>
    <w:p>
      <w:pPr>
        <w:pStyle w:val="BodyText"/>
        <w:spacing w:line="316" w:lineRule="auto" w:before="19"/>
        <w:ind w:left="474" w:right="982" w:hanging="360"/>
        <w:jc w:val="left"/>
      </w:pPr>
      <w:r>
        <w:rPr/>
        <w:t>权，改按金融工具确认和计量准则进行会计处理，在丧失控制之日的公允价值与账面价值之间的差额计入当期投资收益。 </w:t>
      </w:r>
      <w:r>
        <w:rPr>
          <w:spacing w:val="-2"/>
        </w:rPr>
        <w:t>对于失去控制权时的交易，处置后的剩余股权能够对原有子公司实施共同控制或重大影响的，母公司财务报表中，按有</w:t>
      </w:r>
    </w:p>
    <w:p>
      <w:pPr>
        <w:pStyle w:val="BodyText"/>
        <w:spacing w:line="319" w:lineRule="auto" w:before="19"/>
        <w:ind w:right="1132"/>
        <w:jc w:val="both"/>
      </w:pPr>
      <w:r>
        <w:rPr>
          <w:spacing w:val="-2"/>
        </w:rPr>
        <w:t>关成本法转为权益法的相关规定进行会计处理。在合并财务报表中，对于剩余股权，按照其在丧失控制权日的公允价值进行</w:t>
      </w:r>
      <w:r>
        <w:rPr>
          <w:spacing w:val="-66"/>
        </w:rPr>
        <w:t> </w:t>
      </w:r>
      <w:r>
        <w:rPr>
          <w:spacing w:val="-66"/>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6"/>
        </w:rPr>
        <w:t> </w:t>
      </w:r>
      <w:r>
        <w:rPr>
          <w:spacing w:val="-66"/>
        </w:rPr>
      </w:r>
      <w:r>
        <w:rPr/>
        <w:t>时转为当期投资收益。</w:t>
      </w:r>
    </w:p>
    <w:p>
      <w:pPr>
        <w:pStyle w:val="BodyText"/>
        <w:spacing w:line="316" w:lineRule="auto" w:before="17"/>
        <w:ind w:left="474" w:right="982"/>
        <w:jc w:val="left"/>
      </w:pPr>
      <w:r>
        <w:rPr/>
        <w:t>②属于“一揽子交易”的分步处置股权至丧失控制权的各项交易在母公司财务报表和合并财务报表中的会计处理方法 </w:t>
      </w:r>
      <w:r>
        <w:rPr>
          <w:spacing w:val="-2"/>
        </w:rPr>
        <w:t>对于属于“一揽子交易”的，将各项交易作为一项处置子公司并丧失控制权的交易进行会计处理。在母公司财务报表中</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1"/>
        <w:jc w:val="both"/>
      </w:pPr>
      <w:r>
        <w:rPr>
          <w:spacing w:val="-2"/>
        </w:rPr>
        <w:t>将每一次处置价款与处置投资对应的账面价值的差额确认为当期投资收益。在合并财务报表中，对于失去控制权之前的每一</w:t>
      </w:r>
      <w:r>
        <w:rPr>
          <w:spacing w:val="-64"/>
        </w:rPr>
        <w:t> </w:t>
      </w:r>
      <w:r>
        <w:rPr>
          <w:spacing w:val="-64"/>
        </w:rPr>
      </w:r>
      <w:r>
        <w:rPr>
          <w:spacing w:val="-2"/>
        </w:rPr>
        <w:t>次交易，将处置价款与处置投资对应的享有该子公司自购买日开始持续计算的净资产账面价值份额之间的差额确认为其他综</w:t>
      </w:r>
      <w:r>
        <w:rPr>
          <w:spacing w:val="-64"/>
        </w:rPr>
        <w:t> </w:t>
      </w:r>
      <w:r>
        <w:rPr>
          <w:spacing w:val="-64"/>
        </w:rPr>
      </w:r>
      <w:r>
        <w:rPr/>
        <w:t>合收益，在丧失控制权时一并转入丧失控制权当期的损益。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bookmarkStart w:name="7、合营安排分类及共同经营会计处理方法" w:id="194"/>
      <w:bookmarkEnd w:id="19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9" w:firstLine="360"/>
        <w:jc w:val="both"/>
      </w:pPr>
      <w:r>
        <w:rPr/>
        <w:t>合营安排，是指一项由两个或两个以上的参与方共同控制的安排。本公司根据在合营安排中享有的权利和承担的义务， 将合营安排分为共同经营和合营企业。</w:t>
      </w:r>
    </w:p>
    <w:p>
      <w:pPr>
        <w:pStyle w:val="BodyText"/>
        <w:spacing w:line="316" w:lineRule="auto" w:before="19"/>
        <w:ind w:left="474" w:right="2472"/>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474" w:right="982"/>
        <w:jc w:val="left"/>
      </w:pPr>
      <w:r>
        <w:rPr/>
        <w:t>①确认本公司单独所持有的资产，以及按本公司份额确认共同持有的资产；</w:t>
      </w:r>
    </w:p>
    <w:p>
      <w:pPr>
        <w:pStyle w:val="BodyText"/>
        <w:spacing w:line="240" w:lineRule="auto" w:before="76"/>
        <w:ind w:left="474" w:right="982"/>
        <w:jc w:val="left"/>
      </w:pPr>
      <w:r>
        <w:rPr/>
        <w:t>②确认本公司单独所承担的负债，以及按本公司份额确认共同承担的负债；</w:t>
      </w:r>
    </w:p>
    <w:p>
      <w:pPr>
        <w:pStyle w:val="BodyText"/>
        <w:spacing w:line="240" w:lineRule="auto" w:before="76"/>
        <w:ind w:left="474" w:right="982"/>
        <w:jc w:val="left"/>
      </w:pPr>
      <w:r>
        <w:rPr/>
        <w:t>③确认出售本公司享有的共同经营产出份额所产生的收入；</w:t>
      </w:r>
    </w:p>
    <w:p>
      <w:pPr>
        <w:pStyle w:val="BodyText"/>
        <w:spacing w:line="240" w:lineRule="auto" w:before="76"/>
        <w:ind w:left="474" w:right="982"/>
        <w:jc w:val="left"/>
      </w:pPr>
      <w:r>
        <w:rPr/>
        <w:t>④按本公司份额确认共同经营因出售产出所产生的收入；</w:t>
      </w:r>
    </w:p>
    <w:p>
      <w:pPr>
        <w:pStyle w:val="BodyText"/>
        <w:spacing w:line="316" w:lineRule="auto" w:before="76"/>
        <w:ind w:left="474" w:right="982"/>
        <w:jc w:val="left"/>
      </w:pPr>
      <w:r>
        <w:rPr/>
        <w:t>⑤确认单独所发生的费用，以及按本公司份额确认共同经营发生的费用。 </w:t>
      </w:r>
      <w:r>
        <w:rPr>
          <w:spacing w:val="-2"/>
        </w:rPr>
        <w:t>合营企业，是指本公司仅对该安排的净资产享有权利的合营安排。本公司对合营企业的投资采用权益法核算，相关会计</w:t>
      </w:r>
    </w:p>
    <w:p>
      <w:pPr>
        <w:pStyle w:val="BodyText"/>
        <w:spacing w:line="240" w:lineRule="auto" w:before="19"/>
        <w:ind w:right="0"/>
        <w:jc w:val="both"/>
      </w:pPr>
      <w:r>
        <w:rPr/>
        <w:t>政策见本附注“三</w:t>
      </w:r>
      <w:r>
        <w:rPr>
          <w:spacing w:val="-90"/>
        </w:rPr>
        <w:t>、</w:t>
      </w:r>
      <w:r>
        <w:rPr/>
        <w:t>（十四）长期股权投资</w:t>
      </w:r>
      <w:r>
        <w:rPr>
          <w:spacing w:val="-90"/>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8、现金及现金等价物的确定标准" w:id="195"/>
      <w:bookmarkEnd w:id="19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360"/>
        <w:jc w:val="both"/>
      </w:pPr>
      <w:r>
        <w:rPr/>
        <w:t>列示于现金流量表中的现金是指库存现金及可以随时用于支付的存款；现金等价物是指公司持有的期限短、流动性强、 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9、外币业务和外币报表折算" w:id="196"/>
      <w:bookmarkEnd w:id="19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4632"/>
        <w:jc w:val="left"/>
      </w:pPr>
      <w:r>
        <w:rPr/>
        <w:t>（</w:t>
      </w:r>
      <w:r>
        <w:rPr>
          <w:rFonts w:ascii="宋体" w:hAnsi="宋体" w:cs="宋体" w:eastAsia="宋体" w:hint="default"/>
        </w:rPr>
        <w:t>1</w:t>
      </w:r>
      <w:r>
        <w:rPr/>
        <w:t>）外币业务折算 本公司对发生的外币交易，采用交易发生日的即期汇率折算人民币入账。</w:t>
      </w:r>
    </w:p>
    <w:p>
      <w:pPr>
        <w:pStyle w:val="BodyText"/>
        <w:spacing w:line="316" w:lineRule="auto" w:before="19"/>
        <w:ind w:right="1131" w:firstLine="360"/>
        <w:jc w:val="both"/>
      </w:pPr>
      <w:r>
        <w:rPr>
          <w:spacing w:val="-2"/>
        </w:rPr>
        <w:t>资产负债表日外币货币性项目按资产负债表日即期汇率折算，因该日的即期汇率与初始确认时或者前一资产负债表日即</w:t>
      </w:r>
      <w:r>
        <w:rPr/>
        <w:t> </w:t>
      </w:r>
      <w:r>
        <w:rPr>
          <w:spacing w:val="-2"/>
        </w:rPr>
        <w:t>期汇率不同而产生的汇兑差额，除符合资本化条件的外币专门借款的汇兑差额在资本化期间予以资本化计入相关资产的成本</w:t>
      </w:r>
      <w:r>
        <w:rPr>
          <w:spacing w:val="-64"/>
        </w:rPr>
        <w:t> </w:t>
      </w:r>
      <w:r>
        <w:rPr>
          <w:spacing w:val="-64"/>
        </w:rPr>
      </w:r>
      <w:r>
        <w:rPr/>
        <w:t>外，均计入当期损益。</w:t>
      </w:r>
    </w:p>
    <w:p>
      <w:pPr>
        <w:pStyle w:val="BodyText"/>
        <w:spacing w:line="316" w:lineRule="auto" w:before="19"/>
        <w:ind w:right="1133" w:firstLine="360"/>
        <w:jc w:val="both"/>
      </w:pPr>
      <w:r>
        <w:rPr>
          <w:spacing w:val="-2"/>
        </w:rPr>
        <w:t>以历史成本计量的外币非货币性项目，仍采用交易发生日的即期汇率折算，不改变其记账本位币金额。以公允价值计量</w:t>
      </w:r>
      <w:r>
        <w:rPr/>
        <w:t> </w:t>
      </w:r>
      <w:r>
        <w:rPr>
          <w:spacing w:val="-2"/>
        </w:rPr>
        <w:t>的外币非货币性项目，采用公允价值确定日的即期汇率折算，折算后的记账本位币金额与原记账本位币金额的差额，作为公</w:t>
      </w:r>
      <w:r>
        <w:rPr>
          <w:spacing w:val="-66"/>
        </w:rPr>
        <w:t> </w:t>
      </w:r>
      <w:r>
        <w:rPr>
          <w:spacing w:val="-66"/>
        </w:rPr>
      </w:r>
      <w:r>
        <w:rPr/>
        <w:t>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处理，计入当期损益或确认为其他综合收益。</w:t>
      </w:r>
    </w:p>
    <w:p>
      <w:pPr>
        <w:pStyle w:val="BodyText"/>
        <w:spacing w:line="316" w:lineRule="auto" w:before="19"/>
        <w:ind w:left="474" w:right="982"/>
        <w:jc w:val="left"/>
      </w:pPr>
      <w:r>
        <w:rPr/>
        <w:t>（</w:t>
      </w:r>
      <w:r>
        <w:rPr>
          <w:rFonts w:ascii="宋体" w:hAnsi="宋体" w:cs="宋体" w:eastAsia="宋体" w:hint="default"/>
        </w:rPr>
        <w:t>2</w:t>
      </w:r>
      <w:r>
        <w:rPr/>
        <w:t>）外币财务报表折算 </w:t>
      </w:r>
      <w:r>
        <w:rPr>
          <w:spacing w:val="-2"/>
        </w:rPr>
        <w:t>本公司的控股子公司、合营企业、联营企业等，若采用与本公司不同的记账本位币，需对其外币财务报表折算后，再进</w:t>
      </w:r>
    </w:p>
    <w:p>
      <w:pPr>
        <w:pStyle w:val="BodyText"/>
        <w:spacing w:line="316" w:lineRule="auto" w:before="19"/>
        <w:ind w:left="474" w:right="982" w:hanging="360"/>
        <w:jc w:val="left"/>
      </w:pPr>
      <w:r>
        <w:rPr/>
        <w:t>行会计核算及合并财务报表的编报。 </w:t>
      </w:r>
      <w:r>
        <w:rPr>
          <w:spacing w:val="-2"/>
        </w:rPr>
        <w:t>资产负债表中的资产和负债项目，采用资产负债表日的即期汇率折算，所有者权益项目除“未分配利润”项目外，其他</w:t>
      </w:r>
    </w:p>
    <w:p>
      <w:pPr>
        <w:pStyle w:val="BodyText"/>
        <w:spacing w:line="316" w:lineRule="auto" w:before="19"/>
        <w:ind w:right="982"/>
        <w:jc w:val="left"/>
      </w:pPr>
      <w:r>
        <w:rPr>
          <w:spacing w:val="-2"/>
        </w:rPr>
        <w:t>项目采用发生时的即期汇率折算。利润表中的收入和费用项目，采用交易发生日的即期汇率折算。折算产生的外币财务报表</w:t>
      </w:r>
      <w:r>
        <w:rPr>
          <w:spacing w:val="-66"/>
        </w:rPr>
        <w:t> </w:t>
      </w:r>
      <w:r>
        <w:rPr>
          <w:spacing w:val="-66"/>
        </w:rPr>
      </w:r>
      <w:r>
        <w:rPr/>
        <w:t>折算差额，在资产负债表中所有者权益项目其他综合收益下列示。</w:t>
      </w:r>
    </w:p>
    <w:p>
      <w:pPr>
        <w:pStyle w:val="BodyText"/>
        <w:spacing w:line="316" w:lineRule="auto" w:before="19"/>
        <w:ind w:right="1132" w:firstLine="360"/>
        <w:jc w:val="both"/>
      </w:pPr>
      <w:r>
        <w:rPr>
          <w:spacing w:val="-2"/>
        </w:rPr>
        <w:t>外币现金流量按照系统合理方法确定的，采用交易发生日的即期汇率折算。汇率变动对现金的影响额，在现金流量表中</w:t>
      </w:r>
      <w:r>
        <w:rPr/>
        <w:t> 单独列示。</w:t>
      </w:r>
    </w:p>
    <w:p>
      <w:pPr>
        <w:pStyle w:val="BodyText"/>
        <w:spacing w:line="240" w:lineRule="auto" w:before="19"/>
        <w:ind w:left="474" w:right="982"/>
        <w:jc w:val="left"/>
      </w:pPr>
      <w:r>
        <w:rPr/>
        <w:t>处置境外经营时，与该境外经营有关的外币报表折算差额，全部或按处置该境外经营的比例转入处置当期损益。</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35"/>
        <w:ind w:right="982"/>
        <w:jc w:val="left"/>
        <w:rPr>
          <w:b w:val="0"/>
          <w:bCs w:val="0"/>
        </w:rPr>
      </w:pPr>
      <w:bookmarkStart w:name="10、金融工具" w:id="197"/>
      <w:bookmarkEnd w:id="19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金融工具，是指形成一个企业的金融资产，并形成其他单位的金融负债或权益工具的合同。本公司金融工具包括金融资</w:t>
      </w:r>
      <w:r>
        <w:rPr/>
        <w:t> 产、金融负债和权益工具。</w:t>
      </w:r>
    </w:p>
    <w:p>
      <w:pPr>
        <w:pStyle w:val="BodyText"/>
        <w:spacing w:line="316" w:lineRule="auto" w:before="19"/>
        <w:ind w:left="474" w:right="982"/>
        <w:jc w:val="left"/>
      </w:pPr>
      <w:r>
        <w:rPr>
          <w:rFonts w:ascii="宋体" w:hAnsi="宋体" w:cs="宋体" w:eastAsia="宋体" w:hint="default"/>
        </w:rPr>
        <w:t>1</w:t>
      </w:r>
      <w:r>
        <w:rPr/>
        <w:t>、金融工具的分类 </w:t>
      </w:r>
      <w:r>
        <w:rPr>
          <w:spacing w:val="-2"/>
        </w:rPr>
        <w:t>本公司金融资产在初始确认时划分为下列四类：以公允价值计量且其变动计入当期损益的金融资产，包括交易性金融资</w:t>
      </w:r>
    </w:p>
    <w:p>
      <w:pPr>
        <w:pStyle w:val="BodyText"/>
        <w:spacing w:line="316" w:lineRule="auto" w:before="19"/>
        <w:ind w:left="474" w:right="982" w:hanging="360"/>
        <w:jc w:val="left"/>
      </w:pPr>
      <w:r>
        <w:rPr/>
        <w:t>产和指定为以公允价值计量且其变动计入当期损益的金融资产；持有至到期投资；应收款项；可供出售金融资产。 </w:t>
      </w:r>
      <w:r>
        <w:rPr>
          <w:spacing w:val="-2"/>
        </w:rPr>
        <w:t>本公司金融负债在初始确认时划分为下列两类：以公允价值计量且其变动计入当期损益的金融负债，包括交易性金融负</w:t>
      </w:r>
    </w:p>
    <w:p>
      <w:pPr>
        <w:pStyle w:val="BodyText"/>
        <w:spacing w:line="316" w:lineRule="auto" w:before="19"/>
        <w:ind w:left="474" w:right="4452" w:hanging="360"/>
        <w:jc w:val="left"/>
      </w:pPr>
      <w:r>
        <w:rPr/>
        <w:t>债和指定为以公允价值计量且其变动计入当期损益的金融负债；其他金融负债。 </w:t>
      </w:r>
      <w:r>
        <w:rPr>
          <w:rFonts w:ascii="宋体" w:hAnsi="宋体" w:cs="宋体" w:eastAsia="宋体" w:hint="default"/>
        </w:rPr>
        <w:t>2</w:t>
      </w:r>
      <w:r>
        <w:rPr/>
        <w:t>、金融资产的确认依据和计量方法</w:t>
      </w:r>
    </w:p>
    <w:p>
      <w:pPr>
        <w:pStyle w:val="BodyText"/>
        <w:spacing w:line="316" w:lineRule="auto" w:before="19"/>
        <w:ind w:left="474" w:right="1212"/>
        <w:jc w:val="left"/>
      </w:pPr>
      <w:r>
        <w:rPr/>
        <w:t>（</w:t>
      </w:r>
      <w:r>
        <w:rPr>
          <w:rFonts w:ascii="宋体" w:hAnsi="宋体" w:cs="宋体" w:eastAsia="宋体" w:hint="default"/>
        </w:rPr>
        <w:t>1</w:t>
      </w:r>
      <w:r>
        <w:rPr/>
        <w:t>）以公允价值计量且其变动计入当期损益的金融资产 本公司以公允价值计量且其变动计入当期损益的金融资产包括交易性金融资产和指定为以公允价值计量且其变动计入</w:t>
      </w:r>
    </w:p>
    <w:p>
      <w:pPr>
        <w:pStyle w:val="BodyText"/>
        <w:spacing w:line="316" w:lineRule="auto" w:before="19"/>
        <w:ind w:right="1131"/>
        <w:jc w:val="both"/>
      </w:pPr>
      <w:r>
        <w:rPr/>
        <w:t>当期损益的金融资产。本公司将满足下列条件之一的金融资产划分为交易性金融资产：</w:t>
      </w:r>
      <w:r>
        <w:rPr>
          <w:rFonts w:ascii="宋体" w:hAnsi="宋体" w:cs="宋体" w:eastAsia="宋体" w:hint="default"/>
        </w:rPr>
        <w:t>(1)</w:t>
      </w:r>
      <w:r>
        <w:rPr/>
        <w:t>取得该金融资产的目的，主要是 为了近期内出售；</w:t>
      </w:r>
      <w:r>
        <w:rPr>
          <w:rFonts w:ascii="宋体" w:hAnsi="宋体" w:cs="宋体" w:eastAsia="宋体" w:hint="default"/>
        </w:rPr>
        <w:t>(2)</w:t>
      </w:r>
      <w:r>
        <w:rPr/>
        <w:t>初始确认时即属于进行集中管理的可辨认金融工具组合的一部分，且有客观证据表明本公司近期采用 短期获利方式对该组合进行管理；</w:t>
      </w:r>
      <w:r>
        <w:rPr>
          <w:rFonts w:ascii="宋体" w:hAnsi="宋体" w:cs="宋体" w:eastAsia="宋体" w:hint="default"/>
        </w:rPr>
        <w:t>(3)</w:t>
      </w:r>
      <w:r>
        <w:rPr/>
        <w:t>属于衍生工具，但是被指定且为有效套期工具的衍生工具、属于财务担保合同的衍生 </w:t>
      </w:r>
      <w:r>
        <w:rPr>
          <w:spacing w:val="-2"/>
        </w:rPr>
        <w:t>工具、与在活跃市场中没有报价且其公允价值不能可靠计量的权益工具投资挂钩并须通过交付该权益工具结算的衍生工具除</w:t>
      </w:r>
      <w:r>
        <w:rPr>
          <w:spacing w:val="-64"/>
        </w:rPr>
        <w:t> </w:t>
      </w:r>
      <w:r>
        <w:rPr>
          <w:spacing w:val="-64"/>
        </w:rPr>
      </w:r>
      <w:r>
        <w:rPr/>
        <w:t>外。本公司将符合下述条件之一的金融资产，在初始确认时指定为以公允价值计量且其变动计入当期损益的金融资产：</w:t>
      </w:r>
      <w:r>
        <w:rPr>
          <w:rFonts w:ascii="宋体" w:hAnsi="宋体" w:cs="宋体" w:eastAsia="宋体" w:hint="default"/>
        </w:rPr>
        <w:t>(1) </w:t>
      </w:r>
      <w:r>
        <w:rPr/>
        <w:t>该指定可以消除或明显减少由于该金融资产的计量基础不同所导致的相关利得或损失在确认或计量方面不一致的情况；</w:t>
      </w:r>
      <w:r>
        <w:rPr>
          <w:rFonts w:ascii="宋体" w:hAnsi="宋体" w:cs="宋体" w:eastAsia="宋体" w:hint="default"/>
        </w:rPr>
        <w:t>(2) </w:t>
      </w:r>
      <w:r>
        <w:rPr>
          <w:spacing w:val="-2"/>
        </w:rPr>
        <w:t>本公司风险管理或投资策略的正式书面文件已载明，该金融资产所在的金融资产组合或金融资产和金融负债组合以公允价值</w:t>
      </w:r>
      <w:r>
        <w:rPr>
          <w:spacing w:val="-64"/>
        </w:rPr>
        <w:t> </w:t>
      </w:r>
      <w:r>
        <w:rPr>
          <w:spacing w:val="-64"/>
        </w:rPr>
      </w:r>
      <w:r>
        <w:rPr/>
        <w:t>为基础进行管理、评价并向关键管理人员报告；</w:t>
      </w:r>
      <w:r>
        <w:rPr>
          <w:rFonts w:ascii="宋体" w:hAnsi="宋体" w:cs="宋体" w:eastAsia="宋体" w:hint="default"/>
        </w:rPr>
        <w:t>(3)</w:t>
      </w:r>
      <w:r>
        <w:rPr/>
        <w:t>《企业会计准则第</w:t>
      </w:r>
      <w:r>
        <w:rPr>
          <w:rFonts w:ascii="宋体" w:hAnsi="宋体" w:cs="宋体" w:eastAsia="宋体" w:hint="default"/>
        </w:rPr>
        <w:t>22</w:t>
      </w:r>
      <w:r>
        <w:rPr/>
        <w:t>号—金融工具确认和计量》允许指定为以公允价值 计量且其变动计入当期损益的金融资产的与嵌入衍生工具相关的混合工具。</w:t>
      </w:r>
    </w:p>
    <w:p>
      <w:pPr>
        <w:pStyle w:val="BodyText"/>
        <w:spacing w:line="316" w:lineRule="auto" w:before="19"/>
        <w:ind w:right="982" w:firstLine="360"/>
        <w:jc w:val="left"/>
      </w:pPr>
      <w:r>
        <w:rPr>
          <w:spacing w:val="-2"/>
        </w:rPr>
        <w:t>本公司对于以公允价值计量且变动计入当期损益的金融资产，取得时以公允价值（扣除已宣告但尚未发放的现金股利或</w:t>
      </w:r>
      <w:r>
        <w:rPr/>
        <w:t> </w:t>
      </w:r>
      <w:r>
        <w:rPr>
          <w:spacing w:val="-2"/>
        </w:rPr>
        <w:t>已到付息期但尚未领取的债券利息）作为初始确认金额，相关的交易费用计入当期损益。采用公允价值进行后续计量，公允</w:t>
      </w:r>
      <w:r>
        <w:rPr>
          <w:spacing w:val="-66"/>
        </w:rPr>
        <w:t> </w:t>
      </w:r>
      <w:r>
        <w:rPr>
          <w:spacing w:val="-66"/>
        </w:rPr>
      </w:r>
      <w:r>
        <w:rPr>
          <w:spacing w:val="-4"/>
        </w:rPr>
        <w:t>价值变动形成的利得或损失，计入公允价值变动损益；在资产持有期间所取得的利息或现金股利，确认为投资收益；处置时，</w:t>
      </w:r>
      <w:r>
        <w:rPr>
          <w:spacing w:val="-46"/>
        </w:rPr>
        <w:t> </w:t>
      </w:r>
      <w:r>
        <w:rPr>
          <w:spacing w:val="-46"/>
        </w:rPr>
      </w:r>
      <w:r>
        <w:rPr/>
        <w:t>将实际收到的金额与初始入账金额之间的差额确认为投资收益，同时调整公允价值变动损益。</w:t>
      </w:r>
    </w:p>
    <w:p>
      <w:pPr>
        <w:pStyle w:val="BodyText"/>
        <w:spacing w:line="316" w:lineRule="auto" w:before="19"/>
        <w:ind w:left="474" w:right="982"/>
        <w:jc w:val="left"/>
      </w:pPr>
      <w:r>
        <w:rPr/>
        <w:t>（</w:t>
      </w:r>
      <w:r>
        <w:rPr>
          <w:rFonts w:ascii="宋体" w:hAnsi="宋体" w:cs="宋体" w:eastAsia="宋体" w:hint="default"/>
        </w:rPr>
        <w:t>2</w:t>
      </w:r>
      <w:r>
        <w:rPr/>
        <w:t>）持有至到期投资 </w:t>
      </w:r>
      <w:r>
        <w:rPr>
          <w:spacing w:val="-2"/>
        </w:rPr>
        <w:t>本公司的持有至到期投资是指到期日固定、回收金额固定或可确定，且本公司有明确意图和能力持有至到期的非衍生金</w:t>
      </w:r>
    </w:p>
    <w:p>
      <w:pPr>
        <w:pStyle w:val="BodyText"/>
        <w:spacing w:line="316" w:lineRule="auto" w:before="19"/>
        <w:ind w:right="1130"/>
        <w:jc w:val="both"/>
      </w:pPr>
      <w:r>
        <w:rPr>
          <w:spacing w:val="-2"/>
        </w:rPr>
        <w:t>融资产。取得时按公允价值（扣除已到付息期但尚未领取的债券利息）和相关交易费用之和作为初始确认金额。持有期间按</w:t>
      </w:r>
      <w:r>
        <w:rPr>
          <w:spacing w:val="-66"/>
        </w:rPr>
        <w:t> </w:t>
      </w:r>
      <w:r>
        <w:rPr>
          <w:spacing w:val="-66"/>
        </w:rPr>
      </w:r>
      <w:r>
        <w:rPr>
          <w:spacing w:val="-2"/>
        </w:rPr>
        <w:t>照摊余成本和实际利率（提示：如实际利率与票面利率差别较小的，按票面利率）计算确认利息收入，计入投资收益。实际</w:t>
      </w:r>
      <w:r>
        <w:rPr>
          <w:spacing w:val="-68"/>
        </w:rPr>
        <w:t> </w:t>
      </w:r>
      <w:r>
        <w:rPr>
          <w:spacing w:val="-68"/>
        </w:rPr>
      </w:r>
      <w:r>
        <w:rPr>
          <w:spacing w:val="-2"/>
        </w:rPr>
        <w:t>利率在取得时确定，在该预期存续期间或适用的更短期间内保持不变。处置时，本公司将所取得价款与该投资账面价值之间</w:t>
      </w:r>
      <w:r>
        <w:rPr>
          <w:spacing w:val="-66"/>
        </w:rPr>
        <w:t> </w:t>
      </w:r>
      <w:r>
        <w:rPr>
          <w:spacing w:val="-66"/>
        </w:rPr>
      </w:r>
      <w:r>
        <w:rPr/>
        <w:t>的差额计入投资收益。</w:t>
      </w:r>
    </w:p>
    <w:p>
      <w:pPr>
        <w:pStyle w:val="BodyText"/>
        <w:spacing w:line="316" w:lineRule="auto" w:before="19"/>
        <w:ind w:left="474" w:right="982"/>
        <w:jc w:val="left"/>
      </w:pPr>
      <w:r>
        <w:rPr/>
        <w:t>（</w:t>
      </w:r>
      <w:r>
        <w:rPr>
          <w:rFonts w:ascii="宋体" w:hAnsi="宋体" w:cs="宋体" w:eastAsia="宋体" w:hint="default"/>
        </w:rPr>
        <w:t>3</w:t>
      </w:r>
      <w:r>
        <w:rPr/>
        <w:t>）应收款项 </w:t>
      </w:r>
      <w:r>
        <w:rPr>
          <w:spacing w:val="-2"/>
        </w:rPr>
        <w:t>应收款项是指本公司对外销售商品或提供劳务形成的应收债权，以及公司持有的其他企业的不包括在活跃市场上有报价</w:t>
      </w:r>
    </w:p>
    <w:p>
      <w:pPr>
        <w:pStyle w:val="BodyText"/>
        <w:spacing w:line="316" w:lineRule="auto" w:before="19"/>
        <w:ind w:right="1131"/>
        <w:jc w:val="both"/>
      </w:pPr>
      <w:r>
        <w:rPr>
          <w:spacing w:val="-2"/>
        </w:rPr>
        <w:t>的债务工具的债权，包括应收账款、其他应收款等。本公司以向购货方应收的合同或协议价款作为初始确认金额；具有融资</w:t>
      </w:r>
      <w:r>
        <w:rPr>
          <w:spacing w:val="-66"/>
        </w:rPr>
        <w:t> </w:t>
      </w:r>
      <w:r>
        <w:rPr>
          <w:spacing w:val="-66"/>
        </w:rPr>
      </w:r>
      <w:r>
        <w:rPr/>
        <w:t>性质的，按其现值进行初始确认。收回或处置时，将取得的价款与该应收款项账面价值之间的差额计入当期损益。</w:t>
      </w:r>
    </w:p>
    <w:p>
      <w:pPr>
        <w:pStyle w:val="BodyText"/>
        <w:spacing w:line="316" w:lineRule="auto" w:before="19"/>
        <w:ind w:left="474" w:right="982"/>
        <w:jc w:val="left"/>
      </w:pPr>
      <w:r>
        <w:rPr/>
        <w:t>（</w:t>
      </w:r>
      <w:r>
        <w:rPr>
          <w:rFonts w:ascii="宋体" w:hAnsi="宋体" w:cs="宋体" w:eastAsia="宋体" w:hint="default"/>
        </w:rPr>
        <w:t>4</w:t>
      </w:r>
      <w:r>
        <w:rPr/>
        <w:t>）可供出售金融资产 </w:t>
      </w:r>
      <w:r>
        <w:rPr>
          <w:spacing w:val="-2"/>
        </w:rPr>
        <w:t>本公司可供出售金融资产包括：初始确认时即被指定为可供出售的非衍生金融资产，以及除了以公允价值计量且其变动</w:t>
      </w:r>
    </w:p>
    <w:p>
      <w:pPr>
        <w:pStyle w:val="BodyText"/>
        <w:spacing w:line="319" w:lineRule="auto" w:before="19"/>
        <w:ind w:right="982"/>
        <w:jc w:val="left"/>
      </w:pPr>
      <w:r>
        <w:rPr>
          <w:spacing w:val="-2"/>
        </w:rPr>
        <w:t>计入当期损益的金融资产、贷款和应收款项、持有至到期投资以外的金融资产。本公司可供出售金融资产采用公允价值进行</w:t>
      </w:r>
      <w:r>
        <w:rPr>
          <w:spacing w:val="-66"/>
        </w:rPr>
        <w:t> </w:t>
      </w:r>
      <w:r>
        <w:rPr>
          <w:spacing w:val="-66"/>
        </w:rPr>
      </w:r>
      <w:r>
        <w:rPr>
          <w:spacing w:val="-4"/>
        </w:rPr>
        <w:t>后续计量，公允价值变动形成的利得或损失，除减值损失和外币货币性金融资产与摊余成本相关的汇兑差额计入当期损益外，</w:t>
      </w:r>
      <w:r>
        <w:rPr>
          <w:spacing w:val="-44"/>
        </w:rPr>
        <w:t> </w:t>
      </w:r>
      <w:r>
        <w:rPr>
          <w:spacing w:val="-44"/>
        </w:rPr>
      </w:r>
      <w:r>
        <w:rPr>
          <w:spacing w:val="-2"/>
        </w:rPr>
        <w:t>确认为其他综合收益，在该金融资产终止确认时转出，计入当期损益。可供出售金融资产持有期间按实际利率法计算的利息</w:t>
      </w:r>
      <w:r>
        <w:rPr>
          <w:spacing w:val="-66"/>
        </w:rPr>
        <w:t> </w:t>
      </w:r>
      <w:r>
        <w:rPr>
          <w:spacing w:val="-66"/>
        </w:rPr>
      </w:r>
      <w:r>
        <w:rPr>
          <w:spacing w:val="-2"/>
        </w:rPr>
        <w:t>及被投资单位宣告发放的现金股利，计入投资收益。处置时，将实际收到的金额与账面价值扣除原直接计入其他综合收益的</w:t>
      </w:r>
      <w:r>
        <w:rPr>
          <w:spacing w:val="-66"/>
        </w:rPr>
        <w:t> </w:t>
      </w:r>
      <w:r>
        <w:rPr>
          <w:spacing w:val="-66"/>
        </w:rPr>
      </w:r>
      <w:r>
        <w:rPr>
          <w:spacing w:val="-2"/>
        </w:rPr>
        <w:t>公允价值变动累计额之后的差额确认为投资收益。本公司对在活跃市场中没有报价且其公允价值不能可靠计量的权益工具投</w:t>
      </w:r>
    </w:p>
    <w:p>
      <w:pPr>
        <w:spacing w:after="0" w:line="319"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2030" w:hanging="360"/>
        <w:jc w:val="left"/>
      </w:pPr>
      <w:r>
        <w:rPr>
          <w:spacing w:val="-2"/>
        </w:rPr>
        <w:t>资，以及与该权益工具挂钩并须通过交付该权益工具结算的衍生金融资产（或衍生金融负债），按照成本计量。</w:t>
      </w:r>
      <w:r>
        <w:rPr>
          <w:spacing w:val="-82"/>
        </w:rPr>
        <w:t> </w:t>
      </w:r>
      <w:r>
        <w:rPr>
          <w:spacing w:val="-82"/>
        </w:rPr>
      </w:r>
      <w:r>
        <w:rPr>
          <w:rFonts w:ascii="宋体" w:hAnsi="宋体" w:cs="宋体" w:eastAsia="宋体" w:hint="default"/>
        </w:rPr>
        <w:t>3</w:t>
      </w:r>
      <w:r>
        <w:rPr/>
        <w:t>、金融负债的确认依据和计量方法 本公司金融负债在初始确认时划分为以公允价值计量且其变动计入当期损益的金融负债和其他金融负债。</w:t>
      </w:r>
    </w:p>
    <w:p>
      <w:pPr>
        <w:pStyle w:val="BodyText"/>
        <w:spacing w:line="319" w:lineRule="auto" w:before="19"/>
        <w:ind w:right="1141" w:firstLine="360"/>
        <w:jc w:val="both"/>
      </w:pPr>
      <w:r>
        <w:rPr/>
        <w:t>（</w:t>
      </w:r>
      <w:r>
        <w:rPr>
          <w:rFonts w:ascii="宋体" w:hAnsi="宋体" w:cs="宋体" w:eastAsia="宋体" w:hint="default"/>
        </w:rPr>
        <w:t>1</w:t>
      </w:r>
      <w:r>
        <w:rPr/>
        <w:t>）以公允价值计量且其变动计入当期损益的金融负债，包括交易性金融负债和指定为以公允价值计量且其变动计入 当期损益的金融负债。</w:t>
      </w:r>
    </w:p>
    <w:p>
      <w:pPr>
        <w:pStyle w:val="BodyText"/>
        <w:spacing w:line="316" w:lineRule="auto" w:before="17"/>
        <w:ind w:right="1131" w:firstLine="360"/>
        <w:jc w:val="both"/>
      </w:pPr>
      <w:r>
        <w:rPr>
          <w:spacing w:val="-2"/>
        </w:rPr>
        <w:t>满足下列条件之一的金融负债划分为交易性金融负债：</w:t>
      </w:r>
      <w:r>
        <w:rPr>
          <w:rFonts w:ascii="宋体" w:hAnsi="宋体" w:cs="宋体" w:eastAsia="宋体" w:hint="default"/>
          <w:spacing w:val="-2"/>
        </w:rPr>
        <w:t>(1)</w:t>
      </w:r>
      <w:r>
        <w:rPr>
          <w:spacing w:val="-2"/>
        </w:rPr>
        <w:t>承担该金融负债的目的，主要是为了近期内回购；</w:t>
      </w:r>
      <w:r>
        <w:rPr>
          <w:rFonts w:ascii="宋体" w:hAnsi="宋体" w:cs="宋体" w:eastAsia="宋体" w:hint="default"/>
          <w:spacing w:val="-2"/>
        </w:rPr>
        <w:t>(2)</w:t>
      </w:r>
      <w:r>
        <w:rPr>
          <w:spacing w:val="-2"/>
        </w:rPr>
        <w:t>初始确</w:t>
      </w:r>
      <w:r>
        <w:rPr/>
        <w:t> </w:t>
      </w:r>
      <w:r>
        <w:rPr>
          <w:spacing w:val="-2"/>
        </w:rPr>
        <w:t>认时即属于进行集中管理的可辨认金融工具组合的一部分，且有客观证据表明本公司近期采用短期获利方式对该组合进行管</w:t>
      </w:r>
      <w:r>
        <w:rPr>
          <w:spacing w:val="-64"/>
        </w:rPr>
        <w:t> </w:t>
      </w:r>
      <w:r>
        <w:rPr>
          <w:spacing w:val="-64"/>
        </w:rPr>
      </w:r>
      <w:r>
        <w:rPr/>
        <w:t>理；</w:t>
      </w:r>
      <w:r>
        <w:rPr>
          <w:rFonts w:ascii="宋体" w:hAnsi="宋体" w:cs="宋体" w:eastAsia="宋体" w:hint="default"/>
        </w:rPr>
        <w:t>(3)</w:t>
      </w:r>
      <w:r>
        <w:rPr/>
        <w:t>属于衍生工具，但是被指定且为有效套期工具的衍生工具、属于财务担保合同的衍生工具、与在活跃市场中没有报 价且其公允价值不能可靠计量的权益工具投资挂钩并须通过交付该权益工具结算的衍生工具除外。</w:t>
      </w:r>
    </w:p>
    <w:p>
      <w:pPr>
        <w:pStyle w:val="BodyText"/>
        <w:spacing w:line="316" w:lineRule="auto" w:before="19"/>
        <w:ind w:right="1131" w:firstLine="360"/>
        <w:jc w:val="both"/>
      </w:pPr>
      <w:r>
        <w:rPr/>
        <w:t>符合下列条件之一的金融负债，在初始确认时可以指定为以公允价值计量且其变动计入当期损益的金融负债：</w:t>
      </w:r>
      <w:r>
        <w:rPr>
          <w:rFonts w:ascii="宋体" w:hAnsi="宋体" w:cs="宋体" w:eastAsia="宋体" w:hint="default"/>
        </w:rPr>
        <w:t>(1)</w:t>
      </w:r>
      <w:r>
        <w:rPr/>
        <w:t>该指 定可以消除或明显减少由于该金融负债的计量基础不同所导致的相关利得或损失在确认和计量方面不一致的情况；</w:t>
      </w:r>
      <w:r>
        <w:rPr>
          <w:rFonts w:ascii="宋体" w:hAnsi="宋体" w:cs="宋体" w:eastAsia="宋体" w:hint="default"/>
        </w:rPr>
        <w:t>(2)</w:t>
      </w:r>
      <w:r>
        <w:rPr/>
        <w:t>本公 </w:t>
      </w:r>
      <w:r>
        <w:rPr>
          <w:spacing w:val="-2"/>
        </w:rPr>
        <w:t>司风险管理或投资策略的正式书面文件已载明，该金融负债所在的金融负债组合或金融资产和金融负债组合以公允价值为基</w:t>
      </w:r>
      <w:r>
        <w:rPr>
          <w:spacing w:val="-64"/>
        </w:rPr>
        <w:t> </w:t>
      </w:r>
      <w:r>
        <w:rPr>
          <w:spacing w:val="-64"/>
        </w:rPr>
      </w:r>
      <w:r>
        <w:rPr/>
        <w:t>础进行管理、评价并向关键管理人员报告；</w:t>
      </w:r>
      <w:r>
        <w:rPr>
          <w:rFonts w:ascii="宋体" w:hAnsi="宋体" w:cs="宋体" w:eastAsia="宋体" w:hint="default"/>
        </w:rPr>
        <w:t>(3)</w:t>
      </w:r>
      <w:r>
        <w:rPr/>
        <w:t>《企业会计准则第</w:t>
      </w:r>
      <w:r>
        <w:rPr>
          <w:rFonts w:ascii="宋体" w:hAnsi="宋体" w:cs="宋体" w:eastAsia="宋体" w:hint="default"/>
        </w:rPr>
        <w:t>22</w:t>
      </w:r>
      <w:r>
        <w:rPr/>
        <w:t>号—金融工具确认和计量》允许指定为以公允价值计量 且其变动计入当期损益的金融负债的与嵌入衍生工具相关的混合工具。</w:t>
      </w:r>
    </w:p>
    <w:p>
      <w:pPr>
        <w:pStyle w:val="BodyText"/>
        <w:spacing w:line="316" w:lineRule="auto" w:before="19"/>
        <w:ind w:right="1131" w:firstLine="360"/>
        <w:jc w:val="both"/>
      </w:pPr>
      <w:r>
        <w:rPr>
          <w:spacing w:val="-2"/>
        </w:rPr>
        <w:t>以公允价值计量且其变动计入当期损益的金融负债采用公允价值进行后续计量，公允价值变动形成的利得或损失以及与</w:t>
      </w:r>
      <w:r>
        <w:rPr/>
        <w:t> 该等金融负债相关的股利和利息支出计入当期损益。</w:t>
      </w:r>
    </w:p>
    <w:p>
      <w:pPr>
        <w:pStyle w:val="BodyText"/>
        <w:spacing w:line="316" w:lineRule="auto" w:before="19"/>
        <w:ind w:right="1133" w:firstLine="360"/>
        <w:jc w:val="both"/>
      </w:pPr>
      <w:r>
        <w:rPr/>
        <w:t>（</w:t>
      </w:r>
      <w:r>
        <w:rPr>
          <w:rFonts w:ascii="宋体" w:hAnsi="宋体" w:cs="宋体" w:eastAsia="宋体" w:hint="default"/>
        </w:rPr>
        <w:t>2</w:t>
      </w:r>
      <w:r>
        <w:rPr/>
        <w:t>）其他金融负债：与在活跃市场中没有报价、公允价值不能可靠计量的权益工具挂钩并须通过交付该权益工具结算 </w:t>
      </w:r>
      <w:r>
        <w:rPr>
          <w:spacing w:val="-2"/>
        </w:rPr>
        <w:t>的衍生金融负债，按照成本进行后续计量。除财务担保合同负债外的其他金融负债采用实际利率法，按摊余成本进行后续计</w:t>
      </w:r>
      <w:r>
        <w:rPr>
          <w:spacing w:val="-66"/>
        </w:rPr>
        <w:t> </w:t>
      </w:r>
      <w:r>
        <w:rPr>
          <w:spacing w:val="-66"/>
        </w:rPr>
      </w:r>
      <w:r>
        <w:rPr/>
        <w:t>量，终止确认或摊销产生的利得或损失计入当期损益。</w:t>
      </w:r>
    </w:p>
    <w:p>
      <w:pPr>
        <w:pStyle w:val="BodyText"/>
        <w:spacing w:line="316" w:lineRule="auto" w:before="19"/>
        <w:ind w:left="474" w:right="982"/>
        <w:jc w:val="left"/>
      </w:pPr>
      <w:r>
        <w:rPr>
          <w:rFonts w:ascii="宋体" w:hAnsi="宋体" w:cs="宋体" w:eastAsia="宋体"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9" w:lineRule="auto" w:before="19"/>
        <w:ind w:right="982"/>
        <w:jc w:val="left"/>
      </w:pPr>
      <w:r>
        <w:rPr>
          <w:spacing w:val="-2"/>
        </w:rPr>
        <w:t>将金融资产所有权上几乎所有的风险和报酬转移给转入方；③该金融资产已转移，虽然企业既没有转移也没有保留金融资产</w:t>
      </w:r>
      <w:r>
        <w:rPr>
          <w:spacing w:val="-63"/>
        </w:rPr>
        <w:t> </w:t>
      </w:r>
      <w:r>
        <w:rPr>
          <w:spacing w:val="-63"/>
        </w:rPr>
      </w:r>
      <w:r>
        <w:rPr/>
        <w:t>所有权上几乎所有的风险和报酬，但是放弃了对该金融资产控制。</w:t>
      </w:r>
    </w:p>
    <w:p>
      <w:pPr>
        <w:pStyle w:val="BodyText"/>
        <w:spacing w:line="316" w:lineRule="auto" w:before="17"/>
        <w:ind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right="1132" w:firstLine="360"/>
        <w:jc w:val="both"/>
      </w:pPr>
      <w:r>
        <w:rPr>
          <w:spacing w:val="-2"/>
        </w:rPr>
        <w:t>在判断金融资产转移是否满足上述金融资产终止确认条件时，采用实质重于形式的原则。本公司将金融资产转移区分为</w:t>
      </w:r>
      <w:r>
        <w:rPr/>
        <w:t> 金融资产整体转移和部分转移。金融资产整体转移满足终止确认条件的，将下列两项金额的差额计入当期损益：</w:t>
      </w:r>
    </w:p>
    <w:p>
      <w:pPr>
        <w:pStyle w:val="BodyText"/>
        <w:spacing w:line="240" w:lineRule="auto" w:before="19"/>
        <w:ind w:left="474" w:right="982"/>
        <w:jc w:val="left"/>
      </w:pPr>
      <w:r>
        <w:rPr/>
        <w:t>（</w:t>
      </w:r>
      <w:r>
        <w:rPr>
          <w:rFonts w:ascii="宋体" w:hAnsi="宋体" w:cs="宋体" w:eastAsia="宋体" w:hint="default"/>
        </w:rPr>
        <w:t>1</w:t>
      </w:r>
      <w:r>
        <w:rPr/>
        <w:t>）所转移金融资产的账面价值；</w:t>
      </w:r>
    </w:p>
    <w:p>
      <w:pPr>
        <w:pStyle w:val="BodyText"/>
        <w:spacing w:line="316" w:lineRule="auto" w:before="76"/>
        <w:ind w:right="1141" w:firstLine="360"/>
        <w:jc w:val="both"/>
      </w:pPr>
      <w:r>
        <w:rPr/>
        <w:t>（</w:t>
      </w:r>
      <w:r>
        <w:rPr>
          <w:rFonts w:ascii="宋体" w:hAnsi="宋体" w:cs="宋体" w:eastAsia="宋体" w:hint="default"/>
        </w:rPr>
        <w:t>2</w:t>
      </w:r>
      <w:r>
        <w:rPr/>
        <w:t>）因转移而收到的对价，与原直接计入所有者权益的公允价值变动累计额（涉及转移的金融资产为可供出售金融资 产的情形）之和。</w:t>
      </w:r>
    </w:p>
    <w:p>
      <w:pPr>
        <w:pStyle w:val="BodyText"/>
        <w:spacing w:line="316" w:lineRule="auto" w:before="19"/>
        <w:ind w:right="1050" w:firstLine="360"/>
        <w:jc w:val="both"/>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474" w:right="982"/>
        <w:jc w:val="left"/>
      </w:pPr>
      <w:r>
        <w:rPr/>
        <w:t>（</w:t>
      </w:r>
      <w:r>
        <w:rPr>
          <w:rFonts w:ascii="宋体" w:hAnsi="宋体" w:cs="宋体" w:eastAsia="宋体" w:hint="default"/>
        </w:rPr>
        <w:t>1</w:t>
      </w:r>
      <w:r>
        <w:rPr/>
        <w:t>）终止确认部分的账面价值；</w:t>
      </w:r>
    </w:p>
    <w:p>
      <w:pPr>
        <w:pStyle w:val="BodyText"/>
        <w:spacing w:line="316" w:lineRule="auto" w:before="76"/>
        <w:ind w:right="1141" w:firstLine="360"/>
        <w:jc w:val="both"/>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16" w:lineRule="auto" w:before="19"/>
        <w:ind w:left="474" w:right="982"/>
        <w:jc w:val="left"/>
      </w:pPr>
      <w:r>
        <w:rPr/>
        <w:t>金融资产转移不满足终止确认条件的，本公司继续确认该金融资产，所收到的对价确认为一项金融负债。 </w:t>
      </w:r>
      <w:r>
        <w:rPr>
          <w:rFonts w:ascii="宋体" w:hAnsi="宋体" w:cs="宋体" w:eastAsia="宋体" w:hint="default"/>
        </w:rPr>
        <w:t>5</w:t>
      </w:r>
      <w:r>
        <w:rPr/>
        <w:t>、金融负债的终止确认条件 </w:t>
      </w:r>
      <w:r>
        <w:rPr>
          <w:spacing w:val="-2"/>
        </w:rPr>
        <w:t>金融负债的现时义务全部或部分已经解除的，本公司终止确认该金融负债或其一部分；本公司若与债权人签定协议，以</w:t>
      </w:r>
    </w:p>
    <w:p>
      <w:pPr>
        <w:pStyle w:val="BodyText"/>
        <w:spacing w:line="319" w:lineRule="auto" w:before="19"/>
        <w:ind w:right="982"/>
        <w:jc w:val="left"/>
      </w:pPr>
      <w:r>
        <w:rPr>
          <w:spacing w:val="-4"/>
        </w:rPr>
        <w:t>承担新金融负债方式替换现存金融负债，且新金融负债与现存金融负债的合同条款实质上不同的，则终止确认现存金融负债，</w:t>
      </w:r>
      <w:r>
        <w:rPr>
          <w:spacing w:val="-44"/>
        </w:rPr>
        <w:t> </w:t>
      </w:r>
      <w:r>
        <w:rPr>
          <w:spacing w:val="-44"/>
        </w:rPr>
      </w:r>
      <w:r>
        <w:rPr/>
        <w:t>并同时确认新金融负债。</w:t>
      </w:r>
    </w:p>
    <w:p>
      <w:pPr>
        <w:pStyle w:val="BodyText"/>
        <w:spacing w:line="316" w:lineRule="auto" w:before="17"/>
        <w:ind w:right="1132" w:firstLine="360"/>
        <w:jc w:val="both"/>
      </w:pPr>
      <w:r>
        <w:rPr>
          <w:spacing w:val="-2"/>
        </w:rPr>
        <w:t>对现存金融负债全部或部分合同条款作出实质性修改的，则本公司终止确认现存金融负债或其一部分，同时将修改条款</w:t>
      </w:r>
      <w:r>
        <w:rPr/>
        <w:t> 后的金融负债确认为一项新金融负债。</w:t>
      </w:r>
    </w:p>
    <w:p>
      <w:pPr>
        <w:pStyle w:val="BodyText"/>
        <w:spacing w:line="240" w:lineRule="auto" w:before="19"/>
        <w:ind w:left="474" w:right="982"/>
        <w:jc w:val="left"/>
      </w:pPr>
      <w:r>
        <w:rPr/>
        <w:t>金融负债全部或部分终止确认时，终止确认的金融负债账面价值与支付对价（包括转出的非现金资产或承担的新金融负</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982" w:hanging="360"/>
        <w:jc w:val="left"/>
      </w:pPr>
      <w:r>
        <w:rPr/>
        <w:t>债）之间的差额，本公司计入当期损益。 </w:t>
      </w:r>
      <w:r>
        <w:rPr>
          <w:spacing w:val="-2"/>
        </w:rPr>
        <w:t>本公司若回购部分金融负债的，在回购日按照继续确认部分与终止确认部分的相对公允价值，将该金融负债整体的账面</w:t>
      </w:r>
    </w:p>
    <w:p>
      <w:pPr>
        <w:pStyle w:val="BodyText"/>
        <w:spacing w:line="316" w:lineRule="auto" w:before="19"/>
        <w:ind w:right="1050"/>
        <w:jc w:val="both"/>
      </w:pPr>
      <w:r>
        <w:rPr/>
        <w:t>价值进行分配。分配给终止确认部分的账面价值与支付的对价（包括转出的非现金资产或承担的新金融负债）之间的差额， 计入当期损益。</w:t>
      </w:r>
    </w:p>
    <w:p>
      <w:pPr>
        <w:pStyle w:val="BodyText"/>
        <w:spacing w:line="316" w:lineRule="auto" w:before="19"/>
        <w:ind w:left="474" w:right="982"/>
        <w:jc w:val="left"/>
      </w:pPr>
      <w:r>
        <w:rPr>
          <w:rFonts w:ascii="宋体" w:hAnsi="宋体" w:cs="宋体" w:eastAsia="宋体" w:hint="default"/>
        </w:rPr>
        <w:t>6</w:t>
      </w:r>
      <w:r>
        <w:rPr/>
        <w:t>、金融资产和金融负债的公允价值的确定方法 </w:t>
      </w:r>
      <w:r>
        <w:rPr>
          <w:spacing w:val="-2"/>
        </w:rPr>
        <w:t>存在活跃市场的金融工具，本公司以活跃市场中的报价确定其公允价值。不存在活跃市场的金融工具，本公司采用估值</w:t>
      </w:r>
    </w:p>
    <w:p>
      <w:pPr>
        <w:pStyle w:val="BodyText"/>
        <w:spacing w:line="316" w:lineRule="auto" w:before="19"/>
        <w:ind w:right="1132"/>
        <w:jc w:val="both"/>
      </w:pPr>
      <w:r>
        <w:rPr>
          <w:spacing w:val="-2"/>
        </w:rPr>
        <w:t>技术确定其公允价值。在估值时，本公司采用在当前情况下适用并且有足够可利用数据和其他信息支持的估值技术，选择与</w:t>
      </w:r>
      <w:r>
        <w:rPr>
          <w:spacing w:val="-66"/>
        </w:rPr>
        <w:t> </w:t>
      </w:r>
      <w:r>
        <w:rPr>
          <w:spacing w:val="-66"/>
        </w:rPr>
      </w:r>
      <w:r>
        <w:rPr>
          <w:spacing w:val="-2"/>
        </w:rPr>
        <w:t>市场参与者在相关资产或负债的交易中所考虑的资产或负债特征相一致的输入值，并优先使用相关可观察输入值。只有在相</w:t>
      </w:r>
      <w:r>
        <w:rPr>
          <w:spacing w:val="-64"/>
        </w:rPr>
        <w:t> </w:t>
      </w:r>
      <w:r>
        <w:rPr>
          <w:spacing w:val="-64"/>
        </w:rPr>
      </w:r>
      <w:r>
        <w:rPr/>
        <w:t>关可观察输入值无法取得或取得不切实可行的情况下，才使用不可观察输入值。</w:t>
      </w:r>
    </w:p>
    <w:p>
      <w:pPr>
        <w:pStyle w:val="BodyText"/>
        <w:tabs>
          <w:tab w:pos="954" w:val="left" w:leader="none"/>
        </w:tabs>
        <w:spacing w:line="316" w:lineRule="auto" w:before="19"/>
        <w:ind w:left="474" w:right="1131"/>
        <w:jc w:val="left"/>
      </w:pPr>
      <w:r>
        <w:rPr>
          <w:rFonts w:ascii="宋体" w:hAnsi="宋体" w:cs="宋体" w:eastAsia="宋体" w:hint="default"/>
        </w:rPr>
        <w:t>7</w:t>
      </w:r>
      <w:r>
        <w:rPr/>
        <w:t>、</w:t>
        <w:tab/>
        <w:t>金融资产（不含应收款项）减值的测试方法及会计处理方法 </w:t>
      </w:r>
      <w:r>
        <w:rPr>
          <w:spacing w:val="-2"/>
        </w:rPr>
        <w:t>本公司在资产负债日对除以公允价值计量且变动计入当期损益的金融资产以外的金融资产的账面价值进行减值检查，当</w:t>
      </w:r>
    </w:p>
    <w:p>
      <w:pPr>
        <w:pStyle w:val="BodyText"/>
        <w:spacing w:line="316" w:lineRule="auto" w:before="19"/>
        <w:ind w:left="474" w:right="2652" w:hanging="360"/>
        <w:jc w:val="left"/>
      </w:pPr>
      <w:r>
        <w:rPr/>
        <w:t>客观证据表明金融资产发生减值，则应当对该金融资产进行减值测试，以根据测试结果计提减值准备。 金融资产发生减值的客观证据，包括下列可观察到的各项事项：</w:t>
      </w:r>
    </w:p>
    <w:p>
      <w:pPr>
        <w:pStyle w:val="BodyText"/>
        <w:spacing w:line="240" w:lineRule="auto" w:before="19"/>
        <w:ind w:left="474" w:right="982"/>
        <w:jc w:val="left"/>
      </w:pPr>
      <w:r>
        <w:rPr/>
        <w:t>①发行方或债务人发生严重财务困难；</w:t>
      </w:r>
    </w:p>
    <w:p>
      <w:pPr>
        <w:pStyle w:val="BodyText"/>
        <w:spacing w:line="240" w:lineRule="auto" w:before="76"/>
        <w:ind w:left="474" w:right="982"/>
        <w:jc w:val="left"/>
      </w:pPr>
      <w:r>
        <w:rPr/>
        <w:t>②债务人违反了合同条款，如偿付利息或本金发生违约或逾期等；</w:t>
      </w:r>
    </w:p>
    <w:p>
      <w:pPr>
        <w:pStyle w:val="BodyText"/>
        <w:spacing w:line="240" w:lineRule="auto" w:before="76"/>
        <w:ind w:left="474" w:right="982"/>
        <w:jc w:val="left"/>
      </w:pPr>
      <w:r>
        <w:rPr/>
        <w:t>③本公司出于经济或法律等方面因素的考虑，对发生财务困难的债务人作出让步；</w:t>
      </w:r>
    </w:p>
    <w:p>
      <w:pPr>
        <w:pStyle w:val="BodyText"/>
        <w:spacing w:line="240" w:lineRule="auto" w:before="76"/>
        <w:ind w:left="474" w:right="982"/>
        <w:jc w:val="left"/>
      </w:pPr>
      <w:r>
        <w:rPr/>
        <w:t>④债务人很可能倒闭或进行其他财务重组；</w:t>
      </w:r>
    </w:p>
    <w:p>
      <w:pPr>
        <w:pStyle w:val="BodyText"/>
        <w:spacing w:line="240" w:lineRule="auto" w:before="76"/>
        <w:ind w:left="474" w:right="982"/>
        <w:jc w:val="left"/>
      </w:pPr>
      <w:r>
        <w:rPr/>
        <w:t>⑤因发行方发生重大财务困难，该金融资产无法在活跃市场继续交易；</w:t>
      </w:r>
    </w:p>
    <w:p>
      <w:pPr>
        <w:pStyle w:val="BodyText"/>
        <w:spacing w:line="316" w:lineRule="auto" w:before="76"/>
        <w:ind w:right="1131" w:firstLine="360"/>
        <w:jc w:val="both"/>
      </w:pPr>
      <w:r>
        <w:rPr>
          <w:spacing w:val="-2"/>
        </w:rPr>
        <w:t>⑥无法辨认一组金融资产中的某项资产的现金流量是否已经减少，但根据公开的数据对其进行总体评价后发现，该组金</w:t>
      </w:r>
      <w:r>
        <w:rPr/>
        <w:t> </w:t>
      </w:r>
      <w:r>
        <w:rPr>
          <w:spacing w:val="-2"/>
        </w:rPr>
        <w:t>融资产自初始确认以来的预计未来现金流量确已减少且可计量，如该组金融资产的债务人支付能力逐步恶化，或债务人所在</w:t>
      </w:r>
      <w:r>
        <w:rPr>
          <w:spacing w:val="-64"/>
        </w:rPr>
        <w:t> </w:t>
      </w:r>
      <w:r>
        <w:rPr>
          <w:spacing w:val="-64"/>
        </w:rPr>
      </w:r>
      <w:r>
        <w:rPr/>
        <w:t>国家或地区失业率提高、担保物在其所在地区的价格明显下降、所处行业不景气等；</w:t>
      </w:r>
    </w:p>
    <w:p>
      <w:pPr>
        <w:pStyle w:val="BodyText"/>
        <w:spacing w:line="319" w:lineRule="auto" w:before="19"/>
        <w:ind w:right="1132" w:firstLine="360"/>
        <w:jc w:val="both"/>
      </w:pPr>
      <w:r>
        <w:rPr>
          <w:spacing w:val="-2"/>
        </w:rPr>
        <w:t>⑦权益工具发行方经营所处的技术、市场、经济或法律环境等发生重大不利变化，使权益工具投资人可能无法收回投资</w:t>
      </w:r>
      <w:r>
        <w:rPr/>
        <w:t> 成本；</w:t>
      </w:r>
    </w:p>
    <w:p>
      <w:pPr>
        <w:pStyle w:val="BodyText"/>
        <w:spacing w:line="240" w:lineRule="auto" w:before="17"/>
        <w:ind w:left="474" w:right="982"/>
        <w:jc w:val="left"/>
      </w:pPr>
      <w:r>
        <w:rPr/>
        <w:t>⑧权益工具投资的公允价值发生严重或非暂时性下跌；</w:t>
      </w:r>
    </w:p>
    <w:p>
      <w:pPr>
        <w:pStyle w:val="BodyText"/>
        <w:spacing w:line="316" w:lineRule="auto" w:before="76"/>
        <w:ind w:left="474" w:right="982"/>
        <w:jc w:val="left"/>
      </w:pPr>
      <w:r>
        <w:rPr/>
        <w:t>⑨其他表明金融资产发生减值的客观证据。 </w:t>
      </w:r>
      <w:r>
        <w:rPr>
          <w:spacing w:val="-2"/>
        </w:rPr>
        <w:t>本公司对单项金额重大的金融资产单独进行减值测试；对单项金额不重大的金融资产，单独进行减值测试或包括在具有</w:t>
      </w:r>
    </w:p>
    <w:p>
      <w:pPr>
        <w:pStyle w:val="BodyText"/>
        <w:spacing w:line="316" w:lineRule="auto" w:before="19"/>
        <w:ind w:right="1139"/>
        <w:jc w:val="both"/>
      </w:pPr>
      <w:r>
        <w:rPr/>
        <w:t>类似信用风险特征的金融资产组合中进行减值测试。单独测试未发生减值的金融资产</w:t>
      </w:r>
      <w:r>
        <w:rPr>
          <w:rFonts w:ascii="宋体" w:hAnsi="宋体" w:cs="宋体" w:eastAsia="宋体" w:hint="default"/>
        </w:rPr>
        <w:t>(</w:t>
      </w:r>
      <w:r>
        <w:rPr/>
        <w:t>包括单项金额重大和不重大的金融资 产</w:t>
      </w:r>
      <w:r>
        <w:rPr>
          <w:rFonts w:ascii="宋体" w:hAnsi="宋体" w:cs="宋体" w:eastAsia="宋体" w:hint="default"/>
        </w:rPr>
        <w:t>)</w:t>
      </w:r>
      <w:r>
        <w:rPr/>
        <w:t>，包括在具有类似信用风险特征的金融资产组合中再进行减值测试。已单项确认减值损失的金融资产，不包括在具有类 似信用风险特征的金融资产组合中进行减值测试。</w:t>
      </w:r>
    </w:p>
    <w:p>
      <w:pPr>
        <w:pStyle w:val="BodyText"/>
        <w:spacing w:line="316" w:lineRule="auto" w:before="19"/>
        <w:ind w:right="1131" w:firstLine="360"/>
        <w:jc w:val="both"/>
      </w:pPr>
      <w:r>
        <w:rPr>
          <w:spacing w:val="-2"/>
        </w:rPr>
        <w:t>本公司持有至到期投资发生减值时，将其账面价值减记至按照该金融资产的原实际利率折现确定的预计未来现金流量现</w:t>
      </w:r>
      <w:r>
        <w:rPr/>
        <w:t> </w:t>
      </w:r>
      <w:r>
        <w:rPr>
          <w:spacing w:val="-2"/>
        </w:rPr>
        <w:t>值，减记金额确认为减值损失，计入当期损益。该等以摊余成本计量的金融资产确认减值损失后，如有客观证据表明该金融</w:t>
      </w:r>
      <w:r>
        <w:rPr>
          <w:spacing w:val="-66"/>
        </w:rPr>
        <w:t> </w:t>
      </w:r>
      <w:r>
        <w:rPr>
          <w:spacing w:val="-66"/>
        </w:rPr>
      </w:r>
      <w:r>
        <w:rPr>
          <w:spacing w:val="-2"/>
        </w:rPr>
        <w:t>资产价值已恢复，且客观上与确认该损失后发生的事项有关，原确认的减值损失予以转回，但金融资产转回减值损失后的账</w:t>
      </w:r>
      <w:r>
        <w:rPr>
          <w:spacing w:val="-66"/>
        </w:rPr>
        <w:t> </w:t>
      </w:r>
      <w:r>
        <w:rPr>
          <w:spacing w:val="-66"/>
        </w:rPr>
      </w:r>
      <w:r>
        <w:rPr/>
        <w:t>面价值不超过假定不计提减值准备情况下该金融资产在转回日的摊余成本。</w:t>
      </w:r>
    </w:p>
    <w:p>
      <w:pPr>
        <w:pStyle w:val="BodyText"/>
        <w:spacing w:line="316" w:lineRule="auto" w:before="19"/>
        <w:ind w:right="1131" w:firstLine="360"/>
        <w:jc w:val="both"/>
      </w:pPr>
      <w:r>
        <w:rPr>
          <w:spacing w:val="-2"/>
        </w:rPr>
        <w:t>本公司可供出售金融资产发生减值时，将原直接计入其他综合收益的因公允价值下降形成的累计损失予以转出并计入当</w:t>
      </w:r>
      <w:r>
        <w:rPr/>
        <w:t> </w:t>
      </w:r>
      <w:r>
        <w:rPr>
          <w:spacing w:val="-2"/>
        </w:rPr>
        <w:t>期损益，该转出的累计损失为该资产初始取得成本扣除已收回本金和已摊销金额、当前公允价值和原已计入损益的减值损失</w:t>
      </w:r>
      <w:r>
        <w:rPr>
          <w:spacing w:val="-64"/>
        </w:rPr>
        <w:t> </w:t>
      </w:r>
      <w:r>
        <w:rPr>
          <w:spacing w:val="-64"/>
        </w:rPr>
      </w:r>
      <w:r>
        <w:rPr>
          <w:spacing w:val="-2"/>
        </w:rPr>
        <w:t>后的余额。在确认可供出售金融资产减值损失后，期后如有客观证据表明该金融资产价值已恢复，且客观上与确认该损失后</w:t>
      </w:r>
      <w:r>
        <w:rPr>
          <w:spacing w:val="-66"/>
        </w:rPr>
        <w:t> </w:t>
      </w:r>
      <w:r>
        <w:rPr>
          <w:spacing w:val="-66"/>
        </w:rPr>
      </w:r>
      <w:r>
        <w:rPr>
          <w:spacing w:val="-2"/>
        </w:rPr>
        <w:t>发生的事项有关，原确认的减值损失予以转回，可供出售权益工具投资的减值损失转回确认为其他综合收益，可供出售债务</w:t>
      </w:r>
      <w:r>
        <w:rPr>
          <w:spacing w:val="-66"/>
        </w:rPr>
        <w:t> </w:t>
      </w:r>
      <w:r>
        <w:rPr>
          <w:spacing w:val="-66"/>
        </w:rPr>
      </w:r>
      <w:r>
        <w:rPr/>
        <w:t>工具的减值损失转回计入当期损益。</w:t>
      </w:r>
    </w:p>
    <w:p>
      <w:pPr>
        <w:pStyle w:val="BodyText"/>
        <w:spacing w:line="319" w:lineRule="auto" w:before="19"/>
        <w:ind w:right="1131" w:firstLine="360"/>
        <w:jc w:val="both"/>
      </w:pPr>
      <w:r>
        <w:rPr>
          <w:spacing w:val="-2"/>
        </w:rPr>
        <w:t>以成本计量的在活跃市场中没有报价且其公允价值不能可靠计量的权益工具投资，或与该权益工具挂钩并须通过交付该</w:t>
      </w:r>
      <w:r>
        <w:rPr/>
        <w:t> </w:t>
      </w:r>
      <w:r>
        <w:rPr>
          <w:spacing w:val="-2"/>
        </w:rPr>
        <w:t>权益工具结算的衍生金融资产发生减值时，本公司将其账面价值减记至按照类似金融资产当时市场收益率对未来现金流量折</w:t>
      </w:r>
      <w:r>
        <w:rPr>
          <w:spacing w:val="-64"/>
        </w:rPr>
        <w:t> </w:t>
      </w:r>
      <w:r>
        <w:rPr>
          <w:spacing w:val="-64"/>
        </w:rPr>
      </w:r>
      <w:r>
        <w:rPr/>
        <w:t>现确定的现值，减记金额确认为减值损失，计入当期损益，该金融资产的减值损失一经确认不予转回。</w:t>
      </w:r>
    </w:p>
    <w:p>
      <w:pPr>
        <w:pStyle w:val="BodyText"/>
        <w:spacing w:line="316" w:lineRule="auto" w:before="17"/>
        <w:ind w:right="1132" w:firstLine="360"/>
        <w:jc w:val="both"/>
      </w:pPr>
      <w:r>
        <w:rPr>
          <w:spacing w:val="-2"/>
        </w:rPr>
        <w:t>对于权益工具投资，本公司判断其公允价值发生“严重”或“非暂时性”下跌的具体量化标准、成本的计算方法、期末</w:t>
      </w:r>
      <w:r>
        <w:rPr/>
        <w:t> 公允价值的确定方法，以及持续下跌期间的确定依据为：</w:t>
      </w:r>
    </w:p>
    <w:p>
      <w:pPr>
        <w:pStyle w:val="BodyText"/>
        <w:spacing w:line="240" w:lineRule="auto" w:before="19"/>
        <w:ind w:left="474" w:right="982"/>
        <w:jc w:val="left"/>
        <w:rPr>
          <w:rFonts w:ascii="宋体" w:hAnsi="宋体" w:cs="宋体" w:eastAsia="宋体" w:hint="default"/>
        </w:rPr>
      </w:pPr>
      <w:r>
        <w:rPr/>
        <w:t>①公司对可供出售金融资产的公允价值下跌“严重”的标准为</w:t>
      </w:r>
      <w:r>
        <w:rPr>
          <w:rFonts w:ascii="宋体" w:hAnsi="宋体" w:cs="宋体" w:eastAsia="宋体" w:hint="default"/>
        </w:rPr>
        <w:t>:</w:t>
      </w:r>
      <w:r>
        <w:rPr/>
        <w:t>期末公允价值相对于成本的下跌幅度已达到或超过</w:t>
      </w:r>
      <w:r>
        <w:rPr>
          <w:rFonts w:ascii="宋体" w:hAnsi="宋体" w:cs="宋体" w:eastAsia="宋体" w:hint="default"/>
        </w:rPr>
        <w:t>50%;</w:t>
      </w:r>
    </w:p>
    <w:p>
      <w:pPr>
        <w:spacing w:after="0" w:line="240" w:lineRule="auto"/>
        <w:jc w:val="left"/>
        <w:rPr>
          <w:rFonts w:ascii="宋体" w:hAnsi="宋体" w:cs="宋体" w:eastAsia="宋体" w:hint="default"/>
        </w:rPr>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left="474" w:right="982"/>
        <w:jc w:val="left"/>
        <w:rPr>
          <w:rFonts w:ascii="宋体" w:hAnsi="宋体" w:cs="宋体" w:eastAsia="宋体" w:hint="default"/>
        </w:rPr>
      </w:pPr>
      <w:r>
        <w:rPr/>
        <w:t>②公允价值下跌“非暂时性”的标准为</w:t>
      </w:r>
      <w:r>
        <w:rPr>
          <w:rFonts w:ascii="宋体" w:hAnsi="宋体" w:cs="宋体" w:eastAsia="宋体" w:hint="default"/>
        </w:rPr>
        <w:t>:</w:t>
      </w:r>
      <w:r>
        <w:rPr/>
        <w:t>连续</w:t>
      </w:r>
      <w:r>
        <w:rPr>
          <w:rFonts w:ascii="宋体" w:hAnsi="宋体" w:cs="宋体" w:eastAsia="宋体" w:hint="default"/>
        </w:rPr>
        <w:t>12</w:t>
      </w:r>
      <w:r>
        <w:rPr/>
        <w:t>个月出现下跌</w:t>
      </w:r>
      <w:r>
        <w:rPr>
          <w:rFonts w:ascii="宋体" w:hAnsi="宋体" w:cs="宋体" w:eastAsia="宋体" w:hint="default"/>
        </w:rPr>
        <w:t>;</w:t>
      </w:r>
    </w:p>
    <w:p>
      <w:pPr>
        <w:pStyle w:val="BodyText"/>
        <w:spacing w:line="316" w:lineRule="auto" w:before="76"/>
        <w:ind w:right="1122" w:firstLine="360"/>
        <w:jc w:val="left"/>
        <w:rPr>
          <w:rFonts w:ascii="宋体" w:hAnsi="宋体" w:cs="宋体" w:eastAsia="宋体" w:hint="default"/>
        </w:rPr>
      </w:pPr>
      <w:r>
        <w:rPr/>
        <w:t>③投资成本的计算方法为</w:t>
      </w:r>
      <w:r>
        <w:rPr>
          <w:rFonts w:ascii="宋体" w:hAnsi="宋体" w:cs="宋体" w:eastAsia="宋体" w:hint="default"/>
        </w:rPr>
        <w:t>:</w:t>
      </w:r>
      <w:r>
        <w:rPr/>
        <w:t>取得时交易价格</w:t>
      </w:r>
      <w:r>
        <w:rPr>
          <w:rFonts w:ascii="宋体" w:hAnsi="宋体" w:cs="宋体" w:eastAsia="宋体" w:hint="default"/>
        </w:rPr>
        <w:t>(</w:t>
      </w:r>
      <w:r>
        <w:rPr/>
        <w:t>扣除已宣告但尚未发放的现金股利或已到付息期但尚未领取的债券利息</w:t>
      </w:r>
      <w:r>
        <w:rPr>
          <w:rFonts w:ascii="宋体" w:hAnsi="宋体" w:cs="宋体" w:eastAsia="宋体" w:hint="default"/>
        </w:rPr>
        <w:t>)</w:t>
      </w:r>
      <w:r>
        <w:rPr/>
        <w:t>和 相关交易费用之和作为投资成本</w:t>
      </w:r>
      <w:r>
        <w:rPr>
          <w:rFonts w:ascii="宋体" w:hAnsi="宋体" w:cs="宋体" w:eastAsia="宋体" w:hint="default"/>
        </w:rPr>
        <w:t>;</w:t>
      </w:r>
    </w:p>
    <w:p>
      <w:pPr>
        <w:pStyle w:val="BodyText"/>
        <w:spacing w:line="319" w:lineRule="auto" w:before="19"/>
        <w:ind w:right="1212" w:firstLine="360"/>
        <w:jc w:val="left"/>
      </w:pPr>
      <w:r>
        <w:rPr/>
        <w:t>④持续下跌期间的确定依据为</w:t>
      </w:r>
      <w:r>
        <w:rPr>
          <w:rFonts w:ascii="宋体" w:hAnsi="宋体" w:cs="宋体" w:eastAsia="宋体" w:hint="default"/>
        </w:rPr>
        <w:t>:</w:t>
      </w:r>
      <w:r>
        <w:rPr/>
        <w:t>连续下跌或在下跌趋势持续期间反弹上扬幅度低于</w:t>
      </w:r>
      <w:r>
        <w:rPr>
          <w:rFonts w:ascii="宋体" w:hAnsi="宋体" w:cs="宋体" w:eastAsia="宋体" w:hint="default"/>
        </w:rPr>
        <w:t>30%,</w:t>
      </w:r>
      <w:r>
        <w:rPr/>
        <w:t>反弹持续时间未超过</w:t>
      </w:r>
      <w:r>
        <w:rPr>
          <w:rFonts w:ascii="宋体" w:hAnsi="宋体" w:cs="宋体" w:eastAsia="宋体" w:hint="default"/>
        </w:rPr>
        <w:t>6</w:t>
      </w:r>
      <w:r>
        <w:rPr/>
        <w:t>个月的均 作为持续下跌期间。</w:t>
      </w:r>
    </w:p>
    <w:p>
      <w:pPr>
        <w:pStyle w:val="BodyText"/>
        <w:spacing w:line="316" w:lineRule="auto" w:before="17"/>
        <w:ind w:left="474" w:right="982"/>
        <w:jc w:val="left"/>
      </w:pPr>
      <w:r>
        <w:rPr>
          <w:rFonts w:ascii="宋体" w:hAnsi="宋体" w:cs="宋体" w:eastAsia="宋体"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19"/>
        <w:ind w:right="982"/>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16" w:lineRule="auto" w:before="19"/>
        <w:ind w:left="474" w:right="6972"/>
        <w:jc w:val="left"/>
      </w:pPr>
      <w:r>
        <w:rPr>
          <w:rFonts w:ascii="宋体" w:hAnsi="宋体" w:cs="宋体" w:eastAsia="宋体" w:hint="default"/>
        </w:rPr>
        <w:t>9</w:t>
      </w:r>
      <w:r>
        <w:rPr/>
        <w:t>、金融负债与权益工具的区分 金融负债，是指符合下列条件之一的负债：</w:t>
      </w:r>
    </w:p>
    <w:p>
      <w:pPr>
        <w:pStyle w:val="BodyText"/>
        <w:spacing w:line="240" w:lineRule="auto" w:before="19"/>
        <w:ind w:left="474" w:right="982"/>
        <w:jc w:val="left"/>
      </w:pPr>
      <w:r>
        <w:rPr/>
        <w:t>①向其他方交付现金或其他金融资产的合同义务。</w:t>
      </w:r>
    </w:p>
    <w:p>
      <w:pPr>
        <w:pStyle w:val="BodyText"/>
        <w:spacing w:line="240" w:lineRule="auto" w:before="76"/>
        <w:ind w:left="474" w:right="982"/>
        <w:jc w:val="left"/>
      </w:pPr>
      <w:r>
        <w:rPr/>
        <w:t>②在潜在不利条件下，与其他方交换金融资产或金融负债的合同义务。</w:t>
      </w:r>
    </w:p>
    <w:p>
      <w:pPr>
        <w:pStyle w:val="BodyText"/>
        <w:spacing w:line="240" w:lineRule="auto" w:before="76"/>
        <w:ind w:left="474" w:right="982"/>
        <w:jc w:val="left"/>
      </w:pPr>
      <w:r>
        <w:rPr/>
        <w:t>③将来须用或可用企业自身权益工具进行结算的非衍生工具合同，且企业根据该合同将交付可变数量的自身权益工具。</w:t>
      </w:r>
    </w:p>
    <w:p>
      <w:pPr>
        <w:pStyle w:val="BodyText"/>
        <w:spacing w:line="316" w:lineRule="auto" w:before="76"/>
        <w:ind w:right="982" w:firstLine="360"/>
        <w:jc w:val="left"/>
      </w:pPr>
      <w:r>
        <w:rPr>
          <w:spacing w:val="-2"/>
        </w:rPr>
        <w:t>④将来须用或可用企业自身权益工具进行结算的衍生工具合同，但以固定数量的自身权益工具交换固定金额的现金或其</w:t>
      </w:r>
      <w:r>
        <w:rPr/>
        <w:t> 他金融资产的衍生工具合同除外。</w:t>
      </w:r>
    </w:p>
    <w:p>
      <w:pPr>
        <w:pStyle w:val="BodyText"/>
        <w:spacing w:line="316" w:lineRule="auto" w:before="19"/>
        <w:ind w:left="474" w:right="982"/>
        <w:jc w:val="left"/>
      </w:pPr>
      <w:r>
        <w:rPr/>
        <w:t>权益工具，是指能证明拥有某个企业在扣除所有负债后的资产中剩余权益的合同。 如果本公司不能无条件地避免以交付现金或其他金融资产来履行一项合同义务，则该合同义务符合金融负债的定义。 </w:t>
      </w:r>
      <w:r>
        <w:rPr>
          <w:spacing w:val="-2"/>
        </w:rPr>
        <w:t>如果一项金融工具须用或可用本公司自身权益工具进行结算，需要考虑用于结算该工具的本公司自身权益工具，是作为</w:t>
      </w:r>
    </w:p>
    <w:p>
      <w:pPr>
        <w:pStyle w:val="BodyText"/>
        <w:spacing w:line="316" w:lineRule="auto" w:before="19"/>
        <w:ind w:right="1032"/>
        <w:jc w:val="left"/>
      </w:pPr>
      <w:r>
        <w:rPr/>
        <w:t>现金或其他金融资产的替代品，还是为了使该工具持有方享有在发行方扣除所有负债后的资产中的剩余权益。如果是前者， 该工具是本公司的金融负债；如果是后者，该工具是本公司的权益工具。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982"/>
        <w:jc w:val="left"/>
        <w:rPr>
          <w:b w:val="0"/>
          <w:bCs w:val="0"/>
        </w:rPr>
      </w:pPr>
      <w:bookmarkStart w:name="11、应收票据及应收账款" w:id="198"/>
      <w:bookmarkEnd w:id="198"/>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单项金额重大并单独计提坏账准备的应收款项" w:id="199"/>
      <w:bookmarkEnd w:id="19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14"/>
              <w:jc w:val="left"/>
              <w:rPr>
                <w:rFonts w:ascii="宋体" w:hAnsi="宋体" w:cs="宋体" w:eastAsia="宋体" w:hint="default"/>
                <w:sz w:val="18"/>
                <w:szCs w:val="18"/>
              </w:rPr>
            </w:pPr>
            <w:r>
              <w:rPr>
                <w:rFonts w:ascii="宋体" w:hAnsi="宋体" w:cs="宋体" w:eastAsia="宋体" w:hint="default"/>
                <w:sz w:val="18"/>
                <w:szCs w:val="18"/>
              </w:rPr>
              <w:t>本公司单笔金额占应收款项余额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以上且单笔金额在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万元以上的应收款项，确定为单项金额重大的应收款 项。</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 进行减值测试，经测试发生了减值的，按其未来现金流量 现值低于其账面价值的差额，确定减值损失，计提坏账准 备；对单项测试未减值的应收款项，汇同对单项金额非重 大的应收款项，按类似的信用风险特征划分为若干组合， 再按这些应收款项组合在资产负债表日余额的一定比例计 算确定减值损失，计提坏账准备。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982"/>
        <w:jc w:val="left"/>
        <w:rPr>
          <w:b w:val="0"/>
          <w:bCs w:val="0"/>
        </w:rPr>
      </w:pPr>
      <w:bookmarkStart w:name="（2）按信用风险特征组合计提坏账准备的应收款项" w:id="200"/>
      <w:bookmarkEnd w:id="20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pStyle w:val="BodyText"/>
        <w:spacing w:line="240" w:lineRule="auto" w:before="52"/>
        <w:ind w:right="982"/>
        <w:jc w:val="left"/>
      </w:pPr>
      <w:r>
        <w:rPr/>
        <w:t>组合中，采用账龄分析法计提坏账准备的：</w:t>
      </w:r>
    </w:p>
    <w:p>
      <w:pPr>
        <w:pStyle w:val="BodyText"/>
        <w:spacing w:line="240" w:lineRule="auto" w:before="116"/>
        <w:ind w:right="982"/>
        <w:jc w:val="left"/>
      </w:pPr>
      <w:r>
        <w:rPr/>
        <w:t>√ 适用 □ 不适用</w:t>
      </w:r>
    </w:p>
    <w:p>
      <w:pPr>
        <w:spacing w:after="0" w:line="240"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82"/>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9"/>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3）单项金额不重大但单独计提坏账准备的应收款项" w:id="201"/>
      <w:bookmarkEnd w:id="20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6"/>
          <w:szCs w:val="26"/>
        </w:rPr>
      </w:pPr>
    </w:p>
    <w:p>
      <w:pPr>
        <w:pStyle w:val="BodyText"/>
        <w:spacing w:line="328" w:lineRule="auto"/>
        <w:ind w:right="982"/>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 </w:t>
      </w:r>
      <w:r>
        <w:rPr>
          <w:spacing w:val="-2"/>
        </w:rPr>
        <w:t>如果有迹象表明某项应收款项的可收回性与该账龄段其它应收款项存在明显差别，导致该项应收款项如果按照既定比例计提</w:t>
      </w:r>
      <w:r>
        <w:rPr>
          <w:spacing w:val="-64"/>
        </w:rPr>
        <w:t> </w:t>
      </w:r>
      <w:r>
        <w:rPr>
          <w:spacing w:val="-64"/>
        </w:rPr>
      </w:r>
      <w:r>
        <w:rPr/>
        <w:t>坏账准备，无法真实反映其可收回金额的，采用个别认定法计提坏账准备</w:t>
      </w:r>
    </w:p>
    <w:p>
      <w:pPr>
        <w:pStyle w:val="BodyText"/>
        <w:spacing w:line="240" w:lineRule="auto" w:before="10"/>
        <w:ind w:right="982"/>
        <w:jc w:val="left"/>
      </w:pPr>
      <w:r>
        <w:rPr/>
        <w:t>坏账的确认标准</w:t>
      </w:r>
    </w:p>
    <w:p>
      <w:pPr>
        <w:pStyle w:val="BodyText"/>
        <w:spacing w:line="240" w:lineRule="auto" w:before="76"/>
        <w:ind w:right="982"/>
        <w:jc w:val="left"/>
      </w:pPr>
      <w:r>
        <w:rPr/>
        <w:t>（</w:t>
      </w:r>
      <w:r>
        <w:rPr>
          <w:rFonts w:ascii="Times New Roman" w:hAnsi="Times New Roman" w:cs="Times New Roman" w:eastAsia="Times New Roman" w:hint="default"/>
        </w:rPr>
        <w:t>1</w:t>
      </w:r>
      <w:r>
        <w:rPr/>
        <w:t>）债务人发生严重财务困难；</w:t>
      </w:r>
    </w:p>
    <w:p>
      <w:pPr>
        <w:pStyle w:val="BodyText"/>
        <w:spacing w:line="240" w:lineRule="auto" w:before="63"/>
        <w:ind w:right="982"/>
        <w:jc w:val="left"/>
      </w:pPr>
      <w:r>
        <w:rPr/>
        <w:t>（</w:t>
      </w:r>
      <w:r>
        <w:rPr>
          <w:rFonts w:ascii="Times New Roman" w:hAnsi="Times New Roman" w:cs="Times New Roman" w:eastAsia="Times New Roman" w:hint="default"/>
        </w:rPr>
        <w:t>2</w:t>
      </w:r>
      <w:r>
        <w:rPr/>
        <w:t>）公司出于经济或法律等方面因素的考虑，对发生财务困难的债务人作出让步；</w:t>
      </w:r>
    </w:p>
    <w:p>
      <w:pPr>
        <w:pStyle w:val="BodyText"/>
        <w:spacing w:line="240" w:lineRule="auto" w:before="63"/>
        <w:ind w:right="982"/>
        <w:jc w:val="left"/>
      </w:pPr>
      <w:r>
        <w:rPr/>
        <w:t>（</w:t>
      </w:r>
      <w:r>
        <w:rPr>
          <w:rFonts w:ascii="Times New Roman" w:hAnsi="Times New Roman" w:cs="Times New Roman" w:eastAsia="Times New Roman" w:hint="default"/>
        </w:rPr>
        <w:t>3</w:t>
      </w:r>
      <w:r>
        <w:rPr/>
        <w:t>）债务人很可能倒闭或进行其他财务重组；</w:t>
      </w:r>
    </w:p>
    <w:p>
      <w:pPr>
        <w:pStyle w:val="BodyText"/>
        <w:spacing w:line="240" w:lineRule="auto" w:before="63"/>
        <w:ind w:right="982"/>
        <w:jc w:val="left"/>
      </w:pPr>
      <w:r>
        <w:rPr/>
        <w:t>（</w:t>
      </w:r>
      <w:r>
        <w:rPr>
          <w:rFonts w:ascii="Times New Roman" w:hAnsi="Times New Roman" w:cs="Times New Roman" w:eastAsia="Times New Roman" w:hint="default"/>
        </w:rPr>
        <w:t>4</w:t>
      </w:r>
      <w:r>
        <w:rPr/>
        <w:t>）因债务人破产或死亡，以其破产财产或者遗产清偿后，仍然不能收回的应收款项；</w:t>
      </w:r>
    </w:p>
    <w:p>
      <w:pPr>
        <w:pStyle w:val="BodyText"/>
        <w:spacing w:line="240" w:lineRule="auto" w:before="63"/>
        <w:ind w:right="982"/>
        <w:jc w:val="left"/>
      </w:pPr>
      <w:r>
        <w:rPr/>
        <w:t>（</w:t>
      </w:r>
      <w:r>
        <w:rPr>
          <w:rFonts w:ascii="Times New Roman" w:hAnsi="Times New Roman" w:cs="Times New Roman" w:eastAsia="Times New Roman" w:hint="default"/>
        </w:rPr>
        <w:t>5</w:t>
      </w:r>
      <w:r>
        <w:rPr/>
        <w:t>）因债务人逾期未履行偿债义务且具有明显特征表明无法收回的应收款项。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982"/>
        <w:jc w:val="left"/>
        <w:rPr>
          <w:b w:val="0"/>
          <w:bCs w:val="0"/>
        </w:rPr>
      </w:pPr>
      <w:bookmarkStart w:name="12、存货" w:id="202"/>
      <w:bookmarkEnd w:id="20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982"/>
        <w:jc w:val="left"/>
      </w:pPr>
      <w:r>
        <w:rPr/>
        <w:t>土木工程建筑业</w:t>
      </w:r>
    </w:p>
    <w:p>
      <w:pPr>
        <w:pStyle w:val="BodyText"/>
        <w:spacing w:line="309" w:lineRule="auto" w:before="115"/>
        <w:ind w:left="474" w:right="4272"/>
        <w:jc w:val="left"/>
      </w:pPr>
      <w:r>
        <w:rPr>
          <w:rFonts w:ascii="Times New Roman" w:hAnsi="Times New Roman" w:cs="Times New Roman" w:eastAsia="Times New Roman" w:hint="default"/>
        </w:rPr>
        <w:t>1</w:t>
      </w:r>
      <w:r>
        <w:rPr/>
        <w:t>、存货分类 公司存货包括生产经营过程中为销售或耗用而持有的原材料、低值易耗品等。 </w:t>
      </w:r>
      <w:r>
        <w:rPr>
          <w:rFonts w:ascii="Times New Roman" w:hAnsi="Times New Roman" w:cs="Times New Roman" w:eastAsia="Times New Roman" w:hint="default"/>
        </w:rPr>
        <w:t>2</w:t>
      </w:r>
      <w:r>
        <w:rPr/>
        <w:t>、存货取得和发出的计价方法</w:t>
      </w:r>
    </w:p>
    <w:p>
      <w:pPr>
        <w:pStyle w:val="BodyText"/>
        <w:spacing w:line="240" w:lineRule="auto" w:before="5"/>
        <w:ind w:left="474" w:right="982"/>
        <w:jc w:val="left"/>
      </w:pPr>
      <w:r>
        <w:rPr/>
        <w:t>（</w:t>
      </w:r>
      <w:r>
        <w:rPr>
          <w:rFonts w:ascii="Times New Roman" w:hAnsi="Times New Roman" w:cs="Times New Roman" w:eastAsia="Times New Roman" w:hint="default"/>
        </w:rPr>
        <w:t>1</w:t>
      </w:r>
      <w:r>
        <w:rPr/>
        <w:t>）原材料中主要材料入库时按实际成本记账，发出时采用加权平均法核算。</w:t>
      </w:r>
    </w:p>
    <w:p>
      <w:pPr>
        <w:pStyle w:val="BodyText"/>
        <w:spacing w:line="307" w:lineRule="auto" w:before="63"/>
        <w:ind w:left="474" w:right="6972"/>
        <w:jc w:val="left"/>
      </w:pPr>
      <w:r>
        <w:rPr/>
        <w:t>（</w:t>
      </w:r>
      <w:r>
        <w:rPr>
          <w:rFonts w:ascii="Times New Roman" w:hAnsi="Times New Roman" w:cs="Times New Roman" w:eastAsia="Times New Roman" w:hint="default"/>
        </w:rPr>
        <w:t>2</w:t>
      </w:r>
      <w:r>
        <w:rPr/>
        <w:t>）低值易耗品采用一次摊销法核算。 </w:t>
      </w:r>
      <w:r>
        <w:rPr>
          <w:rFonts w:ascii="Times New Roman" w:hAnsi="Times New Roman" w:cs="Times New Roman" w:eastAsia="Times New Roman" w:hint="default"/>
        </w:rPr>
        <w:t>3</w:t>
      </w:r>
      <w:r>
        <w:rPr/>
        <w:t>、存货数量的盘存方法 公司存货数量的盘存方法采用永续盘存制。 </w:t>
      </w:r>
      <w:r>
        <w:rPr>
          <w:rFonts w:ascii="Times New Roman" w:hAnsi="Times New Roman" w:cs="Times New Roman" w:eastAsia="Times New Roman" w:hint="default"/>
        </w:rPr>
        <w:t>4</w:t>
      </w:r>
      <w:r>
        <w:rPr/>
        <w:t>、存货跌价准备</w:t>
      </w:r>
    </w:p>
    <w:p>
      <w:pPr>
        <w:pStyle w:val="BodyText"/>
        <w:spacing w:line="316" w:lineRule="auto" w:before="7"/>
        <w:ind w:right="1131" w:firstLine="360"/>
        <w:jc w:val="both"/>
      </w:pPr>
      <w:r>
        <w:rPr>
          <w:spacing w:val="-2"/>
        </w:rPr>
        <w:t>资产负债表日，公司存货按照成本与可变现净值孰低计量，并按单个存货项目的可变现净值低于存货成本的差额，计提</w:t>
      </w:r>
      <w:r>
        <w:rPr/>
        <w:t> </w:t>
      </w:r>
      <w:r>
        <w:rPr>
          <w:spacing w:val="-2"/>
        </w:rPr>
        <w:t>存货跌价准备，计入当期损益；以前减记存货价值的影响因素已经消失的，减记的金额予以恢复，并在原已计提的存货跌价</w:t>
      </w:r>
      <w:r>
        <w:rPr>
          <w:spacing w:val="-66"/>
        </w:rPr>
        <w:t> </w:t>
      </w:r>
      <w:r>
        <w:rPr>
          <w:spacing w:val="-66"/>
        </w:rPr>
      </w:r>
      <w:r>
        <w:rPr/>
        <w:t>准备金额内转回，转回的金额计入当期损益。</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982" w:firstLine="360"/>
        <w:jc w:val="left"/>
      </w:pPr>
      <w:r>
        <w:rPr>
          <w:spacing w:val="-2"/>
        </w:rPr>
        <w:t>存货可变现净值是指在日常活动中，存货的估计售价减去至完工时估计将要发生的成本、估计的销售费用以及相关税费</w:t>
      </w:r>
      <w:r>
        <w:rPr/>
        <w:t> 后的金额。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982"/>
        <w:jc w:val="left"/>
        <w:rPr>
          <w:b w:val="0"/>
          <w:bCs w:val="0"/>
        </w:rPr>
      </w:pPr>
      <w:bookmarkStart w:name="13、持有待售资产" w:id="203"/>
      <w:bookmarkEnd w:id="20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4" w:right="982"/>
        <w:jc w:val="left"/>
      </w:pPr>
      <w:r>
        <w:rPr>
          <w:rFonts w:ascii="Times New Roman" w:hAnsi="Times New Roman" w:cs="Times New Roman" w:eastAsia="Times New Roman" w:hint="default"/>
        </w:rPr>
        <w:t>1</w:t>
      </w:r>
      <w:r>
        <w:rPr/>
        <w:t>、持有待售的非流动资产或处置组的分类与计量 </w:t>
      </w:r>
      <w:r>
        <w:rPr>
          <w:spacing w:val="-2"/>
        </w:rPr>
        <w:t>本公司主要通过出售（包括具有商业实质的非货币性资产交换）而非持续使用一项非流动资产或处置组收回其账面价值</w:t>
      </w:r>
    </w:p>
    <w:p>
      <w:pPr>
        <w:pStyle w:val="BodyText"/>
        <w:spacing w:line="316" w:lineRule="auto" w:before="31"/>
        <w:ind w:left="474" w:right="982" w:hanging="360"/>
        <w:jc w:val="left"/>
      </w:pPr>
      <w:r>
        <w:rPr/>
        <w:t>时，该非流动资产或处置组被划分为持有待售类别。 </w:t>
      </w:r>
      <w:r>
        <w:rPr>
          <w:spacing w:val="-2"/>
        </w:rPr>
        <w:t>处置组，是指在一项交易中作为整体通过出售或其他方式一并处置的一组资产，以及在该交易中转让的与这些资产直接</w:t>
      </w:r>
    </w:p>
    <w:p>
      <w:pPr>
        <w:pStyle w:val="BodyText"/>
        <w:spacing w:line="300" w:lineRule="auto" w:before="19"/>
        <w:ind w:right="1028"/>
        <w:jc w:val="left"/>
      </w:pPr>
      <w:r>
        <w:rPr>
          <w:spacing w:val="-4"/>
        </w:rPr>
        <w:t>相关的负债。处置组所属的资产组或资产组组合按照《企业会计准则第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spacing w:val="-3"/>
        </w:rPr>
        <w:t>号——资产减值》分摊了企业合并中取得的商誉的，</w:t>
      </w:r>
      <w:r>
        <w:rPr/>
        <w:t> 该处置组应当包含分摊至处置组的商誉。</w:t>
      </w:r>
    </w:p>
    <w:p>
      <w:pPr>
        <w:pStyle w:val="BodyText"/>
        <w:spacing w:line="316" w:lineRule="auto" w:before="31"/>
        <w:ind w:right="1032" w:firstLine="360"/>
        <w:jc w:val="left"/>
      </w:pPr>
      <w:r>
        <w:rPr>
          <w:spacing w:val="-2"/>
        </w:rPr>
        <w:t>同时满足下列条件的非流动资产或处置组被划分为持有待售类别：根据类似交易中出售此类资产或处置组的惯例，该非</w:t>
      </w:r>
      <w:r>
        <w:rPr/>
        <w:t> 流动资产或处置组在当前状况下即可立即出售；出售极可能发生，即已经就一项出售计划作出决议且获得确定的购买承诺， 预计出售将在一年内完成。</w:t>
      </w:r>
    </w:p>
    <w:p>
      <w:pPr>
        <w:pStyle w:val="BodyText"/>
        <w:spacing w:line="316" w:lineRule="auto" w:before="19"/>
        <w:ind w:right="1132" w:firstLine="360"/>
        <w:jc w:val="both"/>
      </w:pPr>
      <w:r>
        <w:rPr>
          <w:spacing w:val="-2"/>
        </w:rPr>
        <w:t>因出售对子公司的投资等原因导致丧失对子公司控制权的，无论出售后本公司是否保留部分权益性投资，在拟出售的对</w:t>
      </w:r>
      <w:r>
        <w:rPr/>
        <w:t> </w:t>
      </w:r>
      <w:r>
        <w:rPr>
          <w:spacing w:val="-2"/>
        </w:rPr>
        <w:t>子公司投资满足持有待售类别划分条件时，在个别财务报表中将对子公司投资整体划分为持有待售类别，在合并财务报表中</w:t>
      </w:r>
      <w:r>
        <w:rPr>
          <w:spacing w:val="-64"/>
        </w:rPr>
        <w:t> </w:t>
      </w:r>
      <w:r>
        <w:rPr>
          <w:spacing w:val="-64"/>
        </w:rPr>
      </w:r>
      <w:r>
        <w:rPr/>
        <w:t>将子公司所有资产和负债划分为持有待售类别。</w:t>
      </w:r>
    </w:p>
    <w:p>
      <w:pPr>
        <w:pStyle w:val="BodyText"/>
        <w:spacing w:line="316" w:lineRule="auto" w:before="19"/>
        <w:ind w:right="1131" w:firstLine="360"/>
        <w:jc w:val="both"/>
      </w:pPr>
      <w:r>
        <w:rPr>
          <w:spacing w:val="-2"/>
        </w:rPr>
        <w:t>初始计量或在资产负债表日重新计量持有待售的非流动资产或处置组时，账面价值高于公允价值减去出售费用后净额的</w:t>
      </w:r>
      <w:r>
        <w:rPr/>
        <w:t> </w:t>
      </w:r>
      <w:r>
        <w:rPr>
          <w:spacing w:val="-2"/>
        </w:rPr>
        <w:t>差额确认为资产减值损失。对于持有待售的处置组确认的资产减值损失金额，先抵减处置组中商誉的账面价值，再根据处置</w:t>
      </w:r>
      <w:r>
        <w:rPr>
          <w:spacing w:val="-66"/>
        </w:rPr>
        <w:t> </w:t>
      </w:r>
      <w:r>
        <w:rPr>
          <w:spacing w:val="-66"/>
        </w:rPr>
      </w:r>
      <w:r>
        <w:rPr/>
        <w:t>组中的各项非流动资产账面价值所占比重，按比例抵减其账面价值。</w:t>
      </w:r>
    </w:p>
    <w:p>
      <w:pPr>
        <w:pStyle w:val="BodyText"/>
        <w:spacing w:line="319" w:lineRule="auto" w:before="19"/>
        <w:ind w:right="1032" w:firstLine="360"/>
        <w:jc w:val="left"/>
      </w:pPr>
      <w:r>
        <w:rPr/>
        <w:t>后续资产负债表日持有待售的非流动资产或处置组公允价值减去出售费用后的净额增加的，以前减记的金额予以恢复， </w:t>
      </w:r>
      <w:r>
        <w:rPr>
          <w:spacing w:val="-2"/>
        </w:rPr>
        <w:t>并在划分为持有待售类别后确认的资产减值损失金额内转回，转回金额计入当期损益。已抵减的商誉账面价值和划分为持有</w:t>
      </w:r>
      <w:r>
        <w:rPr>
          <w:spacing w:val="-64"/>
        </w:rPr>
        <w:t> </w:t>
      </w:r>
      <w:r>
        <w:rPr>
          <w:spacing w:val="-64"/>
        </w:rPr>
      </w:r>
      <w:r>
        <w:rPr/>
        <w:t>待售类别前确认的资产减值损失不得转回。</w:t>
      </w:r>
    </w:p>
    <w:p>
      <w:pPr>
        <w:pStyle w:val="BodyText"/>
        <w:spacing w:line="316" w:lineRule="auto" w:before="17"/>
        <w:ind w:right="982" w:firstLine="360"/>
        <w:jc w:val="left"/>
      </w:pPr>
      <w:r>
        <w:rPr>
          <w:spacing w:val="-2"/>
        </w:rPr>
        <w:t>持有待售的非流动资产和持有待售的处置组中的资产不计提折旧或进行摊销；持有待售的处置组中负债的利息和其他费</w:t>
      </w:r>
      <w:r>
        <w:rPr/>
        <w:t> 用继续予以确认。</w:t>
      </w:r>
    </w:p>
    <w:p>
      <w:pPr>
        <w:pStyle w:val="BodyText"/>
        <w:spacing w:line="316" w:lineRule="auto" w:before="19"/>
        <w:ind w:right="982" w:firstLine="360"/>
        <w:jc w:val="left"/>
      </w:pPr>
      <w:r>
        <w:rPr>
          <w:spacing w:val="-2"/>
        </w:rPr>
        <w:t>某项非流动资产或处置组被划分为持有待售类别，但后来不再满足持有待售类别划分条件的，本公司停止将其划分为持</w:t>
      </w:r>
      <w:r>
        <w:rPr/>
        <w:t> 有待售类别，并按照下列两项金额中较低者计量：</w:t>
      </w:r>
    </w:p>
    <w:p>
      <w:pPr>
        <w:pStyle w:val="BodyText"/>
        <w:spacing w:line="316" w:lineRule="auto" w:before="19"/>
        <w:ind w:right="982" w:firstLine="360"/>
        <w:jc w:val="left"/>
      </w:pPr>
      <w:r>
        <w:rPr>
          <w:spacing w:val="-2"/>
        </w:rPr>
        <w:t>①该资产或处置组被划分为持有待售类别之前的账面价值，按照其假定在没有被划分为持有待售类别的情况下本应确认</w:t>
      </w:r>
      <w:r>
        <w:rPr/>
        <w:t> 的折旧、摊销或减值进行调整后的金额；</w:t>
      </w:r>
    </w:p>
    <w:p>
      <w:pPr>
        <w:pStyle w:val="BodyText"/>
        <w:spacing w:line="240" w:lineRule="auto" w:before="19"/>
        <w:ind w:left="474" w:right="982"/>
        <w:jc w:val="left"/>
      </w:pPr>
      <w:r>
        <w:rPr/>
        <w:t>②可收回金额。</w:t>
      </w:r>
    </w:p>
    <w:p>
      <w:pPr>
        <w:pStyle w:val="BodyText"/>
        <w:spacing w:line="300" w:lineRule="auto" w:before="76"/>
        <w:ind w:left="474" w:right="1212"/>
        <w:jc w:val="left"/>
      </w:pPr>
      <w:r>
        <w:rPr>
          <w:rFonts w:ascii="Times New Roman" w:hAnsi="Times New Roman" w:cs="Times New Roman" w:eastAsia="Times New Roman" w:hint="default"/>
        </w:rPr>
        <w:t>2</w:t>
      </w:r>
      <w:r>
        <w:rPr/>
        <w:t>、终止经营 终止经营，是指满足下列条件之一的已被本集团处置或被本集团划分为持有待售类别的、能够单独区分的组成部分：</w:t>
      </w:r>
    </w:p>
    <w:p>
      <w:pPr>
        <w:pStyle w:val="BodyText"/>
        <w:spacing w:line="240" w:lineRule="auto" w:before="31"/>
        <w:ind w:left="474" w:right="982"/>
        <w:jc w:val="left"/>
      </w:pPr>
      <w:r>
        <w:rPr/>
        <w:t>①该组成部分代表一项独立的主要业务或一个单独的主要经营地区。</w:t>
      </w:r>
    </w:p>
    <w:p>
      <w:pPr>
        <w:pStyle w:val="BodyText"/>
        <w:spacing w:line="240" w:lineRule="auto" w:before="76"/>
        <w:ind w:left="474" w:right="982"/>
        <w:jc w:val="left"/>
      </w:pPr>
      <w:r>
        <w:rPr/>
        <w:t>②该组成部分是拟对一项独立的主要业务或一个单独的主要经营地区进行处置的一项相关联计划的一部分。</w:t>
      </w:r>
    </w:p>
    <w:p>
      <w:pPr>
        <w:pStyle w:val="BodyText"/>
        <w:spacing w:line="240" w:lineRule="auto" w:before="76"/>
        <w:ind w:left="474" w:right="982"/>
        <w:jc w:val="left"/>
      </w:pPr>
      <w:r>
        <w:rPr/>
        <w:t>③该组成部分是专为转售而取得的子公司。</w:t>
      </w:r>
    </w:p>
    <w:p>
      <w:pPr>
        <w:pStyle w:val="BodyText"/>
        <w:spacing w:line="300" w:lineRule="auto" w:before="76"/>
        <w:ind w:left="474" w:right="1136"/>
        <w:jc w:val="left"/>
      </w:pPr>
      <w:r>
        <w:rPr>
          <w:rFonts w:ascii="Times New Roman" w:hAnsi="Times New Roman" w:cs="Times New Roman" w:eastAsia="Times New Roman" w:hint="default"/>
        </w:rPr>
        <w:t>3</w:t>
      </w:r>
      <w:r>
        <w:rPr/>
        <w:t>、列报 </w:t>
      </w:r>
      <w:r>
        <w:rPr>
          <w:spacing w:val="-2"/>
        </w:rPr>
        <w:t>本公司在资产负债表中将持有待售的非流动资产或持有待售的处置组中的资产列报于“持有待售资产”，将持有待售的</w:t>
      </w:r>
    </w:p>
    <w:p>
      <w:pPr>
        <w:pStyle w:val="BodyText"/>
        <w:spacing w:line="316" w:lineRule="auto" w:before="31"/>
        <w:ind w:left="474" w:right="982" w:hanging="360"/>
        <w:jc w:val="left"/>
      </w:pPr>
      <w:r>
        <w:rPr>
          <w:spacing w:val="-5"/>
        </w:rPr>
        <w:t>处置组中的负债列报于“持有待售负债”。</w:t>
      </w:r>
      <w:r>
        <w:rPr>
          <w:spacing w:val="-85"/>
        </w:rPr>
        <w:t> </w:t>
      </w:r>
      <w:r>
        <w:rPr>
          <w:spacing w:val="-85"/>
        </w:rPr>
      </w:r>
      <w:r>
        <w:rPr>
          <w:spacing w:val="-2"/>
        </w:rPr>
        <w:t>本集团在利润表中分别列示持续经营损益和终止经营损益。不符合终止经营定义的持有待售的非流动资产或处置组，其</w:t>
      </w:r>
    </w:p>
    <w:p>
      <w:pPr>
        <w:pStyle w:val="BodyText"/>
        <w:spacing w:line="316" w:lineRule="auto" w:before="19"/>
        <w:ind w:right="982"/>
        <w:jc w:val="left"/>
      </w:pPr>
      <w:r>
        <w:rPr>
          <w:spacing w:val="-2"/>
        </w:rPr>
        <w:t>减值损失和转回金额及处置损益作为持续经营损益列报。终止经营的减值损失和转回金额等经营损益及处置损益作为终止经</w:t>
      </w:r>
      <w:r>
        <w:rPr>
          <w:spacing w:val="-64"/>
        </w:rPr>
        <w:t> </w:t>
      </w:r>
      <w:r>
        <w:rPr>
          <w:spacing w:val="-64"/>
        </w:rPr>
      </w:r>
      <w:r>
        <w:rPr/>
        <w:t>营损益列报。</w:t>
      </w:r>
    </w:p>
    <w:p>
      <w:pPr>
        <w:pStyle w:val="BodyText"/>
        <w:spacing w:line="316" w:lineRule="auto" w:before="19"/>
        <w:ind w:left="474" w:right="982"/>
        <w:jc w:val="left"/>
      </w:pPr>
      <w:r>
        <w:rPr/>
        <w:t>拟结束使用而非出售且满足终止经营定义中有关组成部分的条件的处置组，自其停止使用日起作为终止经营列报。 </w:t>
      </w:r>
      <w:r>
        <w:rPr>
          <w:spacing w:val="-2"/>
        </w:rPr>
        <w:t>对于当期列报的终止经营，在当期财务报表中，原来作为持续经营损益列报的信息被重新作为可比会计期间的终止经营</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3"/>
        <w:jc w:val="both"/>
      </w:pPr>
      <w:r>
        <w:rPr>
          <w:spacing w:val="-2"/>
        </w:rPr>
        <w:t>损益列报。终止经营不再满足持有待售类别划分条件的，在当期财务报表中，原来作为终止经营损益列报的信息被重新作为</w:t>
      </w:r>
      <w:r>
        <w:rPr>
          <w:spacing w:val="-66"/>
        </w:rPr>
        <w:t> </w:t>
      </w:r>
      <w:r>
        <w:rPr>
          <w:spacing w:val="-66"/>
        </w:rPr>
      </w:r>
      <w:r>
        <w:rPr/>
        <w:t>可比会计期间的持续经营损益列报。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bookmarkStart w:name="14、长期股权投资" w:id="204"/>
      <w:bookmarkEnd w:id="20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本部分所指的长期股权投资是指本公司对被投资单位具有控制、共同控制或重大影响的长期股权投资。本公司对被投资</w:t>
      </w:r>
      <w:r>
        <w:rPr/>
        <w:t> 单位不具有控制、共同控制或重大影响的长期股权投资，作为可供出售金融资产核算。</w:t>
      </w:r>
    </w:p>
    <w:p>
      <w:pPr>
        <w:pStyle w:val="BodyText"/>
        <w:spacing w:line="240" w:lineRule="auto" w:before="19"/>
        <w:ind w:left="474" w:right="982"/>
        <w:jc w:val="left"/>
      </w:pPr>
      <w:r>
        <w:rPr>
          <w:rFonts w:ascii="Times New Roman" w:hAnsi="Times New Roman" w:cs="Times New Roman" w:eastAsia="Times New Roman" w:hint="default"/>
        </w:rPr>
        <w:t>1</w:t>
      </w:r>
      <w:r>
        <w:rPr/>
        <w:t>、初始投资成本确定</w:t>
      </w:r>
    </w:p>
    <w:p>
      <w:pPr>
        <w:pStyle w:val="BodyText"/>
        <w:spacing w:line="300" w:lineRule="auto" w:before="63"/>
        <w:ind w:right="1141" w:firstLine="360"/>
        <w:jc w:val="both"/>
      </w:pPr>
      <w:r>
        <w:rPr/>
        <w:t>（</w:t>
      </w:r>
      <w:r>
        <w:rPr>
          <w:rFonts w:ascii="Times New Roman" w:hAnsi="Times New Roman" w:cs="Times New Roman" w:eastAsia="Times New Roman" w:hint="default"/>
        </w:rPr>
        <w:t>1</w:t>
      </w:r>
      <w:r>
        <w:rPr/>
        <w:t>）对于企业合并取得的长期股权投资，如为同一控制下的企业合并，应当按照取得被合并方所有者权益账面价值的 份额确认为初始成本；非同一控制下的企业合并，应当按购买日确定的合并成本确认为初始成本；</w:t>
      </w:r>
    </w:p>
    <w:p>
      <w:pPr>
        <w:pStyle w:val="BodyText"/>
        <w:spacing w:line="307" w:lineRule="auto" w:before="31"/>
        <w:ind w:right="1131" w:firstLine="360"/>
        <w:jc w:val="both"/>
      </w:pPr>
      <w:r>
        <w:rPr/>
        <w:t>（</w:t>
      </w:r>
      <w:r>
        <w:rPr>
          <w:rFonts w:ascii="Times New Roman" w:hAnsi="Times New Roman" w:cs="Times New Roman" w:eastAsia="Times New Roman" w:hint="default"/>
        </w:rPr>
        <w:t>2</w:t>
      </w:r>
      <w:r>
        <w:rPr/>
        <w:t>）除企业合并形成的长期股权投资外的其他股权投资，以支付现金取得的长期股权投资，初始投资成本为实际支付 </w:t>
      </w:r>
      <w:r>
        <w:rPr>
          <w:spacing w:val="-2"/>
        </w:rPr>
        <w:t>的购买价款；以发行权益性证券取得的长期股权投资，初始投资成本为发行权益性证券的公允价值；通过债务重组取得的长</w:t>
      </w:r>
      <w:r>
        <w:rPr>
          <w:spacing w:val="-65"/>
        </w:rPr>
        <w:t> </w:t>
      </w:r>
      <w:r>
        <w:rPr>
          <w:spacing w:val="-65"/>
        </w:rPr>
      </w:r>
      <w:r>
        <w:rPr/>
        <w:t>期股权投资，其初始投资成本应当按照《企业会计准则第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号——债务重组》的有关规定确定；非货币性资产交换取得， 初始投资成本根据准则相关规定确定。</w:t>
      </w:r>
    </w:p>
    <w:p>
      <w:pPr>
        <w:pStyle w:val="BodyText"/>
        <w:spacing w:line="240" w:lineRule="auto" w:before="26"/>
        <w:ind w:left="474" w:right="982"/>
        <w:jc w:val="left"/>
      </w:pPr>
      <w:r>
        <w:rPr>
          <w:rFonts w:ascii="Times New Roman" w:hAnsi="Times New Roman" w:cs="Times New Roman" w:eastAsia="Times New Roman" w:hint="default"/>
        </w:rPr>
        <w:t>2</w:t>
      </w:r>
      <w:r>
        <w:rPr/>
        <w:t>、后续计量及损益确认方法</w:t>
      </w:r>
    </w:p>
    <w:p>
      <w:pPr>
        <w:pStyle w:val="BodyText"/>
        <w:spacing w:line="300" w:lineRule="auto" w:before="63"/>
        <w:ind w:left="474" w:right="982"/>
        <w:jc w:val="left"/>
      </w:pPr>
      <w:r>
        <w:rPr/>
        <w:t>（</w:t>
      </w:r>
      <w:r>
        <w:rPr>
          <w:rFonts w:ascii="Times New Roman" w:hAnsi="Times New Roman" w:cs="Times New Roman" w:eastAsia="Times New Roman" w:hint="default"/>
        </w:rPr>
        <w:t>1</w:t>
      </w:r>
      <w:r>
        <w:rPr/>
        <w:t>）成本法核算 </w:t>
      </w:r>
      <w:r>
        <w:rPr>
          <w:spacing w:val="-2"/>
        </w:rPr>
        <w:t>投资方能够对被投资单位实施控制的长期股权投资应当采用成本法核算。采用成本法核算的长期股权投资，除追加或收</w:t>
      </w:r>
    </w:p>
    <w:p>
      <w:pPr>
        <w:pStyle w:val="BodyText"/>
        <w:spacing w:line="240" w:lineRule="auto" w:before="31"/>
        <w:ind w:right="0"/>
        <w:jc w:val="both"/>
      </w:pPr>
      <w:r>
        <w:rPr/>
        <w:t>回投资外，账面价值一般不变。当宣告分派的利润或现金股利计算应分得的部分，确认投资收益。</w:t>
      </w:r>
    </w:p>
    <w:p>
      <w:pPr>
        <w:pStyle w:val="BodyText"/>
        <w:spacing w:line="300" w:lineRule="auto" w:before="76"/>
        <w:ind w:left="474" w:right="982"/>
        <w:jc w:val="left"/>
      </w:pPr>
      <w:r>
        <w:rPr/>
        <w:t>（</w:t>
      </w:r>
      <w:r>
        <w:rPr>
          <w:rFonts w:ascii="Times New Roman" w:hAnsi="Times New Roman" w:cs="Times New Roman" w:eastAsia="Times New Roman" w:hint="default"/>
        </w:rPr>
        <w:t>2</w:t>
      </w:r>
      <w:r>
        <w:rPr/>
        <w:t>）权益法核算 </w:t>
      </w:r>
      <w:r>
        <w:rPr>
          <w:spacing w:val="-2"/>
        </w:rPr>
        <w:t>投资方对联营企业和合营企业的长期股权投资采用权益法核算。投资方对联营企业的权益性投资，其中一部分通过风险</w:t>
      </w:r>
    </w:p>
    <w:p>
      <w:pPr>
        <w:pStyle w:val="BodyText"/>
        <w:spacing w:line="309" w:lineRule="auto" w:before="31"/>
        <w:ind w:right="1133"/>
        <w:jc w:val="both"/>
      </w:pPr>
      <w:r>
        <w:rPr>
          <w:spacing w:val="-2"/>
        </w:rPr>
        <w:t>投资机构、共同基金、信托公司或包括投连险基金在内的类似主体间接持有的，无论以上主体是否对这部分投资具有重大影</w:t>
      </w:r>
      <w:r>
        <w:rPr>
          <w:spacing w:val="-66"/>
        </w:rPr>
        <w:t> </w:t>
      </w:r>
      <w:r>
        <w:rPr>
          <w:spacing w:val="-66"/>
        </w:rPr>
      </w:r>
      <w:r>
        <w:rPr/>
        <w:t>响，投资方都可以按照《企业会计准则第</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号——金融工具确认和计量》的有关规定，对间接持有的该部分投资选择以公 允价值计量且其变动计入损益，并对其余部分采用权益法核算。</w:t>
      </w:r>
    </w:p>
    <w:p>
      <w:pPr>
        <w:pStyle w:val="BodyText"/>
        <w:spacing w:line="316" w:lineRule="auto" w:before="24"/>
        <w:ind w:right="1132" w:firstLine="360"/>
        <w:jc w:val="both"/>
      </w:pPr>
      <w:r>
        <w:rPr>
          <w:spacing w:val="-2"/>
        </w:rPr>
        <w:t>采用权益法核算时，长期股权投资的初始投资成本大于投资时应享有被投资单位可辨认净资产公允价值份额的，不调整</w:t>
      </w:r>
      <w:r>
        <w:rPr/>
        <w:t> </w:t>
      </w: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132"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t>公司的会计政策及会计期间对被投资单位的财务报表进行调整，并据以确认投资收益和其他综合收益。</w:t>
      </w:r>
    </w:p>
    <w:p>
      <w:pPr>
        <w:pStyle w:val="BodyText"/>
        <w:spacing w:line="316"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240" w:lineRule="auto" w:before="19"/>
        <w:ind w:left="474" w:right="982"/>
        <w:jc w:val="left"/>
      </w:pPr>
      <w:r>
        <w:rPr>
          <w:rFonts w:ascii="Times New Roman" w:hAnsi="Times New Roman" w:cs="Times New Roman" w:eastAsia="Times New Roman" w:hint="default"/>
        </w:rPr>
        <w:t>3</w:t>
      </w:r>
      <w:r>
        <w:rPr/>
        <w:t>、长期股权投资核算方法的转换</w:t>
      </w:r>
    </w:p>
    <w:p>
      <w:pPr>
        <w:pStyle w:val="BodyText"/>
        <w:spacing w:line="312" w:lineRule="auto" w:before="63"/>
        <w:ind w:right="1132" w:firstLine="360"/>
        <w:jc w:val="both"/>
      </w:pPr>
      <w:r>
        <w:rPr>
          <w:spacing w:val="-4"/>
        </w:rPr>
        <w:t>（</w:t>
      </w:r>
      <w:r>
        <w:rPr>
          <w:rFonts w:ascii="Times New Roman" w:hAnsi="Times New Roman" w:cs="Times New Roman" w:eastAsia="Times New Roman" w:hint="default"/>
          <w:spacing w:val="-4"/>
        </w:rPr>
        <w:t>1</w:t>
      </w:r>
      <w:r>
        <w:rPr>
          <w:spacing w:val="-4"/>
        </w:rPr>
        <w:t>）公允价值计量转权益法核算：原持有的对被投资单位的股权投资（不具有控制、共同控制或重大影响的），按照金</w:t>
      </w:r>
      <w:r>
        <w:rPr/>
        <w:t> </w:t>
      </w:r>
      <w:r>
        <w:rPr>
          <w:spacing w:val="-2"/>
        </w:rPr>
        <w:t>融工具确认和计量准则进行会计处理的，因追加投资等原因导致持股比例上升，能够对被投资单位施加共同控制或重大影响</w:t>
      </w:r>
      <w:r>
        <w:rPr>
          <w:spacing w:val="-64"/>
        </w:rPr>
        <w:t> </w:t>
      </w:r>
      <w:r>
        <w:rPr>
          <w:spacing w:val="-64"/>
        </w:rPr>
      </w:r>
      <w:r>
        <w:rPr>
          <w:spacing w:val="-2"/>
        </w:rPr>
        <w:t>的，在转按权益法核算时，投资方应当按照金融工具确认和计量准则确定的原股权投资的公允价值加上为取得新增投资而应</w:t>
      </w:r>
      <w:r>
        <w:rPr>
          <w:spacing w:val="-64"/>
        </w:rPr>
        <w:t> </w:t>
      </w:r>
      <w:r>
        <w:rPr>
          <w:spacing w:val="-64"/>
        </w:rPr>
      </w:r>
      <w:r>
        <w:rPr/>
        <w:t>支付对价的公允价值，作为改按权益法核算的初始投资成本。</w:t>
      </w:r>
    </w:p>
    <w:p>
      <w:pPr>
        <w:pStyle w:val="BodyText"/>
        <w:spacing w:line="309" w:lineRule="auto" w:before="22"/>
        <w:ind w:right="1132" w:firstLine="360"/>
        <w:jc w:val="both"/>
      </w:pPr>
      <w:r>
        <w:rPr/>
        <w:t>（</w:t>
      </w:r>
      <w:r>
        <w:rPr>
          <w:rFonts w:ascii="Times New Roman" w:hAnsi="Times New Roman" w:cs="Times New Roman" w:eastAsia="Times New Roman" w:hint="default"/>
        </w:rPr>
        <w:t>2</w:t>
      </w:r>
      <w:r>
        <w:rPr/>
        <w:t>）公允价值计量或权益法核算转成本法核算：投资方原持有的对被投资单位不具有控制、共同控制或重大影响的按 </w:t>
      </w:r>
      <w:r>
        <w:rPr>
          <w:spacing w:val="-2"/>
        </w:rPr>
        <w:t>照金融工具确认和计量准则进行会计处理的权益性投资，或者原持有对联营企业、合营企业的长期股权投资，因追加投资等</w:t>
      </w:r>
      <w:r>
        <w:rPr>
          <w:spacing w:val="-65"/>
        </w:rPr>
        <w:t> </w:t>
      </w:r>
      <w:r>
        <w:rPr>
          <w:spacing w:val="-65"/>
        </w:rPr>
      </w:r>
      <w:r>
        <w:rPr/>
        <w:t>原因，能够对被投资单位实施控制的，按有关企业合并形成的长期股权投资进行会计处理。</w:t>
      </w:r>
    </w:p>
    <w:p>
      <w:pPr>
        <w:spacing w:after="0" w:line="309"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9" w:lineRule="auto" w:before="44"/>
        <w:ind w:right="1132" w:firstLine="360"/>
        <w:jc w:val="both"/>
      </w:pPr>
      <w:r>
        <w:rPr/>
        <w:t>（</w:t>
      </w:r>
      <w:r>
        <w:rPr>
          <w:rFonts w:ascii="Times New Roman" w:hAnsi="Times New Roman" w:cs="Times New Roman" w:eastAsia="Times New Roman" w:hint="default"/>
        </w:rPr>
        <w:t>3</w:t>
      </w:r>
      <w:r>
        <w:rPr/>
        <w:t>）权益法核算转公允价值计量：原持有的对被投资单位具有共同控制或重大影响的长期股权投资，因部分处置等原 </w:t>
      </w:r>
      <w:r>
        <w:rPr>
          <w:spacing w:val="-2"/>
        </w:rPr>
        <w:t>因导致持股比例下降，不能再对被投资单位实施共同控制或重大影响的，应改按金融工具确认和计量准则对剩余股权投资进</w:t>
      </w:r>
      <w:r>
        <w:rPr>
          <w:spacing w:val="-64"/>
        </w:rPr>
        <w:t> </w:t>
      </w:r>
      <w:r>
        <w:rPr>
          <w:spacing w:val="-64"/>
        </w:rPr>
      </w:r>
      <w:r>
        <w:rPr/>
        <w:t>行会计处理，其在丧失共同控制或重大影响之目的公允价值与账面价值之间的差额计入当期损益。</w:t>
      </w:r>
    </w:p>
    <w:p>
      <w:pPr>
        <w:pStyle w:val="BodyText"/>
        <w:spacing w:line="312" w:lineRule="auto" w:before="24"/>
        <w:ind w:right="1132" w:firstLine="360"/>
        <w:jc w:val="both"/>
      </w:pPr>
      <w:r>
        <w:rPr/>
        <w:t>（</w:t>
      </w:r>
      <w:r>
        <w:rPr>
          <w:rFonts w:ascii="Times New Roman" w:hAnsi="Times New Roman" w:cs="Times New Roman" w:eastAsia="Times New Roman" w:hint="default"/>
        </w:rPr>
        <w:t>4</w:t>
      </w:r>
      <w:r>
        <w:rPr/>
        <w:t>）成本法转权益法：因处置投资等原因导致对被投资单位由能够实施控制转为具有重大影响或者与其他投资方一起 </w:t>
      </w:r>
      <w:r>
        <w:rPr>
          <w:spacing w:val="-2"/>
        </w:rPr>
        <w:t>实施共同控制的，首先应按处置投资的比例结转应终止确认的长期股权投资成本。然后比较剩余长期股权投资的成本与按照</w:t>
      </w:r>
      <w:r>
        <w:rPr>
          <w:spacing w:val="-64"/>
        </w:rPr>
        <w:t> </w:t>
      </w:r>
      <w:r>
        <w:rPr>
          <w:spacing w:val="-64"/>
        </w:rPr>
      </w:r>
      <w:r>
        <w:rPr>
          <w:spacing w:val="-2"/>
        </w:rPr>
        <w:t>剩余持股比例计算原投资时应享有被投资单位可辨认净资产公允价值的份额，前者大于后者的，属于投资作价中体现的商誉</w:t>
      </w:r>
      <w:r>
        <w:rPr>
          <w:spacing w:val="-64"/>
        </w:rPr>
        <w:t> </w:t>
      </w:r>
      <w:r>
        <w:rPr>
          <w:spacing w:val="-64"/>
        </w:rPr>
      </w:r>
      <w:r>
        <w:rPr/>
        <w:t>部分，不调整长期股权投资的账面价值；前者小于后者的，在调整长期股权投资成本的同时，调整留存收益。</w:t>
      </w:r>
    </w:p>
    <w:p>
      <w:pPr>
        <w:pStyle w:val="BodyText"/>
        <w:spacing w:line="300" w:lineRule="auto" w:before="22"/>
        <w:ind w:left="474" w:right="982"/>
        <w:jc w:val="left"/>
      </w:pPr>
      <w:r>
        <w:rPr>
          <w:rFonts w:ascii="Times New Roman" w:hAnsi="Times New Roman" w:cs="Times New Roman" w:eastAsia="Times New Roman" w:hint="default"/>
        </w:rPr>
        <w:t>4</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before="31"/>
        <w:ind w:right="1131"/>
        <w:jc w:val="both"/>
      </w:pPr>
      <w:r>
        <w:rPr>
          <w:spacing w:val="-2"/>
        </w:rPr>
        <w:t>后才能决策。如果所有参与方或一组参与方必须一致行动才能决定某项安排的相关活动，则认为所有参与方或一组参与方集</w:t>
      </w:r>
      <w:r>
        <w:rPr>
          <w:spacing w:val="-64"/>
        </w:rPr>
        <w:t> </w:t>
      </w:r>
      <w:r>
        <w:rPr>
          <w:spacing w:val="-64"/>
        </w:rPr>
      </w:r>
      <w:r>
        <w:rPr>
          <w:spacing w:val="-2"/>
        </w:rPr>
        <w:t>体控制该安排。在判断是否存在共同控制时，首先判断是否由所有参与方或参与方组合集体控制该安排，其次再判断该安排</w:t>
      </w:r>
      <w:r>
        <w:rPr>
          <w:spacing w:val="-66"/>
        </w:rPr>
        <w:t> </w:t>
      </w:r>
      <w:r>
        <w:rPr>
          <w:spacing w:val="-66"/>
        </w:rPr>
      </w:r>
      <w:r>
        <w:rPr>
          <w:spacing w:val="-2"/>
        </w:rPr>
        <w:t>相关活动的决策是否必须经过这些集体控制该安排的参与方一致同意。如果存在两个或两个以上的参与方组合能够集体控制</w:t>
      </w:r>
      <w:r>
        <w:rPr>
          <w:spacing w:val="-64"/>
        </w:rPr>
        <w:t> </w:t>
      </w:r>
      <w:r>
        <w:rPr>
          <w:spacing w:val="-64"/>
        </w:rPr>
      </w:r>
      <w:r>
        <w:rPr/>
        <w:t>某项安排的，不构成共同控制。判断是否存在共同控制时，不考虑享有的保护性权利。</w:t>
      </w:r>
    </w:p>
    <w:p>
      <w:pPr>
        <w:pStyle w:val="BodyText"/>
        <w:spacing w:line="316" w:lineRule="auto" w:before="19"/>
        <w:ind w:right="1131"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这些政策的制定。本公司在确定能否对被投资单位施加重大影响时，考虑直接或间接持有被投资单位的表决权股份以及本公</w:t>
      </w:r>
      <w:r>
        <w:rPr>
          <w:spacing w:val="-64"/>
        </w:rPr>
        <w:t> </w:t>
      </w:r>
      <w:r>
        <w:rPr>
          <w:spacing w:val="-64"/>
        </w:rPr>
      </w:r>
      <w:r>
        <w:rPr>
          <w:spacing w:val="-2"/>
        </w:rPr>
        <w:t>司及其他方持有的当期可执行潜在表决权在假定转换为对被投资方单位的股权后产生的影响，包括被投资单位发行的当期可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0" w:lineRule="auto" w:before="19"/>
        <w:ind w:right="1186" w:firstLine="360"/>
        <w:jc w:val="both"/>
      </w:pPr>
      <w:r>
        <w:rPr/>
        <w:t>当本公司直接或通过子公司间接拥有被投资单位</w:t>
      </w:r>
      <w:r>
        <w:rPr>
          <w:spacing w:val="-45"/>
        </w:rPr>
        <w:t> </w:t>
      </w:r>
      <w:r>
        <w:rPr>
          <w:rFonts w:ascii="Times New Roman" w:hAnsi="Times New Roman" w:cs="Times New Roman" w:eastAsia="Times New Roman" w:hint="default"/>
        </w:rPr>
        <w:t>20%</w:t>
      </w:r>
      <w:r>
        <w:rPr/>
        <w:t>（含</w:t>
      </w:r>
      <w:r>
        <w:rPr>
          <w:spacing w:val="-46"/>
        </w:rPr>
        <w:t> </w:t>
      </w:r>
      <w:r>
        <w:rPr>
          <w:rFonts w:ascii="Times New Roman" w:hAnsi="Times New Roman" w:cs="Times New Roman" w:eastAsia="Times New Roman" w:hint="default"/>
        </w:rPr>
        <w:t>20%</w:t>
      </w:r>
      <w:r>
        <w:rPr/>
        <w:t>）以上但低于</w:t>
      </w:r>
      <w:r>
        <w:rPr>
          <w:spacing w:val="-46"/>
        </w:rPr>
        <w:t> </w:t>
      </w:r>
      <w:r>
        <w:rPr>
          <w:rFonts w:ascii="Times New Roman" w:hAnsi="Times New Roman" w:cs="Times New Roman" w:eastAsia="Times New Roman" w:hint="default"/>
        </w:rPr>
        <w:t>50%</w:t>
      </w:r>
      <w:r>
        <w:rPr/>
        <w:t>的表决权股份时，一般认为对被投资 单位具有重大影响，除非有明确证据表明该种情况下不能参与被投资单位的生产经营决策，不形成重大影响。</w:t>
      </w:r>
    </w:p>
    <w:p>
      <w:pPr>
        <w:pStyle w:val="BodyText"/>
        <w:spacing w:line="240" w:lineRule="auto" w:before="31"/>
        <w:ind w:left="474" w:right="982"/>
        <w:jc w:val="left"/>
      </w:pPr>
      <w:r>
        <w:rPr/>
        <w:t>本公司通常通过以下一种或几种情形来判断是否对被投资单位具有重大影响：</w:t>
      </w:r>
    </w:p>
    <w:p>
      <w:pPr>
        <w:pStyle w:val="BodyText"/>
        <w:spacing w:line="240" w:lineRule="auto" w:before="76"/>
        <w:ind w:left="474" w:right="982"/>
        <w:jc w:val="left"/>
      </w:pPr>
      <w:r>
        <w:rPr/>
        <w:t>①在被投资单位的董事会或类似权力机构中派有代表。</w:t>
      </w:r>
    </w:p>
    <w:p>
      <w:pPr>
        <w:pStyle w:val="BodyText"/>
        <w:spacing w:line="240" w:lineRule="auto" w:before="76"/>
        <w:ind w:left="474" w:right="982"/>
        <w:jc w:val="left"/>
      </w:pPr>
      <w:r>
        <w:rPr/>
        <w:t>②参与被投资单位财务和经营政策制定过程。</w:t>
      </w:r>
    </w:p>
    <w:p>
      <w:pPr>
        <w:pStyle w:val="BodyText"/>
        <w:spacing w:line="240" w:lineRule="auto" w:before="77"/>
        <w:ind w:left="474" w:right="982"/>
        <w:jc w:val="left"/>
      </w:pPr>
      <w:r>
        <w:rPr/>
        <w:t>③与被投资单位之间发生重要交易。</w:t>
      </w:r>
    </w:p>
    <w:p>
      <w:pPr>
        <w:pStyle w:val="BodyText"/>
        <w:spacing w:line="240" w:lineRule="auto" w:before="76"/>
        <w:ind w:left="474" w:right="982"/>
        <w:jc w:val="left"/>
      </w:pPr>
      <w:r>
        <w:rPr/>
        <w:t>④向被投资单位派出管理人员。</w:t>
      </w:r>
    </w:p>
    <w:p>
      <w:pPr>
        <w:pStyle w:val="BodyText"/>
        <w:spacing w:line="316" w:lineRule="auto" w:before="76"/>
        <w:ind w:left="474" w:right="982"/>
        <w:jc w:val="left"/>
      </w:pPr>
      <w:r>
        <w:rPr/>
        <w:t>⑤向被投资单位提供关键技术资料。 </w:t>
      </w:r>
      <w:r>
        <w:rPr>
          <w:spacing w:val="-2"/>
        </w:rPr>
        <w:t>存在上述一种或多种情形并不意味着本公司一定对被投资单位具有重大影响，本公司需要综合考虑所有事实和情况来做</w:t>
      </w:r>
    </w:p>
    <w:p>
      <w:pPr>
        <w:pStyle w:val="BodyText"/>
        <w:spacing w:line="240" w:lineRule="auto" w:before="19"/>
        <w:ind w:right="982"/>
        <w:jc w:val="left"/>
      </w:pPr>
      <w:r>
        <w:rPr/>
        <w:t>出恰当的判断。</w:t>
      </w:r>
    </w:p>
    <w:p>
      <w:pPr>
        <w:pStyle w:val="BodyText"/>
        <w:spacing w:line="300" w:lineRule="auto" w:before="76"/>
        <w:ind w:left="474" w:right="982"/>
        <w:jc w:val="left"/>
      </w:pPr>
      <w:r>
        <w:rPr>
          <w:rFonts w:ascii="Times New Roman" w:hAnsi="Times New Roman" w:cs="Times New Roman" w:eastAsia="Times New Roman" w:hint="default"/>
        </w:rPr>
        <w:t>5</w:t>
      </w:r>
      <w:r>
        <w:rPr/>
        <w:t>、减值测试方法及减值准备计提方法 </w:t>
      </w:r>
      <w:r>
        <w:rPr>
          <w:spacing w:val="-2"/>
        </w:rPr>
        <w:t>资产负债表日，本公司对长期股权投资检查是否存在可能发生减值的迹象，当存在减值迹象时应进行减值测试确认其可</w:t>
      </w:r>
    </w:p>
    <w:p>
      <w:pPr>
        <w:pStyle w:val="BodyText"/>
        <w:spacing w:line="316" w:lineRule="auto" w:before="31"/>
        <w:ind w:left="474" w:right="2292" w:hanging="360"/>
        <w:jc w:val="left"/>
      </w:pPr>
      <w:r>
        <w:rPr/>
        <w:t>收回金额，按可收回金额低于账面价值部分计提减值准备，减值损失一经计提，在以后会计期间不再转回。 可收回金额按照长期股权投资出售的公允价值净额与预计未来现金流量的现值之间孰高确定。 </w:t>
      </w:r>
      <w:r>
        <w:rPr>
          <w:rFonts w:ascii="Times New Roman" w:hAnsi="Times New Roman" w:cs="Times New Roman" w:eastAsia="Times New Roman" w:hint="default"/>
        </w:rPr>
        <w:t>6</w:t>
      </w:r>
      <w:r>
        <w:rPr/>
        <w:t>、长期股权投资处置</w:t>
      </w:r>
    </w:p>
    <w:p>
      <w:pPr>
        <w:pStyle w:val="BodyText"/>
        <w:spacing w:line="316" w:lineRule="auto"/>
        <w:ind w:right="1032" w:firstLine="360"/>
        <w:jc w:val="left"/>
      </w:pPr>
      <w:r>
        <w:rPr/>
        <w:t>处置长期股权投资时，其账面价值与实际取得价款之间的差额，应当计入当期损益。采用权益法核算的长期股权投资， </w:t>
      </w:r>
      <w:r>
        <w:rPr>
          <w:spacing w:val="-2"/>
        </w:rPr>
        <w:t>在处置该项投资时，采用与被投资单位直接处置相关资产或负债相同的基础，按相应比例对原计入其他综合收益的部分进行</w:t>
      </w:r>
      <w:r>
        <w:rPr>
          <w:spacing w:val="-64"/>
        </w:rPr>
        <w:t> </w:t>
      </w:r>
      <w:r>
        <w:rPr>
          <w:spacing w:val="-64"/>
        </w:rPr>
      </w:r>
      <w:r>
        <w:rPr/>
        <w:t>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2"/>
        <w:jc w:val="left"/>
        <w:rPr>
          <w:b w:val="0"/>
          <w:bCs w:val="0"/>
        </w:rPr>
      </w:pPr>
      <w:bookmarkStart w:name="15、投资性房地产" w:id="205"/>
      <w:bookmarkEnd w:id="20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00" w:lineRule="auto" w:before="25"/>
        <w:ind w:right="1139" w:firstLine="360"/>
        <w:jc w:val="both"/>
      </w:pPr>
      <w:r>
        <w:rPr>
          <w:rFonts w:ascii="Times New Roman" w:hAnsi="Times New Roman" w:cs="Times New Roman" w:eastAsia="Times New Roman" w:hint="default"/>
        </w:rPr>
        <w:t>1</w:t>
      </w:r>
      <w:r>
        <w:rPr/>
        <w:t>、公司是为赚取租金或资本增值，或两者兼有而持有的房地产，包括已出租的土地使用权、持有并准备增值后转让的 土地使用权和已出租的建筑物。</w:t>
      </w:r>
    </w:p>
    <w:p>
      <w:pPr>
        <w:spacing w:after="0" w:line="300"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right="1122" w:firstLine="360"/>
        <w:jc w:val="left"/>
      </w:pPr>
      <w:r>
        <w:rPr>
          <w:rFonts w:ascii="Times New Roman" w:hAnsi="Times New Roman" w:cs="Times New Roman" w:eastAsia="Times New Roman" w:hint="default"/>
        </w:rPr>
        <w:t>2</w:t>
      </w:r>
      <w:r>
        <w:rPr/>
        <w:t>、投资性房地产按其取得时的成本进行初始计量，与投资性房地产有关的后续支出，如果与该资产有关的经济利益很 可能流入且其成本能够可靠地计量的，则计入投资性房地产成本。其他后续支出，在发生时计入当期损益。</w:t>
      </w:r>
    </w:p>
    <w:p>
      <w:pPr>
        <w:pStyle w:val="BodyText"/>
        <w:spacing w:line="300" w:lineRule="auto" w:before="31"/>
        <w:ind w:right="982" w:firstLine="360"/>
        <w:jc w:val="left"/>
      </w:pPr>
      <w:r>
        <w:rPr>
          <w:rFonts w:ascii="Times New Roman" w:hAnsi="Times New Roman" w:cs="Times New Roman" w:eastAsia="Times New Roman" w:hint="default"/>
          <w:spacing w:val="-1"/>
        </w:rPr>
        <w:t>3</w:t>
      </w:r>
      <w:r>
        <w:rPr>
          <w:spacing w:val="-1"/>
        </w:rPr>
        <w:t>、公司采用成本模式对投资性房地产进行后续计量，采用成本模式计量的建筑物，采用直线法平均计算折旧</w:t>
      </w:r>
      <w:r>
        <w:rPr>
          <w:rFonts w:ascii="Times New Roman" w:hAnsi="Times New Roman" w:cs="Times New Roman" w:eastAsia="Times New Roman" w:hint="default"/>
          <w:spacing w:val="-1"/>
        </w:rPr>
        <w:t>,</w:t>
      </w:r>
      <w:r>
        <w:rPr>
          <w:spacing w:val="-1"/>
        </w:rPr>
        <w:t>按估计的</w:t>
      </w:r>
      <w:r>
        <w:rPr/>
        <w:t> 使用年限和估计净残值率（原值的</w:t>
      </w:r>
      <w:r>
        <w:rPr>
          <w:spacing w:val="-48"/>
        </w:rPr>
        <w:t> </w:t>
      </w:r>
      <w:r>
        <w:rPr>
          <w:rFonts w:ascii="Times New Roman" w:hAnsi="Times New Roman" w:cs="Times New Roman" w:eastAsia="Times New Roman" w:hint="default"/>
        </w:rPr>
        <w:t>5%</w:t>
      </w:r>
      <w:r>
        <w:rPr/>
        <w:t>）确定其折旧率</w:t>
      </w:r>
      <w:r>
        <w:rPr>
          <w:rFonts w:ascii="Times New Roman" w:hAnsi="Times New Roman" w:cs="Times New Roman" w:eastAsia="Times New Roman" w:hint="default"/>
        </w:rPr>
        <w:t>,</w:t>
      </w:r>
      <w:r>
        <w:rPr/>
        <w:t>明细列示如下：</w:t>
      </w:r>
    </w:p>
    <w:tbl>
      <w:tblPr>
        <w:tblW w:w="0" w:type="auto"/>
        <w:jc w:val="left"/>
        <w:tblInd w:w="106" w:type="dxa"/>
        <w:tblLayout w:type="fixed"/>
        <w:tblCellMar>
          <w:top w:w="0" w:type="dxa"/>
          <w:left w:w="0" w:type="dxa"/>
          <w:bottom w:w="0" w:type="dxa"/>
          <w:right w:w="0" w:type="dxa"/>
        </w:tblCellMar>
        <w:tblLook w:val="01E0"/>
      </w:tblPr>
      <w:tblGrid>
        <w:gridCol w:w="3070"/>
        <w:gridCol w:w="3069"/>
        <w:gridCol w:w="3070"/>
      </w:tblGrid>
      <w:tr>
        <w:trPr>
          <w:trHeight w:val="355" w:hRule="exact"/>
        </w:trPr>
        <w:tc>
          <w:tcPr>
            <w:tcW w:w="3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投资性房地产类别</w:t>
            </w:r>
            <w:r>
              <w:rPr>
                <w:rFonts w:ascii="宋体" w:hAnsi="宋体" w:cs="宋体" w:eastAsia="宋体" w:hint="default"/>
                <w:sz w:val="18"/>
                <w:szCs w:val="18"/>
              </w:rPr>
            </w:r>
          </w:p>
        </w:tc>
        <w:tc>
          <w:tcPr>
            <w:tcW w:w="3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使用年限（年）</w:t>
            </w:r>
            <w:r>
              <w:rPr>
                <w:rFonts w:ascii="宋体" w:hAnsi="宋体" w:cs="宋体" w:eastAsia="宋体" w:hint="default"/>
                <w:sz w:val="18"/>
                <w:szCs w:val="18"/>
              </w:rPr>
            </w:r>
          </w:p>
        </w:tc>
        <w:tc>
          <w:tcPr>
            <w:tcW w:w="30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尚可使用年限</w:t>
            </w:r>
          </w:p>
        </w:tc>
        <w:tc>
          <w:tcPr>
            <w:tcW w:w="307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3.17</w:t>
            </w:r>
          </w:p>
        </w:tc>
      </w:tr>
    </w:tbl>
    <w:p>
      <w:pPr>
        <w:pStyle w:val="BodyText"/>
        <w:spacing w:line="240" w:lineRule="auto" w:before="13"/>
        <w:ind w:left="519" w:right="982"/>
        <w:jc w:val="left"/>
      </w:pPr>
      <w:r>
        <w:rPr/>
        <w:t>采用成本模式计量的土地使用权，采用直线法，按土地使用权的使用年限进行摊销。</w:t>
      </w:r>
    </w:p>
    <w:p>
      <w:pPr>
        <w:pStyle w:val="BodyText"/>
        <w:spacing w:line="300" w:lineRule="auto" w:before="76"/>
        <w:ind w:left="474" w:right="982"/>
        <w:jc w:val="left"/>
      </w:pPr>
      <w:r>
        <w:rPr>
          <w:rFonts w:ascii="Times New Roman" w:hAnsi="Times New Roman" w:cs="Times New Roman" w:eastAsia="Times New Roman" w:hint="default"/>
        </w:rPr>
        <w:t>4</w:t>
      </w:r>
      <w:r>
        <w:rPr/>
        <w:t>、投资性房地产的减值准备 </w:t>
      </w:r>
      <w:r>
        <w:rPr>
          <w:spacing w:val="-4"/>
        </w:rPr>
        <w:t>投资性房地产减值准备的计提按照资产减值核算方法处理。投资性房地产减值损失一经确认，在以后会计期间不再转回，</w:t>
      </w:r>
    </w:p>
    <w:p>
      <w:pPr>
        <w:pStyle w:val="BodyText"/>
        <w:spacing w:line="240" w:lineRule="auto" w:before="31"/>
        <w:ind w:right="982"/>
        <w:jc w:val="left"/>
      </w:pPr>
      <w:r>
        <w:rPr/>
        <w:t>当该项资产处置时予以转回。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82"/>
        <w:jc w:val="left"/>
        <w:rPr>
          <w:b w:val="0"/>
          <w:bCs w:val="0"/>
        </w:rPr>
      </w:pPr>
      <w:bookmarkStart w:name="16、固定资产" w:id="206"/>
      <w:bookmarkEnd w:id="20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确认条件" w:id="207"/>
      <w:bookmarkEnd w:id="20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1932"/>
        <w:jc w:val="left"/>
      </w:pPr>
      <w:r>
        <w:rPr/>
        <w:t>公司的固定资产是指为生产商品、提供劳务、出租或经营管理而持有且使用寿命超过一个会计年度的有形资产。 同时满足下列条件的，确认为固定资产：</w:t>
      </w:r>
    </w:p>
    <w:p>
      <w:pPr>
        <w:pStyle w:val="BodyText"/>
        <w:spacing w:line="240" w:lineRule="auto" w:before="29"/>
        <w:ind w:right="982"/>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2"/>
        <w:ind w:right="982"/>
        <w:jc w:val="left"/>
      </w:pPr>
      <w:r>
        <w:rPr/>
        <w:t>（</w:t>
      </w:r>
      <w:r>
        <w:rPr>
          <w:rFonts w:ascii="Times New Roman" w:hAnsi="Times New Roman" w:cs="Times New Roman" w:eastAsia="Times New Roman" w:hint="default"/>
        </w:rPr>
        <w:t>2</w:t>
      </w:r>
      <w:r>
        <w:rPr/>
        <w:t>）该固定资产的成本能够可靠计量。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4"/>
        <w:spacing w:line="240" w:lineRule="auto"/>
        <w:ind w:right="982"/>
        <w:jc w:val="left"/>
        <w:rPr>
          <w:b w:val="0"/>
          <w:bCs w:val="0"/>
        </w:rPr>
      </w:pPr>
      <w:bookmarkStart w:name="（2）折旧方法" w:id="208"/>
      <w:bookmarkEnd w:id="20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9.50-7.92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11.88-7.92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2"/>
        <w:rPr>
          <w:rFonts w:ascii="宋体" w:hAnsi="宋体" w:cs="宋体" w:eastAsia="宋体" w:hint="default"/>
          <w:b/>
          <w:bCs/>
          <w:sz w:val="19"/>
          <w:szCs w:val="19"/>
        </w:rPr>
      </w:pPr>
    </w:p>
    <w:p>
      <w:pPr>
        <w:pStyle w:val="Heading4"/>
        <w:spacing w:line="240" w:lineRule="auto" w:before="35"/>
        <w:ind w:right="982"/>
        <w:jc w:val="left"/>
        <w:rPr>
          <w:b w:val="0"/>
          <w:bCs w:val="0"/>
        </w:rPr>
      </w:pPr>
      <w:bookmarkStart w:name="（3）融资租入固定资产的认定依据、计价和折旧方法" w:id="209"/>
      <w:bookmarkEnd w:id="20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7、在建工程" w:id="210"/>
      <w:bookmarkEnd w:id="21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982"/>
        <w:jc w:val="left"/>
      </w:pPr>
      <w:r>
        <w:rPr/>
        <w:t>土木工程建筑业</w:t>
      </w:r>
    </w:p>
    <w:p>
      <w:pPr>
        <w:pStyle w:val="BodyText"/>
        <w:spacing w:line="240" w:lineRule="auto" w:before="115"/>
        <w:ind w:left="474" w:right="982"/>
        <w:jc w:val="left"/>
      </w:pPr>
      <w:r>
        <w:rPr>
          <w:rFonts w:ascii="Times New Roman" w:hAnsi="Times New Roman" w:cs="Times New Roman" w:eastAsia="Times New Roman" w:hint="default"/>
        </w:rPr>
        <w:t>1</w:t>
      </w:r>
      <w:r>
        <w:rPr/>
        <w:t>、在建工程是指正在施工中尚未完工或虽已完工但尚未达到预定可使用状态的工程。</w:t>
      </w:r>
    </w:p>
    <w:p>
      <w:pPr>
        <w:pStyle w:val="BodyText"/>
        <w:spacing w:line="240" w:lineRule="auto" w:before="63"/>
        <w:ind w:left="474" w:right="982"/>
        <w:jc w:val="left"/>
      </w:pPr>
      <w:r>
        <w:rPr>
          <w:rFonts w:ascii="Times New Roman" w:hAnsi="Times New Roman" w:cs="Times New Roman" w:eastAsia="Times New Roman" w:hint="default"/>
        </w:rPr>
        <w:t>2</w:t>
      </w:r>
      <w:r>
        <w:rPr/>
        <w:t>、在建工程按实际发生的支出确定其工程成本。</w:t>
      </w:r>
    </w:p>
    <w:p>
      <w:pPr>
        <w:pStyle w:val="BodyText"/>
        <w:spacing w:line="300" w:lineRule="auto" w:before="63"/>
        <w:ind w:right="982" w:firstLine="360"/>
        <w:jc w:val="left"/>
      </w:pPr>
      <w:r>
        <w:rPr>
          <w:rFonts w:ascii="Times New Roman" w:hAnsi="Times New Roman" w:cs="Times New Roman" w:eastAsia="Times New Roman" w:hint="default"/>
          <w:spacing w:val="-2"/>
        </w:rPr>
        <w:t>3</w:t>
      </w:r>
      <w:r>
        <w:rPr>
          <w:spacing w:val="-2"/>
        </w:rPr>
        <w:t>、所建造的固定资产已达到预定可使用状态，但尚未办理竣工决算的，自达到预定可使用状态之日起，根据工程预算、</w:t>
      </w:r>
      <w:r>
        <w:rPr/>
        <w:t> </w:t>
      </w:r>
      <w:r>
        <w:rPr>
          <w:spacing w:val="-2"/>
        </w:rPr>
        <w:t>造价或者工程实际成本等，按估计的价值转入固定资产，并按有关计提固定资产折旧的规定计提折旧，待办理竣工决算后再</w:t>
      </w:r>
    </w:p>
    <w:p>
      <w:pPr>
        <w:spacing w:after="0" w:line="30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82"/>
        <w:jc w:val="left"/>
      </w:pPr>
      <w:r>
        <w:rPr/>
        <w:t>按实际成本调整原暂估价值，但不再调整原已计提的折旧。</w:t>
      </w:r>
    </w:p>
    <w:p>
      <w:pPr>
        <w:pStyle w:val="BodyText"/>
        <w:spacing w:line="300" w:lineRule="auto" w:before="76"/>
        <w:ind w:right="1122" w:firstLine="360"/>
        <w:jc w:val="left"/>
      </w:pPr>
      <w:r>
        <w:rPr>
          <w:rFonts w:ascii="Times New Roman" w:hAnsi="Times New Roman" w:cs="Times New Roman" w:eastAsia="Times New Roman" w:hint="default"/>
        </w:rPr>
        <w:t>4</w:t>
      </w:r>
      <w:r>
        <w:rPr/>
        <w:t>、在建工程减值准备的计提按照资产减值核算方法处理。在建工程减值损失一经确认，在以后会计期间不再转回，当 该项资产处置时予以转出。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982"/>
        <w:jc w:val="left"/>
        <w:rPr>
          <w:b w:val="0"/>
          <w:bCs w:val="0"/>
        </w:rPr>
      </w:pPr>
      <w:bookmarkStart w:name="18、借款费用" w:id="211"/>
      <w:bookmarkEnd w:id="21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4" w:right="1032"/>
        <w:jc w:val="left"/>
      </w:pPr>
      <w:r>
        <w:rPr>
          <w:rFonts w:ascii="Times New Roman" w:hAnsi="Times New Roman" w:cs="Times New Roman" w:eastAsia="Times New Roman" w:hint="default"/>
        </w:rPr>
        <w:t>1</w:t>
      </w:r>
      <w:r>
        <w:rPr/>
        <w:t>、借款费用资本化的原则 借款费用包括借款利息、折价或者溢价的摊销、辅助费用以及因外币借款而发生的汇兑差额等。公司发生的借款费用，</w:t>
      </w:r>
    </w:p>
    <w:p>
      <w:pPr>
        <w:pStyle w:val="BodyText"/>
        <w:spacing w:line="316" w:lineRule="auto" w:before="31"/>
        <w:ind w:right="982"/>
        <w:jc w:val="left"/>
      </w:pPr>
      <w:r>
        <w:rPr>
          <w:spacing w:val="-2"/>
        </w:rPr>
        <w:t>可直接归属于符合资本化条件的资产的购建，予以资本化，计入相关资产成本；其他借款费用，在发生时根据其发生额确认</w:t>
      </w:r>
      <w:r>
        <w:rPr>
          <w:spacing w:val="-66"/>
        </w:rPr>
        <w:t> </w:t>
      </w:r>
      <w:r>
        <w:rPr>
          <w:spacing w:val="-66"/>
        </w:rPr>
      </w:r>
      <w:r>
        <w:rPr/>
        <w:t>为费用，计入当期损益。</w:t>
      </w:r>
    </w:p>
    <w:p>
      <w:pPr>
        <w:pStyle w:val="BodyText"/>
        <w:spacing w:line="240" w:lineRule="auto" w:before="19"/>
        <w:ind w:left="474" w:right="982"/>
        <w:jc w:val="left"/>
      </w:pPr>
      <w:r>
        <w:rPr/>
        <w:t>借款费用同时满足下列条件的，才能开始资本化：</w:t>
      </w:r>
    </w:p>
    <w:p>
      <w:pPr>
        <w:pStyle w:val="BodyText"/>
        <w:spacing w:line="300" w:lineRule="auto" w:before="76"/>
        <w:ind w:right="1122" w:firstLine="360"/>
        <w:jc w:val="left"/>
      </w:pPr>
      <w:r>
        <w:rPr/>
        <w:t>（</w:t>
      </w:r>
      <w:r>
        <w:rPr>
          <w:rFonts w:ascii="Times New Roman" w:hAnsi="Times New Roman" w:cs="Times New Roman" w:eastAsia="Times New Roman" w:hint="default"/>
        </w:rPr>
        <w:t>1</w:t>
      </w:r>
      <w:r>
        <w:rPr/>
        <w:t>）资产支出已经发生，资产支出包括为购建符合资本化条件的资产而以支付现金、转移非现金资产或者承担带息债 务形式发生的支出；</w:t>
      </w:r>
    </w:p>
    <w:p>
      <w:pPr>
        <w:pStyle w:val="BodyText"/>
        <w:spacing w:line="240" w:lineRule="auto" w:before="31"/>
        <w:ind w:left="474" w:right="982"/>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474" w:right="982"/>
        <w:jc w:val="left"/>
      </w:pPr>
      <w:r>
        <w:rPr/>
        <w:t>（</w:t>
      </w:r>
      <w:r>
        <w:rPr>
          <w:rFonts w:ascii="Times New Roman" w:hAnsi="Times New Roman" w:cs="Times New Roman" w:eastAsia="Times New Roman" w:hint="default"/>
        </w:rPr>
        <w:t>3</w:t>
      </w:r>
      <w:r>
        <w:rPr/>
        <w:t>）为使资产达到预定可使用状态所必要的购建活动已经开始。</w:t>
      </w:r>
    </w:p>
    <w:p>
      <w:pPr>
        <w:pStyle w:val="BodyText"/>
        <w:spacing w:line="300" w:lineRule="auto" w:before="63"/>
        <w:ind w:left="474" w:right="982"/>
        <w:jc w:val="left"/>
      </w:pPr>
      <w:r>
        <w:rPr>
          <w:rFonts w:ascii="Times New Roman" w:hAnsi="Times New Roman" w:cs="Times New Roman" w:eastAsia="Times New Roman" w:hint="default"/>
        </w:rPr>
        <w:t>2</w:t>
      </w:r>
      <w:r>
        <w:rPr/>
        <w:t>、资本化金额的计算方法 </w:t>
      </w:r>
      <w:r>
        <w:rPr>
          <w:spacing w:val="-2"/>
        </w:rPr>
        <w:t>为购建符合资本化条件的资产而借入专门借款的，以专门借款当期实际发生的利息费用，减去将尚未动用的借款资金存</w:t>
      </w:r>
    </w:p>
    <w:p>
      <w:pPr>
        <w:pStyle w:val="BodyText"/>
        <w:spacing w:line="316" w:lineRule="auto" w:before="31"/>
        <w:ind w:left="474" w:right="982" w:hanging="360"/>
        <w:jc w:val="left"/>
      </w:pPr>
      <w:r>
        <w:rPr/>
        <w:t>入银行取得的利息收入或进行暂时性投资取得的投资收益后的金额确定。 </w:t>
      </w:r>
      <w:r>
        <w:rPr>
          <w:spacing w:val="-2"/>
        </w:rPr>
        <w:t>为购建符合资本化条件的资产而占用了一般借款的，根据累计资产支出超过专门借款部分的资产支出加权平均数乘以所</w:t>
      </w:r>
    </w:p>
    <w:p>
      <w:pPr>
        <w:pStyle w:val="BodyText"/>
        <w:spacing w:line="316" w:lineRule="auto" w:before="19"/>
        <w:ind w:left="474" w:right="1117" w:hanging="360"/>
        <w:jc w:val="left"/>
      </w:pPr>
      <w:r>
        <w:rPr/>
        <w:t>占用一般借款的资本化率，计算确定一般借款应予资本化的利息金额。资本化率根据一般借款加权平均利率计算确认。 符合资本化条件的资产在购建过程中发生非正常中断、且中断时间连续超过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4"/>
        </w:rPr>
        <w:t>个月的，暂停借款费用的资本化，在中断</w:t>
      </w:r>
    </w:p>
    <w:p>
      <w:pPr>
        <w:pStyle w:val="BodyText"/>
        <w:spacing w:line="316" w:lineRule="auto"/>
        <w:ind w:left="474" w:right="1212" w:hanging="360"/>
        <w:jc w:val="left"/>
      </w:pPr>
      <w:r>
        <w:rPr/>
        <w:t>期间发生的借款费用，计入当期损益。 购建符合资本化条件的资产达到预定可使用状态之后所发生的借款费用，根据其发生额确认为费用，计入当期损益。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2"/>
        <w:jc w:val="left"/>
        <w:rPr>
          <w:b w:val="0"/>
          <w:bCs w:val="0"/>
        </w:rPr>
      </w:pPr>
      <w:bookmarkStart w:name="19、生物资产" w:id="212"/>
      <w:bookmarkEnd w:id="21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20、油气资产" w:id="213"/>
      <w:bookmarkEnd w:id="21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21、无形资产" w:id="214"/>
      <w:bookmarkEnd w:id="21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计价方法、使用寿命、减值测试" w:id="215"/>
      <w:bookmarkEnd w:id="21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4" w:right="982"/>
        <w:jc w:val="left"/>
      </w:pPr>
      <w:r>
        <w:rPr>
          <w:rFonts w:ascii="Times New Roman" w:hAnsi="Times New Roman" w:cs="Times New Roman" w:eastAsia="Times New Roman" w:hint="default"/>
        </w:rPr>
        <w:t>1</w:t>
      </w:r>
      <w:r>
        <w:rPr/>
        <w:t>、无形资产的计价方法 </w:t>
      </w:r>
      <w:r>
        <w:rPr>
          <w:spacing w:val="-2"/>
        </w:rPr>
        <w:t>本公司无形资产按照成本进行初始计量。购入的无形资产，按实际支付的价款和相关支出作为实际成本。投资者投入的</w:t>
      </w:r>
    </w:p>
    <w:p>
      <w:pPr>
        <w:pStyle w:val="BodyText"/>
        <w:spacing w:line="316" w:lineRule="auto" w:before="31"/>
        <w:ind w:right="982"/>
        <w:jc w:val="left"/>
      </w:pPr>
      <w:r>
        <w:rPr>
          <w:spacing w:val="-2"/>
        </w:rPr>
        <w:t>无形资产，按投资合同或协议约定的价值确定实际成本，但合同或协议约定价值不公允的，按公允价值确定实际成本。自行</w:t>
      </w:r>
      <w:r>
        <w:rPr>
          <w:spacing w:val="-66"/>
        </w:rPr>
        <w:t> </w:t>
      </w:r>
      <w:r>
        <w:rPr>
          <w:spacing w:val="-66"/>
        </w:rPr>
      </w:r>
      <w:r>
        <w:rPr/>
        <w:t>开发的无形资产，其成本为达到预定用途前所发生的支出总额。</w:t>
      </w:r>
    </w:p>
    <w:p>
      <w:pPr>
        <w:pStyle w:val="BodyText"/>
        <w:spacing w:line="319" w:lineRule="auto" w:before="19"/>
        <w:ind w:right="982" w:firstLine="360"/>
        <w:jc w:val="left"/>
      </w:pPr>
      <w:r>
        <w:rPr>
          <w:spacing w:val="-2"/>
        </w:rPr>
        <w:t>本公司无形资产后续计量，分别为：①使用寿命有限无形资产采用直线法摊销，并在年度终了，对无形资产的使用寿命</w:t>
      </w:r>
      <w:r>
        <w:rPr/>
        <w:t> </w:t>
      </w:r>
      <w:r>
        <w:rPr>
          <w:spacing w:val="-4"/>
        </w:rPr>
        <w:t>和摊销方法进行复核，如与原先估计数存在差异的，进行相应的调整。②使用寿命不确定的无形资产不摊销，但在年度终了，</w:t>
      </w:r>
      <w:r>
        <w:rPr>
          <w:spacing w:val="-45"/>
        </w:rPr>
        <w:t> </w:t>
      </w:r>
      <w:r>
        <w:rPr>
          <w:spacing w:val="-45"/>
        </w:rPr>
      </w:r>
      <w:r>
        <w:rPr/>
        <w:t>对使用寿命进行复核，当有确凿证据表明其使用寿命是有限的，则估计其使用寿命，按直线法进行摊销。</w:t>
      </w:r>
    </w:p>
    <w:p>
      <w:pPr>
        <w:pStyle w:val="BodyText"/>
        <w:spacing w:line="240" w:lineRule="auto" w:before="17"/>
        <w:ind w:left="474" w:right="982"/>
        <w:jc w:val="left"/>
      </w:pPr>
      <w:r>
        <w:rPr>
          <w:rFonts w:ascii="Times New Roman" w:hAnsi="Times New Roman" w:cs="Times New Roman" w:eastAsia="Times New Roman" w:hint="default"/>
        </w:rPr>
        <w:t>2</w:t>
      </w:r>
      <w:r>
        <w:rPr/>
        <w:t>、无形资产使用寿命的确定及复核</w:t>
      </w:r>
    </w:p>
    <w:p>
      <w:pPr>
        <w:pStyle w:val="BodyText"/>
        <w:spacing w:line="300" w:lineRule="auto" w:before="63"/>
        <w:ind w:right="1122" w:firstLine="360"/>
        <w:jc w:val="left"/>
      </w:pPr>
      <w:r>
        <w:rPr/>
        <w:t>（</w:t>
      </w:r>
      <w:r>
        <w:rPr>
          <w:rFonts w:ascii="Times New Roman" w:hAnsi="Times New Roman" w:cs="Times New Roman" w:eastAsia="Times New Roman" w:hint="default"/>
        </w:rPr>
        <w:t>1</w:t>
      </w:r>
      <w:r>
        <w:rPr/>
        <w:t>）公司无形资产源自合同性权利或其他法定权利，且合同规定或法律规定有明确的使用年限，其使用寿命按照合同 性权利或其他法定权利的期限确定。</w:t>
      </w:r>
    </w:p>
    <w:p>
      <w:pPr>
        <w:pStyle w:val="BodyText"/>
        <w:spacing w:line="240" w:lineRule="auto" w:before="31"/>
        <w:ind w:left="474" w:right="982"/>
        <w:jc w:val="left"/>
      </w:pPr>
      <w:r>
        <w:rPr/>
        <w:t>（</w:t>
      </w:r>
      <w:r>
        <w:rPr>
          <w:rFonts w:ascii="Times New Roman" w:hAnsi="Times New Roman" w:cs="Times New Roman" w:eastAsia="Times New Roman" w:hint="default"/>
        </w:rPr>
        <w:t>2</w:t>
      </w:r>
      <w:r>
        <w:rPr/>
        <w:t>）没有明确的合同或法律规定的无形资产</w:t>
      </w:r>
      <w:r>
        <w:rPr>
          <w:rFonts w:ascii="Times New Roman" w:hAnsi="Times New Roman" w:cs="Times New Roman" w:eastAsia="Times New Roman" w:hint="default"/>
        </w:rPr>
        <w:t>,</w:t>
      </w:r>
      <w:r>
        <w:rPr/>
        <w:t>公司综合以下各方面情况</w:t>
      </w:r>
      <w:r>
        <w:rPr>
          <w:rFonts w:ascii="Times New Roman" w:hAnsi="Times New Roman" w:cs="Times New Roman" w:eastAsia="Times New Roman" w:hint="default"/>
        </w:rPr>
        <w:t>,</w:t>
      </w:r>
      <w:r>
        <w:rPr/>
        <w:t>来确定无形资产为公司带来未来经济利益的期</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82"/>
        <w:jc w:val="left"/>
      </w:pPr>
      <w:r>
        <w:rPr/>
        <w:t>限。</w:t>
      </w:r>
    </w:p>
    <w:p>
      <w:pPr>
        <w:pStyle w:val="BodyText"/>
        <w:spacing w:line="240" w:lineRule="auto" w:before="76"/>
        <w:ind w:left="474" w:right="982"/>
        <w:jc w:val="left"/>
      </w:pPr>
      <w:r>
        <w:rPr/>
        <w:t>①运用该资产生产的产品通常的寿命周期、可获得的类似资产使用寿命的信息；</w:t>
      </w:r>
    </w:p>
    <w:p>
      <w:pPr>
        <w:pStyle w:val="BodyText"/>
        <w:spacing w:line="240" w:lineRule="auto" w:before="76"/>
        <w:ind w:left="474" w:right="982"/>
        <w:jc w:val="left"/>
      </w:pPr>
      <w:r>
        <w:rPr/>
        <w:t>②技术、工艺等方面的现阶段情况及对未来发展趋势的估计；</w:t>
      </w:r>
    </w:p>
    <w:p>
      <w:pPr>
        <w:pStyle w:val="BodyText"/>
        <w:spacing w:line="240" w:lineRule="auto" w:before="76"/>
        <w:ind w:left="474" w:right="982"/>
        <w:jc w:val="left"/>
      </w:pPr>
      <w:r>
        <w:rPr/>
        <w:t>③以该资产生产的产品或提供劳务的市场需求情况；</w:t>
      </w:r>
    </w:p>
    <w:p>
      <w:pPr>
        <w:pStyle w:val="BodyText"/>
        <w:spacing w:line="240" w:lineRule="auto" w:before="77"/>
        <w:ind w:left="474" w:right="982"/>
        <w:jc w:val="left"/>
      </w:pPr>
      <w:r>
        <w:rPr/>
        <w:t>④现在或潜在的竞争者预期采取的行动；</w:t>
      </w:r>
    </w:p>
    <w:p>
      <w:pPr>
        <w:pStyle w:val="BodyText"/>
        <w:spacing w:line="240" w:lineRule="auto" w:before="76"/>
        <w:ind w:left="474" w:right="982"/>
        <w:jc w:val="left"/>
      </w:pPr>
      <w:r>
        <w:rPr/>
        <w:t>⑤为维持该资产带来经济利益能力的预期维护支出，以及公司预计支付有关支出的能力；</w:t>
      </w:r>
    </w:p>
    <w:p>
      <w:pPr>
        <w:pStyle w:val="BodyText"/>
        <w:spacing w:line="316" w:lineRule="auto" w:before="76"/>
        <w:ind w:left="474" w:right="1347"/>
        <w:jc w:val="left"/>
      </w:pPr>
      <w:r>
        <w:rPr/>
        <w:t>⑥与公司持有其他资产使用寿命的关联性等。 如果经过上述努力确实无法合理确定无形资产为公司带来经济利益的期限</w:t>
      </w:r>
      <w:r>
        <w:rPr>
          <w:rFonts w:ascii="Times New Roman" w:hAnsi="Times New Roman" w:cs="Times New Roman" w:eastAsia="Times New Roman" w:hint="default"/>
        </w:rPr>
        <w:t>,</w:t>
      </w:r>
      <w:r>
        <w:rPr/>
        <w:t>则将其作为使用寿命不确定的无形资产。</w:t>
      </w:r>
    </w:p>
    <w:p>
      <w:pPr>
        <w:pStyle w:val="BodyText"/>
        <w:spacing w:line="300" w:lineRule="auto"/>
        <w:ind w:right="1132" w:firstLine="360"/>
        <w:jc w:val="both"/>
      </w:pPr>
      <w:r>
        <w:rPr>
          <w:spacing w:val="-2"/>
        </w:rPr>
        <w:t>（</w:t>
      </w:r>
      <w:r>
        <w:rPr>
          <w:rFonts w:ascii="Times New Roman" w:hAnsi="Times New Roman" w:cs="Times New Roman" w:eastAsia="Times New Roman" w:hint="default"/>
          <w:spacing w:val="-2"/>
        </w:rPr>
        <w:t>3</w:t>
      </w:r>
      <w:r>
        <w:rPr>
          <w:spacing w:val="-2"/>
        </w:rPr>
        <w:t>）根据可获得的情况判断</w:t>
      </w:r>
      <w:r>
        <w:rPr>
          <w:rFonts w:ascii="Times New Roman" w:hAnsi="Times New Roman" w:cs="Times New Roman" w:eastAsia="Times New Roman" w:hint="default"/>
          <w:spacing w:val="-2"/>
        </w:rPr>
        <w:t>,</w:t>
      </w:r>
      <w:r>
        <w:rPr>
          <w:spacing w:val="-2"/>
        </w:rPr>
        <w:t>有确凿证据表明无法合理估计其使用寿命的无形资产</w:t>
      </w:r>
      <w:r>
        <w:rPr>
          <w:rFonts w:ascii="Times New Roman" w:hAnsi="Times New Roman" w:cs="Times New Roman" w:eastAsia="Times New Roman" w:hint="default"/>
          <w:spacing w:val="-2"/>
        </w:rPr>
        <w:t>,</w:t>
      </w:r>
      <w:r>
        <w:rPr>
          <w:spacing w:val="-2"/>
        </w:rPr>
        <w:t>作为使用寿命不确定的无形资产。如</w:t>
      </w:r>
      <w:r>
        <w:rPr/>
        <w:t> 果期末重新复核后仍为不确定的</w:t>
      </w:r>
      <w:r>
        <w:rPr>
          <w:rFonts w:ascii="Times New Roman" w:hAnsi="Times New Roman" w:cs="Times New Roman" w:eastAsia="Times New Roman" w:hint="default"/>
        </w:rPr>
        <w:t>,</w:t>
      </w:r>
      <w:r>
        <w:rPr/>
        <w:t>公司在每个会计期间进行减值测试，严格按照计提资产减值核算方法的规定处理</w:t>
      </w:r>
      <w:r>
        <w:rPr>
          <w:rFonts w:ascii="Times New Roman" w:hAnsi="Times New Roman" w:cs="Times New Roman" w:eastAsia="Times New Roman" w:hint="default"/>
        </w:rPr>
        <w:t>,</w:t>
      </w:r>
      <w:r>
        <w:rPr/>
        <w:t>需要计提 减值准备的</w:t>
      </w:r>
      <w:r>
        <w:rPr>
          <w:rFonts w:ascii="Times New Roman" w:hAnsi="Times New Roman" w:cs="Times New Roman" w:eastAsia="Times New Roman" w:hint="default"/>
        </w:rPr>
        <w:t>,</w:t>
      </w:r>
      <w:r>
        <w:rPr/>
        <w:t>相应计提有关的减值准备。</w:t>
      </w:r>
    </w:p>
    <w:p>
      <w:pPr>
        <w:pStyle w:val="BodyText"/>
        <w:spacing w:line="300" w:lineRule="auto" w:before="13"/>
        <w:ind w:right="1122" w:firstLine="360"/>
        <w:jc w:val="left"/>
      </w:pPr>
      <w:r>
        <w:rPr/>
        <w:t>（</w:t>
      </w:r>
      <w:r>
        <w:rPr>
          <w:rFonts w:ascii="Times New Roman" w:hAnsi="Times New Roman" w:cs="Times New Roman" w:eastAsia="Times New Roman" w:hint="default"/>
        </w:rPr>
        <w:t>4</w:t>
      </w:r>
      <w:r>
        <w:rPr/>
        <w:t>）公司于每年年度终了，对使用寿命有限的无形资产的使用寿命及未来经济利益消耗方式进行复核。无形资产的预 计使用寿命及未来经济利益的预期消耗方式与以前估计不同的，相应改变摊销期限和摊销方法。</w:t>
      </w:r>
    </w:p>
    <w:p>
      <w:pPr>
        <w:pStyle w:val="BodyText"/>
        <w:spacing w:line="316" w:lineRule="auto" w:before="31"/>
        <w:ind w:right="1212" w:firstLine="360"/>
        <w:jc w:val="left"/>
      </w:pPr>
      <w:r>
        <w:rPr/>
        <w:t>公司在每个会计期间对使用寿命不确定的无形资产的使用寿命进行复核。如果有证据表明无形资产的使用寿命是有限 的，估计其使用寿命，并按其估计使用寿命进行摊销。</w:t>
      </w:r>
    </w:p>
    <w:p>
      <w:pPr>
        <w:pStyle w:val="BodyText"/>
        <w:spacing w:line="300" w:lineRule="auto" w:before="19"/>
        <w:ind w:left="474" w:right="982"/>
        <w:jc w:val="left"/>
      </w:pPr>
      <w:r>
        <w:rPr>
          <w:rFonts w:ascii="Times New Roman" w:hAnsi="Times New Roman" w:cs="Times New Roman" w:eastAsia="Times New Roman" w:hint="default"/>
        </w:rPr>
        <w:t>3</w:t>
      </w:r>
      <w:r>
        <w:rPr/>
        <w:t>、无形资产的减值测试方法及减值准备计提方法 </w:t>
      </w:r>
      <w:r>
        <w:rPr>
          <w:spacing w:val="-2"/>
        </w:rPr>
        <w:t>资产负债表日，本公司对无形资产检查是否存在可能发生减值的迹象，当存在减值迹象时应进行减值测试确认其可收回</w:t>
      </w:r>
    </w:p>
    <w:p>
      <w:pPr>
        <w:pStyle w:val="BodyText"/>
        <w:spacing w:line="316" w:lineRule="auto" w:before="31"/>
        <w:ind w:left="474" w:right="982" w:hanging="360"/>
        <w:jc w:val="left"/>
      </w:pPr>
      <w:r>
        <w:rPr/>
        <w:t>金额，按可收回金额低于账面价值部分计提减值准备，减值损失一经计提，在以后会计期间不再转回。 无形资产可收回金额根据资产公允价值减去处置费用后的净额与资产预计未来现金流量的现值两者孰高确定。 </w:t>
      </w:r>
      <w:r>
        <w:rPr>
          <w:spacing w:val="-2"/>
        </w:rPr>
        <w:t>无形资产减值准备的计提按照资产减值核算方法处理。无形资产减值损失一经确认在以后会计期间不再转回，当该项资</w:t>
      </w:r>
    </w:p>
    <w:p>
      <w:pPr>
        <w:pStyle w:val="BodyText"/>
        <w:spacing w:line="240" w:lineRule="auto" w:before="19"/>
        <w:ind w:right="982"/>
        <w:jc w:val="left"/>
      </w:pPr>
      <w:r>
        <w:rPr/>
        <w:t>产处置时予以转出。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82"/>
        <w:jc w:val="left"/>
        <w:rPr>
          <w:b w:val="0"/>
          <w:bCs w:val="0"/>
        </w:rPr>
      </w:pPr>
      <w:bookmarkStart w:name="（2）内部研究开发支出会计政策" w:id="216"/>
      <w:bookmarkEnd w:id="21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982"/>
        <w:jc w:val="left"/>
      </w:pPr>
      <w:r>
        <w:rPr/>
        <w:t>内部研究开发项目的研究阶段和开发阶段具体标准，以及开发阶段支出符合资本化条件的具体标准 </w:t>
      </w:r>
      <w:r>
        <w:rPr>
          <w:spacing w:val="-2"/>
        </w:rPr>
        <w:t>公司将研究开发项目区分为研究阶段与开发阶段。公司划分内部研究开发项目研究阶段支出和开发阶段支出的具体标准</w:t>
      </w:r>
    </w:p>
    <w:p>
      <w:pPr>
        <w:pStyle w:val="BodyText"/>
        <w:spacing w:line="316" w:lineRule="auto" w:before="19"/>
        <w:ind w:right="1131"/>
        <w:jc w:val="both"/>
      </w:pPr>
      <w:r>
        <w:rPr>
          <w:spacing w:val="-2"/>
        </w:rPr>
        <w:t>为：为获取新的技术和知识等进行的有计划的调查阶段，确定为研究阶段，该阶段具有计划性和探索性等特点；在进行商业</w:t>
      </w:r>
      <w:r>
        <w:rPr>
          <w:spacing w:val="-66"/>
        </w:rPr>
        <w:t> </w:t>
      </w:r>
      <w:r>
        <w:rPr>
          <w:spacing w:val="-66"/>
        </w:rPr>
      </w:r>
      <w:r>
        <w:rPr>
          <w:spacing w:val="-2"/>
        </w:rPr>
        <w:t>性生产或使用前，将研究成果或其他知识应用于某项计划或设计，以生产出新的或具有实质性改进的材料、装置、产品等阶</w:t>
      </w:r>
      <w:r>
        <w:rPr>
          <w:spacing w:val="-66"/>
        </w:rPr>
        <w:t> </w:t>
      </w:r>
      <w:r>
        <w:rPr>
          <w:spacing w:val="-66"/>
        </w:rPr>
      </w:r>
      <w:r>
        <w:rPr/>
        <w:t>段，确定为开发阶段，该阶段具有针对性和形成成果的可能性较大等特点。</w:t>
      </w:r>
    </w:p>
    <w:p>
      <w:pPr>
        <w:pStyle w:val="BodyText"/>
        <w:spacing w:line="316" w:lineRule="auto" w:before="19"/>
        <w:ind w:right="982" w:firstLine="360"/>
        <w:jc w:val="left"/>
      </w:pPr>
      <w:r>
        <w:rPr>
          <w:spacing w:val="-4"/>
        </w:rPr>
        <w:t>公司自行研究开发的无形资产，其研究阶段的支出，于发生时计入当期损益；其开发阶段的支出，同时满足下列条件的，</w:t>
      </w:r>
      <w:r>
        <w:rPr/>
        <w:t> </w:t>
      </w:r>
      <w:r>
        <w:rPr>
          <w:spacing w:val="-5"/>
        </w:rPr>
        <w:t>确认为无形资产（专利技术和非专利技术）：</w:t>
      </w:r>
    </w:p>
    <w:p>
      <w:pPr>
        <w:pStyle w:val="BodyText"/>
        <w:spacing w:line="240" w:lineRule="auto" w:before="19"/>
        <w:ind w:left="474" w:right="982"/>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474" w:right="982"/>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122"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形资产将在内部使用的，证明其有用性；</w:t>
      </w:r>
    </w:p>
    <w:p>
      <w:pPr>
        <w:pStyle w:val="BodyText"/>
        <w:spacing w:line="240" w:lineRule="auto" w:before="31"/>
        <w:ind w:left="474" w:right="982"/>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474" w:right="3912"/>
        <w:jc w:val="left"/>
      </w:pPr>
      <w:r>
        <w:rPr/>
        <w:t>（</w:t>
      </w:r>
      <w:r>
        <w:rPr>
          <w:rFonts w:ascii="Times New Roman" w:hAnsi="Times New Roman" w:cs="Times New Roman" w:eastAsia="Times New Roman" w:hint="default"/>
        </w:rPr>
        <w:t>5</w:t>
      </w:r>
      <w:r>
        <w:rPr/>
        <w:t>）归属于该无形资产开发阶段的支出能够可靠地计量；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982"/>
        <w:jc w:val="left"/>
        <w:rPr>
          <w:b w:val="0"/>
          <w:bCs w:val="0"/>
        </w:rPr>
      </w:pPr>
      <w:bookmarkStart w:name="22、长期资产减值" w:id="217"/>
      <w:bookmarkEnd w:id="21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1"/>
        <w:jc w:val="both"/>
      </w:pP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9" w:lineRule="auto" w:before="19"/>
        <w:ind w:left="474" w:right="1032"/>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7"/>
        <w:ind w:right="103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right="1032"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2"/>
        <w:jc w:val="left"/>
        <w:rPr>
          <w:b w:val="0"/>
          <w:bCs w:val="0"/>
        </w:rPr>
      </w:pPr>
      <w:bookmarkStart w:name="23、长期待摊费用" w:id="218"/>
      <w:bookmarkEnd w:id="21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长期待摊费用按实际发生额核算，在项目受益期内平均摊销。如果长期摊销的费用项目不能使以后会计期间受益的，应</w:t>
      </w:r>
      <w:r>
        <w:rPr/>
        <w:t> 当将尚未摊销的该项目的摊余价值全部转入当期损益</w:t>
      </w:r>
    </w:p>
    <w:p>
      <w:pPr>
        <w:spacing w:line="240" w:lineRule="auto" w:before="7"/>
        <w:rPr>
          <w:rFonts w:ascii="宋体" w:hAnsi="宋体" w:cs="宋体" w:eastAsia="宋体" w:hint="default"/>
          <w:sz w:val="22"/>
          <w:szCs w:val="22"/>
        </w:rPr>
      </w:pPr>
    </w:p>
    <w:p>
      <w:pPr>
        <w:pStyle w:val="Heading4"/>
        <w:spacing w:line="240" w:lineRule="auto"/>
        <w:ind w:right="982"/>
        <w:jc w:val="left"/>
        <w:rPr>
          <w:b w:val="0"/>
          <w:bCs w:val="0"/>
        </w:rPr>
      </w:pPr>
      <w:bookmarkStart w:name="24、职工薪酬" w:id="219"/>
      <w:bookmarkEnd w:id="21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短期薪酬的会计处理方法" w:id="220"/>
      <w:bookmarkEnd w:id="22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职工薪酬是本公司为获得职工提供的服务而给予的各种形式报酬以及其他相关支出，包括短期薪酬、离职后福利、辞退</w:t>
      </w:r>
      <w:r>
        <w:rPr/>
        <w:t> 福利和其他长期福利。</w:t>
      </w:r>
    </w:p>
    <w:p>
      <w:pPr>
        <w:pStyle w:val="BodyText"/>
        <w:spacing w:line="316" w:lineRule="auto" w:before="19"/>
        <w:ind w:right="1133" w:firstLine="360"/>
        <w:jc w:val="both"/>
      </w:pPr>
      <w:r>
        <w:rPr>
          <w:spacing w:val="-2"/>
        </w:rPr>
        <w:t>短期薪酬包括短期工资、奖金、津贴、补贴、职工福利费、住房公积金、工会经费和职工教育经费、医疗保险费、工伤</w:t>
      </w:r>
      <w:r>
        <w:rPr/>
        <w:t> </w:t>
      </w:r>
      <w:r>
        <w:rPr>
          <w:spacing w:val="-2"/>
        </w:rPr>
        <w:t>保险费、生育保险费、短期带薪缺勤、短期利润分享计划等。在职工提供服务的会计期间，将实际发生的应付的短期薪酬确</w:t>
      </w:r>
      <w:r>
        <w:rPr>
          <w:spacing w:val="-66"/>
        </w:rPr>
        <w:t> </w:t>
      </w:r>
      <w:r>
        <w:rPr>
          <w:spacing w:val="-66"/>
        </w:rPr>
      </w:r>
      <w:r>
        <w:rPr/>
        <w:t>认为负债，并按照受益对象按照权责发生制原则计入当期损益或相关资产成本。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2"/>
        <w:jc w:val="left"/>
        <w:rPr>
          <w:b w:val="0"/>
          <w:bCs w:val="0"/>
        </w:rPr>
      </w:pPr>
      <w:bookmarkStart w:name="（2）离职后福利的会计处理方法" w:id="221"/>
      <w:bookmarkEnd w:id="22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982" w:firstLine="360"/>
        <w:jc w:val="left"/>
      </w:pPr>
      <w:r>
        <w:rPr>
          <w:spacing w:val="-4"/>
        </w:rPr>
        <w:t>离职后福利主要包括基本养老保险费、企业年金等，按照公司承担的风险和义务，分类为设定提存计划、设定受益计划。</w:t>
      </w:r>
      <w:r>
        <w:rPr/>
        <w:t> </w:t>
      </w:r>
      <w:r>
        <w:rPr>
          <w:spacing w:val="-2"/>
        </w:rPr>
        <w:t>设定提存计划：在根据在资产负债表日为换取职工在会计期间提供的服务而向单独主体缴存的提存金确认为负债，并按照受</w:t>
      </w:r>
      <w:r>
        <w:rPr>
          <w:spacing w:val="-64"/>
        </w:rPr>
        <w:t> </w:t>
      </w:r>
      <w:r>
        <w:rPr>
          <w:spacing w:val="-64"/>
        </w:rPr>
      </w:r>
      <w:r>
        <w:rPr>
          <w:spacing w:val="-2"/>
        </w:rPr>
        <w:t>益对象计入当期损益或相关资产成本。设定受益计划：在半年和年度资产负债表日由独立精算师进行精算估值，以预期累积</w:t>
      </w:r>
      <w:r>
        <w:rPr>
          <w:spacing w:val="-65"/>
        </w:rPr>
        <w:t> </w:t>
      </w:r>
      <w:r>
        <w:rPr>
          <w:spacing w:val="-65"/>
        </w:rPr>
      </w:r>
      <w:r>
        <w:rPr>
          <w:spacing w:val="-4"/>
        </w:rPr>
        <w:t>福利单位法确定提供福利的成本。本集团设定受益计划导致的职工薪酬成本包括下列组成部分：（</w:t>
      </w:r>
      <w:r>
        <w:rPr>
          <w:rFonts w:ascii="Times New Roman" w:hAnsi="Times New Roman" w:cs="Times New Roman" w:eastAsia="Times New Roman" w:hint="default"/>
          <w:spacing w:val="-4"/>
        </w:rPr>
        <w:t>1</w:t>
      </w:r>
      <w:r>
        <w:rPr>
          <w:spacing w:val="-4"/>
        </w:rPr>
        <w:t>）服务成本，包括当期服</w:t>
      </w:r>
      <w:r>
        <w:rPr>
          <w:spacing w:val="-43"/>
        </w:rPr>
        <w:t> </w:t>
      </w:r>
      <w:r>
        <w:rPr>
          <w:spacing w:val="-43"/>
        </w:rPr>
      </w:r>
      <w:r>
        <w:rPr>
          <w:spacing w:val="-2"/>
        </w:rPr>
        <w:t>务成本、过去服务成本和结算利得或损失。其中，当期服务成本是指，职工当期提供服务所导致的设定受益义务现值的增加</w:t>
      </w:r>
      <w:r>
        <w:rPr>
          <w:spacing w:val="-66"/>
        </w:rPr>
        <w:t> </w:t>
      </w:r>
      <w:r>
        <w:rPr>
          <w:spacing w:val="-66"/>
        </w:rPr>
      </w:r>
      <w:r>
        <w:rPr>
          <w:spacing w:val="-4"/>
        </w:rPr>
        <w:t>额；过去服务成本是指，设定受益计划修改所导致的与以前期间职工服务相关的设定受益义务现值的增加或减少；（</w:t>
      </w:r>
      <w:r>
        <w:rPr>
          <w:rFonts w:ascii="Times New Roman" w:hAnsi="Times New Roman" w:cs="Times New Roman" w:eastAsia="Times New Roman" w:hint="default"/>
          <w:spacing w:val="-4"/>
        </w:rPr>
        <w:t>2</w:t>
      </w:r>
      <w:r>
        <w:rPr>
          <w:spacing w:val="-4"/>
        </w:rPr>
        <w:t>）设定</w:t>
      </w:r>
      <w:r>
        <w:rPr>
          <w:spacing w:val="-43"/>
        </w:rPr>
        <w:t> </w:t>
      </w:r>
      <w:r>
        <w:rPr>
          <w:spacing w:val="-43"/>
        </w:rPr>
      </w:r>
      <w:r>
        <w:rPr>
          <w:spacing w:val="-4"/>
        </w:rPr>
        <w:t>受益义务的利息费用；（</w:t>
      </w:r>
      <w:r>
        <w:rPr>
          <w:rFonts w:ascii="Times New Roman" w:hAnsi="Times New Roman" w:cs="Times New Roman" w:eastAsia="Times New Roman" w:hint="default"/>
          <w:spacing w:val="-4"/>
        </w:rPr>
        <w:t>3</w:t>
      </w:r>
      <w:r>
        <w:rPr>
          <w:spacing w:val="-4"/>
        </w:rPr>
        <w:t>）重新计量设定受益计划负债导致的变动。除非其他会计准则要求或允许职工福利成本计入资产成</w:t>
      </w:r>
      <w:r>
        <w:rPr>
          <w:spacing w:val="-44"/>
        </w:rPr>
        <w:t> </w:t>
      </w:r>
      <w:r>
        <w:rPr>
          <w:spacing w:val="-44"/>
        </w:rPr>
      </w:r>
      <w:r>
        <w:rPr/>
        <w:t>本，本公司将上述第</w:t>
      </w:r>
      <w:r>
        <w:rPr>
          <w:rFonts w:ascii="Times New Roman" w:hAnsi="Times New Roman" w:cs="Times New Roman" w:eastAsia="Times New Roman" w:hint="default"/>
        </w:rPr>
        <w:t>(1)</w:t>
      </w:r>
      <w:r>
        <w:rPr/>
        <w:t>和</w:t>
      </w:r>
      <w:r>
        <w:rPr>
          <w:rFonts w:ascii="Times New Roman" w:hAnsi="Times New Roman" w:cs="Times New Roman" w:eastAsia="Times New Roman" w:hint="default"/>
        </w:rPr>
        <w:t>(2)</w:t>
      </w:r>
      <w:r>
        <w:rPr/>
        <w:t>项计入当期损益；第</w:t>
      </w:r>
      <w:r>
        <w:rPr>
          <w:rFonts w:ascii="Times New Roman" w:hAnsi="Times New Roman" w:cs="Times New Roman" w:eastAsia="Times New Roman" w:hint="default"/>
        </w:rPr>
        <w:t>(3)</w:t>
      </w:r>
      <w:r>
        <w:rPr/>
        <w:t>项计入其他综合收益且不会在后续会计期间转回至损益。</w:t>
      </w:r>
    </w:p>
    <w:p>
      <w:pPr>
        <w:spacing w:after="0" w:line="309"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2"/>
        <w:jc w:val="left"/>
        <w:rPr>
          <w:b w:val="0"/>
          <w:bCs w:val="0"/>
        </w:rPr>
      </w:pPr>
      <w:bookmarkStart w:name="（3）辞退福利的会计处理方法" w:id="222"/>
      <w:bookmarkEnd w:id="22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本公司在职工劳动合同到期之前解除与职工的劳动关系，或者为鼓励职工自愿接受裁减而提出给予补偿的建议，在同时</w:t>
      </w:r>
      <w:r>
        <w:rPr/>
        <w:t> </w:t>
      </w:r>
      <w:r>
        <w:rPr>
          <w:spacing w:val="-2"/>
        </w:rPr>
        <w:t>满足下列条件时，确认因解除与职工的劳动关系给予补偿而产生的预计负债，同时计入当期损益：本公司已经制定正式的解</w:t>
      </w:r>
      <w:r>
        <w:rPr>
          <w:spacing w:val="-66"/>
        </w:rPr>
        <w:t> </w:t>
      </w:r>
      <w:r>
        <w:rPr>
          <w:spacing w:val="-66"/>
        </w:rPr>
      </w:r>
      <w:r>
        <w:rPr>
          <w:spacing w:val="-2"/>
        </w:rPr>
        <w:t>除劳动关系计划或提出自愿裁减建议，并即将实施；本公司不能单方面撤回解除劳动关系计划或裁减建议。职工内部退休计</w:t>
      </w:r>
      <w:r>
        <w:rPr>
          <w:spacing w:val="-66"/>
        </w:rPr>
        <w:t> </w:t>
      </w:r>
      <w:r>
        <w:rPr>
          <w:spacing w:val="-66"/>
        </w:rPr>
      </w:r>
      <w:r>
        <w:rPr>
          <w:spacing w:val="-2"/>
        </w:rPr>
        <w:t>划采用上述辞退福利相同的原则处理。本公司将自职工停止提供服务日至正常退休日的期间拟支付的内退人员工资和缴纳的</w:t>
      </w:r>
      <w:r>
        <w:rPr>
          <w:spacing w:val="-63"/>
        </w:rPr>
        <w:t> </w:t>
      </w:r>
      <w:r>
        <w:rPr>
          <w:spacing w:val="-63"/>
        </w:rPr>
      </w:r>
      <w:r>
        <w:rPr/>
        <w:t>社会保险费等，在符合预计负债确认条件时，计入当期损益。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982"/>
        <w:jc w:val="left"/>
        <w:rPr>
          <w:b w:val="0"/>
          <w:bCs w:val="0"/>
        </w:rPr>
      </w:pPr>
      <w:bookmarkStart w:name="（4）其他长期职工福利的会计处理方法" w:id="223"/>
      <w:bookmarkEnd w:id="22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25、预计负债" w:id="224"/>
      <w:bookmarkEnd w:id="22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4" w:right="982"/>
        <w:jc w:val="left"/>
      </w:pPr>
      <w:r>
        <w:rPr>
          <w:rFonts w:ascii="Times New Roman" w:hAnsi="Times New Roman" w:cs="Times New Roman" w:eastAsia="Times New Roman" w:hint="default"/>
        </w:rPr>
        <w:t>1</w:t>
      </w:r>
      <w:r>
        <w:rPr/>
        <w:t>、预计负债的确认标准 </w:t>
      </w:r>
      <w:r>
        <w:rPr>
          <w:spacing w:val="-2"/>
        </w:rPr>
        <w:t>当与或有事项相关的义务是本公司承担的现时义务，且履行该义务很可能导致经济利益流出，同时其金额能够可靠地计</w:t>
      </w:r>
    </w:p>
    <w:p>
      <w:pPr>
        <w:pStyle w:val="BodyText"/>
        <w:spacing w:line="240" w:lineRule="auto" w:before="31"/>
        <w:ind w:right="982"/>
        <w:jc w:val="left"/>
      </w:pPr>
      <w:r>
        <w:rPr/>
        <w:t>量时确认该义务为预计负债。</w:t>
      </w:r>
    </w:p>
    <w:p>
      <w:pPr>
        <w:pStyle w:val="BodyText"/>
        <w:spacing w:line="300" w:lineRule="auto" w:before="76"/>
        <w:ind w:left="474" w:right="982"/>
        <w:jc w:val="left"/>
      </w:pPr>
      <w:r>
        <w:rPr>
          <w:rFonts w:ascii="Times New Roman" w:hAnsi="Times New Roman" w:cs="Times New Roman" w:eastAsia="Times New Roman" w:hint="default"/>
        </w:rPr>
        <w:t>2</w:t>
      </w:r>
      <w:r>
        <w:rPr/>
        <w:t>、预计负债的计量方法 </w:t>
      </w:r>
      <w:r>
        <w:rPr>
          <w:spacing w:val="-2"/>
        </w:rPr>
        <w:t>本公司预计负债按照履行相关现时义务所需支出的最佳估计数进行初始计量，如所需支出存在一个连续范围，且该范围</w:t>
      </w:r>
    </w:p>
    <w:p>
      <w:pPr>
        <w:pStyle w:val="BodyText"/>
        <w:spacing w:line="316" w:lineRule="auto" w:before="31"/>
        <w:ind w:right="982"/>
        <w:jc w:val="left"/>
      </w:pPr>
      <w:r>
        <w:rPr>
          <w:spacing w:val="-2"/>
        </w:rPr>
        <w:t>内各种结果发生的可能性相同，最佳估计数按照该范围内的中间值确定；如涉及多个项目，按照各种可能结果及相关概率计</w:t>
      </w:r>
      <w:r>
        <w:rPr>
          <w:spacing w:val="-66"/>
        </w:rPr>
        <w:t> </w:t>
      </w:r>
      <w:r>
        <w:rPr>
          <w:spacing w:val="-66"/>
        </w:rPr>
      </w:r>
      <w:r>
        <w:rPr/>
        <w:t>算确定最佳估计数。</w:t>
      </w:r>
    </w:p>
    <w:p>
      <w:pPr>
        <w:pStyle w:val="BodyText"/>
        <w:spacing w:line="316" w:lineRule="auto" w:before="19"/>
        <w:ind w:right="1132" w:firstLine="360"/>
        <w:jc w:val="both"/>
      </w:pPr>
      <w:r>
        <w:rPr>
          <w:spacing w:val="-2"/>
        </w:rPr>
        <w:t>本公司于资产负债表日对预计负债账面价值进行复核，有确凿证据表明该账面价值不能真实反映当前最佳估计数，按照</w:t>
      </w:r>
      <w:r>
        <w:rPr/>
        <w:t> 当前最佳估计数对该账面价值进行调整。</w:t>
      </w:r>
    </w:p>
    <w:p>
      <w:pPr>
        <w:pStyle w:val="BodyText"/>
        <w:spacing w:line="316" w:lineRule="auto" w:before="19"/>
        <w:ind w:right="1133"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2"/>
        <w:jc w:val="left"/>
        <w:rPr>
          <w:b w:val="0"/>
          <w:bCs w:val="0"/>
        </w:rPr>
      </w:pPr>
      <w:bookmarkStart w:name="26、股份支付" w:id="225"/>
      <w:bookmarkEnd w:id="22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982"/>
        <w:jc w:val="left"/>
      </w:pPr>
      <w:r>
        <w:rPr/>
        <w:t>公司的股份支付分为以权益结算的股份支付和以现金结算的股份支付。</w:t>
      </w:r>
    </w:p>
    <w:p>
      <w:pPr>
        <w:pStyle w:val="BodyText"/>
        <w:spacing w:line="300" w:lineRule="auto" w:before="76"/>
        <w:ind w:left="474" w:right="982"/>
        <w:jc w:val="left"/>
      </w:pPr>
      <w:r>
        <w:rPr>
          <w:rFonts w:ascii="Times New Roman" w:hAnsi="Times New Roman" w:cs="Times New Roman" w:eastAsia="Times New Roman" w:hint="default"/>
        </w:rPr>
        <w:t>1</w:t>
      </w:r>
      <w:r>
        <w:rPr/>
        <w:t>、权益工具公允价值的确定 </w:t>
      </w:r>
      <w:r>
        <w:rPr>
          <w:spacing w:val="-2"/>
        </w:rPr>
        <w:t>以权益结算的股份支付，以授予职工权益工具的公允价值计量。以现金结算的股份支付，按照公司承担的以股份或其他</w:t>
      </w:r>
    </w:p>
    <w:p>
      <w:pPr>
        <w:pStyle w:val="BodyText"/>
        <w:spacing w:line="316" w:lineRule="auto" w:before="31"/>
        <w:ind w:left="474" w:right="982" w:hanging="360"/>
        <w:jc w:val="left"/>
      </w:pPr>
      <w:r>
        <w:rPr/>
        <w:t>权益工具为基础计算确定的负债的公允价值计量。 </w:t>
      </w:r>
      <w:r>
        <w:rPr>
          <w:spacing w:val="-2"/>
        </w:rPr>
        <w:t>对于授予的存在活跃市场的期权等权益工具，按照活跃市场中的报价确定其公允价值。对于授予的不存在活跃市场的期</w:t>
      </w:r>
    </w:p>
    <w:p>
      <w:pPr>
        <w:pStyle w:val="BodyText"/>
        <w:spacing w:line="316" w:lineRule="auto" w:before="19"/>
        <w:ind w:left="474" w:right="982" w:hanging="360"/>
        <w:jc w:val="left"/>
      </w:pPr>
      <w:r>
        <w:rPr/>
        <w:t>权等权益工具，采用期权定价模型等确定其公允价值，选用的期权定价模型考虑以下因素： </w:t>
      </w:r>
      <w:r>
        <w:rPr>
          <w:spacing w:val="-2"/>
        </w:rPr>
        <w:t>期权的行权价格、期权的有效期、标的股份的现行价格、股价预计波动率、股份的预计股利、期权有效期内的无风险利</w:t>
      </w:r>
    </w:p>
    <w:p>
      <w:pPr>
        <w:pStyle w:val="BodyText"/>
        <w:spacing w:line="240" w:lineRule="auto" w:before="19"/>
        <w:ind w:right="982"/>
        <w:jc w:val="left"/>
      </w:pPr>
      <w:r>
        <w:rPr/>
        <w:t>率。</w:t>
      </w:r>
    </w:p>
    <w:p>
      <w:pPr>
        <w:pStyle w:val="BodyText"/>
        <w:spacing w:line="240" w:lineRule="auto" w:before="76"/>
        <w:ind w:left="474" w:right="982"/>
        <w:jc w:val="left"/>
      </w:pPr>
      <w:r>
        <w:rPr>
          <w:rFonts w:ascii="Times New Roman" w:hAnsi="Times New Roman" w:cs="Times New Roman" w:eastAsia="Times New Roman" w:hint="default"/>
        </w:rPr>
        <w:t>2</w:t>
      </w:r>
      <w:r>
        <w:rPr/>
        <w:t>、以权益工具结算的股份支付会计处理</w:t>
      </w:r>
    </w:p>
    <w:p>
      <w:pPr>
        <w:pStyle w:val="BodyText"/>
        <w:spacing w:line="300" w:lineRule="auto" w:before="63"/>
        <w:ind w:right="1141" w:firstLine="360"/>
        <w:jc w:val="both"/>
      </w:pPr>
      <w:r>
        <w:rPr/>
        <w:t>（</w:t>
      </w:r>
      <w:r>
        <w:rPr>
          <w:rFonts w:ascii="Times New Roman" w:hAnsi="Times New Roman" w:cs="Times New Roman" w:eastAsia="Times New Roman" w:hint="default"/>
        </w:rPr>
        <w:t>1</w:t>
      </w:r>
      <w:r>
        <w:rPr/>
        <w:t>）授予后立即可行权的以权益结算的股份支付，在授予日以权益工具的公允价值计入相关成本或费用，相应增加资 本公积。</w:t>
      </w:r>
    </w:p>
    <w:p>
      <w:pPr>
        <w:pStyle w:val="BodyText"/>
        <w:spacing w:line="240" w:lineRule="auto" w:before="31"/>
        <w:ind w:left="474" w:right="982"/>
        <w:jc w:val="left"/>
      </w:pPr>
      <w:r>
        <w:rPr/>
        <w:t>授予日，是指股份支付协议获得批准的日期。</w:t>
      </w:r>
    </w:p>
    <w:p>
      <w:pPr>
        <w:pStyle w:val="BodyText"/>
        <w:spacing w:line="309" w:lineRule="auto" w:before="77"/>
        <w:ind w:right="1133" w:firstLine="360"/>
        <w:jc w:val="both"/>
      </w:pPr>
      <w:r>
        <w:rPr/>
        <w:t>（</w:t>
      </w:r>
      <w:r>
        <w:rPr>
          <w:rFonts w:ascii="Times New Roman" w:hAnsi="Times New Roman" w:cs="Times New Roman" w:eastAsia="Times New Roman" w:hint="default"/>
        </w:rPr>
        <w:t>2</w:t>
      </w:r>
      <w:r>
        <w:rPr/>
        <w:t>）完成等待期内的服务或达到规定业绩条件才可行权的换取职工服务的以权益结算的股份支付，在等待期内的每个 </w:t>
      </w:r>
      <w:r>
        <w:rPr>
          <w:spacing w:val="-2"/>
        </w:rPr>
        <w:t>资产负债表日，以对可行权权益工具数量的最佳估计为基础，按照权益工具授予日的公允价值，将当期取得的服务计入相关</w:t>
      </w:r>
      <w:r>
        <w:rPr>
          <w:spacing w:val="-66"/>
        </w:rPr>
        <w:t> </w:t>
      </w:r>
      <w:r>
        <w:rPr>
          <w:spacing w:val="-66"/>
        </w:rPr>
      </w:r>
      <w:r>
        <w:rPr/>
        <w:t>成本或费用和资本公积，不确认后续公允价值变动。</w:t>
      </w:r>
    </w:p>
    <w:p>
      <w:pPr>
        <w:pStyle w:val="BodyText"/>
        <w:spacing w:line="316" w:lineRule="auto" w:before="24"/>
        <w:ind w:right="1132" w:firstLine="360"/>
        <w:jc w:val="both"/>
      </w:pPr>
      <w:r>
        <w:rPr>
          <w:spacing w:val="-2"/>
        </w:rPr>
        <w:t>等待期内每个资产负债表日，公司根据最新取得的可行权职工人数变动等后续信息作出最佳估计，修正预计可行权的权</w:t>
      </w:r>
      <w:r>
        <w:rPr/>
        <w:t> 益工具数量。在可行权日，最终预计可行权权益工具的数量与实际可行权工具的数量一致。</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right="1122" w:firstLine="360"/>
        <w:jc w:val="left"/>
      </w:pPr>
      <w:r>
        <w:rPr/>
        <w:t>（</w:t>
      </w:r>
      <w:r>
        <w:rPr>
          <w:rFonts w:ascii="Times New Roman" w:hAnsi="Times New Roman" w:cs="Times New Roman" w:eastAsia="Times New Roman" w:hint="default"/>
        </w:rPr>
        <w:t>3</w:t>
      </w:r>
      <w:r>
        <w:rPr/>
        <w:t>）对于权益结算的股份支付，在可行权日之后不再对已确认的成本费用和所有者权益总额进行调整。公司在行权日 根据行权情况，确认股本和股本溢价，同时结转等待期内确认的资本公积。</w:t>
      </w:r>
    </w:p>
    <w:p>
      <w:pPr>
        <w:pStyle w:val="BodyText"/>
        <w:spacing w:line="240" w:lineRule="auto" w:before="31"/>
        <w:ind w:left="474" w:right="982"/>
        <w:jc w:val="left"/>
      </w:pPr>
      <w:r>
        <w:rPr>
          <w:rFonts w:ascii="Times New Roman" w:hAnsi="Times New Roman" w:cs="Times New Roman" w:eastAsia="Times New Roman" w:hint="default"/>
        </w:rPr>
        <w:t>3</w:t>
      </w:r>
      <w:r>
        <w:rPr/>
        <w:t>、以现金结算的股份支付的会计处理</w:t>
      </w:r>
    </w:p>
    <w:p>
      <w:pPr>
        <w:pStyle w:val="BodyText"/>
        <w:spacing w:line="300" w:lineRule="auto" w:before="63"/>
        <w:ind w:right="1122" w:firstLine="360"/>
        <w:jc w:val="left"/>
      </w:pPr>
      <w:r>
        <w:rPr/>
        <w:t>（</w:t>
      </w:r>
      <w:r>
        <w:rPr>
          <w:rFonts w:ascii="Times New Roman" w:hAnsi="Times New Roman" w:cs="Times New Roman" w:eastAsia="Times New Roman" w:hint="default"/>
        </w:rPr>
        <w:t>1</w:t>
      </w:r>
      <w:r>
        <w:rPr/>
        <w:t>）授予后立即可行权的以现金结算的股份支付，在授予日以本公司承担负债的公允价值计入相关成本或费用，相应 增加应付职工薪酬。</w:t>
      </w:r>
    </w:p>
    <w:p>
      <w:pPr>
        <w:pStyle w:val="BodyText"/>
        <w:spacing w:line="309" w:lineRule="auto" w:before="31"/>
        <w:ind w:right="1133" w:firstLine="360"/>
        <w:jc w:val="both"/>
      </w:pPr>
      <w:r>
        <w:rPr/>
        <w:t>（</w:t>
      </w:r>
      <w:r>
        <w:rPr>
          <w:rFonts w:ascii="Times New Roman" w:hAnsi="Times New Roman" w:cs="Times New Roman" w:eastAsia="Times New Roman" w:hint="default"/>
        </w:rPr>
        <w:t>2</w:t>
      </w:r>
      <w:r>
        <w:rPr/>
        <w:t>）完成等待期内的服务或达到规定业绩条件以后才可行权的以现金结算的股份支付，在等待期内的每个资产负债表 </w:t>
      </w:r>
      <w:r>
        <w:rPr>
          <w:spacing w:val="-2"/>
        </w:rPr>
        <w:t>日，以对可行权情况的最佳估计为基础，按照公司承担负债的公允价值金额，将当期取得的服务计入成本或费用和相应的负</w:t>
      </w:r>
      <w:r>
        <w:rPr>
          <w:spacing w:val="-66"/>
        </w:rPr>
        <w:t> </w:t>
      </w:r>
      <w:r>
        <w:rPr>
          <w:spacing w:val="-66"/>
        </w:rPr>
      </w:r>
      <w:r>
        <w:rPr/>
        <w:t>债。</w:t>
      </w:r>
    </w:p>
    <w:p>
      <w:pPr>
        <w:pStyle w:val="BodyText"/>
        <w:spacing w:line="300" w:lineRule="auto" w:before="24"/>
        <w:ind w:right="1182" w:firstLine="360"/>
        <w:jc w:val="left"/>
      </w:pPr>
      <w:r>
        <w:rPr/>
        <w:t>（</w:t>
      </w:r>
      <w:r>
        <w:rPr>
          <w:rFonts w:ascii="Times New Roman" w:hAnsi="Times New Roman" w:cs="Times New Roman" w:eastAsia="Times New Roman" w:hint="default"/>
        </w:rPr>
        <w:t>3</w:t>
      </w:r>
      <w:r>
        <w:rPr/>
        <w:t>）对于现金结算的股份支付，公司在可行权日之后不再确认成本费用，负债</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公允价值的变动计入当 期损益</w:t>
      </w:r>
      <w:r>
        <w:rPr>
          <w:rFonts w:ascii="Times New Roman" w:hAnsi="Times New Roman" w:cs="Times New Roman" w:eastAsia="Times New Roman" w:hint="default"/>
        </w:rPr>
        <w:t>(</w:t>
      </w:r>
      <w:r>
        <w:rPr/>
        <w:t>公允价值变动损益</w:t>
      </w:r>
      <w:r>
        <w:rPr>
          <w:rFonts w:ascii="Times New Roman" w:hAnsi="Times New Roman" w:cs="Times New Roman" w:eastAsia="Times New Roman" w:hint="default"/>
        </w:rPr>
        <w:t>)</w:t>
      </w:r>
      <w:r>
        <w:rPr/>
        <w:t>。</w:t>
      </w:r>
    </w:p>
    <w:p>
      <w:pPr>
        <w:pStyle w:val="BodyText"/>
        <w:spacing w:line="300" w:lineRule="auto" w:before="13"/>
        <w:ind w:left="474" w:right="982"/>
        <w:jc w:val="left"/>
      </w:pPr>
      <w:r>
        <w:rPr>
          <w:rFonts w:ascii="Times New Roman" w:hAnsi="Times New Roman" w:cs="Times New Roman" w:eastAsia="Times New Roman" w:hint="default"/>
        </w:rPr>
        <w:t>4</w:t>
      </w:r>
      <w:r>
        <w:rPr/>
        <w:t>、股份支付计划的修改、终止 </w:t>
      </w:r>
      <w:r>
        <w:rPr>
          <w:spacing w:val="-2"/>
        </w:rPr>
        <w:t>无论已授予的权益工具的条款和条件如何修改，或者取消权益工具的授予或结算该权益工具，公司确认按照所授予的权</w:t>
      </w:r>
    </w:p>
    <w:p>
      <w:pPr>
        <w:pStyle w:val="BodyText"/>
        <w:spacing w:line="316" w:lineRule="auto" w:before="31"/>
        <w:ind w:right="982"/>
        <w:jc w:val="left"/>
      </w:pPr>
      <w:r>
        <w:rPr>
          <w:spacing w:val="-2"/>
        </w:rPr>
        <w:t>益工具在授予日的公允价值来计量获取的相应的服务，除非因不能满足权益工具的可行权条件（除市场条件外）而无法可行</w:t>
      </w:r>
      <w:r>
        <w:rPr>
          <w:spacing w:val="-66"/>
        </w:rPr>
        <w:t> </w:t>
      </w:r>
      <w:r>
        <w:rPr>
          <w:spacing w:val="-66"/>
        </w:rPr>
      </w:r>
      <w:r>
        <w:rPr/>
        <w:t>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2"/>
        <w:jc w:val="left"/>
        <w:rPr>
          <w:b w:val="0"/>
          <w:bCs w:val="0"/>
        </w:rPr>
      </w:pPr>
      <w:bookmarkStart w:name="27、优先股、永续债等其他金融工具" w:id="226"/>
      <w:bookmarkEnd w:id="22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4"/>
        </w:rPr>
        <w:t>本公司以所发行金融工具的分类为基础，确定该工具利息支出或股利分配等的会计处理。对于归类为债务工具的优先股、</w:t>
      </w:r>
      <w:r>
        <w:rPr/>
        <w:t> </w:t>
      </w:r>
      <w:r>
        <w:rPr>
          <w:spacing w:val="-2"/>
        </w:rPr>
        <w:t>永续债，按其公允价值扣除交易费用后的金额进行初始计量，并采用实际利率法按摊余成本进行后续计量，其利息支出或股</w:t>
      </w:r>
      <w:r>
        <w:rPr>
          <w:spacing w:val="-66"/>
        </w:rPr>
        <w:t> </w:t>
      </w:r>
      <w:r>
        <w:rPr>
          <w:spacing w:val="-66"/>
        </w:rPr>
      </w:r>
      <w:r>
        <w:rPr/>
        <w:t>利分配按照借款费用进行处理，其回购或赎回产生的利得或损失计入当期损益。</w:t>
      </w:r>
    </w:p>
    <w:p>
      <w:pPr>
        <w:pStyle w:val="BodyText"/>
        <w:spacing w:line="319" w:lineRule="auto" w:before="19"/>
        <w:ind w:right="982" w:firstLine="360"/>
        <w:jc w:val="left"/>
      </w:pPr>
      <w:r>
        <w:rPr>
          <w:spacing w:val="-2"/>
        </w:rPr>
        <w:t>对于归类为权益工具的优先股、永续债，在发行时收到的对价扣除交易费用后增加公司所有者权益，其利息支出或股利</w:t>
      </w:r>
      <w:r>
        <w:rPr/>
        <w:t> 分配按照利润分配进行处理，其回购或注销作为权益变动处理。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982"/>
        <w:jc w:val="left"/>
        <w:rPr>
          <w:b w:val="0"/>
          <w:bCs w:val="0"/>
        </w:rPr>
      </w:pPr>
      <w:bookmarkStart w:name="28、收入" w:id="227"/>
      <w:bookmarkEnd w:id="227"/>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982"/>
        <w:jc w:val="left"/>
      </w:pPr>
      <w:r>
        <w:rPr/>
        <w:t>土木工程建筑业</w:t>
      </w:r>
    </w:p>
    <w:p>
      <w:pPr>
        <w:pStyle w:val="BodyText"/>
        <w:spacing w:line="240" w:lineRule="auto" w:before="116"/>
        <w:ind w:right="982"/>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w:t>
      </w:r>
    </w:p>
    <w:p>
      <w:pPr>
        <w:pStyle w:val="BodyText"/>
        <w:spacing w:line="300" w:lineRule="auto" w:before="101"/>
        <w:ind w:left="474" w:right="6972"/>
        <w:jc w:val="left"/>
      </w:pPr>
      <w:r>
        <w:rPr>
          <w:rFonts w:ascii="Times New Roman" w:hAnsi="Times New Roman" w:cs="Times New Roman" w:eastAsia="Times New Roman" w:hint="default"/>
        </w:rPr>
        <w:t>1</w:t>
      </w:r>
      <w:r>
        <w:rPr/>
        <w:t>、确认销售商品收入的原则 在同时符合下列条件时确认销售商品收入：</w:t>
      </w:r>
    </w:p>
    <w:p>
      <w:pPr>
        <w:pStyle w:val="BodyText"/>
        <w:spacing w:line="240" w:lineRule="auto" w:before="31"/>
        <w:ind w:left="474" w:right="982"/>
        <w:jc w:val="left"/>
      </w:pPr>
      <w:r>
        <w:rPr/>
        <w:t>（</w:t>
      </w:r>
      <w:r>
        <w:rPr>
          <w:rFonts w:ascii="Times New Roman" w:hAnsi="Times New Roman" w:cs="Times New Roman" w:eastAsia="Times New Roman" w:hint="default"/>
        </w:rPr>
        <w:t>1</w:t>
      </w:r>
      <w:r>
        <w:rPr/>
        <w:t>）公司已将商品所有权上的主要风险和报酬转移给购货方；</w:t>
      </w:r>
    </w:p>
    <w:p>
      <w:pPr>
        <w:pStyle w:val="BodyText"/>
        <w:spacing w:line="240" w:lineRule="auto" w:before="63"/>
        <w:ind w:left="474" w:right="982"/>
        <w:jc w:val="left"/>
      </w:pPr>
      <w:r>
        <w:rPr/>
        <w:t>（</w:t>
      </w:r>
      <w:r>
        <w:rPr>
          <w:rFonts w:ascii="Times New Roman" w:hAnsi="Times New Roman" w:cs="Times New Roman" w:eastAsia="Times New Roman" w:hint="default"/>
        </w:rPr>
        <w:t>2</w:t>
      </w:r>
      <w:r>
        <w:rPr/>
        <w:t>）公司既没有保留通常与所有权相联系的继续管理权，也没有对已售出的商品实施有效控制；</w:t>
      </w:r>
    </w:p>
    <w:p>
      <w:pPr>
        <w:pStyle w:val="BodyText"/>
        <w:spacing w:line="240" w:lineRule="auto" w:before="63"/>
        <w:ind w:left="474" w:right="982"/>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left="474" w:right="982"/>
        <w:jc w:val="left"/>
      </w:pPr>
      <w:r>
        <w:rPr/>
        <w:t>（</w:t>
      </w:r>
      <w:r>
        <w:rPr>
          <w:rFonts w:ascii="Times New Roman" w:hAnsi="Times New Roman" w:cs="Times New Roman" w:eastAsia="Times New Roman" w:hint="default"/>
        </w:rPr>
        <w:t>4</w:t>
      </w:r>
      <w:r>
        <w:rPr/>
        <w:t>）相关的经济利益很可能流入企业；</w:t>
      </w:r>
    </w:p>
    <w:p>
      <w:pPr>
        <w:pStyle w:val="BodyText"/>
        <w:spacing w:line="240" w:lineRule="auto" w:before="63"/>
        <w:ind w:left="474" w:right="982"/>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300" w:lineRule="auto" w:before="63"/>
        <w:ind w:left="474" w:right="982"/>
        <w:jc w:val="left"/>
      </w:pPr>
      <w:r>
        <w:rPr>
          <w:rFonts w:ascii="Times New Roman" w:hAnsi="Times New Roman" w:cs="Times New Roman" w:eastAsia="Times New Roman" w:hint="default"/>
        </w:rPr>
        <w:t>2</w:t>
      </w:r>
      <w:r>
        <w:rPr/>
        <w:t>、提供劳务确认收入的原则 </w:t>
      </w:r>
      <w:r>
        <w:rPr>
          <w:spacing w:val="-2"/>
        </w:rPr>
        <w:t>在同一会计年度内开始并完成的劳务，在完成劳务时确认收入。如劳务的开始和完成分属不同的会计年度，在提供劳务</w:t>
      </w:r>
    </w:p>
    <w:p>
      <w:pPr>
        <w:pStyle w:val="BodyText"/>
        <w:spacing w:line="316" w:lineRule="auto" w:before="32"/>
        <w:ind w:right="982"/>
        <w:jc w:val="left"/>
      </w:pPr>
      <w:r>
        <w:rPr>
          <w:spacing w:val="-2"/>
        </w:rPr>
        <w:t>交易的结果能够可靠估计的情况下，在资产负债表日按完工百分比法确认相关的劳务收入。在同时符合下列条件时，劳务交</w:t>
      </w:r>
      <w:r>
        <w:rPr>
          <w:spacing w:val="-66"/>
        </w:rPr>
        <w:t> </w:t>
      </w:r>
      <w:r>
        <w:rPr>
          <w:spacing w:val="-66"/>
        </w:rPr>
      </w:r>
      <w:r>
        <w:rPr/>
        <w:t>易的结果能够可靠地计量：</w:t>
      </w:r>
    </w:p>
    <w:p>
      <w:pPr>
        <w:pStyle w:val="BodyText"/>
        <w:spacing w:line="240" w:lineRule="auto" w:before="19"/>
        <w:ind w:left="474" w:right="982"/>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left="474" w:right="982"/>
        <w:jc w:val="left"/>
      </w:pPr>
      <w:r>
        <w:rPr/>
        <w:t>（</w:t>
      </w:r>
      <w:r>
        <w:rPr>
          <w:rFonts w:ascii="Times New Roman" w:hAnsi="Times New Roman" w:cs="Times New Roman" w:eastAsia="Times New Roman" w:hint="default"/>
        </w:rPr>
        <w:t>2</w:t>
      </w:r>
      <w:r>
        <w:rPr/>
        <w:t>）相关的经济利益很可能流入企业；</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left="474" w:right="982"/>
        <w:jc w:val="left"/>
      </w:pPr>
      <w:r>
        <w:rPr/>
        <w:t>（</w:t>
      </w:r>
      <w:r>
        <w:rPr>
          <w:rFonts w:ascii="Times New Roman" w:hAnsi="Times New Roman" w:cs="Times New Roman" w:eastAsia="Times New Roman" w:hint="default"/>
        </w:rPr>
        <w:t>3</w:t>
      </w:r>
      <w:r>
        <w:rPr/>
        <w:t>）交易的完工进度能够可靠地确定；</w:t>
      </w:r>
    </w:p>
    <w:p>
      <w:pPr>
        <w:pStyle w:val="BodyText"/>
        <w:spacing w:line="300" w:lineRule="auto" w:before="63"/>
        <w:ind w:left="474" w:right="982"/>
        <w:jc w:val="left"/>
      </w:pPr>
      <w:r>
        <w:rPr/>
        <w:t>（</w:t>
      </w:r>
      <w:r>
        <w:rPr>
          <w:rFonts w:ascii="Times New Roman" w:hAnsi="Times New Roman" w:cs="Times New Roman" w:eastAsia="Times New Roman" w:hint="default"/>
        </w:rPr>
        <w:t>4</w:t>
      </w:r>
      <w:r>
        <w:rPr/>
        <w:t>）交易中已发生和将发生的成本能够可靠地计量。 </w:t>
      </w:r>
      <w:r>
        <w:rPr>
          <w:spacing w:val="-2"/>
        </w:rPr>
        <w:t>采用完工百分比法确认提供劳务的收入，按已经发生的成本占估计总成本的比例确定提供劳务交易的完工进度。提供劳</w:t>
      </w:r>
    </w:p>
    <w:p>
      <w:pPr>
        <w:pStyle w:val="BodyText"/>
        <w:spacing w:line="319" w:lineRule="auto" w:before="31"/>
        <w:ind w:right="1132"/>
        <w:jc w:val="both"/>
      </w:pPr>
      <w:r>
        <w:rPr>
          <w:spacing w:val="-2"/>
        </w:rPr>
        <w:t>务交易的结果在资产负债表日不能够可靠估计的，若已经发生的劳务成本预计能够得到补偿，按已经发生的劳务成本金额确</w:t>
      </w:r>
      <w:r>
        <w:rPr>
          <w:spacing w:val="-64"/>
        </w:rPr>
        <w:t> </w:t>
      </w:r>
      <w:r>
        <w:rPr>
          <w:spacing w:val="-64"/>
        </w:rPr>
      </w:r>
      <w:r>
        <w:rPr>
          <w:spacing w:val="-2"/>
        </w:rPr>
        <w:t>认提供劳务收入，并按相同金额结转劳务成本；若已经发生的劳务成本预计不能够得到补偿，将已经发生的劳务成本计入当</w:t>
      </w:r>
      <w:r>
        <w:rPr>
          <w:spacing w:val="-66"/>
        </w:rPr>
        <w:t> </w:t>
      </w:r>
      <w:r>
        <w:rPr>
          <w:spacing w:val="-66"/>
        </w:rPr>
      </w:r>
      <w:r>
        <w:rPr/>
        <w:t>期损益，不确认劳务收入。</w:t>
      </w:r>
    </w:p>
    <w:p>
      <w:pPr>
        <w:pStyle w:val="BodyText"/>
        <w:spacing w:line="240" w:lineRule="auto" w:before="17"/>
        <w:ind w:left="474" w:right="982"/>
        <w:jc w:val="left"/>
      </w:pPr>
      <w:r>
        <w:rPr>
          <w:rFonts w:ascii="Times New Roman" w:hAnsi="Times New Roman" w:cs="Times New Roman" w:eastAsia="Times New Roman" w:hint="default"/>
        </w:rPr>
        <w:t>3</w:t>
      </w:r>
      <w:r>
        <w:rPr/>
        <w:t>、让渡资产使用权确认收入的原则</w:t>
      </w:r>
    </w:p>
    <w:p>
      <w:pPr>
        <w:pStyle w:val="BodyText"/>
        <w:spacing w:line="240" w:lineRule="auto" w:before="63"/>
        <w:ind w:left="474" w:right="982"/>
        <w:jc w:val="left"/>
      </w:pPr>
      <w:r>
        <w:rPr/>
        <w:t>（</w:t>
      </w:r>
      <w:r>
        <w:rPr>
          <w:rFonts w:ascii="Times New Roman" w:hAnsi="Times New Roman" w:cs="Times New Roman" w:eastAsia="Times New Roman" w:hint="default"/>
        </w:rPr>
        <w:t>1</w:t>
      </w:r>
      <w:r>
        <w:rPr/>
        <w:t>）在同时满足以下条件时，确认让渡资产使用权收入：</w:t>
      </w:r>
    </w:p>
    <w:p>
      <w:pPr>
        <w:pStyle w:val="BodyText"/>
        <w:spacing w:line="240" w:lineRule="auto" w:before="63"/>
        <w:ind w:left="474" w:right="982"/>
        <w:jc w:val="left"/>
      </w:pPr>
      <w:r>
        <w:rPr/>
        <w:t>①相关的经济利益很可能流入企业；</w:t>
      </w:r>
    </w:p>
    <w:p>
      <w:pPr>
        <w:pStyle w:val="BodyText"/>
        <w:spacing w:line="240" w:lineRule="auto" w:before="76"/>
        <w:ind w:left="474" w:right="982"/>
        <w:jc w:val="left"/>
      </w:pPr>
      <w:r>
        <w:rPr/>
        <w:t>②收入金额能够可靠地计量。</w:t>
      </w:r>
    </w:p>
    <w:p>
      <w:pPr>
        <w:pStyle w:val="BodyText"/>
        <w:spacing w:line="240" w:lineRule="auto" w:before="76"/>
        <w:ind w:left="474" w:right="982"/>
        <w:jc w:val="left"/>
      </w:pPr>
      <w:r>
        <w:rPr/>
        <w:t>（</w:t>
      </w:r>
      <w:r>
        <w:rPr>
          <w:rFonts w:ascii="Times New Roman" w:hAnsi="Times New Roman" w:cs="Times New Roman" w:eastAsia="Times New Roman" w:hint="default"/>
        </w:rPr>
        <w:t>2</w:t>
      </w:r>
      <w:r>
        <w:rPr/>
        <w:t>）让渡资产使用权收入确认依据</w:t>
      </w:r>
    </w:p>
    <w:p>
      <w:pPr>
        <w:pStyle w:val="BodyText"/>
        <w:spacing w:line="240" w:lineRule="auto" w:before="63"/>
        <w:ind w:left="474" w:right="982"/>
        <w:jc w:val="left"/>
      </w:pPr>
      <w:r>
        <w:rPr/>
        <w:t>①利息收入金额，按照他人使用本公司货币资金的时间和实际利率计算确定；</w:t>
      </w:r>
    </w:p>
    <w:p>
      <w:pPr>
        <w:pStyle w:val="BodyText"/>
        <w:spacing w:line="240" w:lineRule="auto" w:before="76"/>
        <w:ind w:left="474" w:right="982"/>
        <w:jc w:val="left"/>
      </w:pPr>
      <w:r>
        <w:rPr/>
        <w:t>②使用费收入金额，按照有关合同或协议约定的收费时间和方法计算确定。</w:t>
      </w:r>
    </w:p>
    <w:p>
      <w:pPr>
        <w:pStyle w:val="BodyText"/>
        <w:spacing w:line="240" w:lineRule="auto" w:before="76"/>
        <w:ind w:left="474" w:right="982"/>
        <w:jc w:val="left"/>
      </w:pPr>
      <w:r>
        <w:rPr>
          <w:rFonts w:ascii="Times New Roman" w:hAnsi="Times New Roman" w:cs="Times New Roman" w:eastAsia="Times New Roman" w:hint="default"/>
        </w:rPr>
        <w:t>4</w:t>
      </w:r>
      <w:r>
        <w:rPr/>
        <w:t>、建造合同</w:t>
      </w:r>
    </w:p>
    <w:p>
      <w:pPr>
        <w:pStyle w:val="BodyText"/>
        <w:spacing w:line="314" w:lineRule="auto" w:before="63"/>
        <w:ind w:right="1131" w:firstLine="360"/>
        <w:jc w:val="both"/>
      </w:pPr>
      <w:r>
        <w:rPr/>
        <w:t>（</w:t>
      </w:r>
      <w:r>
        <w:rPr>
          <w:rFonts w:ascii="Times New Roman" w:hAnsi="Times New Roman" w:cs="Times New Roman" w:eastAsia="Times New Roman" w:hint="default"/>
        </w:rPr>
        <w:t>1</w:t>
      </w:r>
      <w:r>
        <w:rPr/>
        <w:t>）建造合同的结果在资产负债表日能够可靠估计的，根据完工百分比法确认合同收入和合同费用。本公司根据累计 </w:t>
      </w:r>
      <w:r>
        <w:rPr>
          <w:spacing w:val="-2"/>
        </w:rPr>
        <w:t>实际发生的合同成本占合同预计总成本的比例确认完工百分比。对于当期未完成的施工合同，在资产负债表日，按照合同总</w:t>
      </w:r>
      <w:r>
        <w:rPr>
          <w:spacing w:val="-66"/>
        </w:rPr>
        <w:t> </w:t>
      </w:r>
      <w:r>
        <w:rPr>
          <w:spacing w:val="-66"/>
        </w:rPr>
      </w:r>
      <w:r>
        <w:rPr>
          <w:spacing w:val="-2"/>
        </w:rPr>
        <w:t>收入乘以完工进度扣除以前年度已确认的收入，作为当期合同收入；同时按照合同预计总成本乘以完工进度扣除以前年度已</w:t>
      </w:r>
      <w:r>
        <w:rPr>
          <w:spacing w:val="-64"/>
        </w:rPr>
        <w:t> </w:t>
      </w:r>
      <w:r>
        <w:rPr>
          <w:spacing w:val="-64"/>
        </w:rPr>
      </w:r>
      <w:r>
        <w:rPr>
          <w:spacing w:val="-2"/>
        </w:rPr>
        <w:t>确认的成本，作为当期合同成本；对于当期完成的建造合同，按照实际合同总收入扣除以前年度已确认的收入，作为当期合</w:t>
      </w:r>
      <w:r>
        <w:rPr>
          <w:spacing w:val="-66"/>
        </w:rPr>
        <w:t> </w:t>
      </w:r>
      <w:r>
        <w:rPr>
          <w:spacing w:val="-66"/>
        </w:rPr>
      </w:r>
      <w:r>
        <w:rPr/>
        <w:t>同收入；同时按照累计实际发生总成本和扣除以前年度已确认的成本，作为当期合同成本。</w:t>
      </w:r>
    </w:p>
    <w:p>
      <w:pPr>
        <w:pStyle w:val="BodyText"/>
        <w:spacing w:line="316" w:lineRule="auto" w:before="20"/>
        <w:ind w:right="1130" w:firstLine="360"/>
        <w:jc w:val="both"/>
      </w:pPr>
      <w:r>
        <w:rPr>
          <w:spacing w:val="-2"/>
        </w:rPr>
        <w:t>建造合同的结果在资产负债表日不能够可靠估计的，若合同成本能够收回的，合同收入根据能够收回的实际合同成本予</w:t>
      </w:r>
      <w:r>
        <w:rPr/>
        <w:t> </w:t>
      </w:r>
      <w:r>
        <w:rPr>
          <w:spacing w:val="-2"/>
        </w:rPr>
        <w:t>以确认，合同成本在其发生的当期确认为合同费用；若合同成本不可能收回的，在发生时立即确认为合同费用，不确认合同</w:t>
      </w:r>
      <w:r>
        <w:rPr>
          <w:spacing w:val="-66"/>
        </w:rPr>
        <w:t> </w:t>
      </w:r>
      <w:r>
        <w:rPr>
          <w:spacing w:val="-66"/>
        </w:rPr>
      </w:r>
      <w:r>
        <w:rPr/>
        <w:t>收入。</w:t>
      </w:r>
    </w:p>
    <w:p>
      <w:pPr>
        <w:pStyle w:val="BodyText"/>
        <w:spacing w:line="312" w:lineRule="auto" w:before="19"/>
        <w:ind w:right="982" w:firstLine="360"/>
        <w:jc w:val="left"/>
      </w:pPr>
      <w:r>
        <w:rPr/>
        <w:t>（</w:t>
      </w:r>
      <w:r>
        <w:rPr>
          <w:rFonts w:ascii="Times New Roman" w:hAnsi="Times New Roman" w:cs="Times New Roman" w:eastAsia="Times New Roman" w:hint="default"/>
        </w:rPr>
        <w:t>2</w:t>
      </w:r>
      <w:r>
        <w:rPr/>
        <w:t>）</w:t>
      </w:r>
      <w:r>
        <w:rPr>
          <w:spacing w:val="-50"/>
        </w:rPr>
        <w:t> </w:t>
      </w:r>
      <w:r>
        <w:rPr/>
        <w:t>固定造价合同同时满足下列条件表明其结果能够可靠估计：合同总收入能够可靠计量、与合同相关的经济利益很</w:t>
      </w:r>
      <w:r>
        <w:rPr/>
        <w:t> </w:t>
      </w:r>
      <w:r>
        <w:rPr>
          <w:spacing w:val="-4"/>
        </w:rPr>
        <w:t>可能流入、实际发生的合同成本能够清楚地区分和可靠地计量、合同完工进度和为完成合同尚需发生的成本能够可靠地计量。</w:t>
      </w:r>
      <w:r>
        <w:rPr>
          <w:spacing w:val="-44"/>
        </w:rPr>
        <w:t> </w:t>
      </w:r>
      <w:r>
        <w:rPr>
          <w:spacing w:val="-44"/>
        </w:rPr>
      </w:r>
      <w:r>
        <w:rPr>
          <w:spacing w:val="-2"/>
        </w:rPr>
        <w:t>成本加成合同同时满足下列条件表明其结果能够可靠估计：与合同相关的经济利益很可能流入、实际发生的合同成本能够清</w:t>
      </w:r>
      <w:r>
        <w:rPr>
          <w:spacing w:val="-64"/>
        </w:rPr>
        <w:t> </w:t>
      </w:r>
      <w:r>
        <w:rPr>
          <w:spacing w:val="-64"/>
        </w:rPr>
      </w:r>
      <w:r>
        <w:rPr/>
        <w:t>楚地区分和可靠地计量。</w:t>
      </w:r>
    </w:p>
    <w:p>
      <w:pPr>
        <w:pStyle w:val="BodyText"/>
        <w:spacing w:line="300" w:lineRule="auto" w:before="22"/>
        <w:ind w:right="1122" w:firstLine="360"/>
        <w:jc w:val="left"/>
      </w:pPr>
      <w:r>
        <w:rPr/>
        <w:t>（</w:t>
      </w:r>
      <w:r>
        <w:rPr>
          <w:rFonts w:ascii="Times New Roman" w:hAnsi="Times New Roman" w:cs="Times New Roman" w:eastAsia="Times New Roman" w:hint="default"/>
        </w:rPr>
        <w:t>4</w:t>
      </w:r>
      <w:r>
        <w:rPr/>
        <w:t>）资产负债表日，合同预计总成本超过合同总收入的，将预计损失确认为当期费用。执行中的建造合同，按其差额 计提存货跌价准备；待执行的亏损合同，按其差额确认预计负债。</w:t>
      </w:r>
    </w:p>
    <w:p>
      <w:pPr>
        <w:pStyle w:val="BodyText"/>
        <w:spacing w:line="240" w:lineRule="auto" w:before="31"/>
        <w:ind w:left="474" w:right="982"/>
        <w:jc w:val="left"/>
      </w:pPr>
      <w:r>
        <w:rPr>
          <w:rFonts w:ascii="Times New Roman" w:hAnsi="Times New Roman" w:cs="Times New Roman" w:eastAsia="Times New Roman" w:hint="default"/>
        </w:rPr>
        <w:t>5</w:t>
      </w:r>
      <w:r>
        <w:rPr/>
        <w:t>、 收入确认的具体方法</w:t>
      </w:r>
    </w:p>
    <w:p>
      <w:pPr>
        <w:pStyle w:val="BodyText"/>
        <w:spacing w:line="300" w:lineRule="auto" w:before="63"/>
        <w:ind w:right="1122" w:firstLine="360"/>
        <w:jc w:val="left"/>
      </w:pPr>
      <w:r>
        <w:rPr/>
        <w:t>（</w:t>
      </w:r>
      <w:r>
        <w:rPr>
          <w:rFonts w:ascii="Times New Roman" w:hAnsi="Times New Roman" w:cs="Times New Roman" w:eastAsia="Times New Roman" w:hint="default"/>
        </w:rPr>
        <w:t>1</w:t>
      </w:r>
      <w:r>
        <w:rPr/>
        <w:t>）内销铝盖、塑料盖、铝塑结合盖等包装产品按照协议或合同将产品交付客户，客户按合同或协议约定确认收货， 产品价格经双方确认，公司开具销售发票后，确认收入的实现。</w:t>
      </w:r>
    </w:p>
    <w:p>
      <w:pPr>
        <w:pStyle w:val="BodyText"/>
        <w:spacing w:line="300" w:lineRule="auto" w:before="31"/>
        <w:ind w:right="1118" w:firstLine="360"/>
        <w:jc w:val="left"/>
      </w:pPr>
      <w:r>
        <w:rPr/>
        <w:t>（</w:t>
      </w:r>
      <w:r>
        <w:rPr>
          <w:rFonts w:ascii="Times New Roman" w:hAnsi="Times New Roman" w:cs="Times New Roman" w:eastAsia="Times New Roman" w:hint="default"/>
        </w:rPr>
        <w:t>2</w:t>
      </w:r>
      <w:r>
        <w:rPr/>
        <w:t>）外销铝盖、塑料盖、铝塑结合盖等包装产品在销售定价交易模式为</w:t>
      </w:r>
      <w:r>
        <w:rPr>
          <w:spacing w:val="-59"/>
        </w:rPr>
        <w:t> </w:t>
      </w:r>
      <w:r>
        <w:rPr>
          <w:rFonts w:ascii="Times New Roman" w:hAnsi="Times New Roman" w:cs="Times New Roman" w:eastAsia="Times New Roman" w:hint="default"/>
        </w:rPr>
        <w:t>FOB</w:t>
      </w:r>
      <w:r>
        <w:rPr>
          <w:rFonts w:ascii="Times New Roman" w:hAnsi="Times New Roman" w:cs="Times New Roman" w:eastAsia="Times New Roman" w:hint="default"/>
          <w:spacing w:val="-14"/>
        </w:rPr>
        <w:t> </w:t>
      </w:r>
      <w:r>
        <w:rPr/>
        <w:t>和</w:t>
      </w:r>
      <w:r>
        <w:rPr>
          <w:spacing w:val="-59"/>
        </w:rPr>
        <w:t> </w:t>
      </w:r>
      <w:r>
        <w:rPr>
          <w:rFonts w:ascii="Times New Roman" w:hAnsi="Times New Roman" w:cs="Times New Roman" w:eastAsia="Times New Roman" w:hint="default"/>
        </w:rPr>
        <w:t>CFR</w:t>
      </w:r>
      <w:r>
        <w:rPr>
          <w:rFonts w:ascii="Times New Roman" w:hAnsi="Times New Roman" w:cs="Times New Roman" w:eastAsia="Times New Roman" w:hint="default"/>
          <w:spacing w:val="-14"/>
        </w:rPr>
        <w:t> </w:t>
      </w:r>
      <w:r>
        <w:rPr/>
        <w:t>方式下</w:t>
      </w:r>
      <w:r>
        <w:rPr>
          <w:rFonts w:ascii="Times New Roman" w:hAnsi="Times New Roman" w:cs="Times New Roman" w:eastAsia="Times New Roman" w:hint="default"/>
        </w:rPr>
        <w:t>,</w:t>
      </w:r>
      <w:r>
        <w:rPr/>
        <w:t>公司以货物装船</w:t>
      </w:r>
      <w:r>
        <w:rPr>
          <w:rFonts w:ascii="Times New Roman" w:hAnsi="Times New Roman" w:cs="Times New Roman" w:eastAsia="Times New Roman" w:hint="default"/>
        </w:rPr>
        <w:t>,</w:t>
      </w:r>
      <w:r>
        <w:rPr/>
        <w:t>报关出口 手续完成后确认收入的实现；在销售定价交易模式为</w:t>
      </w:r>
      <w:r>
        <w:rPr>
          <w:spacing w:val="-46"/>
        </w:rPr>
        <w:t> </w:t>
      </w:r>
      <w:r>
        <w:rPr>
          <w:rFonts w:ascii="Times New Roman" w:hAnsi="Times New Roman" w:cs="Times New Roman" w:eastAsia="Times New Roman" w:hint="default"/>
        </w:rPr>
        <w:t>CIF</w:t>
      </w:r>
      <w:r>
        <w:rPr>
          <w:rFonts w:ascii="Times New Roman" w:hAnsi="Times New Roman" w:cs="Times New Roman" w:eastAsia="Times New Roman" w:hint="default"/>
          <w:spacing w:val="-2"/>
        </w:rPr>
        <w:t> </w:t>
      </w:r>
      <w:r>
        <w:rPr/>
        <w:t>方式下，公司以货物报关出口并交付提单确认收入的实现。</w:t>
      </w:r>
    </w:p>
    <w:p>
      <w:pPr>
        <w:pStyle w:val="BodyText"/>
        <w:spacing w:line="300" w:lineRule="auto" w:before="13"/>
        <w:ind w:right="1122" w:firstLine="360"/>
        <w:jc w:val="left"/>
      </w:pPr>
      <w:r>
        <w:rPr/>
        <w:t>（</w:t>
      </w:r>
      <w:r>
        <w:rPr>
          <w:rFonts w:ascii="Times New Roman" w:hAnsi="Times New Roman" w:cs="Times New Roman" w:eastAsia="Times New Roman" w:hint="default"/>
        </w:rPr>
        <w:t>3</w:t>
      </w:r>
      <w:r>
        <w:rPr/>
        <w:t>）园林建造施工收入按照完工百分比法确认合同收入和合同费用，完工百分比为累计发生的实际合同成本占合同预 计总成本的比例。</w:t>
      </w:r>
    </w:p>
    <w:p>
      <w:pPr>
        <w:pStyle w:val="BodyText"/>
        <w:spacing w:line="300" w:lineRule="auto" w:before="31"/>
        <w:ind w:right="1121" w:firstLine="360"/>
        <w:jc w:val="left"/>
      </w:pPr>
      <w:r>
        <w:rPr/>
        <w:t>（</w:t>
      </w:r>
      <w:r>
        <w:rPr>
          <w:rFonts w:ascii="Times New Roman" w:hAnsi="Times New Roman" w:cs="Times New Roman" w:eastAsia="Times New Roman" w:hint="default"/>
        </w:rPr>
        <w:t>4</w:t>
      </w:r>
      <w:r>
        <w:rPr/>
        <w:t>）</w:t>
      </w:r>
      <w:r>
        <w:rPr>
          <w:spacing w:val="9"/>
        </w:rPr>
        <w:t> </w:t>
      </w:r>
      <w:r>
        <w:rPr>
          <w:spacing w:val="-2"/>
        </w:rPr>
        <w:t>销售苗木收入确认时点为苗木销售合同或订单已经签订，按合约苗木已经销售出库，购货方确定收到苗木并无退</w:t>
      </w:r>
      <w:r>
        <w:rPr/>
        <w:t> 货风险。</w:t>
      </w:r>
    </w:p>
    <w:p>
      <w:pPr>
        <w:pStyle w:val="BodyText"/>
        <w:spacing w:line="300" w:lineRule="auto" w:before="31"/>
        <w:ind w:right="1122" w:firstLine="360"/>
        <w:jc w:val="left"/>
      </w:pPr>
      <w:r>
        <w:rPr/>
        <w:t>（</w:t>
      </w:r>
      <w:r>
        <w:rPr>
          <w:rFonts w:ascii="Times New Roman" w:hAnsi="Times New Roman" w:cs="Times New Roman" w:eastAsia="Times New Roman" w:hint="default"/>
        </w:rPr>
        <w:t>5</w:t>
      </w:r>
      <w:r>
        <w:rPr/>
        <w:t>）设计收入根据设计合同约定完工进度及应收设计进度款确认，设计收入确认时点为公司根据设计合同提供给客户 设计方案或图纸等资料时确认。</w:t>
      </w:r>
    </w:p>
    <w:p>
      <w:pPr>
        <w:pStyle w:val="BodyText"/>
        <w:spacing w:line="300" w:lineRule="auto" w:before="31"/>
        <w:ind w:right="1122" w:firstLine="360"/>
        <w:jc w:val="left"/>
      </w:pPr>
      <w:r>
        <w:rPr/>
        <w:t>（</w:t>
      </w:r>
      <w:r>
        <w:rPr>
          <w:rFonts w:ascii="Times New Roman" w:hAnsi="Times New Roman" w:cs="Times New Roman" w:eastAsia="Times New Roman" w:hint="default"/>
        </w:rPr>
        <w:t>6</w:t>
      </w:r>
      <w:r>
        <w:rPr/>
        <w:t>）养护收入以提供绿化养护劳务的结果是否可靠估计为标准分情况确认收入，根据提供绿化养护的工作量和合同约 定的价格确认。</w:t>
      </w:r>
    </w:p>
    <w:p>
      <w:pPr>
        <w:pStyle w:val="BodyText"/>
        <w:spacing w:line="240" w:lineRule="auto" w:before="31"/>
        <w:ind w:left="474" w:right="982"/>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项目核算方法</w:t>
      </w:r>
    </w:p>
    <w:p>
      <w:pPr>
        <w:pStyle w:val="BodyText"/>
        <w:spacing w:line="300" w:lineRule="auto" w:before="63"/>
        <w:ind w:right="982" w:firstLine="360"/>
        <w:jc w:val="left"/>
      </w:pPr>
      <w:r>
        <w:rPr/>
        <w:t>以</w:t>
      </w:r>
      <w:r>
        <w:rPr>
          <w:spacing w:val="-47"/>
        </w:rPr>
        <w:t> </w:t>
      </w:r>
      <w:r>
        <w:rPr>
          <w:rFonts w:ascii="Times New Roman" w:hAnsi="Times New Roman" w:cs="Times New Roman" w:eastAsia="Times New Roman" w:hint="default"/>
        </w:rPr>
        <w:t>BT</w:t>
      </w:r>
      <w:r>
        <w:rPr/>
        <w:t>（建造一移交）方式建设公共基础设施，即政府或代理公司与本公司签订工程投资建设回购协议，并授权本公司 </w:t>
      </w:r>
      <w:r>
        <w:rPr>
          <w:spacing w:val="-7"/>
        </w:rPr>
        <w:t>代理其实施投融资职能进行工程建设，工程完工后移交政府，政府根据协议在约定的期限内支付回购资金（包括投资补偿等）。</w:t>
      </w:r>
    </w:p>
    <w:p>
      <w:pPr>
        <w:spacing w:after="0" w:line="30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2" w:lineRule="auto" w:before="44"/>
        <w:ind w:right="1132" w:firstLine="360"/>
        <w:jc w:val="both"/>
      </w:pPr>
      <w:r>
        <w:rPr/>
        <w:t>具体核算时，本公司对同时提供建造服务的</w:t>
      </w:r>
      <w:r>
        <w:rPr>
          <w:spacing w:val="-49"/>
        </w:rPr>
        <w:t> </w:t>
      </w:r>
      <w:r>
        <w:rPr>
          <w:rFonts w:ascii="Times New Roman" w:hAnsi="Times New Roman" w:cs="Times New Roman" w:eastAsia="Times New Roman" w:hint="default"/>
        </w:rPr>
        <w:t>BT</w:t>
      </w:r>
      <w:r>
        <w:rPr>
          <w:rFonts w:ascii="Times New Roman" w:hAnsi="Times New Roman" w:cs="Times New Roman" w:eastAsia="Times New Roman" w:hint="default"/>
          <w:spacing w:val="-5"/>
        </w:rPr>
        <w:t> </w:t>
      </w:r>
      <w:r>
        <w:rPr/>
        <w:t>项目，建造期间，对于所提供的建造服务按《企业会计准则第</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建 </w:t>
      </w:r>
      <w:r>
        <w:rPr>
          <w:spacing w:val="-2"/>
        </w:rPr>
        <w:t>造合同》确认相关的收入和成本，同时确认“长期应收款”。工程完工并审定工程造价后，以审定结算金额作为回购基数，</w:t>
      </w:r>
      <w:r>
        <w:rPr>
          <w:spacing w:val="-72"/>
        </w:rPr>
        <w:t> </w:t>
      </w:r>
      <w:r>
        <w:rPr>
          <w:spacing w:val="-72"/>
        </w:rPr>
      </w:r>
      <w:r>
        <w:rPr>
          <w:spacing w:val="-2"/>
        </w:rPr>
        <w:t>回购基数确定后，根据回购基数和相应的利率确定回购款总额，回购款总额与回购基数之间的差额，采用实际利率法在回购</w:t>
      </w:r>
      <w:r>
        <w:rPr>
          <w:spacing w:val="-66"/>
        </w:rPr>
        <w:t> </w:t>
      </w:r>
      <w:r>
        <w:rPr>
          <w:spacing w:val="-66"/>
        </w:rPr>
      </w:r>
      <w:r>
        <w:rPr/>
        <w:t>期内分摊投资收益，实际利率根据回购款总额在回购期内的分期支付折现至回购基数计算确认。</w:t>
      </w:r>
    </w:p>
    <w:p>
      <w:pPr>
        <w:pStyle w:val="BodyText"/>
        <w:spacing w:line="316" w:lineRule="auto" w:before="23"/>
        <w:ind w:right="1133" w:firstLine="360"/>
        <w:jc w:val="both"/>
      </w:pPr>
      <w:r>
        <w:rPr>
          <w:spacing w:val="-2"/>
        </w:rPr>
        <w:t>对长期应收款，本公司单独进行减值测试，若有客观证据表明其发生了减值，根据未来现金流量现值低于其账面价值的</w:t>
      </w:r>
      <w:r>
        <w:rPr/>
        <w:t> 差额，确认为减值损失，计提坏账准备。</w:t>
      </w:r>
    </w:p>
    <w:p>
      <w:pPr>
        <w:pStyle w:val="BodyText"/>
        <w:spacing w:line="300" w:lineRule="auto" w:before="19"/>
        <w:ind w:left="474" w:right="982"/>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BOT</w:t>
      </w:r>
      <w:r>
        <w:rPr>
          <w:rFonts w:ascii="Times New Roman" w:hAnsi="Times New Roman" w:cs="Times New Roman" w:eastAsia="Times New Roman" w:hint="default"/>
          <w:spacing w:val="-1"/>
        </w:rPr>
        <w:t> </w:t>
      </w:r>
      <w:r>
        <w:rPr/>
        <w:t>项目核算方法 </w:t>
      </w:r>
      <w:r>
        <w:rPr>
          <w:spacing w:val="-2"/>
        </w:rPr>
        <w:t>建造期间，公司对于所提供的建造服务根据完工百分比法确认相关的收入和费用。基础设施建成后，作为无形资产，在</w:t>
      </w:r>
    </w:p>
    <w:p>
      <w:pPr>
        <w:pStyle w:val="BodyText"/>
        <w:spacing w:line="240" w:lineRule="auto" w:before="31"/>
        <w:ind w:right="0"/>
        <w:jc w:val="both"/>
      </w:pPr>
      <w:r>
        <w:rPr/>
        <w:t>合同规定的营运期以直线法摊销。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29、政府补助" w:id="228"/>
      <w:bookmarkEnd w:id="22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4" w:right="1136"/>
        <w:jc w:val="left"/>
      </w:pPr>
      <w:r>
        <w:rPr>
          <w:rFonts w:ascii="Times New Roman" w:hAnsi="Times New Roman" w:cs="Times New Roman" w:eastAsia="Times New Roman" w:hint="default"/>
        </w:rPr>
        <w:t>1</w:t>
      </w:r>
      <w:r>
        <w:rPr/>
        <w:t>、政府补助类型 </w:t>
      </w:r>
      <w:r>
        <w:rPr>
          <w:spacing w:val="-2"/>
        </w:rPr>
        <w:t>政府补助是指本公司从政府无偿取得的货币性资产或非货币性资产（但不包括政府作为所有者投入的资本），主要划分</w:t>
      </w:r>
    </w:p>
    <w:p>
      <w:pPr>
        <w:pStyle w:val="BodyText"/>
        <w:spacing w:line="240" w:lineRule="auto" w:before="31"/>
        <w:ind w:right="0"/>
        <w:jc w:val="both"/>
      </w:pPr>
      <w:r>
        <w:rPr/>
        <w:t>为与资产相关的政府补助和与收益相关的政府补助两种类型。</w:t>
      </w:r>
    </w:p>
    <w:p>
      <w:pPr>
        <w:pStyle w:val="BodyText"/>
        <w:spacing w:line="300" w:lineRule="auto" w:before="76"/>
        <w:ind w:left="474" w:right="982"/>
        <w:jc w:val="left"/>
      </w:pPr>
      <w:r>
        <w:rPr>
          <w:rFonts w:ascii="Times New Roman" w:hAnsi="Times New Roman" w:cs="Times New Roman" w:eastAsia="Times New Roman" w:hint="default"/>
        </w:rPr>
        <w:t>2</w:t>
      </w:r>
      <w:r>
        <w:rPr/>
        <w:t>、与资产相关的政府补助的会计处理方法 </w:t>
      </w:r>
      <w:r>
        <w:rPr>
          <w:spacing w:val="-2"/>
        </w:rPr>
        <w:t>与资产相关的政府补助，是指本公司取得的、用于购建或以其他方式形成长期资产的政府补助。本公司对与资产相关的</w:t>
      </w:r>
    </w:p>
    <w:p>
      <w:pPr>
        <w:pStyle w:val="BodyText"/>
        <w:spacing w:line="316" w:lineRule="auto" w:before="31"/>
        <w:ind w:right="982"/>
        <w:jc w:val="left"/>
      </w:pPr>
      <w:r>
        <w:rPr>
          <w:spacing w:val="-2"/>
        </w:rPr>
        <w:t>政府补助，冲减相关资产账面价值或确认为递延收益。确认为递延收益的，在相关资产使用寿命内按照合理、系统的方法分</w:t>
      </w:r>
      <w:r>
        <w:rPr>
          <w:spacing w:val="-66"/>
        </w:rPr>
        <w:t> </w:t>
      </w:r>
      <w:r>
        <w:rPr>
          <w:spacing w:val="-66"/>
        </w:rPr>
      </w:r>
      <w:r>
        <w:rPr>
          <w:spacing w:val="-2"/>
        </w:rPr>
        <w:t>期计入当期损益（与本公司日常活动相关的，计入其他收益；与本公司日常活动无关的，计入营业外收入）；</w:t>
      </w:r>
    </w:p>
    <w:p>
      <w:pPr>
        <w:pStyle w:val="BodyText"/>
        <w:spacing w:line="300" w:lineRule="auto" w:before="19"/>
        <w:ind w:left="474" w:right="982"/>
        <w:jc w:val="left"/>
      </w:pPr>
      <w:r>
        <w:rPr>
          <w:rFonts w:ascii="Times New Roman" w:hAnsi="Times New Roman" w:cs="Times New Roman" w:eastAsia="Times New Roman" w:hint="default"/>
        </w:rPr>
        <w:t>3</w:t>
      </w:r>
      <w:r>
        <w:rPr/>
        <w:t>、与收益相关的政府补助的会计处理方法 </w:t>
      </w:r>
      <w:r>
        <w:rPr>
          <w:spacing w:val="-4"/>
        </w:rPr>
        <w:t>与收益相关的政府补助，是指本公司取得的除与资产相关的政府补助之外的政府补助。本公司对与收益相关的政府补助，</w:t>
      </w:r>
    </w:p>
    <w:p>
      <w:pPr>
        <w:pStyle w:val="BodyText"/>
        <w:spacing w:line="240" w:lineRule="auto" w:before="32"/>
        <w:ind w:right="0"/>
        <w:jc w:val="both"/>
      </w:pPr>
      <w:r>
        <w:rPr/>
        <w:t>用于补偿本公司以后期间的相关成本费用或损失的，确认为递延收益，并在确认相关成本费用或损失的期间，计入当期损益</w:t>
      </w:r>
    </w:p>
    <w:p>
      <w:pPr>
        <w:pStyle w:val="BodyText"/>
        <w:spacing w:line="316" w:lineRule="auto" w:before="76"/>
        <w:ind w:right="1131"/>
        <w:jc w:val="both"/>
      </w:pPr>
      <w:r>
        <w:rPr>
          <w:spacing w:val="-2"/>
        </w:rPr>
        <w:t>（与本公司日常活动相关的，计入其他收益；与本公司日常活动无关的，计入营业外收入）或冲减相关成本费用或损失；用</w:t>
      </w:r>
      <w:r>
        <w:rPr>
          <w:spacing w:val="-66"/>
        </w:rPr>
        <w:t> </w:t>
      </w:r>
      <w:r>
        <w:rPr>
          <w:spacing w:val="-66"/>
        </w:rPr>
      </w:r>
      <w:r>
        <w:rPr>
          <w:spacing w:val="-2"/>
        </w:rPr>
        <w:t>于补偿本公司已发生的相关成本费用或损失的，直接计入当期损益（与本公司日常活动相关的，计入其他收益；与本公司日</w:t>
      </w:r>
      <w:r>
        <w:rPr>
          <w:spacing w:val="-66"/>
        </w:rPr>
        <w:t> </w:t>
      </w:r>
      <w:r>
        <w:rPr>
          <w:spacing w:val="-66"/>
        </w:rPr>
      </w:r>
      <w:r>
        <w:rPr/>
        <w:t>常活动无关的，计入营业外收入）或冲减相关成本费用或损失。</w:t>
      </w:r>
    </w:p>
    <w:p>
      <w:pPr>
        <w:pStyle w:val="BodyText"/>
        <w:spacing w:line="240" w:lineRule="auto" w:before="19"/>
        <w:ind w:left="474" w:right="982"/>
        <w:jc w:val="left"/>
      </w:pPr>
      <w:r>
        <w:rPr/>
        <w:t>本公司取得的政策性优惠贷款贴息，区分以下两种情况，分别进行会计处理：</w:t>
      </w:r>
    </w:p>
    <w:p>
      <w:pPr>
        <w:pStyle w:val="BodyText"/>
        <w:spacing w:line="300" w:lineRule="auto" w:before="76"/>
        <w:ind w:right="1141" w:firstLine="360"/>
        <w:jc w:val="both"/>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309" w:lineRule="auto" w:before="31"/>
        <w:ind w:left="474" w:right="982"/>
        <w:jc w:val="left"/>
      </w:pPr>
      <w:r>
        <w:rPr/>
        <w:t>（</w:t>
      </w:r>
      <w:r>
        <w:rPr>
          <w:rFonts w:ascii="Times New Roman" w:hAnsi="Times New Roman" w:cs="Times New Roman" w:eastAsia="Times New Roman" w:hint="default"/>
        </w:rPr>
        <w:t>2</w:t>
      </w:r>
      <w:r>
        <w:rPr/>
        <w:t>）财政将贴息资金直接拨付给本公司的，本公司将对应的贴息冲减相关借款费用。 </w:t>
      </w:r>
      <w:r>
        <w:rPr>
          <w:rFonts w:ascii="Times New Roman" w:hAnsi="Times New Roman" w:cs="Times New Roman" w:eastAsia="Times New Roman" w:hint="default"/>
        </w:rPr>
        <w:t>4</w:t>
      </w:r>
      <w:r>
        <w:rPr/>
        <w:t>、区分与资产相关政府补助和与收益相关政府补助的具体标准 企业取得的政府补助，用于补助长期资产购置、建造等直接相关支出，为与资产相关的政府补助。 企业取得的政府补助，用于补助补偿的期间费用或损失的，为与收益相关的政府补助。 </w:t>
      </w:r>
      <w:r>
        <w:rPr>
          <w:spacing w:val="-2"/>
        </w:rPr>
        <w:t>企业取得的综合性项目补助，依据批准文件或申请文件将其划分为与资产相关的政府补助和与收益相关的政府补助。难</w:t>
      </w:r>
    </w:p>
    <w:p>
      <w:pPr>
        <w:pStyle w:val="BodyText"/>
        <w:spacing w:line="240" w:lineRule="auto" w:before="24"/>
        <w:ind w:right="0"/>
        <w:jc w:val="both"/>
      </w:pPr>
      <w:r>
        <w:rPr/>
        <w:t>以区分的，将政府补助整体归类为与收益相关的政府补助。</w:t>
      </w:r>
    </w:p>
    <w:p>
      <w:pPr>
        <w:pStyle w:val="BodyText"/>
        <w:spacing w:line="300" w:lineRule="auto" w:before="76"/>
        <w:ind w:left="474" w:right="982"/>
        <w:jc w:val="left"/>
      </w:pPr>
      <w:r>
        <w:rPr>
          <w:rFonts w:ascii="Times New Roman" w:hAnsi="Times New Roman" w:cs="Times New Roman" w:eastAsia="Times New Roman" w:hint="default"/>
        </w:rPr>
        <w:t>5</w:t>
      </w:r>
      <w:r>
        <w:rPr/>
        <w:t>、政府补助的确认时点 </w:t>
      </w:r>
      <w:r>
        <w:rPr>
          <w:spacing w:val="-2"/>
        </w:rPr>
        <w:t>公司取得的政府补助，一般在收到时确认，除非在期末有确凿证据表明能够符合财政扶持政策规定的相关条件且预计能</w:t>
      </w:r>
    </w:p>
    <w:p>
      <w:pPr>
        <w:pStyle w:val="BodyText"/>
        <w:spacing w:line="240" w:lineRule="auto" w:before="31"/>
        <w:ind w:right="0"/>
        <w:jc w:val="both"/>
      </w:pPr>
      <w:r>
        <w:rPr/>
        <w:t>够收到财政扶持资金时，可以按应收金额计量确认。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30、递延所得税资产/递延所得税负债" w:id="229"/>
      <w:bookmarkEnd w:id="22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41" w:firstLine="360"/>
        <w:jc w:val="both"/>
      </w:pPr>
      <w:r>
        <w:rPr>
          <w:rFonts w:ascii="Times New Roman" w:hAnsi="Times New Roman" w:cs="Times New Roman" w:eastAsia="Times New Roman" w:hint="default"/>
        </w:rPr>
        <w:t>1</w:t>
      </w:r>
      <w:r>
        <w:rPr/>
        <w:t>、公司根据资产、负债的账面价值与其计税基础之间的差额（未作为资产和负债确认的项目按照税法规定可以确定其 </w:t>
      </w:r>
      <w:r>
        <w:rPr>
          <w:spacing w:val="-2"/>
        </w:rPr>
        <w:t>计税基础的，该计税基础与其账面数之间的差额），按照预期收回该资产或清偿该负债期间的适用税率计算确认递延所得税</w:t>
      </w:r>
      <w:r>
        <w:rPr>
          <w:spacing w:val="-72"/>
        </w:rPr>
        <w:t> </w:t>
      </w:r>
      <w:r>
        <w:rPr>
          <w:spacing w:val="-72"/>
        </w:rPr>
      </w:r>
      <w:r>
        <w:rPr/>
        <w:t>资产或递延所得税负债。</w:t>
      </w:r>
    </w:p>
    <w:p>
      <w:pPr>
        <w:spacing w:after="0" w:line="309"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right="1122" w:firstLine="360"/>
        <w:jc w:val="left"/>
      </w:pPr>
      <w:r>
        <w:rPr>
          <w:rFonts w:ascii="Times New Roman" w:hAnsi="Times New Roman" w:cs="Times New Roman" w:eastAsia="Times New Roman" w:hint="default"/>
        </w:rPr>
        <w:t>2</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9" w:lineRule="auto" w:before="31"/>
        <w:ind w:right="1132" w:firstLine="360"/>
        <w:jc w:val="both"/>
      </w:pPr>
      <w:r>
        <w:rPr>
          <w:rFonts w:ascii="Times New Roman" w:hAnsi="Times New Roman" w:cs="Times New Roman" w:eastAsia="Times New Roman" w:hint="default"/>
        </w:rPr>
        <w:t>3</w:t>
      </w:r>
      <w:r>
        <w:rPr/>
        <w:t>、资产负债表日，对已确认的递延所得税资产账面价值进行复核，如果未来期间很可能无法获得足够的应纳税所得额 </w:t>
      </w:r>
      <w:r>
        <w:rPr>
          <w:spacing w:val="-2"/>
        </w:rPr>
        <w:t>用以抵扣递延所得税资产时，则减记递延所得税资产的账面价值。在很可能获得足够的应纳税所得额时，减记的金额予以转</w:t>
      </w:r>
      <w:r>
        <w:rPr>
          <w:spacing w:val="-66"/>
        </w:rPr>
        <w:t> </w:t>
      </w:r>
      <w:r>
        <w:rPr>
          <w:spacing w:val="-66"/>
        </w:rPr>
      </w:r>
      <w:r>
        <w:rPr/>
        <w:t>回。公司未来期间很可能获得足够的应纳税所得额的金额是依据管理层批准的经营计划（或盈利预测）确定。</w:t>
      </w:r>
    </w:p>
    <w:p>
      <w:pPr>
        <w:pStyle w:val="BodyText"/>
        <w:spacing w:line="240" w:lineRule="auto" w:before="24"/>
        <w:ind w:left="474" w:right="982"/>
        <w:jc w:val="left"/>
      </w:pPr>
      <w:r>
        <w:rPr>
          <w:rFonts w:ascii="Times New Roman" w:hAnsi="Times New Roman" w:cs="Times New Roman" w:eastAsia="Times New Roman" w:hint="default"/>
        </w:rPr>
        <w:t>4</w:t>
      </w:r>
      <w:r>
        <w:rPr/>
        <w:t>、公司当期所得税和递延所得税作为所得税费用或收益计入当期损益，但不包括下列情况产生的所得税：</w:t>
      </w:r>
    </w:p>
    <w:p>
      <w:pPr>
        <w:pStyle w:val="BodyText"/>
        <w:spacing w:line="240" w:lineRule="auto" w:before="63"/>
        <w:ind w:left="474" w:right="982"/>
        <w:jc w:val="left"/>
      </w:pPr>
      <w:r>
        <w:rPr/>
        <w:t>（</w:t>
      </w:r>
      <w:r>
        <w:rPr>
          <w:rFonts w:ascii="Times New Roman" w:hAnsi="Times New Roman" w:cs="Times New Roman" w:eastAsia="Times New Roman" w:hint="default"/>
        </w:rPr>
        <w:t>1</w:t>
      </w:r>
      <w:r>
        <w:rPr/>
        <w:t>）企业合并；</w:t>
      </w:r>
    </w:p>
    <w:p>
      <w:pPr>
        <w:pStyle w:val="BodyText"/>
        <w:spacing w:line="240" w:lineRule="auto" w:before="63"/>
        <w:ind w:left="474" w:right="982"/>
        <w:jc w:val="left"/>
      </w:pPr>
      <w:r>
        <w:rPr/>
        <w:t>（</w:t>
      </w:r>
      <w:r>
        <w:rPr>
          <w:rFonts w:ascii="Times New Roman" w:hAnsi="Times New Roman" w:cs="Times New Roman" w:eastAsia="Times New Roman" w:hint="default"/>
        </w:rPr>
        <w:t>2</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982"/>
        <w:jc w:val="left"/>
        <w:rPr>
          <w:b w:val="0"/>
          <w:bCs w:val="0"/>
        </w:rPr>
      </w:pPr>
      <w:bookmarkStart w:name="31、租赁" w:id="230"/>
      <w:bookmarkEnd w:id="230"/>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经营租赁的会计处理方法" w:id="231"/>
      <w:bookmarkEnd w:id="23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82" w:firstLine="360"/>
        <w:jc w:val="left"/>
      </w:pPr>
      <w:r>
        <w:rPr>
          <w:rFonts w:ascii="Times New Roman" w:hAnsi="Times New Roman" w:cs="Times New Roman" w:eastAsia="Times New Roman" w:hint="default"/>
          <w:spacing w:val="-2"/>
        </w:rPr>
        <w:t>1</w:t>
      </w:r>
      <w:r>
        <w:rPr>
          <w:spacing w:val="-2"/>
        </w:rPr>
        <w:t>）对于经营租赁的租金，承租人（公司）在租赁期内各个期间按照直线法确认为当期损益；其他方法更为系统合理的，</w:t>
      </w:r>
      <w:r>
        <w:rPr/>
        <w:t> 可以采用其他方法。</w:t>
      </w:r>
    </w:p>
    <w:p>
      <w:pPr>
        <w:pStyle w:val="BodyText"/>
        <w:spacing w:line="240" w:lineRule="auto" w:before="31"/>
        <w:ind w:left="474" w:right="982"/>
        <w:jc w:val="left"/>
      </w:pPr>
      <w:r>
        <w:rPr/>
        <w:t>承租人（公司）发生的初始直接费用，计入当期损益。或有租金在实际发生时计入当期损益。</w:t>
      </w:r>
    </w:p>
    <w:p>
      <w:pPr>
        <w:pStyle w:val="BodyText"/>
        <w:spacing w:line="300" w:lineRule="auto" w:before="76"/>
        <w:ind w:right="982" w:firstLine="360"/>
        <w:jc w:val="left"/>
      </w:pPr>
      <w:r>
        <w:rPr>
          <w:rFonts w:ascii="Times New Roman" w:hAnsi="Times New Roman" w:cs="Times New Roman" w:eastAsia="Times New Roman" w:hint="default"/>
          <w:spacing w:val="-2"/>
        </w:rPr>
        <w:t>2</w:t>
      </w:r>
      <w:r>
        <w:rPr>
          <w:spacing w:val="-2"/>
        </w:rPr>
        <w:t>）对于经营租赁的租金，出租人（公司）在租赁期内各个期间按照直线法确认为当期损益；其他方法更为系统合理的，</w:t>
      </w:r>
      <w:r>
        <w:rPr/>
        <w:t> 可以采用其他方法。</w:t>
      </w:r>
    </w:p>
    <w:p>
      <w:pPr>
        <w:pStyle w:val="BodyText"/>
        <w:spacing w:line="316" w:lineRule="auto" w:before="31"/>
        <w:ind w:left="474" w:right="982"/>
        <w:jc w:val="left"/>
      </w:pPr>
      <w:r>
        <w:rPr/>
        <w:t>出租人（公司）发生的初始直接费用，计入当期损益。 </w:t>
      </w:r>
      <w:r>
        <w:rPr>
          <w:spacing w:val="-2"/>
        </w:rPr>
        <w:t>对于经营租赁资产中的固定资产，出租人（公司）采用类似资产的折旧政策计提折旧；对于其它经营租赁资产，采用系</w:t>
      </w:r>
    </w:p>
    <w:p>
      <w:pPr>
        <w:pStyle w:val="BodyText"/>
        <w:spacing w:line="319" w:lineRule="auto" w:before="19"/>
        <w:ind w:left="474" w:right="6072" w:hanging="360"/>
        <w:jc w:val="left"/>
      </w:pPr>
      <w:r>
        <w:rPr/>
        <w:t>统合理的方法进行摊销。 出租人（公司）或有租金在实际发生时计入当期损益。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982"/>
        <w:jc w:val="left"/>
        <w:rPr>
          <w:b w:val="0"/>
          <w:bCs w:val="0"/>
        </w:rPr>
      </w:pPr>
      <w:bookmarkStart w:name="（2）融资租赁的会计处理方法" w:id="232"/>
      <w:bookmarkEnd w:id="23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firstLine="360"/>
        <w:jc w:val="left"/>
      </w:pPr>
      <w:r>
        <w:rPr>
          <w:rFonts w:ascii="Times New Roman" w:hAnsi="Times New Roman" w:cs="Times New Roman" w:eastAsia="Times New Roman" w:hint="default"/>
        </w:rPr>
        <w:t>1</w:t>
      </w:r>
      <w:r>
        <w:rPr/>
        <w:t>）在租赁期开始日，承租人（公司）将租赁开始日租赁资产公允价值与最低租赁付款额现值两者中较低者作为租入资 产的入账价值，将最低租赁付款额作为长期应付款的入账价值，其差额作为未确认融资费用。</w:t>
      </w:r>
    </w:p>
    <w:p>
      <w:pPr>
        <w:pStyle w:val="BodyText"/>
        <w:spacing w:line="300" w:lineRule="auto" w:before="31"/>
        <w:ind w:right="982" w:firstLine="360"/>
        <w:jc w:val="left"/>
      </w:pPr>
      <w:r>
        <w:rPr>
          <w:rFonts w:ascii="Times New Roman" w:hAnsi="Times New Roman" w:cs="Times New Roman" w:eastAsia="Times New Roman" w:hint="default"/>
        </w:rPr>
        <w:t>2</w:t>
      </w:r>
      <w:r>
        <w:rPr/>
        <w:t>）在租赁期开始日，出租人（公司）将租赁开始日最低租赁收款额与初始直接费用之和作为应收融资租赁款的入账价 </w:t>
      </w:r>
      <w:r>
        <w:rPr>
          <w:spacing w:val="-4"/>
        </w:rPr>
        <w:t>值，同时记录未担保余值；将最低租赁收款额、初始直接费用及未担保余值之和与其现值之和的差额确认为未实现融资收益。</w:t>
      </w:r>
    </w:p>
    <w:p>
      <w:pPr>
        <w:pStyle w:val="BodyText"/>
        <w:spacing w:line="316" w:lineRule="auto" w:before="31"/>
        <w:ind w:right="982" w:firstLine="360"/>
        <w:jc w:val="left"/>
      </w:pPr>
      <w:r>
        <w:rPr>
          <w:spacing w:val="-2"/>
        </w:rPr>
        <w:t>融资租入的固定资产按同类固定资产的折旧政策采用直线法计提折旧。对能够合理确定租赁期届满时取得租入资产所有</w:t>
      </w:r>
      <w:r>
        <w:rPr/>
        <w:t> 权的租入资产在使用寿命内计提折旧。否则，租赁资产在租赁期与租赁资产使用寿命两者中较短的期间内计提折旧。</w:t>
      </w:r>
    </w:p>
    <w:p>
      <w:pPr>
        <w:pStyle w:val="BodyText"/>
        <w:spacing w:line="316" w:lineRule="auto" w:before="19"/>
        <w:ind w:left="474" w:right="982"/>
        <w:jc w:val="left"/>
      </w:pPr>
      <w:r>
        <w:rPr/>
        <w:t>本公司对未确认融资费用采用实际利率法在租赁期内各个期间进行分摊，并按照借款费用的原则处理。 </w:t>
      </w:r>
      <w:r>
        <w:rPr>
          <w:spacing w:val="-2"/>
        </w:rPr>
        <w:t>资产负债表日，本公司将与融资租赁相关的长期应付款减去未确认融资费用的差额，分别以长期负债和一年内到期的长</w:t>
      </w:r>
    </w:p>
    <w:p>
      <w:pPr>
        <w:pStyle w:val="BodyText"/>
        <w:spacing w:line="240" w:lineRule="auto" w:before="19"/>
        <w:ind w:right="982"/>
        <w:jc w:val="left"/>
      </w:pPr>
      <w:r>
        <w:rPr/>
        <w:t>期负债列示。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82"/>
        <w:jc w:val="left"/>
        <w:rPr>
          <w:b w:val="0"/>
          <w:bCs w:val="0"/>
        </w:rPr>
      </w:pPr>
      <w:bookmarkStart w:name="32、其他重要的会计政策和会计估计" w:id="233"/>
      <w:bookmarkEnd w:id="23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33、重要会计政策和会计估计变更" w:id="234"/>
      <w:bookmarkEnd w:id="23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重要会计政策变更" w:id="235"/>
      <w:bookmarkEnd w:id="23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after="0" w:line="240"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6"/>
              <w:jc w:val="left"/>
              <w:rPr>
                <w:rFonts w:ascii="宋体" w:hAnsi="宋体" w:cs="宋体" w:eastAsia="宋体" w:hint="default"/>
                <w:sz w:val="18"/>
                <w:szCs w:val="18"/>
              </w:rPr>
            </w:pPr>
            <w:r>
              <w:rPr>
                <w:rFonts w:ascii="宋体" w:hAnsi="宋体" w:cs="宋体" w:eastAsia="宋体" w:hint="default"/>
                <w:sz w:val="18"/>
                <w:szCs w:val="18"/>
              </w:rPr>
              <w:t>企业会计准则的变化引起的会计政策 变更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1"/>
          <w:szCs w:val="21"/>
        </w:rPr>
      </w:pPr>
    </w:p>
    <w:p>
      <w:pPr>
        <w:pStyle w:val="BodyText"/>
        <w:spacing w:line="314" w:lineRule="auto" w:before="44"/>
        <w:ind w:right="1032" w:firstLine="360"/>
        <w:jc w:val="left"/>
      </w:pPr>
      <w:r>
        <w:rPr/>
        <w:t>本公司编制 </w:t>
      </w:r>
      <w:r>
        <w:rPr>
          <w:rFonts w:ascii="Times New Roman" w:hAnsi="Times New Roman" w:cs="Times New Roman" w:eastAsia="Times New Roman" w:hint="default"/>
        </w:rPr>
        <w:t>2018 </w:t>
      </w:r>
      <w:r>
        <w:rPr>
          <w:spacing w:val="-2"/>
        </w:rPr>
        <w:t>年度报表执行财政部发布《关于修订印发</w:t>
      </w:r>
      <w:r>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spacing w:val="-6"/>
        </w:rPr>
        <w:t>年度一般企业财务报表格式的通知》（财会（</w:t>
      </w:r>
      <w:r>
        <w:rPr>
          <w:rFonts w:ascii="Times New Roman" w:hAnsi="Times New Roman" w:cs="Times New Roman" w:eastAsia="Times New Roman" w:hint="default"/>
          <w:spacing w:val="-6"/>
        </w:rPr>
        <w:t>2018</w:t>
      </w:r>
      <w:r>
        <w:rPr>
          <w:spacing w:val="-6"/>
        </w:rPr>
        <w:t>）</w:t>
      </w:r>
      <w:r>
        <w:rPr>
          <w:rFonts w:ascii="Times New Roman" w:hAnsi="Times New Roman" w:cs="Times New Roman" w:eastAsia="Times New Roman" w:hint="default"/>
          <w:spacing w:val="-6"/>
        </w:rPr>
        <w:t>15</w:t>
      </w:r>
      <w:r>
        <w:rPr>
          <w:rFonts w:ascii="Times New Roman" w:hAnsi="Times New Roman" w:cs="Times New Roman" w:eastAsia="Times New Roman" w:hint="default"/>
        </w:rPr>
        <w:t> </w:t>
      </w:r>
      <w:r>
        <w:rPr>
          <w:spacing w:val="-8"/>
        </w:rPr>
        <w:t>号），将原“应收票据”及“应收账款”行项目归并至“应收票据及应收账款”；将原“应收利息”、“应收股利”及“其他应</w:t>
      </w:r>
      <w:r>
        <w:rPr/>
        <w:t> </w:t>
      </w:r>
      <w:r>
        <w:rPr>
          <w:spacing w:val="-4"/>
        </w:rPr>
        <w:t>收款”行项目归并至“其他应收款”；将原“固定资产”及“固定资产清理”行项目归并至“固定资产”；将原“工程物资”</w:t>
      </w:r>
      <w:r>
        <w:rPr>
          <w:spacing w:val="-50"/>
        </w:rPr>
        <w:t> </w:t>
      </w:r>
      <w:r>
        <w:rPr>
          <w:spacing w:val="-50"/>
        </w:rPr>
      </w:r>
      <w:r>
        <w:rPr>
          <w:spacing w:val="-5"/>
        </w:rPr>
        <w:t>及“在建工程”行项目归并至“在建工程”；将原“应付票据”及“应付账款”行项目归并至“应付票据及应付账款”；将原</w:t>
      </w:r>
      <w:r>
        <w:rPr>
          <w:spacing w:val="-82"/>
        </w:rPr>
        <w:t> </w:t>
      </w:r>
      <w:r>
        <w:rPr>
          <w:spacing w:val="-82"/>
        </w:rPr>
      </w:r>
      <w:r>
        <w:rPr>
          <w:spacing w:val="-5"/>
        </w:rPr>
        <w:t>“应付利息”、“应付股利”及“其他应付款”行项目归并至“其他应付款”；将原“长期应付款”及“专项应付款”行项目</w:t>
      </w:r>
      <w:r>
        <w:rPr>
          <w:spacing w:val="-85"/>
        </w:rPr>
        <w:t> </w:t>
      </w:r>
      <w:r>
        <w:rPr>
          <w:spacing w:val="-85"/>
        </w:rPr>
      </w:r>
      <w:r>
        <w:rPr>
          <w:spacing w:val="-4"/>
        </w:rPr>
        <w:t>归并至“长期应付款”；利润表中“管理费用”项目分拆“管理费用”和“研发费用”明细项目列报；利润表中“财务费用”</w:t>
      </w:r>
      <w:r>
        <w:rPr>
          <w:spacing w:val="-46"/>
        </w:rPr>
        <w:t> </w:t>
      </w:r>
      <w:r>
        <w:rPr>
          <w:spacing w:val="-46"/>
        </w:rPr>
      </w:r>
      <w:r>
        <w:rPr>
          <w:spacing w:val="-4"/>
        </w:rPr>
        <w:t>项目下增加“利息费用”和“利息收入”明细项目列报；所有者权益变动表新增“设定受益计划变动额结转留存收益”项目。</w:t>
      </w:r>
      <w:r>
        <w:rPr>
          <w:spacing w:val="-45"/>
        </w:rPr>
        <w:t> </w:t>
      </w:r>
      <w:r>
        <w:rPr>
          <w:spacing w:val="-45"/>
        </w:rPr>
      </w:r>
      <w:r>
        <w:rPr/>
        <w:t>代收代缴个税的手续费返还从营业外收入调整至其他收益列报。对 </w:t>
      </w:r>
      <w:r>
        <w:rPr>
          <w:rFonts w:ascii="Times New Roman" w:hAnsi="Times New Roman" w:cs="Times New Roman" w:eastAsia="Times New Roman" w:hint="default"/>
        </w:rPr>
        <w:t>2017  </w:t>
      </w:r>
      <w:r>
        <w:rPr/>
        <w:t>年度的财务报表列报项目进行追溯调整具体如下：</w:t>
      </w:r>
    </w:p>
    <w:tbl>
      <w:tblPr>
        <w:tblW w:w="0" w:type="auto"/>
        <w:jc w:val="left"/>
        <w:tblInd w:w="106" w:type="dxa"/>
        <w:tblLayout w:type="fixed"/>
        <w:tblCellMar>
          <w:top w:w="0" w:type="dxa"/>
          <w:left w:w="0" w:type="dxa"/>
          <w:bottom w:w="0" w:type="dxa"/>
          <w:right w:w="0" w:type="dxa"/>
        </w:tblCellMar>
        <w:tblLook w:val="01E0"/>
      </w:tblPr>
      <w:tblGrid>
        <w:gridCol w:w="2130"/>
        <w:gridCol w:w="2457"/>
        <w:gridCol w:w="2311"/>
        <w:gridCol w:w="2309"/>
      </w:tblGrid>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left="195" w:right="0"/>
              <w:jc w:val="left"/>
              <w:rPr>
                <w:rFonts w:ascii="宋体" w:hAnsi="宋体" w:cs="宋体" w:eastAsia="宋体" w:hint="default"/>
                <w:sz w:val="18"/>
                <w:szCs w:val="18"/>
              </w:rPr>
            </w:pPr>
            <w:r>
              <w:rPr>
                <w:rFonts w:ascii="宋体" w:hAnsi="宋体" w:cs="宋体" w:eastAsia="宋体" w:hint="default"/>
                <w:b/>
                <w:bCs/>
                <w:sz w:val="18"/>
                <w:szCs w:val="18"/>
              </w:rPr>
              <w:t>2017.12.31/2017</w:t>
            </w:r>
            <w:r>
              <w:rPr>
                <w:rFonts w:ascii="宋体" w:hAnsi="宋体" w:cs="宋体" w:eastAsia="宋体" w:hint="default"/>
                <w:b/>
                <w:bCs/>
                <w:sz w:val="18"/>
                <w:szCs w:val="18"/>
              </w:rPr>
              <w:t>年度</w:t>
            </w:r>
            <w:r>
              <w:rPr>
                <w:rFonts w:ascii="宋体" w:hAnsi="宋体" w:cs="宋体" w:eastAsia="宋体" w:hint="default"/>
                <w:sz w:val="18"/>
                <w:szCs w:val="18"/>
              </w:rPr>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7"/>
              <w:jc w:val="center"/>
              <w:rPr>
                <w:rFonts w:ascii="宋体" w:hAnsi="宋体" w:cs="宋体" w:eastAsia="宋体" w:hint="default"/>
                <w:sz w:val="18"/>
                <w:szCs w:val="18"/>
              </w:rPr>
            </w:pPr>
            <w:r>
              <w:rPr>
                <w:rFonts w:ascii="宋体" w:hAnsi="宋体" w:cs="宋体" w:eastAsia="宋体" w:hint="default"/>
                <w:b/>
                <w:bCs/>
                <w:sz w:val="18"/>
                <w:szCs w:val="18"/>
              </w:rPr>
              <w:t>变动额</w:t>
            </w:r>
            <w:r>
              <w:rPr>
                <w:rFonts w:ascii="宋体" w:hAnsi="宋体" w:cs="宋体" w:eastAsia="宋体" w:hint="default"/>
                <w:sz w:val="18"/>
                <w:szCs w:val="18"/>
              </w:rPr>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708,638,438.68</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708,638,438.68</w:t>
            </w: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10,038,310.53</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-10,038,310.53</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2"/>
              <w:jc w:val="right"/>
              <w:rPr>
                <w:rFonts w:ascii="宋体" w:hAnsi="宋体" w:cs="宋体" w:eastAsia="宋体" w:hint="default"/>
                <w:sz w:val="18"/>
                <w:szCs w:val="18"/>
              </w:rPr>
            </w:pPr>
            <w:r>
              <w:rPr>
                <w:rFonts w:ascii="宋体"/>
                <w:sz w:val="18"/>
              </w:rPr>
              <w:t>698,600,128.15</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-698,600,128.15</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212,408,075.08</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212,408,075.08</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681,030,053.72</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681,030,053.72</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2"/>
              <w:jc w:val="right"/>
              <w:rPr>
                <w:rFonts w:ascii="宋体" w:hAnsi="宋体" w:cs="宋体" w:eastAsia="宋体" w:hint="default"/>
                <w:sz w:val="18"/>
                <w:szCs w:val="18"/>
              </w:rPr>
            </w:pPr>
            <w:r>
              <w:rPr>
                <w:rFonts w:ascii="宋体"/>
                <w:sz w:val="18"/>
              </w:rPr>
              <w:t>79,318,080.73</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79,318,080.73</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1"/>
              <w:jc w:val="right"/>
              <w:rPr>
                <w:rFonts w:ascii="宋体" w:hAnsi="宋体" w:cs="宋体" w:eastAsia="宋体" w:hint="default"/>
                <w:sz w:val="18"/>
                <w:szCs w:val="18"/>
              </w:rPr>
            </w:pPr>
            <w:r>
              <w:rPr>
                <w:rFonts w:ascii="宋体"/>
                <w:sz w:val="18"/>
              </w:rPr>
              <w:t>1,068,203,738.79</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1,068,203,738.79</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86,500,000.00</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-86,500,000.00</w:t>
            </w: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981,703,738.79</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-981,703,738.79</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2"/>
              <w:jc w:val="right"/>
              <w:rPr>
                <w:rFonts w:ascii="宋体" w:hAnsi="宋体" w:cs="宋体" w:eastAsia="宋体" w:hint="default"/>
                <w:sz w:val="18"/>
                <w:szCs w:val="18"/>
              </w:rPr>
            </w:pPr>
            <w:r>
              <w:rPr>
                <w:rFonts w:ascii="宋体"/>
                <w:sz w:val="18"/>
              </w:rPr>
              <w:t>28,839,102.97</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1"/>
              <w:jc w:val="right"/>
              <w:rPr>
                <w:rFonts w:ascii="宋体" w:hAnsi="宋体" w:cs="宋体" w:eastAsia="宋体" w:hint="default"/>
                <w:sz w:val="18"/>
                <w:szCs w:val="18"/>
              </w:rPr>
            </w:pPr>
            <w:r>
              <w:rPr>
                <w:rFonts w:ascii="宋体"/>
                <w:sz w:val="18"/>
              </w:rPr>
              <w:t>32,181,623.92</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3,342,520.95</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3,342,520.95</w:t>
            </w: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-3,342,520.95</w:t>
            </w: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2"/>
              <w:jc w:val="right"/>
              <w:rPr>
                <w:rFonts w:ascii="宋体" w:hAnsi="宋体" w:cs="宋体" w:eastAsia="宋体" w:hint="default"/>
                <w:sz w:val="18"/>
                <w:szCs w:val="18"/>
              </w:rPr>
            </w:pPr>
            <w:r>
              <w:rPr>
                <w:rFonts w:ascii="宋体"/>
                <w:sz w:val="18"/>
              </w:rPr>
              <w:t>102,558,340.96</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1"/>
              <w:jc w:val="right"/>
              <w:rPr>
                <w:rFonts w:ascii="宋体" w:hAnsi="宋体" w:cs="宋体" w:eastAsia="宋体" w:hint="default"/>
                <w:sz w:val="18"/>
                <w:szCs w:val="18"/>
              </w:rPr>
            </w:pPr>
            <w:r>
              <w:rPr>
                <w:rFonts w:ascii="宋体"/>
                <w:sz w:val="18"/>
              </w:rPr>
              <w:t>95,268,290.56</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-7,290,050.40</w:t>
            </w: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57" w:type="dxa"/>
            <w:tcBorders>
              <w:top w:val="single" w:sz="12" w:space="0" w:color="000000"/>
              <w:left w:val="single" w:sz="6" w:space="0" w:color="000000"/>
              <w:bottom w:val="single" w:sz="12" w:space="0" w:color="000000"/>
              <w:right w:val="single" w:sz="6" w:space="0" w:color="000000"/>
            </w:tcBorders>
          </w:tcPr>
          <w:p>
            <w:pP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7,290,050.40</w:t>
            </w:r>
          </w:p>
        </w:tc>
        <w:tc>
          <w:tcPr>
            <w:tcW w:w="23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7,290,050.40</w:t>
            </w:r>
          </w:p>
        </w:tc>
      </w:tr>
      <w:tr>
        <w:trPr>
          <w:trHeight w:val="361"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991,945.73</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991,945.73</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2"/>
              <w:jc w:val="right"/>
              <w:rPr>
                <w:rFonts w:ascii="宋体" w:hAnsi="宋体" w:cs="宋体" w:eastAsia="宋体" w:hint="default"/>
                <w:sz w:val="18"/>
                <w:szCs w:val="18"/>
              </w:rPr>
            </w:pPr>
            <w:r>
              <w:rPr>
                <w:rFonts w:ascii="宋体"/>
                <w:sz w:val="18"/>
              </w:rPr>
              <w:t>5,633,340.29</w:t>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1"/>
              <w:jc w:val="right"/>
              <w:rPr>
                <w:rFonts w:ascii="宋体" w:hAnsi="宋体" w:cs="宋体" w:eastAsia="宋体" w:hint="default"/>
                <w:sz w:val="18"/>
                <w:szCs w:val="18"/>
              </w:rPr>
            </w:pPr>
            <w:r>
              <w:rPr>
                <w:rFonts w:ascii="宋体"/>
                <w:sz w:val="18"/>
              </w:rPr>
              <w:t>5,633,340.29</w:t>
            </w:r>
          </w:p>
        </w:tc>
        <w:tc>
          <w:tcPr>
            <w:tcW w:w="23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30" w:type="dxa"/>
            <w:tcBorders>
              <w:top w:val="single" w:sz="12" w:space="0" w:color="000000"/>
              <w:left w:val="single" w:sz="6" w:space="0" w:color="000000"/>
              <w:bottom w:val="single" w:sz="12" w:space="0" w:color="000000"/>
              <w:right w:val="single" w:sz="6" w:space="0" w:color="000000"/>
            </w:tcBorders>
          </w:tcPr>
          <w:p>
            <w:pPr>
              <w:pStyle w:val="TableParagraph"/>
              <w:tabs>
                <w:tab w:pos="452"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b/>
                <w:w w:val="95"/>
                <w:sz w:val="18"/>
              </w:rPr>
              <w:t>2,890,958,137.90</w:t>
            </w:r>
            <w:r>
              <w:rPr>
                <w:rFonts w:ascii="宋体"/>
                <w:sz w:val="18"/>
              </w:rPr>
            </w:r>
          </w:p>
        </w:tc>
        <w:tc>
          <w:tcPr>
            <w:tcW w:w="2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b/>
                <w:w w:val="95"/>
                <w:sz w:val="18"/>
              </w:rPr>
              <w:t>2,890,958,137.90</w:t>
            </w:r>
            <w:r>
              <w:rPr>
                <w:rFonts w:ascii="宋体"/>
                <w:sz w:val="18"/>
              </w:rPr>
            </w:r>
          </w:p>
        </w:tc>
        <w:tc>
          <w:tcPr>
            <w:tcW w:w="230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4"/>
        <w:spacing w:line="240" w:lineRule="auto" w:before="35"/>
        <w:ind w:right="982"/>
        <w:jc w:val="left"/>
        <w:rPr>
          <w:b w:val="0"/>
          <w:bCs w:val="0"/>
        </w:rPr>
      </w:pPr>
      <w:bookmarkStart w:name="（2）重要会计估计变更" w:id="236"/>
      <w:bookmarkEnd w:id="23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34、其他" w:id="237"/>
      <w:bookmarkEnd w:id="237"/>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right="982"/>
        <w:jc w:val="left"/>
      </w:pPr>
      <w:r>
        <w:rPr/>
        <w:t>报告期内无前期会计差错更正。</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474" w:right="982"/>
        <w:jc w:val="left"/>
      </w:pPr>
      <w:r>
        <w:rPr/>
        <w:t>其他主要会计政策、会计估计执行《企业会计准则》的相关规定。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982"/>
        <w:jc w:val="left"/>
        <w:rPr>
          <w:b w:val="0"/>
          <w:bCs w:val="0"/>
        </w:rPr>
      </w:pPr>
      <w:bookmarkStart w:name="六、税项" w:id="238"/>
      <w:bookmarkEnd w:id="238"/>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主要税种及税率" w:id="239"/>
      <w:bookmarkEnd w:id="23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w:t>
            </w:r>
          </w:p>
        </w:tc>
      </w:tr>
    </w:tbl>
    <w:p>
      <w:pPr>
        <w:pStyle w:val="BodyText"/>
        <w:spacing w:line="240" w:lineRule="auto" w:before="51"/>
        <w:ind w:right="98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重庆东飞凯格建筑景观设计咨询有限公司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重庆秉创新材料科技有限公司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税收优惠" w:id="240"/>
      <w:bookmarkEnd w:id="24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74" w:right="982"/>
        <w:jc w:val="left"/>
      </w:pPr>
      <w:r>
        <w:rPr/>
        <w:t>（</w:t>
      </w:r>
      <w:r>
        <w:rPr>
          <w:rFonts w:ascii="Times New Roman" w:hAnsi="Times New Roman" w:cs="Times New Roman" w:eastAsia="Times New Roman" w:hint="default"/>
        </w:rPr>
        <w:t>1</w:t>
      </w:r>
      <w:r>
        <w:rPr/>
        <w:t>）根据《增值税暂行条例实施细则》相关规定，子公司重庆华宇园林有限公司苗木销售为免税农产品免征增值税。</w:t>
      </w:r>
    </w:p>
    <w:p>
      <w:pPr>
        <w:pStyle w:val="BodyText"/>
        <w:spacing w:line="300" w:lineRule="auto" w:before="63"/>
        <w:ind w:left="474" w:right="3282"/>
        <w:jc w:val="left"/>
      </w:pPr>
      <w:r>
        <w:rPr/>
        <w:t>（</w:t>
      </w:r>
      <w:r>
        <w:rPr>
          <w:rFonts w:ascii="Times New Roman" w:hAnsi="Times New Roman" w:cs="Times New Roman" w:eastAsia="Times New Roman" w:hint="default"/>
        </w:rPr>
        <w:t>2</w:t>
      </w:r>
      <w:r>
        <w:rPr/>
        <w:t>）根据《中华人民共和国企业所得税法》及《中华人民共和国企业所得税法实施条例》 的规定，子公司重庆华宇园林有限公司苗木销售所得免征企业所得税。</w:t>
      </w:r>
    </w:p>
    <w:p>
      <w:pPr>
        <w:pStyle w:val="BodyText"/>
        <w:spacing w:line="300" w:lineRule="auto" w:before="31"/>
        <w:ind w:right="1125" w:firstLine="360"/>
        <w:jc w:val="left"/>
      </w:pPr>
      <w:r>
        <w:rPr>
          <w:spacing w:val="-3"/>
        </w:rPr>
        <w:t>（</w:t>
      </w:r>
      <w:r>
        <w:rPr>
          <w:rFonts w:ascii="Times New Roman" w:hAnsi="Times New Roman" w:cs="Times New Roman" w:eastAsia="Times New Roman" w:hint="default"/>
          <w:spacing w:val="-3"/>
        </w:rPr>
        <w:t>3</w:t>
      </w:r>
      <w:r>
        <w:rPr>
          <w:spacing w:val="-3"/>
        </w:rPr>
        <w:t>）根据《财政部、海关总署、国家税务总局关于深入实施西部大开发战略有关税收政策问题的通知》（财税</w:t>
      </w:r>
      <w:r>
        <w:rPr>
          <w:rFonts w:ascii="Times New Roman" w:hAnsi="Times New Roman" w:cs="Times New Roman" w:eastAsia="Times New Roman" w:hint="default"/>
          <w:spacing w:val="-3"/>
        </w:rPr>
        <w:t>[2011]58</w:t>
      </w:r>
      <w:r>
        <w:rPr>
          <w:rFonts w:ascii="Times New Roman" w:hAnsi="Times New Roman" w:cs="Times New Roman" w:eastAsia="Times New Roman" w:hint="default"/>
        </w:rPr>
        <w:t> </w:t>
      </w:r>
      <w:r>
        <w:rPr>
          <w:spacing w:val="-5"/>
        </w:rPr>
        <w:t>号），子公司重庆华宇园林有限公司的业务符合《产业结构调整指导目录》（</w:t>
      </w:r>
      <w:r>
        <w:rPr>
          <w:rFonts w:ascii="Times New Roman" w:hAnsi="Times New Roman" w:cs="Times New Roman" w:eastAsia="Times New Roman" w:hint="default"/>
          <w:spacing w:val="-5"/>
        </w:rPr>
        <w:t>2011</w:t>
      </w:r>
      <w:r>
        <w:rPr>
          <w:rFonts w:ascii="Times New Roman" w:hAnsi="Times New Roman" w:cs="Times New Roman" w:eastAsia="Times New Roman" w:hint="default"/>
        </w:rPr>
        <w:t> </w:t>
      </w:r>
      <w:r>
        <w:rPr/>
        <w:t>年本）鼓励类产业中第二十二款“城市基 </w:t>
      </w:r>
      <w:r>
        <w:rPr>
          <w:spacing w:val="-7"/>
        </w:rPr>
        <w:t>础设施”第</w:t>
      </w:r>
      <w:r>
        <w:rPr>
          <w:spacing w:val="-40"/>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spacing w:val="-3"/>
        </w:rPr>
        <w:t>项“城镇园林绿化及生态小区建设”的列举范围，且鼓励类收入占总收入的</w:t>
      </w:r>
      <w:r>
        <w:rPr>
          <w:spacing w:val="-40"/>
        </w:rPr>
        <w:t> </w:t>
      </w:r>
      <w:r>
        <w:rPr>
          <w:rFonts w:ascii="Times New Roman" w:hAnsi="Times New Roman" w:cs="Times New Roman" w:eastAsia="Times New Roman" w:hint="default"/>
          <w:spacing w:val="-5"/>
        </w:rPr>
        <w:t>70%</w:t>
      </w:r>
      <w:r>
        <w:rPr>
          <w:spacing w:val="-5"/>
        </w:rPr>
        <w:t>以上。根据国家税务总局《关</w:t>
      </w:r>
      <w:r>
        <w:rPr>
          <w:spacing w:val="-88"/>
        </w:rPr>
        <w:t> </w:t>
      </w:r>
      <w:r>
        <w:rPr>
          <w:spacing w:val="-88"/>
        </w:rPr>
      </w:r>
      <w:r>
        <w:rPr>
          <w:spacing w:val="-3"/>
        </w:rPr>
        <w:t>于深入实施西部大开发战略有关企业所得税问题的公告》（国家税务总局公告</w:t>
      </w:r>
      <w:r>
        <w:rPr>
          <w:rFonts w:ascii="Times New Roman" w:hAnsi="Times New Roman" w:cs="Times New Roman" w:eastAsia="Times New Roman" w:hint="default"/>
          <w:spacing w:val="-3"/>
        </w:rPr>
        <w:t>[2012]12</w:t>
      </w:r>
      <w:r>
        <w:rPr>
          <w:rFonts w:ascii="Times New Roman" w:hAnsi="Times New Roman" w:cs="Times New Roman" w:eastAsia="Times New Roman" w:hint="default"/>
        </w:rPr>
        <w:t> </w:t>
      </w:r>
      <w:r>
        <w:rPr/>
        <w:t>号）规定，在《西部地区鼓励类产业</w:t>
      </w:r>
      <w:r>
        <w:rPr>
          <w:spacing w:val="-56"/>
        </w:rPr>
        <w:t> </w:t>
      </w:r>
      <w:r>
        <w:rPr/>
        <w:t>目录》公布前，企业符合《产业结构调整指导目录》范围的，经税务机关确认后，企业所得税可按照</w:t>
      </w:r>
      <w:r>
        <w:rPr>
          <w:spacing w:val="-45"/>
        </w:rPr>
        <w:t> </w:t>
      </w:r>
      <w:r>
        <w:rPr>
          <w:rFonts w:ascii="Times New Roman" w:hAnsi="Times New Roman" w:cs="Times New Roman" w:eastAsia="Times New Roman" w:hint="default"/>
        </w:rPr>
        <w:t>15%</w:t>
      </w:r>
      <w:r>
        <w:rPr/>
        <w:t>税率缴纳。子公 司重庆华宇园林有限公司、重庆东飞凯格建筑景观设计咨询有限公司按</w:t>
      </w:r>
      <w:r>
        <w:rPr>
          <w:spacing w:val="-45"/>
        </w:rPr>
        <w:t> </w:t>
      </w:r>
      <w:r>
        <w:rPr>
          <w:rFonts w:ascii="Times New Roman" w:hAnsi="Times New Roman" w:cs="Times New Roman" w:eastAsia="Times New Roman" w:hint="default"/>
        </w:rPr>
        <w:t>15%</w:t>
      </w:r>
      <w:r>
        <w:rPr/>
        <w:t>计缴企业所得税。</w:t>
      </w:r>
    </w:p>
    <w:p>
      <w:pPr>
        <w:pStyle w:val="BodyText"/>
        <w:spacing w:line="300" w:lineRule="auto" w:before="13"/>
        <w:ind w:right="1140" w:firstLine="360"/>
        <w:jc w:val="left"/>
      </w:pPr>
      <w:r>
        <w:rPr>
          <w:spacing w:val="-2"/>
        </w:rPr>
        <w:t>（</w:t>
      </w:r>
      <w:r>
        <w:rPr>
          <w:rFonts w:ascii="Times New Roman" w:hAnsi="Times New Roman" w:cs="Times New Roman" w:eastAsia="Times New Roman" w:hint="default"/>
          <w:spacing w:val="-2"/>
        </w:rPr>
        <w:t>4</w:t>
      </w:r>
      <w:r>
        <w:rPr>
          <w:spacing w:val="-2"/>
        </w:rPr>
        <w:t>）根据《财政部、国家税务总局关于实施小微企业普惠性税收减免政策的通知》（财税</w:t>
      </w:r>
      <w:r>
        <w:rPr>
          <w:rFonts w:ascii="Times New Roman" w:hAnsi="Times New Roman" w:cs="Times New Roman" w:eastAsia="Times New Roman" w:hint="default"/>
          <w:spacing w:val="-2"/>
        </w:rPr>
        <w:t>[2019]13</w:t>
      </w:r>
      <w:r>
        <w:rPr>
          <w:rFonts w:ascii="Times New Roman" w:hAnsi="Times New Roman" w:cs="Times New Roman" w:eastAsia="Times New Roman" w:hint="default"/>
          <w:spacing w:val="3"/>
        </w:rPr>
        <w:t> </w:t>
      </w:r>
      <w:r>
        <w:rPr>
          <w:spacing w:val="-10"/>
        </w:rPr>
        <w:t>号），子公司重庆秉</w:t>
      </w:r>
      <w:r>
        <w:rPr/>
        <w:t> 创新材料科技有限公司符合小微企业条件，按</w:t>
      </w:r>
      <w:r>
        <w:rPr>
          <w:spacing w:val="-46"/>
        </w:rPr>
        <w:t> </w:t>
      </w:r>
      <w:r>
        <w:rPr>
          <w:rFonts w:ascii="Times New Roman" w:hAnsi="Times New Roman" w:cs="Times New Roman" w:eastAsia="Times New Roman" w:hint="default"/>
        </w:rPr>
        <w:t>20%</w:t>
      </w:r>
      <w:r>
        <w:rPr/>
        <w:t>税率计缴企业所得税。</w:t>
      </w:r>
    </w:p>
    <w:p>
      <w:pPr>
        <w:spacing w:after="0" w:line="30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spacing w:line="487" w:lineRule="auto" w:before="35"/>
        <w:ind w:left="114" w:right="7692" w:firstLine="0"/>
        <w:jc w:val="left"/>
        <w:rPr>
          <w:rFonts w:ascii="宋体" w:hAnsi="宋体" w:cs="宋体" w:eastAsia="宋体" w:hint="default"/>
          <w:sz w:val="21"/>
          <w:szCs w:val="21"/>
        </w:rPr>
      </w:pPr>
      <w:bookmarkStart w:name="3、其他" w:id="241"/>
      <w:bookmarkEnd w:id="24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42"/>
      <w:bookmarkEnd w:id="242"/>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43"/>
      <w:bookmarkEnd w:id="24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276,872.45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1,111,227.58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91,875,709.44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639,842,683.76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82,231,036.49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75,958,471.13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174,383,618.38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716,912,382.47</w:t>
            </w:r>
          </w:p>
        </w:tc>
      </w:tr>
    </w:tbl>
    <w:p>
      <w:pPr>
        <w:pStyle w:val="BodyText"/>
        <w:spacing w:line="240" w:lineRule="auto" w:before="51"/>
        <w:ind w:right="982"/>
        <w:jc w:val="left"/>
      </w:pPr>
      <w:r>
        <w:rPr/>
        <w:t>其他说明</w:t>
      </w:r>
    </w:p>
    <w:p>
      <w:pPr>
        <w:pStyle w:val="BodyText"/>
        <w:spacing w:line="240" w:lineRule="auto" w:before="116"/>
        <w:ind w:left="474" w:right="982"/>
        <w:jc w:val="left"/>
      </w:pPr>
      <w:r>
        <w:rPr>
          <w:rFonts w:ascii="Times New Roman" w:hAnsi="Times New Roman" w:cs="Times New Roman" w:eastAsia="Times New Roman" w:hint="default"/>
        </w:rPr>
        <w:t>2</w:t>
      </w:r>
      <w:r>
        <w:rPr/>
        <w:t>、 其他货币资金按明细项目列示：</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63"/>
        <w:gridCol w:w="3069"/>
        <w:gridCol w:w="3069"/>
      </w:tblGrid>
      <w:tr>
        <w:trPr>
          <w:trHeight w:val="361"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tabs>
                <w:tab w:pos="452" w:val="left" w:leader="none"/>
              </w:tabs>
              <w:spacing w:line="240" w:lineRule="auto" w:before="20"/>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62"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69,000,000.00</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43,444,389.35</w:t>
            </w:r>
          </w:p>
        </w:tc>
      </w:tr>
      <w:tr>
        <w:trPr>
          <w:trHeight w:val="362"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2,129,835.69</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9,862,679.98</w:t>
            </w:r>
          </w:p>
        </w:tc>
      </w:tr>
      <w:tr>
        <w:trPr>
          <w:trHeight w:val="361"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质押的银行定期存单</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2,000,000.00</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10,010,000.00</w:t>
            </w:r>
          </w:p>
        </w:tc>
      </w:tr>
      <w:tr>
        <w:trPr>
          <w:trHeight w:val="362"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保理业务保证金</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8,250,556.22</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12,641,401.80</w:t>
            </w:r>
          </w:p>
        </w:tc>
      </w:tr>
      <w:tr>
        <w:trPr>
          <w:trHeight w:val="363"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外币借款汇率变动保证金</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850,644.58</w:t>
            </w:r>
          </w:p>
        </w:tc>
        <w:tc>
          <w:tcPr>
            <w:tcW w:w="3069"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tabs>
                <w:tab w:pos="452" w:val="left" w:leader="none"/>
              </w:tabs>
              <w:spacing w:line="240" w:lineRule="auto" w:before="20"/>
              <w:ind w:right="1"/>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w w:val="95"/>
                <w:sz w:val="18"/>
              </w:rPr>
              <w:t>82,231,036.49</w:t>
            </w:r>
            <w:r>
              <w:rPr>
                <w:rFonts w:ascii="宋体"/>
                <w:sz w:val="18"/>
              </w:rPr>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9"/>
              <w:jc w:val="right"/>
              <w:rPr>
                <w:rFonts w:ascii="宋体" w:hAnsi="宋体" w:cs="宋体" w:eastAsia="宋体" w:hint="default"/>
                <w:sz w:val="18"/>
                <w:szCs w:val="18"/>
              </w:rPr>
            </w:pPr>
            <w:r>
              <w:rPr>
                <w:rFonts w:ascii="宋体"/>
                <w:b/>
                <w:w w:val="95"/>
                <w:sz w:val="18"/>
              </w:rPr>
              <w:t>75,958,471.13</w:t>
            </w:r>
            <w:r>
              <w:rPr>
                <w:rFonts w:ascii="宋体"/>
                <w:sz w:val="18"/>
              </w:rPr>
            </w:r>
          </w:p>
        </w:tc>
      </w:tr>
    </w:tbl>
    <w:p>
      <w:pPr>
        <w:pStyle w:val="BodyText"/>
        <w:spacing w:line="240" w:lineRule="auto" w:before="10"/>
        <w:ind w:left="474" w:right="982"/>
        <w:jc w:val="left"/>
      </w:pPr>
      <w:r>
        <w:rPr>
          <w:rFonts w:ascii="Times New Roman" w:hAnsi="Times New Roman" w:cs="Times New Roman" w:eastAsia="Times New Roman" w:hint="default"/>
        </w:rPr>
        <w:t>3</w:t>
      </w:r>
      <w:r>
        <w:rPr/>
        <w:t>、因抵押、质押或冻结等对使用有限制的货币资金明细如下：</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63"/>
        <w:gridCol w:w="3069"/>
        <w:gridCol w:w="3069"/>
      </w:tblGrid>
      <w:tr>
        <w:trPr>
          <w:trHeight w:val="362"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tabs>
                <w:tab w:pos="452" w:val="left" w:leader="none"/>
              </w:tabs>
              <w:spacing w:line="240" w:lineRule="auto" w:before="21"/>
              <w:ind w:right="977"/>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3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34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62"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69,000,000.00</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43,444,389.35</w:t>
            </w:r>
          </w:p>
        </w:tc>
      </w:tr>
      <w:tr>
        <w:trPr>
          <w:trHeight w:val="361"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2,129,835.69</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9,862,679.98</w:t>
            </w:r>
          </w:p>
        </w:tc>
      </w:tr>
      <w:tr>
        <w:trPr>
          <w:trHeight w:val="362"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质押的银行定期存单</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2,000,000.00</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10,010,000.00</w:t>
            </w:r>
          </w:p>
        </w:tc>
      </w:tr>
      <w:tr>
        <w:trPr>
          <w:trHeight w:val="362"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保理业务保证金</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8,250,556.22</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12,641,401.80</w:t>
            </w:r>
          </w:p>
        </w:tc>
      </w:tr>
      <w:tr>
        <w:trPr>
          <w:trHeight w:val="361"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外币借款汇率变动保证金</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850,644.58</w:t>
            </w:r>
          </w:p>
        </w:tc>
        <w:tc>
          <w:tcPr>
            <w:tcW w:w="306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银行存款冻结</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4,570,213.18</w:t>
            </w:r>
          </w:p>
        </w:tc>
        <w:tc>
          <w:tcPr>
            <w:tcW w:w="306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963" w:type="dxa"/>
            <w:tcBorders>
              <w:top w:val="single" w:sz="12" w:space="0" w:color="000000"/>
              <w:left w:val="single" w:sz="6" w:space="0" w:color="000000"/>
              <w:bottom w:val="single" w:sz="12" w:space="0" w:color="000000"/>
              <w:right w:val="single" w:sz="6" w:space="0" w:color="000000"/>
            </w:tcBorders>
          </w:tcPr>
          <w:p>
            <w:pPr>
              <w:pStyle w:val="TableParagraph"/>
              <w:tabs>
                <w:tab w:pos="452" w:val="left" w:leader="none"/>
              </w:tabs>
              <w:spacing w:line="240" w:lineRule="auto" w:before="20"/>
              <w:ind w:right="977"/>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b/>
                <w:w w:val="95"/>
                <w:sz w:val="18"/>
              </w:rPr>
              <w:t>86,801,249.67</w:t>
            </w:r>
            <w:r>
              <w:rPr>
                <w:rFonts w:ascii="宋体"/>
                <w:sz w:val="18"/>
              </w:rPr>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9"/>
              <w:jc w:val="right"/>
              <w:rPr>
                <w:rFonts w:ascii="宋体" w:hAnsi="宋体" w:cs="宋体" w:eastAsia="宋体" w:hint="default"/>
                <w:sz w:val="18"/>
                <w:szCs w:val="18"/>
              </w:rPr>
            </w:pPr>
            <w:r>
              <w:rPr>
                <w:rFonts w:ascii="宋体"/>
                <w:b/>
                <w:w w:val="95"/>
                <w:sz w:val="18"/>
              </w:rPr>
              <w:t>75,958,471.13</w:t>
            </w:r>
            <w:r>
              <w:rPr>
                <w:rFonts w:ascii="宋体"/>
                <w:sz w:val="18"/>
              </w:rPr>
            </w:r>
          </w:p>
        </w:tc>
      </w:tr>
    </w:tbl>
    <w:p>
      <w:pPr>
        <w:pStyle w:val="BodyText"/>
        <w:spacing w:line="240" w:lineRule="auto" w:before="10"/>
        <w:ind w:left="474" w:right="982"/>
        <w:jc w:val="left"/>
      </w:pPr>
      <w:r>
        <w:rPr/>
        <w:t>（</w:t>
      </w:r>
      <w:r>
        <w:rPr>
          <w:rFonts w:ascii="Times New Roman" w:hAnsi="Times New Roman" w:cs="Times New Roman" w:eastAsia="Times New Roman" w:hint="default"/>
        </w:rPr>
        <w:t>1</w:t>
      </w:r>
      <w:r>
        <w:rPr/>
        <w:t>）除上述款项</w:t>
      </w:r>
      <w:r>
        <w:rPr>
          <w:rFonts w:ascii="Times New Roman" w:hAnsi="Times New Roman" w:cs="Times New Roman" w:eastAsia="Times New Roman" w:hint="default"/>
        </w:rPr>
        <w:t>,</w:t>
      </w:r>
      <w:r>
        <w:rPr/>
        <w:t>报告期内无其他因抵押、质押或冻结等对使用有限制、存放在境外、有潜在回收风险的款项。</w:t>
      </w:r>
    </w:p>
    <w:p>
      <w:pPr>
        <w:pStyle w:val="BodyText"/>
        <w:spacing w:line="240" w:lineRule="auto" w:before="63"/>
        <w:ind w:left="474" w:right="982"/>
        <w:jc w:val="left"/>
      </w:pPr>
      <w:r>
        <w:rPr/>
        <w:t>（</w:t>
      </w:r>
      <w:r>
        <w:rPr>
          <w:rFonts w:ascii="Times New Roman" w:hAnsi="Times New Roman" w:cs="Times New Roman" w:eastAsia="Times New Roman" w:hint="default"/>
        </w:rPr>
        <w:t>2</w:t>
      </w:r>
      <w:r>
        <w:rPr/>
        <w:t>）货币资金中</w:t>
      </w:r>
      <w:r>
        <w:rPr>
          <w:spacing w:val="-46"/>
        </w:rPr>
        <w:t> </w:t>
      </w:r>
      <w:r>
        <w:rPr>
          <w:rFonts w:ascii="Times New Roman" w:hAnsi="Times New Roman" w:cs="Times New Roman" w:eastAsia="Times New Roman" w:hint="default"/>
        </w:rPr>
        <w:t>4,570,213.18</w:t>
      </w:r>
      <w:r>
        <w:rPr>
          <w:rFonts w:ascii="Times New Roman" w:hAnsi="Times New Roman" w:cs="Times New Roman" w:eastAsia="Times New Roman" w:hint="default"/>
          <w:spacing w:val="-2"/>
        </w:rPr>
        <w:t> </w:t>
      </w:r>
      <w:r>
        <w:rPr/>
        <w:t>元银行存款于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29 </w:t>
      </w:r>
      <w:r>
        <w:rPr/>
        <w:t>日已解冻。</w:t>
      </w:r>
    </w:p>
    <w:p>
      <w:pPr>
        <w:spacing w:line="240" w:lineRule="auto" w:before="11"/>
        <w:rPr>
          <w:rFonts w:ascii="宋体" w:hAnsi="宋体" w:cs="宋体" w:eastAsia="宋体" w:hint="default"/>
          <w:sz w:val="25"/>
          <w:szCs w:val="25"/>
        </w:rPr>
      </w:pPr>
    </w:p>
    <w:p>
      <w:pPr>
        <w:pStyle w:val="Heading4"/>
        <w:spacing w:line="240" w:lineRule="auto"/>
        <w:ind w:right="982"/>
        <w:jc w:val="left"/>
        <w:rPr>
          <w:b w:val="0"/>
          <w:bCs w:val="0"/>
        </w:rPr>
      </w:pPr>
      <w:bookmarkStart w:name="2、应收票据及应收账款" w:id="244"/>
      <w:bookmarkEnd w:id="244"/>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6,345,434.30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10,038,310.53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996,498,508.46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698,600,128.15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6" w:right="0"/>
              <w:jc w:val="left"/>
              <w:rPr>
                <w:rFonts w:ascii="Times New Roman" w:hAnsi="Times New Roman" w:cs="Times New Roman" w:eastAsia="Times New Roman" w:hint="default"/>
                <w:sz w:val="18"/>
                <w:szCs w:val="18"/>
              </w:rPr>
            </w:pPr>
            <w:r>
              <w:rPr>
                <w:rFonts w:ascii="Times New Roman"/>
                <w:sz w:val="18"/>
              </w:rPr>
              <w:t>1,002,843,942.76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2" w:right="0"/>
              <w:jc w:val="left"/>
              <w:rPr>
                <w:rFonts w:ascii="Times New Roman" w:hAnsi="Times New Roman" w:cs="Times New Roman" w:eastAsia="Times New Roman" w:hint="default"/>
                <w:sz w:val="18"/>
                <w:szCs w:val="18"/>
              </w:rPr>
            </w:pPr>
            <w:r>
              <w:rPr>
                <w:rFonts w:ascii="Times New Roman"/>
                <w:sz w:val="18"/>
              </w:rPr>
              <w:t>708,638,438.68</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应收票据" w:id="245"/>
      <w:bookmarkEnd w:id="24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6,345,434.30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10,038,310.53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6,345,434.30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10,038,310.53</w:t>
            </w:r>
          </w:p>
        </w:tc>
      </w:tr>
    </w:tbl>
    <w:p>
      <w:pPr>
        <w:pStyle w:val="BodyText"/>
        <w:spacing w:line="240" w:lineRule="auto" w:before="51"/>
        <w:ind w:right="982"/>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37,663,556.77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37,663,556.77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left="219" w:right="5127" w:hanging="106"/>
        <w:jc w:val="left"/>
      </w:pPr>
      <w:r>
        <w:rPr/>
        <w:t>其他说明 应收票据中无应收持公司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spacing w:line="240" w:lineRule="auto" w:before="5"/>
        <w:rPr>
          <w:rFonts w:ascii="宋体" w:hAnsi="宋体" w:cs="宋体" w:eastAsia="宋体" w:hint="default"/>
          <w:sz w:val="18"/>
          <w:szCs w:val="18"/>
        </w:rPr>
      </w:pPr>
    </w:p>
    <w:p>
      <w:pPr>
        <w:pStyle w:val="Heading4"/>
        <w:spacing w:line="240" w:lineRule="auto"/>
        <w:ind w:right="982"/>
        <w:jc w:val="left"/>
        <w:rPr>
          <w:b w:val="0"/>
          <w:bCs w:val="0"/>
        </w:rPr>
      </w:pPr>
      <w:bookmarkStart w:name="（2）应收账款" w:id="246"/>
      <w:bookmarkEnd w:id="24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6" w:right="0"/>
              <w:jc w:val="left"/>
              <w:rPr>
                <w:rFonts w:ascii="Times New Roman" w:hAnsi="Times New Roman" w:cs="Times New Roman" w:eastAsia="Times New Roman" w:hint="default"/>
                <w:sz w:val="18"/>
                <w:szCs w:val="18"/>
              </w:rPr>
            </w:pPr>
            <w:r>
              <w:rPr>
                <w:rFonts w:ascii="Times New Roman"/>
                <w:sz w:val="18"/>
              </w:rPr>
              <w:t>410,62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3" w:right="0"/>
              <w:jc w:val="left"/>
              <w:rPr>
                <w:rFonts w:ascii="Times New Roman" w:hAnsi="Times New Roman" w:cs="Times New Roman" w:eastAsia="Times New Roman" w:hint="default"/>
                <w:sz w:val="18"/>
                <w:szCs w:val="18"/>
              </w:rPr>
            </w:pPr>
            <w:r>
              <w:rPr>
                <w:rFonts w:ascii="Times New Roman"/>
                <w:sz w:val="18"/>
              </w:rPr>
              <w:t>29.72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3" w:right="0"/>
              <w:jc w:val="left"/>
              <w:rPr>
                <w:rFonts w:ascii="Times New Roman" w:hAnsi="Times New Roman" w:cs="Times New Roman" w:eastAsia="Times New Roman" w:hint="default"/>
                <w:sz w:val="18"/>
                <w:szCs w:val="18"/>
              </w:rPr>
            </w:pPr>
            <w:r>
              <w:rPr>
                <w:rFonts w:ascii="Times New Roman"/>
                <w:sz w:val="18"/>
              </w:rPr>
              <w:t>190,01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4" w:right="0"/>
              <w:jc w:val="left"/>
              <w:rPr>
                <w:rFonts w:ascii="Times New Roman" w:hAnsi="Times New Roman" w:cs="Times New Roman" w:eastAsia="Times New Roman" w:hint="default"/>
                <w:sz w:val="18"/>
                <w:szCs w:val="18"/>
              </w:rPr>
            </w:pPr>
            <w:r>
              <w:rPr>
                <w:rFonts w:ascii="Times New Roman"/>
                <w:sz w:val="18"/>
              </w:rPr>
              <w:t>46.27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7" w:right="0"/>
              <w:jc w:val="left"/>
              <w:rPr>
                <w:rFonts w:ascii="Times New Roman" w:hAnsi="Times New Roman" w:cs="Times New Roman" w:eastAsia="Times New Roman" w:hint="default"/>
                <w:sz w:val="18"/>
                <w:szCs w:val="18"/>
              </w:rPr>
            </w:pPr>
            <w:r>
              <w:rPr>
                <w:rFonts w:ascii="Times New Roman"/>
                <w:sz w:val="18"/>
              </w:rPr>
              <w:t>220,61</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60"/>
              <w:jc w:val="left"/>
              <w:rPr>
                <w:rFonts w:ascii="宋体" w:hAnsi="宋体" w:cs="宋体" w:eastAsia="宋体" w:hint="default"/>
                <w:sz w:val="18"/>
                <w:szCs w:val="18"/>
              </w:rPr>
            </w:pPr>
            <w:r>
              <w:rPr>
                <w:rFonts w:ascii="宋体" w:hAnsi="宋体" w:cs="宋体" w:eastAsia="宋体" w:hint="default"/>
                <w:sz w:val="18"/>
                <w:szCs w:val="18"/>
              </w:rPr>
              <w:t>单独计提坏账准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7,901.1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6,282.3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1,618.8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734,57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6,201.3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53.16</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61,578,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010.89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672,99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8,190.4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770,5</w:t>
            </w:r>
          </w:p>
          <w:p>
            <w:pPr>
              <w:pStyle w:val="TableParagraph"/>
              <w:spacing w:line="240" w:lineRule="auto" w:before="104"/>
              <w:ind w:left="142" w:right="0"/>
              <w:jc w:val="left"/>
              <w:rPr>
                <w:rFonts w:ascii="Times New Roman" w:hAnsi="Times New Roman" w:cs="Times New Roman" w:eastAsia="Times New Roman" w:hint="default"/>
                <w:sz w:val="18"/>
                <w:szCs w:val="18"/>
              </w:rPr>
            </w:pPr>
            <w:r>
              <w:rPr>
                <w:rFonts w:ascii="Times New Roman"/>
                <w:sz w:val="18"/>
              </w:rPr>
              <w:t>11,99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0.29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99.65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73,261,</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862.14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697,250,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128.15</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236,56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3,361.2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133,67</w:t>
            </w:r>
          </w:p>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4,662.1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56.51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102,88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8,699.1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2,700</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0.35%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1,381,7</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67,463.</w:t>
            </w:r>
          </w:p>
          <w:p>
            <w:pPr>
              <w:pStyle w:val="TableParagraph"/>
              <w:spacing w:line="240" w:lineRule="auto" w:before="106"/>
              <w:ind w:left="470" w:right="0"/>
              <w:jc w:val="lef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385,26</w:t>
            </w:r>
          </w:p>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8,955.3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27.88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996,49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8,508.4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773,2</w:t>
            </w:r>
          </w:p>
          <w:p>
            <w:pPr>
              <w:pStyle w:val="TableParagraph"/>
              <w:spacing w:line="240" w:lineRule="auto" w:before="104"/>
              <w:ind w:left="142" w:right="0"/>
              <w:jc w:val="left"/>
              <w:rPr>
                <w:rFonts w:ascii="Times New Roman" w:hAnsi="Times New Roman" w:cs="Times New Roman" w:eastAsia="Times New Roman" w:hint="default"/>
                <w:sz w:val="18"/>
                <w:szCs w:val="18"/>
              </w:rPr>
            </w:pPr>
            <w:r>
              <w:rPr>
                <w:rFonts w:ascii="Times New Roman"/>
                <w:sz w:val="18"/>
              </w:rPr>
              <w:t>11,99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0.29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74,611,</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862.14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698,600,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128.15</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莱芜市雪野湖旅游产 业发展有限公司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187,868,194.54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56,360,458.36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重庆商社润物现代农 业开发有限公司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222,759,706.64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133,655,823.99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410,627,901.18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190,016,282.35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075" w:space="475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593,379,097.88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29,668,954.90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90,215,564.31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9,021,556.44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15,929,880.86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3,185,976.18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17,953,788.10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5,386,136.43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5,564,966.56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2,782,483.28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11,532,903.66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11,532,903.66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734,576,201.37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61,578,010.89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240" w:lineRule="auto" w:before="26"/>
        <w:ind w:right="982"/>
        <w:jc w:val="left"/>
      </w:pPr>
      <w:r>
        <w:rPr/>
        <w:t>□ 适用 √ 不适用</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982"/>
        <w:jc w:val="left"/>
      </w:pPr>
      <w:r>
        <w:rPr/>
        <w:t>组合中，采用其他方法计提坏账准备的应收账款：</w:t>
      </w:r>
    </w:p>
    <w:p>
      <w:pPr>
        <w:spacing w:line="240" w:lineRule="auto" w:before="4"/>
        <w:rPr>
          <w:rFonts w:ascii="宋体" w:hAnsi="宋体" w:cs="宋体" w:eastAsia="宋体" w:hint="default"/>
          <w:sz w:val="15"/>
          <w:szCs w:val="15"/>
        </w:rPr>
      </w:pPr>
    </w:p>
    <w:p>
      <w:pPr>
        <w:pStyle w:val="Heading5"/>
        <w:spacing w:line="240" w:lineRule="auto" w:before="0"/>
        <w:ind w:left="549" w:right="982"/>
        <w:jc w:val="left"/>
      </w:pPr>
      <w:r>
        <w:rPr/>
        <w:t>单项金额不重大但单独计提坏账准备的应收款项：</w:t>
      </w:r>
    </w:p>
    <w:p>
      <w:pPr>
        <w:spacing w:line="240" w:lineRule="auto" w:before="6"/>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230"/>
        <w:gridCol w:w="1683"/>
        <w:gridCol w:w="1684"/>
        <w:gridCol w:w="927"/>
        <w:gridCol w:w="1686"/>
      </w:tblGrid>
      <w:tr>
        <w:trPr>
          <w:trHeight w:val="347" w:hRule="exact"/>
        </w:trPr>
        <w:tc>
          <w:tcPr>
            <w:tcW w:w="323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9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659" w:hRule="exact"/>
        </w:trPr>
        <w:tc>
          <w:tcPr>
            <w:tcW w:w="3230" w:type="dxa"/>
            <w:vMerge/>
            <w:tcBorders>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82"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8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40" w:lineRule="auto" w:before="50"/>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计提理由</w:t>
            </w:r>
            <w:r>
              <w:rPr>
                <w:rFonts w:ascii="宋体" w:hAnsi="宋体" w:cs="宋体" w:eastAsia="宋体" w:hint="default"/>
                <w:sz w:val="20"/>
                <w:szCs w:val="20"/>
              </w:rPr>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李建明</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36,559.92</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36,559.92</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伊犁天香酒业有限责任公司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185,754.78</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185,754.78</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新疆第一窖古城酒业有限公司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121,694.86</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121,694.86</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鑫诚糖酒经销部</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183,648.00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183,648.00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乌鲁木齐同德源商贸有限公司杨义强</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135,713.88</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135,713.88</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新疆黄金田园食品有限公司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25,000.00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25,000.00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俄罗斯得力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4,439,063.56</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4,439,063.56</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安徽程虎</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2,354,575.13</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2,354,575.13</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黑龙江酒业有限责任公司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1,874,749.00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1,874,749.00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烟台华冠制盖有限公司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1,486,253.75</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1,486,253.75</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安徽金种子集团</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1,083,037.14</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1,083,037.14</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安徽金种子酒业股份有限公司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936,770.30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936,770.30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凭祥市鑫保进出口有限公司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922,473.20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922,473.20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山西梨花春酿酒集团有限公司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411,489.29</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411,489.29</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南美皮特公司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329,030.04</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329,030.04</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安徽省金瑞包装有限公司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65,937.46</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65,937.46</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威海市万泉新能源科技有限公司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59,253.00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59,253.00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安徽广宇包装科技有限公司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45,604.92</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45,604.92</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宜宾醉不倒酒业有限公司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24,226.60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24,226.60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上海欧木贸易有限公司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20,000.00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20,000.00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上海洪悦彩印包装有限公司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3,814.30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3,814.30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青岛顺东铝制品厂</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1,328.00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1,328.00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郴州华盛麓峰房地产开发有限公司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4,959,275.54</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2,479,637.77</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重庆合景实业集团有限公司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4,007,298.20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4,007,298.20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湖南华盛吉祥置业有限公司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2,291,514.10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1,145,757.05</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四川省渠县交通发展有限公司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70,000,000.00</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35,000,000.00</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攀枝花公路建设有限公司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128,526,608.66</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64,263,304.33</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347"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金茂（丽江）置业有限公司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12,032,687.62</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12,032,687.62</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b/>
                <w:w w:val="95"/>
                <w:sz w:val="18"/>
              </w:rPr>
              <w:t>236,563,361.25</w:t>
            </w:r>
            <w:r>
              <w:rPr>
                <w:rFonts w:ascii="宋体"/>
                <w:sz w:val="18"/>
              </w:rPr>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b/>
                <w:w w:val="95"/>
                <w:sz w:val="18"/>
              </w:rPr>
              <w:t>133,674,662.10</w:t>
            </w:r>
            <w:r>
              <w:rPr>
                <w:rFonts w:ascii="宋体"/>
                <w:sz w:val="18"/>
              </w:rPr>
            </w:r>
          </w:p>
        </w:tc>
        <w:tc>
          <w:tcPr>
            <w:tcW w:w="92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right="982"/>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号——上市公司从事土木工程建筑业务》的披露要求</w:t>
      </w:r>
    </w:p>
    <w:p>
      <w:pPr>
        <w:pStyle w:val="BodyText"/>
        <w:spacing w:line="240" w:lineRule="auto" w:before="102"/>
        <w:ind w:right="98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982"/>
        <w:jc w:val="left"/>
      </w:pPr>
      <w:r>
        <w:rPr/>
        <w:t>本期计提坏账准备金额</w:t>
      </w:r>
      <w:r>
        <w:rPr>
          <w:spacing w:val="-47"/>
        </w:rPr>
        <w:t> </w:t>
      </w:r>
      <w:r>
        <w:rPr>
          <w:rFonts w:ascii="Times New Roman" w:hAnsi="Times New Roman" w:cs="Times New Roman" w:eastAsia="Times New Roman" w:hint="default"/>
        </w:rPr>
        <w:t>310,657,093.20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982"/>
        <w:jc w:val="left"/>
      </w:pPr>
      <w:r>
        <w:rPr>
          <w:rFonts w:ascii="Times New Roman" w:hAnsi="Times New Roman" w:cs="Times New Roman" w:eastAsia="Times New Roman" w:hint="default"/>
        </w:rPr>
        <w:t>3)</w:t>
      </w:r>
      <w:r>
        <w:rPr/>
        <w:t>本期实际核销的应收账款情况</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82"/>
        <w:jc w:val="left"/>
      </w:pPr>
      <w:r>
        <w:rPr/>
        <w:t>本报告期公司无实际核销坏账准备情况。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98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250" w:type="dxa"/>
        <w:tblLayout w:type="fixed"/>
        <w:tblCellMar>
          <w:top w:w="0" w:type="dxa"/>
          <w:left w:w="0" w:type="dxa"/>
          <w:bottom w:w="0" w:type="dxa"/>
          <w:right w:w="0" w:type="dxa"/>
        </w:tblCellMar>
        <w:tblLook w:val="01E0"/>
      </w:tblPr>
      <w:tblGrid>
        <w:gridCol w:w="3545"/>
        <w:gridCol w:w="1844"/>
        <w:gridCol w:w="1559"/>
        <w:gridCol w:w="1843"/>
      </w:tblGrid>
      <w:tr>
        <w:trPr>
          <w:trHeight w:val="71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77" w:right="142" w:hanging="136"/>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遵义红创文化旅游开发有限责任公司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233,547,056.45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16.90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11,813,422.90</w:t>
            </w:r>
          </w:p>
        </w:tc>
      </w:tr>
      <w:tr>
        <w:trPr>
          <w:trHeight w:val="46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重庆商社润物现代农业开发有限公司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222,759,706.64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16.12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133,655,823.98</w:t>
            </w:r>
          </w:p>
        </w:tc>
      </w:tr>
      <w:tr>
        <w:trPr>
          <w:trHeight w:val="46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莱芜市雪野湖旅游产业发展有限公司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187,868,194.54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13.60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56,360,458.36</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攀枝花公路建设有限公司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128,526,608.66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9.30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64,263,304.33</w:t>
            </w:r>
          </w:p>
        </w:tc>
      </w:tr>
      <w:tr>
        <w:trPr>
          <w:trHeight w:val="46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遵义市红花岗区深溪镇人民政府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95,613,563.13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6.92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4,780,678.16</w:t>
            </w:r>
          </w:p>
        </w:tc>
      </w:tr>
      <w:tr>
        <w:trPr>
          <w:trHeight w:val="46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b/>
                <w:w w:val="95"/>
                <w:sz w:val="18"/>
              </w:rPr>
              <w:t>868,315,129.42</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b/>
                <w:w w:val="95"/>
                <w:sz w:val="18"/>
              </w:rPr>
              <w:t>62.84</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宋体" w:hAnsi="宋体" w:cs="宋体" w:eastAsia="宋体" w:hint="default"/>
                <w:sz w:val="18"/>
                <w:szCs w:val="18"/>
              </w:rPr>
            </w:pPr>
            <w:r>
              <w:rPr>
                <w:rFonts w:ascii="宋体"/>
                <w:b/>
                <w:w w:val="95"/>
                <w:sz w:val="18"/>
              </w:rPr>
              <w:t>270,873,687.73</w:t>
            </w:r>
            <w:r>
              <w:rPr>
                <w:rFonts w:ascii="宋体"/>
                <w:sz w:val="18"/>
              </w:rPr>
            </w:r>
          </w:p>
        </w:tc>
      </w:tr>
    </w:tbl>
    <w:p>
      <w:pPr>
        <w:spacing w:line="240" w:lineRule="auto" w:before="5"/>
        <w:rPr>
          <w:rFonts w:ascii="宋体" w:hAnsi="宋体" w:cs="宋体" w:eastAsia="宋体" w:hint="default"/>
          <w:sz w:val="24"/>
          <w:szCs w:val="24"/>
        </w:rPr>
      </w:pPr>
    </w:p>
    <w:p>
      <w:pPr>
        <w:pStyle w:val="BodyText"/>
        <w:spacing w:line="240" w:lineRule="auto" w:before="44"/>
        <w:ind w:right="982"/>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pStyle w:val="BodyText"/>
        <w:spacing w:line="240" w:lineRule="auto" w:before="41"/>
        <w:ind w:right="982"/>
        <w:jc w:val="left"/>
      </w:pPr>
      <w:r>
        <w:rPr>
          <w:rFonts w:ascii="Times New Roman" w:hAnsi="Times New Roman" w:cs="Times New Roman" w:eastAsia="Times New Roman" w:hint="default"/>
        </w:rPr>
        <w:t>7</w:t>
      </w:r>
      <w:r>
        <w:rPr/>
        <w:t>）报告期内公司应收账款中无持公司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w:t>
      </w:r>
    </w:p>
    <w:p>
      <w:pPr>
        <w:pStyle w:val="BodyText"/>
        <w:spacing w:line="240" w:lineRule="auto" w:before="63"/>
        <w:ind w:right="982"/>
        <w:jc w:val="left"/>
      </w:pPr>
      <w:r>
        <w:rPr>
          <w:rFonts w:ascii="Times New Roman" w:hAnsi="Times New Roman" w:cs="Times New Roman" w:eastAsia="Times New Roman" w:hint="default"/>
        </w:rPr>
        <w:t>8)</w:t>
      </w:r>
      <w:r>
        <w:rPr/>
        <w:t>报告期内公司无以应收款项为标的进行证券化的交易情况。</w:t>
      </w:r>
    </w:p>
    <w:p>
      <w:pPr>
        <w:pStyle w:val="BodyText"/>
        <w:spacing w:line="240" w:lineRule="auto" w:before="63"/>
        <w:ind w:right="982"/>
        <w:jc w:val="left"/>
      </w:pPr>
      <w:r>
        <w:rPr>
          <w:rFonts w:ascii="Times New Roman" w:hAnsi="Times New Roman" w:cs="Times New Roman" w:eastAsia="Times New Roman" w:hint="default"/>
        </w:rPr>
        <w:t>9)</w:t>
      </w:r>
      <w:r>
        <w:rPr/>
        <w:t>因抵押、质押或冻结等对使用有限制的应收账款明细如下：</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62"/>
        <w:gridCol w:w="3070"/>
        <w:gridCol w:w="3069"/>
      </w:tblGrid>
      <w:tr>
        <w:trPr>
          <w:trHeight w:val="363"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345"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r>
      <w:tr>
        <w:trPr>
          <w:trHeight w:val="362"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宁波市政工程建设集团股份有限公司</w:t>
            </w:r>
          </w:p>
        </w:tc>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16,220,317.13</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1346"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361"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遵义市红花岗区深溪镇人民政府</w:t>
            </w:r>
          </w:p>
        </w:tc>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48,432,200.00</w:t>
            </w:r>
          </w:p>
        </w:tc>
        <w:tc>
          <w:tcPr>
            <w:tcW w:w="30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1346" w:right="0"/>
              <w:jc w:val="left"/>
              <w:rPr>
                <w:rFonts w:ascii="宋体" w:hAnsi="宋体" w:cs="宋体" w:eastAsia="宋体" w:hint="default"/>
                <w:sz w:val="18"/>
                <w:szCs w:val="18"/>
              </w:rPr>
            </w:pPr>
            <w:r>
              <w:rPr>
                <w:rFonts w:ascii="宋体" w:hAnsi="宋体" w:cs="宋体" w:eastAsia="宋体" w:hint="default"/>
                <w:sz w:val="18"/>
                <w:szCs w:val="18"/>
              </w:rPr>
              <w:t>冻结</w:t>
            </w:r>
          </w:p>
        </w:tc>
      </w:tr>
      <w:tr>
        <w:trPr>
          <w:trHeight w:val="362" w:hRule="exact"/>
        </w:trPr>
        <w:tc>
          <w:tcPr>
            <w:tcW w:w="2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64,652,517.13</w:t>
            </w:r>
            <w:r>
              <w:rPr>
                <w:rFonts w:ascii="宋体"/>
                <w:sz w:val="18"/>
              </w:rPr>
            </w:r>
          </w:p>
        </w:tc>
        <w:tc>
          <w:tcPr>
            <w:tcW w:w="306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预付款项" w:id="247"/>
      <w:bookmarkEnd w:id="247"/>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预付款项按账龄列示" w:id="248"/>
      <w:bookmarkEnd w:id="24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8,661,940.65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23,875,075.51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6,023,309.72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617,059.28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106,660.04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165,108.98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493,807.41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352,159.02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15,285,717.82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25,009,402.79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报告期内无账龄超过</w:t>
      </w:r>
      <w:r>
        <w:rPr>
          <w:rFonts w:ascii="Times New Roman" w:hAnsi="Times New Roman" w:cs="Times New Roman" w:eastAsia="Times New Roman" w:hint="default"/>
        </w:rPr>
        <w:t>1</w:t>
      </w:r>
      <w:r>
        <w:rPr/>
        <w:t>年且金额重大的预付款项。</w:t>
      </w:r>
    </w:p>
    <w:p>
      <w:pPr>
        <w:spacing w:after="0" w:line="338"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35"/>
        <w:ind w:right="982"/>
        <w:jc w:val="left"/>
        <w:rPr>
          <w:b w:val="0"/>
          <w:bCs w:val="0"/>
        </w:rPr>
      </w:pPr>
      <w:bookmarkStart w:name="（2）按预付对象归集的期末余额前五名的预付款情况" w:id="249"/>
      <w:bookmarkEnd w:id="24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970"/>
        <w:gridCol w:w="2551"/>
        <w:gridCol w:w="2552"/>
      </w:tblGrid>
      <w:tr>
        <w:trPr>
          <w:trHeight w:val="675"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861" w:right="635" w:hanging="226"/>
              <w:jc w:val="left"/>
              <w:rPr>
                <w:rFonts w:ascii="宋体" w:hAnsi="宋体" w:cs="宋体" w:eastAsia="宋体" w:hint="default"/>
                <w:sz w:val="18"/>
                <w:szCs w:val="18"/>
              </w:rPr>
            </w:pPr>
            <w:r>
              <w:rPr>
                <w:rFonts w:ascii="宋体" w:hAnsi="宋体" w:cs="宋体" w:eastAsia="宋体" w:hint="default"/>
                <w:b/>
                <w:bCs/>
                <w:sz w:val="18"/>
                <w:szCs w:val="18"/>
              </w:rPr>
              <w:t>占预付款项总额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61"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肥城金塔机械科技有限公司</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4,692,000.00</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30.70</w:t>
            </w:r>
          </w:p>
        </w:tc>
      </w:tr>
      <w:tr>
        <w:trPr>
          <w:trHeight w:val="36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广东中科天元新能源科技有限公司</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3,000,000.00</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19.63</w:t>
            </w:r>
          </w:p>
        </w:tc>
      </w:tr>
      <w:tr>
        <w:trPr>
          <w:trHeight w:val="36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安丘市鼎正机械设备有限公司</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1,170,000.00</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7.65</w:t>
            </w:r>
          </w:p>
        </w:tc>
      </w:tr>
      <w:tr>
        <w:trPr>
          <w:trHeight w:val="361"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道恩化学有限公司</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935,709.74</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6.12</w:t>
            </w:r>
          </w:p>
        </w:tc>
      </w:tr>
      <w:tr>
        <w:trPr>
          <w:trHeight w:val="36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济南锅炉集团有限公司</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659,482.76</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4.31</w:t>
            </w:r>
          </w:p>
        </w:tc>
      </w:tr>
      <w:tr>
        <w:trPr>
          <w:trHeight w:val="36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b/>
                <w:w w:val="95"/>
                <w:sz w:val="18"/>
              </w:rPr>
              <w:t>10,457,192.50</w:t>
            </w:r>
            <w:r>
              <w:rPr>
                <w:rFonts w:ascii="宋体"/>
                <w:sz w:val="18"/>
              </w:rPr>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w w:val="95"/>
                <w:sz w:val="18"/>
              </w:rPr>
              <w:t>68.41</w:t>
            </w:r>
            <w:r>
              <w:rPr>
                <w:rFonts w:ascii="宋体"/>
                <w:sz w:val="18"/>
              </w:rPr>
            </w:r>
          </w:p>
        </w:tc>
      </w:tr>
    </w:tbl>
    <w:p>
      <w:pPr>
        <w:spacing w:line="240" w:lineRule="auto" w:before="5"/>
        <w:rPr>
          <w:rFonts w:ascii="宋体" w:hAnsi="宋体" w:cs="宋体" w:eastAsia="宋体" w:hint="default"/>
          <w:b/>
          <w:bCs/>
          <w:sz w:val="24"/>
          <w:szCs w:val="24"/>
        </w:rPr>
      </w:pPr>
    </w:p>
    <w:p>
      <w:pPr>
        <w:pStyle w:val="BodyText"/>
        <w:spacing w:line="357" w:lineRule="auto" w:before="44"/>
        <w:ind w:right="4152"/>
        <w:jc w:val="left"/>
      </w:pPr>
      <w:r>
        <w:rPr/>
        <w:t>其他说明： 报告期内预付款项中无预付持公司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4"/>
        <w:spacing w:line="240" w:lineRule="auto"/>
        <w:ind w:right="982"/>
        <w:jc w:val="left"/>
        <w:rPr>
          <w:b w:val="0"/>
          <w:bCs w:val="0"/>
        </w:rPr>
      </w:pPr>
      <w:bookmarkStart w:name="4、其他应收款" w:id="250"/>
      <w:bookmarkEnd w:id="250"/>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475,342.47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154,944,461.59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212,408,075.08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155,419,804.06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212,408,075.08</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应收利息" w:id="251"/>
      <w:bookmarkEnd w:id="25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475,342.47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475,342.47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应收股利" w:id="252"/>
      <w:bookmarkEnd w:id="25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3）其他应收款" w:id="253"/>
      <w:bookmarkEnd w:id="25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3839"/>
        <w:gridCol w:w="4093"/>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23.17</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13,800,</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32,200,</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000.00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1,481.4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72.44</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21,047,</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019.88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14.64</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122,74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4,461.5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16,82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4.57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81.78</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23,828,</w:t>
            </w:r>
          </w:p>
          <w:p>
            <w:pPr>
              <w:pStyle w:val="TableParagraph"/>
              <w:spacing w:line="240" w:lineRule="auto" w:before="106"/>
              <w:ind w:left="206" w:right="0"/>
              <w:jc w:val="left"/>
              <w:rPr>
                <w:rFonts w:ascii="Times New Roman" w:hAnsi="Times New Roman" w:cs="Times New Roman" w:eastAsia="Times New Roman" w:hint="default"/>
                <w:sz w:val="18"/>
                <w:szCs w:val="18"/>
              </w:rPr>
            </w:pPr>
            <w:r>
              <w:rPr>
                <w:rFonts w:ascii="Times New Roman"/>
                <w:sz w:val="18"/>
              </w:rPr>
              <w:t>749.49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169,788,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075.08</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8,715,4</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47.02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4.39%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8,715,4</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47.02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43,14</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0,447</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18.22</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520,447</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42,620,0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6,928.4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43,562,</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466.90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21.95</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154,94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4,461.5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236,7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57,27</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24,349,</w:t>
            </w:r>
          </w:p>
          <w:p>
            <w:pPr>
              <w:pStyle w:val="TableParagraph"/>
              <w:spacing w:line="240" w:lineRule="auto" w:before="106"/>
              <w:ind w:left="206" w:right="0"/>
              <w:jc w:val="left"/>
              <w:rPr>
                <w:rFonts w:ascii="Times New Roman" w:hAnsi="Times New Roman" w:cs="Times New Roman" w:eastAsia="Times New Roman" w:hint="default"/>
                <w:sz w:val="18"/>
                <w:szCs w:val="18"/>
              </w:rPr>
            </w:pPr>
            <w:r>
              <w:rPr>
                <w:rFonts w:ascii="Times New Roman"/>
                <w:sz w:val="18"/>
              </w:rPr>
              <w:t>196.51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212,408,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075.08</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435" w:space="439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重庆商社润物现代农 业开发有限公司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7" w:right="0"/>
              <w:jc w:val="left"/>
              <w:rPr>
                <w:rFonts w:ascii="Times New Roman" w:hAnsi="Times New Roman" w:cs="Times New Roman" w:eastAsia="Times New Roman" w:hint="default"/>
                <w:sz w:val="18"/>
                <w:szCs w:val="18"/>
              </w:rPr>
            </w:pPr>
            <w:r>
              <w:rPr>
                <w:rFonts w:ascii="Times New Roman"/>
                <w:sz w:val="18"/>
              </w:rPr>
              <w:t>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海通恒信国际租赁股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不存在回收风险</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34,289,737.94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1,714,486.90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68,907,247.60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6,890,724.76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13,968,849.37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2,793,769.87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23,030,399.58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6,909,119.87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1,712,657.00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856,328.50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1,882,589.98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1,882,589.98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143,791,481.47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21,047,019.88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确定该组合依据的说明：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982"/>
        <w:jc w:val="left"/>
      </w:pPr>
      <w:r>
        <w:rPr/>
        <w:t>组合中，采用余额百分比法计提坏账准备的其他应收款：</w:t>
      </w:r>
    </w:p>
    <w:p>
      <w:pPr>
        <w:pStyle w:val="BodyText"/>
        <w:spacing w:line="357" w:lineRule="auto" w:before="117"/>
        <w:ind w:right="6612"/>
        <w:jc w:val="left"/>
      </w:pPr>
      <w:r>
        <w:rPr/>
        <w:t>□ 适用 √ 不适用 组合中，采用其他方法计提坏账准备的其他应收款：</w:t>
      </w:r>
    </w:p>
    <w:p>
      <w:pPr>
        <w:pStyle w:val="BodyText"/>
        <w:spacing w:line="240" w:lineRule="auto" w:before="28"/>
        <w:ind w:right="982"/>
        <w:jc w:val="left"/>
      </w:pPr>
      <w:r>
        <w:rPr/>
        <w:t>√ 适用 □ 不适用</w:t>
      </w:r>
    </w:p>
    <w:p>
      <w:pPr>
        <w:pStyle w:val="Heading5"/>
        <w:spacing w:line="240" w:lineRule="auto" w:before="90"/>
        <w:ind w:right="982"/>
        <w:jc w:val="left"/>
      </w:pPr>
      <w:r>
        <w:rPr/>
        <w:t>单项金额不重大但单独计提坏账准备的其他应收款：</w:t>
      </w:r>
    </w:p>
    <w:p>
      <w:pPr>
        <w:spacing w:line="240" w:lineRule="auto" w:before="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033"/>
        <w:gridCol w:w="1586"/>
        <w:gridCol w:w="1440"/>
        <w:gridCol w:w="1442"/>
        <w:gridCol w:w="1600"/>
      </w:tblGrid>
      <w:tr>
        <w:trPr>
          <w:trHeight w:val="361" w:hRule="exact"/>
        </w:trPr>
        <w:tc>
          <w:tcPr>
            <w:tcW w:w="3033" w:type="dxa"/>
            <w:vMerge w:val="restart"/>
            <w:tcBorders>
              <w:top w:val="single" w:sz="12"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067" w:type="dxa"/>
            <w:gridSpan w:val="4"/>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35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62" w:hRule="exact"/>
        </w:trPr>
        <w:tc>
          <w:tcPr>
            <w:tcW w:w="3033" w:type="dxa"/>
            <w:vMerge/>
            <w:tcBorders>
              <w:left w:val="single" w:sz="6" w:space="0" w:color="000000"/>
              <w:bottom w:val="single" w:sz="12" w:space="0" w:color="000000"/>
              <w:right w:val="single" w:sz="6" w:space="0" w:color="000000"/>
            </w:tcBorders>
          </w:tcPr>
          <w:p>
            <w:pP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3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5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2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62" w:hRule="exact"/>
        </w:trPr>
        <w:tc>
          <w:tcPr>
            <w:tcW w:w="3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重庆合景实业集团有限公司</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185,000.00</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185,000.00</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100.00</w:t>
            </w: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1" w:hRule="exact"/>
        </w:trPr>
        <w:tc>
          <w:tcPr>
            <w:tcW w:w="3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鲜文彬</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520,447.02</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520,447.02</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100.00</w:t>
            </w: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李远基</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500,000.00</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500,000.00</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w:t>
            </w: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金茂（丽江）置业有限公司</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10,000.00</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10,000.00</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100.00</w:t>
            </w: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1" w:hRule="exact"/>
        </w:trPr>
        <w:tc>
          <w:tcPr>
            <w:tcW w:w="3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重庆市禾米建筑工程有限公司</w:t>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7,500,000.00</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7,500,000.00</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100.00</w:t>
            </w: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b/>
                <w:w w:val="95"/>
                <w:sz w:val="18"/>
              </w:rPr>
              <w:t>8,715,447.02</w:t>
            </w:r>
            <w:r>
              <w:rPr>
                <w:rFonts w:ascii="宋体"/>
                <w:sz w:val="18"/>
              </w:rPr>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8,715,447.02</w:t>
            </w:r>
            <w:r>
              <w:rPr>
                <w:rFonts w:ascii="宋体"/>
                <w:sz w:val="18"/>
              </w:rPr>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100.00</w:t>
            </w:r>
            <w:r>
              <w:rPr>
                <w:rFonts w:ascii="宋体"/>
                <w:sz w:val="18"/>
              </w:rPr>
            </w:r>
          </w:p>
        </w:tc>
        <w:tc>
          <w:tcPr>
            <w:tcW w:w="160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07" w:footer="1019" w:top="1100" w:bottom="1200" w:left="1020" w:right="0"/>
        </w:sectPr>
      </w:pPr>
    </w:p>
    <w:p>
      <w:pPr>
        <w:pStyle w:val="BodyText"/>
        <w:spacing w:line="240" w:lineRule="auto" w:before="44"/>
        <w:ind w:right="-14"/>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4"/>
        <w:ind w:right="-14"/>
        <w:jc w:val="left"/>
      </w:pPr>
      <w:r>
        <w:rPr/>
        <w:t>本期计提坏账准备金额</w:t>
      </w:r>
      <w:r>
        <w:rPr>
          <w:spacing w:val="-47"/>
        </w:rPr>
        <w:t> </w:t>
      </w:r>
      <w:r>
        <w:rPr>
          <w:rFonts w:ascii="Times New Roman" w:hAnsi="Times New Roman" w:cs="Times New Roman" w:eastAsia="Times New Roman" w:hint="default"/>
        </w:rPr>
        <w:t>19,213,270.39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4"/>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right="-14"/>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6504" w:space="2325"/>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1,962,596.74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3,104,247.47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172,872,735.27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230,532,543.54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2,557,617.50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1,400,170.87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21,113,978.98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1,720,309.71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198,506,928.49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236,757,271.59</w:t>
            </w:r>
          </w:p>
        </w:tc>
      </w:tr>
    </w:tbl>
    <w:p>
      <w:pPr>
        <w:pStyle w:val="BodyText"/>
        <w:spacing w:line="240" w:lineRule="auto" w:before="51"/>
        <w:ind w:right="98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成都青蒲建设发 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45,000,000.00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4,500,000.00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海通恒信国际租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23,000,000.00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11.59%</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赁股份有限公司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重庆商社润物现 代农业开发有限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重庆城建控股（集</w:t>
            </w:r>
            <w:r>
              <w:rPr>
                <w:rFonts w:ascii="宋体" w:hAnsi="宋体" w:cs="宋体" w:eastAsia="宋体" w:hint="default"/>
                <w:sz w:val="18"/>
                <w:szCs w:val="18"/>
              </w:rPr>
              <w:t> </w:t>
            </w:r>
            <w:r>
              <w:rPr>
                <w:rFonts w:ascii="宋体" w:hAnsi="宋体" w:cs="宋体" w:eastAsia="宋体" w:hint="default"/>
                <w:spacing w:val="-8"/>
                <w:sz w:val="18"/>
                <w:szCs w:val="18"/>
              </w:rPr>
              <w:t>团）有限责任公司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22,022,000.00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6,606,600.00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远东国际租赁有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135,022,000.00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28,306,600.00</w:t>
            </w:r>
          </w:p>
        </w:tc>
      </w:tr>
    </w:tbl>
    <w:p>
      <w:pPr>
        <w:pStyle w:val="BodyText"/>
        <w:spacing w:line="240" w:lineRule="auto" w:before="51"/>
        <w:ind w:right="982"/>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2" w:right="143" w:hanging="450"/>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pStyle w:val="BodyText"/>
        <w:spacing w:line="240" w:lineRule="auto" w:before="51"/>
        <w:ind w:right="982"/>
        <w:jc w:val="left"/>
      </w:pPr>
      <w:r>
        <w:rPr>
          <w:rFonts w:ascii="Times New Roman" w:hAnsi="Times New Roman" w:cs="Times New Roman" w:eastAsia="Times New Roman" w:hint="default"/>
        </w:rPr>
        <w:t>7)</w:t>
      </w:r>
      <w:r>
        <w:rPr/>
        <w:t>因金融资产转移而终止确认的其他应收款</w:t>
      </w:r>
    </w:p>
    <w:p>
      <w:pPr>
        <w:pStyle w:val="BodyText"/>
        <w:spacing w:line="34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r>
        <w:rPr>
          <w:w w:val="99"/>
        </w:rPr>
        <w:t> </w:t>
      </w:r>
      <w:r>
        <w:rPr>
          <w:rFonts w:ascii="Times New Roman" w:hAnsi="Times New Roman" w:cs="Times New Roman" w:eastAsia="Times New Roman" w:hint="default"/>
        </w:rPr>
        <w:t>9</w:t>
      </w:r>
      <w:r>
        <w:rPr/>
        <w:t>）报告期内公司无终止确认的其他应收款的情况。</w:t>
      </w:r>
    </w:p>
    <w:p>
      <w:pPr>
        <w:pStyle w:val="BodyText"/>
        <w:spacing w:line="222" w:lineRule="exact"/>
        <w:ind w:right="982"/>
        <w:jc w:val="left"/>
      </w:pPr>
      <w:r>
        <w:rPr>
          <w:rFonts w:ascii="Times New Roman" w:hAnsi="Times New Roman" w:cs="Times New Roman" w:eastAsia="Times New Roman" w:hint="default"/>
        </w:rPr>
        <w:t>10</w:t>
      </w:r>
      <w:r>
        <w:rPr/>
        <w:t>）报告期内公司无以其他应收款进行证券化的交易情况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982"/>
        <w:jc w:val="left"/>
        <w:rPr>
          <w:b w:val="0"/>
          <w:bCs w:val="0"/>
        </w:rPr>
      </w:pPr>
      <w:bookmarkStart w:name="5、存货" w:id="254"/>
      <w:bookmarkEnd w:id="254"/>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right="982"/>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74,707,329.77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11,732,867.36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62,974,462.41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85,347,538.54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85,347,538.54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1,418,898.99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505,575.68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913,323.31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129,402,968.60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51,030,596.16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78,372,372.44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129,656,649.83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5,760,400.96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123,896,248.87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1,096,251.52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1,096,251.52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839,910.99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839,910.99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17,628,875.41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332,910.00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17,295,965.41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16,170,948.41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16,170,948.41</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734,347,128.21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734,347,128.21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1,069,825,839.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1,069,825,839.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27,189,469.71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10,771,712.24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16,417,757.47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31,450,578.17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31,450,578.17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985,790,922.21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74,373,661.44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911,417,260.77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1,333,291,465.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5,760,400.96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1,327,531,064.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83</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340"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号——上市公司从事珠宝相关业务》的披露要求 否</w:t>
      </w:r>
    </w:p>
    <w:p>
      <w:pPr>
        <w:spacing w:line="240" w:lineRule="auto" w:before="12"/>
        <w:rPr>
          <w:rFonts w:ascii="宋体" w:hAnsi="宋体" w:cs="宋体" w:eastAsia="宋体" w:hint="default"/>
          <w:sz w:val="20"/>
          <w:szCs w:val="20"/>
        </w:rPr>
      </w:pPr>
    </w:p>
    <w:p>
      <w:pPr>
        <w:pStyle w:val="Heading4"/>
        <w:spacing w:line="240" w:lineRule="auto"/>
        <w:ind w:right="982"/>
        <w:jc w:val="left"/>
        <w:rPr>
          <w:b w:val="0"/>
          <w:bCs w:val="0"/>
        </w:rPr>
      </w:pPr>
      <w:bookmarkStart w:name="（2）存货跌价准备" w:id="256"/>
      <w:bookmarkEnd w:id="25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11,732,867.36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11,732,867.36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505,575.68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505,575.68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5,760,400.96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46,910,925.33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1,640,730.13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51,030,596.16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332,910.00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332,910.00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10,771,712.24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10,771,712.24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5,760,400.96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70,253,990.61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1,640,730.13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74,373,661.44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702"/>
        <w:gridCol w:w="2552"/>
        <w:gridCol w:w="2411"/>
        <w:gridCol w:w="2409"/>
      </w:tblGrid>
      <w:tr>
        <w:trPr>
          <w:trHeight w:val="788" w:hRule="exact"/>
        </w:trPr>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计提存货跌价准备的依据</w:t>
            </w:r>
            <w:r>
              <w:rPr>
                <w:rFonts w:ascii="宋体" w:hAnsi="宋体" w:cs="宋体" w:eastAsia="宋体" w:hint="default"/>
                <w:sz w:val="18"/>
                <w:szCs w:val="18"/>
              </w:rPr>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360" w:lineRule="auto" w:before="62"/>
              <w:ind w:left="565" w:right="565" w:firstLine="91"/>
              <w:jc w:val="left"/>
              <w:rPr>
                <w:rFonts w:ascii="宋体" w:hAnsi="宋体" w:cs="宋体" w:eastAsia="宋体" w:hint="default"/>
                <w:sz w:val="18"/>
                <w:szCs w:val="18"/>
              </w:rPr>
            </w:pPr>
            <w:r>
              <w:rPr>
                <w:rFonts w:ascii="宋体" w:hAnsi="宋体" w:cs="宋体" w:eastAsia="宋体" w:hint="default"/>
                <w:b/>
                <w:bCs/>
                <w:sz w:val="18"/>
                <w:szCs w:val="18"/>
              </w:rPr>
              <w:t>本期转回存货</w:t>
            </w:r>
            <w:r>
              <w:rPr>
                <w:rFonts w:ascii="宋体" w:hAnsi="宋体" w:cs="宋体" w:eastAsia="宋体" w:hint="default"/>
                <w:b/>
                <w:bCs/>
                <w:w w:val="99"/>
                <w:sz w:val="18"/>
                <w:szCs w:val="18"/>
              </w:rPr>
              <w:t> </w:t>
            </w:r>
            <w:r>
              <w:rPr>
                <w:rFonts w:ascii="宋体" w:hAnsi="宋体" w:cs="宋体" w:eastAsia="宋体" w:hint="default"/>
                <w:b/>
                <w:bCs/>
                <w:sz w:val="18"/>
                <w:szCs w:val="18"/>
              </w:rPr>
              <w:t>跌价准备的原因</w:t>
            </w:r>
            <w:r>
              <w:rPr>
                <w:rFonts w:ascii="宋体" w:hAnsi="宋体" w:cs="宋体" w:eastAsia="宋体" w:hint="default"/>
                <w:sz w:val="18"/>
                <w:szCs w:val="18"/>
              </w:rPr>
            </w:r>
          </w:p>
        </w:tc>
        <w:tc>
          <w:tcPr>
            <w:tcW w:w="2409" w:type="dxa"/>
            <w:tcBorders>
              <w:top w:val="single" w:sz="6" w:space="0" w:color="000000"/>
              <w:left w:val="single" w:sz="6" w:space="0" w:color="000000"/>
              <w:bottom w:val="single" w:sz="12" w:space="0" w:color="000000"/>
              <w:right w:val="nil" w:sz="6" w:space="0" w:color="auto"/>
            </w:tcBorders>
          </w:tcPr>
          <w:p>
            <w:pPr>
              <w:pStyle w:val="TableParagraph"/>
              <w:spacing w:line="360" w:lineRule="auto" w:before="62"/>
              <w:ind w:left="565" w:right="570" w:firstLine="90"/>
              <w:jc w:val="left"/>
              <w:rPr>
                <w:rFonts w:ascii="宋体" w:hAnsi="宋体" w:cs="宋体" w:eastAsia="宋体" w:hint="default"/>
                <w:sz w:val="18"/>
                <w:szCs w:val="18"/>
              </w:rPr>
            </w:pPr>
            <w:r>
              <w:rPr>
                <w:rFonts w:ascii="宋体" w:hAnsi="宋体" w:cs="宋体" w:eastAsia="宋体" w:hint="default"/>
                <w:b/>
                <w:bCs/>
                <w:sz w:val="18"/>
                <w:szCs w:val="18"/>
              </w:rPr>
              <w:t>本期转销存货</w:t>
            </w:r>
            <w:r>
              <w:rPr>
                <w:rFonts w:ascii="宋体" w:hAnsi="宋体" w:cs="宋体" w:eastAsia="宋体" w:hint="default"/>
                <w:b/>
                <w:bCs/>
                <w:w w:val="99"/>
                <w:sz w:val="18"/>
                <w:szCs w:val="18"/>
              </w:rPr>
              <w:t> </w:t>
            </w:r>
            <w:r>
              <w:rPr>
                <w:rFonts w:ascii="宋体" w:hAnsi="宋体" w:cs="宋体" w:eastAsia="宋体" w:hint="default"/>
                <w:b/>
                <w:bCs/>
                <w:sz w:val="18"/>
                <w:szCs w:val="18"/>
              </w:rPr>
              <w:t>跌价准备的原因</w:t>
            </w:r>
            <w:r>
              <w:rPr>
                <w:rFonts w:ascii="宋体" w:hAnsi="宋体" w:cs="宋体" w:eastAsia="宋体" w:hint="default"/>
                <w:sz w:val="18"/>
                <w:szCs w:val="18"/>
              </w:rPr>
            </w:r>
          </w:p>
        </w:tc>
      </w:tr>
      <w:tr>
        <w:trPr>
          <w:trHeight w:val="43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1" w:type="dxa"/>
            <w:tcBorders>
              <w:top w:val="single" w:sz="12" w:space="0" w:color="000000"/>
              <w:left w:val="single" w:sz="6" w:space="0" w:color="000000"/>
              <w:bottom w:val="single" w:sz="12" w:space="0" w:color="000000"/>
              <w:right w:val="single" w:sz="6" w:space="0" w:color="000000"/>
            </w:tcBorders>
          </w:tcPr>
          <w:p>
            <w:pPr/>
          </w:p>
        </w:tc>
        <w:tc>
          <w:tcPr>
            <w:tcW w:w="2409"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1" w:type="dxa"/>
            <w:tcBorders>
              <w:top w:val="single" w:sz="12" w:space="0" w:color="000000"/>
              <w:left w:val="single" w:sz="6" w:space="0" w:color="000000"/>
              <w:bottom w:val="single" w:sz="12" w:space="0" w:color="000000"/>
              <w:right w:val="single" w:sz="6" w:space="0" w:color="000000"/>
            </w:tcBorders>
          </w:tcPr>
          <w:p>
            <w:pPr/>
          </w:p>
        </w:tc>
        <w:tc>
          <w:tcPr>
            <w:tcW w:w="2409"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1" w:type="dxa"/>
            <w:tcBorders>
              <w:top w:val="single" w:sz="12" w:space="0" w:color="000000"/>
              <w:left w:val="single" w:sz="6" w:space="0" w:color="000000"/>
              <w:bottom w:val="single" w:sz="12" w:space="0" w:color="000000"/>
              <w:right w:val="single" w:sz="6" w:space="0" w:color="000000"/>
            </w:tcBorders>
          </w:tcPr>
          <w:p>
            <w:pPr/>
          </w:p>
        </w:tc>
        <w:tc>
          <w:tcPr>
            <w:tcW w:w="24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出售</w:t>
            </w:r>
          </w:p>
        </w:tc>
      </w:tr>
      <w:tr>
        <w:trPr>
          <w:trHeight w:val="43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1" w:type="dxa"/>
            <w:tcBorders>
              <w:top w:val="single" w:sz="12" w:space="0" w:color="000000"/>
              <w:left w:val="single" w:sz="6" w:space="0" w:color="000000"/>
              <w:bottom w:val="single" w:sz="12" w:space="0" w:color="000000"/>
              <w:right w:val="single" w:sz="6" w:space="0" w:color="000000"/>
            </w:tcBorders>
          </w:tcPr>
          <w:p>
            <w:pPr/>
          </w:p>
        </w:tc>
        <w:tc>
          <w:tcPr>
            <w:tcW w:w="2409"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1" w:type="dxa"/>
            <w:tcBorders>
              <w:top w:val="single" w:sz="12" w:space="0" w:color="000000"/>
              <w:left w:val="single" w:sz="6" w:space="0" w:color="000000"/>
              <w:bottom w:val="single" w:sz="12" w:space="0" w:color="000000"/>
              <w:right w:val="single" w:sz="6" w:space="0" w:color="000000"/>
            </w:tcBorders>
          </w:tcPr>
          <w:p>
            <w:pPr/>
          </w:p>
        </w:tc>
        <w:tc>
          <w:tcPr>
            <w:tcW w:w="240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506" w:lineRule="auto" w:before="35"/>
        <w:ind w:left="534" w:right="3372" w:hanging="420"/>
        <w:jc w:val="left"/>
        <w:rPr>
          <w:rFonts w:ascii="宋体" w:hAnsi="宋体" w:cs="宋体" w:eastAsia="宋体" w:hint="default"/>
          <w:sz w:val="21"/>
          <w:szCs w:val="21"/>
        </w:rPr>
      </w:pPr>
      <w:bookmarkStart w:name="（3）存货期末余额含有借款费用资本化金额的说明" w:id="257"/>
      <w:bookmarkEnd w:id="257"/>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）存货期末余额含有借款费用资本化金额的说明</w:t>
      </w:r>
      <w:r>
        <w:rPr>
          <w:rFonts w:ascii="宋体" w:hAnsi="宋体" w:cs="宋体" w:eastAsia="宋体" w:hint="default"/>
          <w:b/>
          <w:bCs/>
          <w:spacing w:val="30"/>
          <w:w w:val="95"/>
          <w:sz w:val="21"/>
          <w:szCs w:val="21"/>
        </w:rPr>
        <w:t> </w:t>
      </w:r>
      <w:r>
        <w:rPr>
          <w:rFonts w:ascii="宋体" w:hAnsi="宋体" w:cs="宋体" w:eastAsia="宋体" w:hint="default"/>
          <w:b/>
          <w:bCs/>
          <w:spacing w:val="30"/>
          <w:w w:val="95"/>
          <w:sz w:val="21"/>
          <w:szCs w:val="21"/>
        </w:rPr>
      </w:r>
      <w:r>
        <w:rPr>
          <w:rFonts w:ascii="宋体" w:hAnsi="宋体" w:cs="宋体" w:eastAsia="宋体" w:hint="default"/>
          <w:sz w:val="21"/>
          <w:szCs w:val="21"/>
        </w:rPr>
        <w:t>存货期末余额中无利息资本化金额。</w:t>
      </w:r>
    </w:p>
    <w:p>
      <w:pPr>
        <w:spacing w:after="0" w:line="506" w:lineRule="auto"/>
        <w:jc w:val="left"/>
        <w:rPr>
          <w:rFonts w:ascii="宋体" w:hAnsi="宋体" w:cs="宋体" w:eastAsia="宋体" w:hint="default"/>
          <w:sz w:val="21"/>
          <w:szCs w:val="21"/>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2"/>
        <w:jc w:val="left"/>
        <w:rPr>
          <w:b w:val="0"/>
          <w:bCs w:val="0"/>
        </w:rPr>
      </w:pPr>
      <w:bookmarkStart w:name="（4）期末建造合同形成的已完工未结算资产情况" w:id="258"/>
      <w:bookmarkEnd w:id="25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2,465,941,374.78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708,949,498.52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2,440,543,745.09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734,347,128.21</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6、一年内到期的非流动资产" w:id="259"/>
      <w:bookmarkEnd w:id="259"/>
      <w:r>
        <w:rPr>
          <w:b w:val="0"/>
          <w:bCs w:val="0"/>
        </w:rPr>
      </w:r>
      <w:r>
        <w:rPr>
          <w:rFonts w:ascii="Times New Roman" w:hAnsi="Times New Roman" w:cs="Times New Roman" w:eastAsia="Times New Roman" w:hint="default"/>
        </w:rPr>
        <w:t>6</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2,718,544.98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38,312,592.06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2,718,544.98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38,312,592.06</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7、其他流动资产" w:id="260"/>
      <w:bookmarkEnd w:id="260"/>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24,248,885.56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7,342,552.96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2,276,214.96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4,263,346.16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637,122.41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943,090.48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27,162,222.93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12,548,989.60</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8、可供出售金融资产" w:id="261"/>
      <w:bookmarkEnd w:id="261"/>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可供出售金融资产情况" w:id="262"/>
      <w:bookmarkEnd w:id="26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7,550,000.00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7,550,000.00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17,050,000.00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7,550,000.00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7,550,000.00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17,050,000.00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7,550,000.00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7,550,000.00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17,050,000.00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2"/>
        <w:jc w:val="left"/>
        <w:rPr>
          <w:b w:val="0"/>
          <w:bCs w:val="0"/>
        </w:rPr>
      </w:pPr>
      <w:bookmarkStart w:name="（2）期末按成本计量的可供出售金融资产" w:id="263"/>
      <w:bookmarkEnd w:id="26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5"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四川融 圣投资 管理股 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四川泸 美供应 链管理 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成都商 业银行 蒲江鹤 山分理 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广州百 荣高商 务服务 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17,050,0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9,500,00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7,550,00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9、长期应收款" w:id="264"/>
      <w:bookmarkEnd w:id="264"/>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长期应收款情况" w:id="265"/>
      <w:bookmarkEnd w:id="26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124,004,420.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124,004,420.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378,659,889.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378,659,889.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18</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1,876,910,85</w:t>
            </w:r>
          </w:p>
          <w:p>
            <w:pPr>
              <w:pStyle w:val="TableParagraph"/>
              <w:spacing w:line="240" w:lineRule="auto" w:before="106"/>
              <w:ind w:left="740" w:right="0"/>
              <w:jc w:val="left"/>
              <w:rPr>
                <w:rFonts w:ascii="Times New Roman" w:hAnsi="Times New Roman" w:cs="Times New Roman" w:eastAsia="Times New Roman" w:hint="default"/>
                <w:sz w:val="18"/>
                <w:szCs w:val="18"/>
              </w:rPr>
            </w:pPr>
            <w:r>
              <w:rPr>
                <w:rFonts w:ascii="Times New Roman"/>
                <w:sz w:val="18"/>
              </w:rPr>
              <w:t>7.66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1,876,910,85</w:t>
            </w:r>
          </w:p>
          <w:p>
            <w:pPr>
              <w:pStyle w:val="TableParagraph"/>
              <w:spacing w:line="240" w:lineRule="auto" w:before="106"/>
              <w:ind w:left="740" w:right="0"/>
              <w:jc w:val="left"/>
              <w:rPr>
                <w:rFonts w:ascii="Times New Roman" w:hAnsi="Times New Roman" w:cs="Times New Roman" w:eastAsia="Times New Roman" w:hint="default"/>
                <w:sz w:val="18"/>
                <w:szCs w:val="18"/>
              </w:rPr>
            </w:pPr>
            <w:r>
              <w:rPr>
                <w:rFonts w:ascii="Times New Roman"/>
                <w:sz w:val="18"/>
              </w:rPr>
              <w:t>7.66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1,318,295,44</w:t>
            </w:r>
          </w:p>
          <w:p>
            <w:pPr>
              <w:pStyle w:val="TableParagraph"/>
              <w:spacing w:line="240" w:lineRule="auto" w:before="106"/>
              <w:ind w:left="740" w:right="0"/>
              <w:jc w:val="left"/>
              <w:rPr>
                <w:rFonts w:ascii="Times New Roman" w:hAnsi="Times New Roman" w:cs="Times New Roman" w:eastAsia="Times New Roman" w:hint="default"/>
                <w:sz w:val="18"/>
                <w:szCs w:val="18"/>
              </w:rPr>
            </w:pPr>
            <w:r>
              <w:rPr>
                <w:rFonts w:ascii="Times New Roman"/>
                <w:sz w:val="18"/>
              </w:rPr>
              <w:t>2.81</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1,318,295,44</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2.81</w:t>
            </w:r>
          </w:p>
        </w:tc>
        <w:tc>
          <w:tcPr>
            <w:tcW w:w="1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371,896,365.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371,896,365.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339,730,172.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81</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339,730,172.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81</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2,372,811,64</w:t>
            </w:r>
          </w:p>
          <w:p>
            <w:pPr>
              <w:pStyle w:val="TableParagraph"/>
              <w:spacing w:line="240" w:lineRule="auto" w:before="106"/>
              <w:ind w:left="740" w:right="0"/>
              <w:jc w:val="left"/>
              <w:rPr>
                <w:rFonts w:ascii="Times New Roman" w:hAnsi="Times New Roman" w:cs="Times New Roman" w:eastAsia="Times New Roman" w:hint="default"/>
                <w:sz w:val="18"/>
                <w:szCs w:val="18"/>
              </w:rPr>
            </w:pPr>
            <w:r>
              <w:rPr>
                <w:rFonts w:ascii="Times New Roman"/>
                <w:sz w:val="18"/>
              </w:rPr>
              <w:t>3.42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2,372,811,64</w:t>
            </w:r>
          </w:p>
          <w:p>
            <w:pPr>
              <w:pStyle w:val="TableParagraph"/>
              <w:spacing w:line="240" w:lineRule="auto" w:before="106"/>
              <w:ind w:left="740" w:right="0"/>
              <w:jc w:val="left"/>
              <w:rPr>
                <w:rFonts w:ascii="Times New Roman" w:hAnsi="Times New Roman" w:cs="Times New Roman" w:eastAsia="Times New Roman" w:hint="default"/>
                <w:sz w:val="18"/>
                <w:szCs w:val="18"/>
              </w:rPr>
            </w:pPr>
            <w:r>
              <w:rPr>
                <w:rFonts w:ascii="Times New Roman"/>
                <w:sz w:val="18"/>
              </w:rPr>
              <w:t>3.42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2,036,685,50</w:t>
            </w:r>
          </w:p>
          <w:p>
            <w:pPr>
              <w:pStyle w:val="TableParagraph"/>
              <w:spacing w:line="240" w:lineRule="auto" w:before="106"/>
              <w:ind w:left="740" w:right="0"/>
              <w:jc w:val="left"/>
              <w:rPr>
                <w:rFonts w:ascii="Times New Roman" w:hAnsi="Times New Roman" w:cs="Times New Roman" w:eastAsia="Times New Roman" w:hint="default"/>
                <w:sz w:val="18"/>
                <w:szCs w:val="18"/>
              </w:rPr>
            </w:pPr>
            <w:r>
              <w:rPr>
                <w:rFonts w:ascii="Times New Roman"/>
                <w:sz w:val="18"/>
              </w:rPr>
              <w:t>4.80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2,036,685,50</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4.80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因金融资产转移而终止确认的长期应收款" w:id="266"/>
      <w:bookmarkEnd w:id="26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3）转移长期应收款且继续涉入形成的资产、负债金额" w:id="267"/>
      <w:bookmarkEnd w:id="26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其他说明</w:t>
      </w:r>
    </w:p>
    <w:p>
      <w:pPr>
        <w:pStyle w:val="BodyText"/>
        <w:spacing w:line="240" w:lineRule="auto" w:before="116"/>
        <w:ind w:right="982"/>
        <w:jc w:val="left"/>
      </w:pPr>
      <w:r>
        <w:rPr/>
        <w:t>期末银行借款质押的长期应收款金额为</w:t>
      </w:r>
      <w:r>
        <w:rPr>
          <w:spacing w:val="-47"/>
        </w:rPr>
        <w:t> </w:t>
      </w:r>
      <w:r>
        <w:rPr>
          <w:rFonts w:ascii="Times New Roman" w:hAnsi="Times New Roman" w:cs="Times New Roman" w:eastAsia="Times New Roman" w:hint="default"/>
        </w:rPr>
        <w:t>313,847,420.00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982"/>
        <w:jc w:val="left"/>
        <w:rPr>
          <w:b w:val="0"/>
          <w:bCs w:val="0"/>
        </w:rPr>
      </w:pPr>
      <w:bookmarkStart w:name="10、长期股权投资" w:id="268"/>
      <w:bookmarkEnd w:id="268"/>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2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重庆市 合川区 石庙子 水利综 合开发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3,628,5</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16.05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-147,62</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2.22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3,480,8</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93.83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深圳在 乎传媒 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133,09</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760,00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-893,09</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华阴市 云鼎生 态建设 有限责 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-86,611</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613,38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8.19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3,761,6</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15.33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1,460,0</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-1,127,</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333.31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4,094,2</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82.02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3,761,6</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15.33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1,460,0</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-1,127,</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333.31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4,094,2</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82.02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bookmarkStart w:name="11、投资性房地产" w:id="269"/>
      <w:bookmarkEnd w:id="269"/>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bookmarkStart w:name="（1）采用成本计量模式的投资性房地产" w:id="270"/>
      <w:bookmarkEnd w:id="27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t>√ 适用 □ 不适用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3,569,127.54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745,824.00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4,314,951.54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10,204,448.90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10,204,448.90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firstLine="32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10,204,448.90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10,204,448.90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13,773,576.44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745,824.00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14,519,400.44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697,592.20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150,408.50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848,000.70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1,110,101.39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14,917.20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1,125,018.59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68,527.23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14,917.20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83,444.43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firstLine="54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）固定资产</w:t>
            </w:r>
            <w:r>
              <w:rPr>
                <w:rFonts w:ascii="宋体" w:hAnsi="宋体" w:cs="宋体" w:eastAsia="宋体" w:hint="default"/>
                <w:sz w:val="18"/>
                <w:szCs w:val="18"/>
              </w:rPr>
              <w:t> 及无形资产转入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1,041,574.16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1,041,574.16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1,807,693.59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165,325.70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1,973,019.29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11,965,882.85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580,498.30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12,546,381.15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2,871,535.34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595,415.50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3,466,950.84</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未办妥产权证书的投资性房地产情况" w:id="271"/>
      <w:bookmarkEnd w:id="271"/>
      <w:r>
        <w:rPr>
          <w:b w:val="0"/>
          <w:bCs w:val="0"/>
        </w:rPr>
      </w: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其他说明</w:t>
      </w:r>
    </w:p>
    <w:p>
      <w:pPr>
        <w:pStyle w:val="BodyText"/>
        <w:spacing w:line="240" w:lineRule="auto" w:before="116"/>
        <w:ind w:right="982"/>
        <w:jc w:val="left"/>
      </w:pPr>
      <w:r>
        <w:rPr/>
        <w:t>（</w:t>
      </w:r>
      <w:r>
        <w:rPr>
          <w:rFonts w:ascii="Times New Roman" w:hAnsi="Times New Roman" w:cs="Times New Roman" w:eastAsia="Times New Roman" w:hint="default"/>
        </w:rPr>
        <w:t>3</w:t>
      </w:r>
      <w:r>
        <w:rPr/>
        <w:t>）报告期投资性房地产未发生减值情况，故未计提减值准备。</w:t>
      </w:r>
    </w:p>
    <w:p>
      <w:pPr>
        <w:pStyle w:val="BodyText"/>
        <w:spacing w:line="240" w:lineRule="auto" w:before="63"/>
        <w:ind w:right="982"/>
        <w:jc w:val="left"/>
      </w:pPr>
      <w:r>
        <w:rPr/>
        <w:t>（</w:t>
      </w:r>
      <w:r>
        <w:rPr>
          <w:rFonts w:ascii="Times New Roman" w:hAnsi="Times New Roman" w:cs="Times New Roman" w:eastAsia="Times New Roman" w:hint="default"/>
        </w:rPr>
        <w:t>4</w:t>
      </w:r>
      <w:r>
        <w:rPr/>
        <w:t>）截止</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日，公司账面原值</w:t>
      </w:r>
      <w:r>
        <w:rPr>
          <w:spacing w:val="-47"/>
        </w:rPr>
        <w:t> </w:t>
      </w:r>
      <w:r>
        <w:rPr>
          <w:rFonts w:ascii="Times New Roman" w:hAnsi="Times New Roman" w:cs="Times New Roman" w:eastAsia="Times New Roman" w:hint="default"/>
        </w:rPr>
        <w:t>10,204,448.90</w:t>
      </w:r>
      <w:r>
        <w:rPr>
          <w:rFonts w:ascii="Times New Roman" w:hAnsi="Times New Roman" w:cs="Times New Roman" w:eastAsia="Times New Roman" w:hint="default"/>
          <w:spacing w:val="-1"/>
        </w:rPr>
        <w:t> </w:t>
      </w:r>
      <w:r>
        <w:rPr/>
        <w:t>元的投资性房地产已设定抵押。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982"/>
        <w:jc w:val="left"/>
        <w:rPr>
          <w:b w:val="0"/>
          <w:bCs w:val="0"/>
        </w:rPr>
      </w:pPr>
      <w:bookmarkStart w:name="12、固定资产" w:id="272"/>
      <w:bookmarkEnd w:id="272"/>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5"/>
        <w:gridCol w:w="3188"/>
        <w:gridCol w:w="318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679,107,843.10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681,030,053.72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679,107,843.10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681,030,053.72</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固定资产情况" w:id="273"/>
      <w:bookmarkEnd w:id="27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376,992,105.56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589,396,985.40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22,572,451.38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26,654,936.01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1,015,616,478.35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74,483,127.30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128,637,931.36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1,633,841.91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9,593,493.64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214,348,394.21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46,438,999.26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1,633,841.91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4,128,140.10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52,200,981.27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74,483,127.30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82,198,932.10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5,465,353.54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162,147,412.94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10,204,448.90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7,358,659.09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1,421,472.64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1,270,070.73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20,254,651.36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7,358,659.09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1,421,472.64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1,270,070.73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10,050,202.46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01" w:firstLine="63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）转入</w:t>
            </w:r>
            <w:r>
              <w:rPr>
                <w:rFonts w:ascii="宋体" w:hAnsi="宋体" w:cs="宋体" w:eastAsia="宋体" w:hint="default"/>
                <w:sz w:val="18"/>
                <w:szCs w:val="18"/>
              </w:rPr>
              <w:t> 投资性房地产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10,204,448.90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10,204,448.90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441,270,783.96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710,676,257.67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22,784,820.65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34,978,358.92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1,209,710,221.20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56,414,360.57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251,033,948.63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11,967,651.28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15,170,464.15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334,586,424.63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11,472,728.18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83,556,083.41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3,830,549.09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3,682,478.37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102,541,839.05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11,472,728.18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83,556,083.41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3,830,549.09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3,682,478.37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102,541,839.05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1,041,574.16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3,758,405.64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1,325,317.63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995,039.78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7,120,337.21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3,758,405.64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1,325,317.63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995,039.78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6,078,763.05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01" w:firstLine="63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）转入</w:t>
            </w:r>
            <w:r>
              <w:rPr>
                <w:rFonts w:ascii="宋体" w:hAnsi="宋体" w:cs="宋体" w:eastAsia="宋体" w:hint="default"/>
                <w:sz w:val="18"/>
                <w:szCs w:val="18"/>
              </w:rPr>
              <w:t> 投资性房地产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1,041,574.16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1,041,574.16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66,845,514.59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330,831,626.40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14,472,882.74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17,857,902.74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430,007,926.47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42,128,616.29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58,465,835.34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100,594,451.63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42,128,616.29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58,465,835.34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100,594,451.63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42,128,616.29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58,465,835.34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100,594,451.63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332,296,653.08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321,378,795.93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8,311,937.91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17,120,456.18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679,107,843.10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320,577,744.99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338,363,036.77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10,604,800.10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11,484,471.86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681,030,053.72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2"/>
        <w:jc w:val="left"/>
        <w:rPr>
          <w:b w:val="0"/>
          <w:bCs w:val="0"/>
        </w:rPr>
      </w:pPr>
      <w:bookmarkStart w:name="（2）暂时闲置的固定资产情况" w:id="274"/>
      <w:bookmarkEnd w:id="27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20,751,378.33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3,199,300.06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17,552,078.27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70,876,107.56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35,132,760.35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0" w:right="0"/>
              <w:jc w:val="left"/>
              <w:rPr>
                <w:rFonts w:ascii="宋体" w:hAnsi="宋体" w:cs="宋体" w:eastAsia="宋体" w:hint="default"/>
                <w:sz w:val="18"/>
                <w:szCs w:val="18"/>
              </w:rPr>
            </w:pPr>
            <w:r>
              <w:rPr>
                <w:rFonts w:ascii="宋体"/>
                <w:sz w:val="18"/>
              </w:rPr>
              <w:t>19,116,705.29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16,626,641.92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未办妥产权证书的固定资产情况" w:id="275"/>
      <w:bookmarkEnd w:id="275"/>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印铁新车间（东仓库）</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4,686,898.69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新铝塑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20,215,414.38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新铝塑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20,724,790.68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新研发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16,081,956.93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
                <w:sz w:val="18"/>
                <w:szCs w:val="18"/>
              </w:rPr>
              <w:t>丽鹏股份</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瓶盖厂新车间（铝塑盖车间）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19,156,365.71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新研发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10,328,189.30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新招待所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13,194,692.69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瓶盖南车间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10,026,130.72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新办公大楼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38,664,307.25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中盛国际接待中心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海川制盖</w:t>
            </w:r>
            <w:r>
              <w:rPr>
                <w:rFonts w:ascii="Times New Roman" w:hAnsi="Times New Roman" w:cs="Times New Roman" w:eastAsia="Times New Roman" w:hint="default"/>
                <w:sz w:val="18"/>
                <w:szCs w:val="18"/>
              </w:rPr>
              <w:t>-</w:t>
            </w:r>
            <w:r>
              <w:rPr>
                <w:rFonts w:ascii="宋体" w:hAnsi="宋体" w:cs="宋体" w:eastAsia="宋体" w:hint="default"/>
                <w:sz w:val="18"/>
                <w:szCs w:val="18"/>
              </w:rPr>
              <w:t>机加工车间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1,624,495.46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海川制盖</w:t>
            </w:r>
            <w:r>
              <w:rPr>
                <w:rFonts w:ascii="Times New Roman" w:hAnsi="Times New Roman" w:cs="Times New Roman" w:eastAsia="Times New Roman" w:hint="default"/>
                <w:sz w:val="18"/>
                <w:szCs w:val="18"/>
              </w:rPr>
              <w:t>-</w:t>
            </w:r>
            <w:r>
              <w:rPr>
                <w:rFonts w:ascii="宋体" w:hAnsi="宋体" w:cs="宋体" w:eastAsia="宋体" w:hint="default"/>
                <w:sz w:val="18"/>
                <w:szCs w:val="18"/>
              </w:rPr>
              <w:t>科技园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2,428,365.63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海川制盖</w:t>
            </w:r>
            <w:r>
              <w:rPr>
                <w:rFonts w:ascii="Times New Roman" w:hAnsi="Times New Roman" w:cs="Times New Roman" w:eastAsia="Times New Roman" w:hint="default"/>
                <w:sz w:val="18"/>
                <w:szCs w:val="18"/>
              </w:rPr>
              <w:t>-</w:t>
            </w:r>
            <w:r>
              <w:rPr>
                <w:rFonts w:ascii="宋体" w:hAnsi="宋体" w:cs="宋体" w:eastAsia="宋体" w:hint="default"/>
                <w:sz w:val="18"/>
                <w:szCs w:val="18"/>
              </w:rPr>
              <w:t>铝盖成品车间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7,056,267.27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泸州丽鹏</w:t>
            </w:r>
            <w:r>
              <w:rPr>
                <w:rFonts w:ascii="Times New Roman" w:hAnsi="Times New Roman" w:cs="Times New Roman" w:eastAsia="Times New Roman" w:hint="default"/>
                <w:sz w:val="18"/>
                <w:szCs w:val="18"/>
              </w:rPr>
              <w:t>-</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14,986,109.56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北京鹏和祥</w:t>
            </w:r>
            <w:r>
              <w:rPr>
                <w:rFonts w:ascii="Times New Roman" w:hAnsi="Times New Roman" w:cs="Times New Roman" w:eastAsia="Times New Roman" w:hint="default"/>
                <w:sz w:val="18"/>
                <w:szCs w:val="18"/>
              </w:rPr>
              <w:t>-</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1,671,209.34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大冶劲鹏</w:t>
            </w:r>
            <w:r>
              <w:rPr>
                <w:rFonts w:ascii="Times New Roman" w:hAnsi="Times New Roman" w:cs="Times New Roman" w:eastAsia="Times New Roman" w:hint="default"/>
                <w:sz w:val="18"/>
                <w:szCs w:val="18"/>
              </w:rPr>
              <w:t>-</w:t>
            </w:r>
            <w:r>
              <w:rPr>
                <w:rFonts w:ascii="宋体" w:hAnsi="宋体" w:cs="宋体" w:eastAsia="宋体" w:hint="default"/>
                <w:sz w:val="18"/>
                <w:szCs w:val="18"/>
              </w:rPr>
              <w:t>房屋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75,926,749.68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6" w:right="0"/>
              <w:jc w:val="left"/>
              <w:rPr>
                <w:rFonts w:ascii="Times New Roman" w:hAnsi="Times New Roman" w:cs="Times New Roman" w:eastAsia="Times New Roman" w:hint="default"/>
                <w:sz w:val="18"/>
                <w:szCs w:val="18"/>
              </w:rPr>
            </w:pPr>
            <w:r>
              <w:rPr>
                <w:rFonts w:ascii="Times New Roman"/>
                <w:sz w:val="18"/>
              </w:rPr>
              <w:t>263,051,943.29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其他说明</w:t>
      </w:r>
    </w:p>
    <w:p>
      <w:pPr>
        <w:spacing w:line="240" w:lineRule="auto" w:before="1"/>
        <w:rPr>
          <w:rFonts w:ascii="宋体" w:hAnsi="宋体" w:cs="宋体" w:eastAsia="宋体" w:hint="default"/>
          <w:sz w:val="13"/>
          <w:szCs w:val="13"/>
        </w:rPr>
      </w:pPr>
    </w:p>
    <w:p>
      <w:pPr>
        <w:pStyle w:val="Heading5"/>
        <w:spacing w:line="240" w:lineRule="auto" w:before="0"/>
        <w:ind w:right="982"/>
        <w:jc w:val="left"/>
      </w:pPr>
      <w:r>
        <w:rPr/>
        <w:t>①截止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日，公司账面原值</w:t>
      </w:r>
      <w:r>
        <w:rPr>
          <w:rFonts w:ascii="宋体" w:hAnsi="宋体" w:cs="宋体" w:eastAsia="宋体" w:hint="default"/>
        </w:rPr>
        <w:t>91,454,906.00</w:t>
      </w:r>
      <w:r>
        <w:rPr/>
        <w:t>元的房屋建筑物已设定抵押。</w:t>
      </w:r>
    </w:p>
    <w:p>
      <w:pPr>
        <w:pStyle w:val="Heading5"/>
        <w:spacing w:line="240" w:lineRule="auto"/>
        <w:ind w:right="982"/>
        <w:jc w:val="left"/>
      </w:pPr>
      <w:r>
        <w:rPr/>
        <w:t>②报告期公司固定资产计提减值准备</w:t>
      </w:r>
      <w:r>
        <w:rPr>
          <w:rFonts w:ascii="宋体" w:hAnsi="宋体" w:cs="宋体" w:eastAsia="宋体" w:hint="default"/>
        </w:rPr>
        <w:t>100,594,451.63</w:t>
      </w:r>
      <w:r>
        <w:rPr/>
        <w:t>元。</w:t>
      </w:r>
    </w:p>
    <w:p>
      <w:pPr>
        <w:pStyle w:val="Heading5"/>
        <w:spacing w:line="240" w:lineRule="auto"/>
        <w:ind w:right="982"/>
        <w:jc w:val="left"/>
      </w:pPr>
      <w:r>
        <w:rPr/>
        <w:t>③</w:t>
      </w:r>
      <w:r>
        <w:rPr>
          <w:rFonts w:ascii="宋体" w:hAnsi="宋体" w:cs="宋体" w:eastAsia="宋体" w:hint="default"/>
        </w:rPr>
        <w:t>2018</w:t>
      </w:r>
      <w:r>
        <w:rPr/>
        <w:t>年度在建工程转入增加固定资产原值为</w:t>
      </w:r>
      <w:r>
        <w:rPr>
          <w:rFonts w:ascii="宋体" w:hAnsi="宋体" w:cs="宋体" w:eastAsia="宋体" w:hint="default"/>
        </w:rPr>
        <w:t>162,147,412.94</w:t>
      </w:r>
      <w:r>
        <w:rPr/>
        <w:t>元。</w:t>
      </w:r>
    </w:p>
    <w:p>
      <w:pPr>
        <w:pStyle w:val="Heading5"/>
        <w:spacing w:line="240" w:lineRule="auto"/>
        <w:ind w:right="982"/>
        <w:jc w:val="left"/>
      </w:pPr>
      <w:r>
        <w:rPr/>
        <w:t>④报告期公司无通过融资租赁租入的固定资产情况。</w:t>
      </w:r>
    </w:p>
    <w:p>
      <w:pPr>
        <w:pStyle w:val="Heading5"/>
        <w:spacing w:line="240" w:lineRule="auto"/>
        <w:ind w:right="982"/>
        <w:jc w:val="left"/>
      </w:pPr>
      <w:r>
        <w:rPr/>
        <w:t>⑤售后回租固定资产情况：</w:t>
      </w:r>
    </w:p>
    <w:p>
      <w:pPr>
        <w:spacing w:line="240" w:lineRule="auto" w:before="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544"/>
        <w:gridCol w:w="1756"/>
        <w:gridCol w:w="1757"/>
        <w:gridCol w:w="1354"/>
        <w:gridCol w:w="1671"/>
        <w:gridCol w:w="1510"/>
      </w:tblGrid>
      <w:tr>
        <w:trPr>
          <w:trHeight w:val="355" w:hRule="exact"/>
        </w:trPr>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9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08" w:right="0"/>
              <w:jc w:val="left"/>
              <w:rPr>
                <w:rFonts w:ascii="宋体" w:hAnsi="宋体" w:cs="宋体" w:eastAsia="宋体" w:hint="default"/>
                <w:sz w:val="18"/>
                <w:szCs w:val="18"/>
              </w:rPr>
            </w:pPr>
            <w:r>
              <w:rPr>
                <w:rFonts w:ascii="宋体" w:hAnsi="宋体" w:cs="宋体" w:eastAsia="宋体" w:hint="default"/>
                <w:b/>
                <w:bCs/>
                <w:sz w:val="18"/>
                <w:szCs w:val="18"/>
              </w:rPr>
              <w:t>账面原值</w:t>
            </w:r>
            <w:r>
              <w:rPr>
                <w:rFonts w:ascii="宋体" w:hAnsi="宋体" w:cs="宋体" w:eastAsia="宋体" w:hint="default"/>
                <w:sz w:val="18"/>
                <w:szCs w:val="18"/>
              </w:rPr>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09"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8"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6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2" w:hRule="exact"/>
        </w:trPr>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114,674,210.75</w:t>
            </w:r>
          </w:p>
        </w:tc>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38,547,148.91</w:t>
            </w:r>
          </w:p>
        </w:tc>
        <w:tc>
          <w:tcPr>
            <w:tcW w:w="13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56" w:right="0"/>
              <w:jc w:val="left"/>
              <w:rPr>
                <w:rFonts w:ascii="宋体" w:hAnsi="宋体" w:cs="宋体" w:eastAsia="宋体" w:hint="default"/>
                <w:sz w:val="18"/>
                <w:szCs w:val="18"/>
              </w:rPr>
            </w:pPr>
            <w:r>
              <w:rPr>
                <w:rFonts w:ascii="宋体"/>
                <w:sz w:val="18"/>
              </w:rPr>
              <w:t>2,888,802.07</w:t>
            </w:r>
          </w:p>
        </w:tc>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73,238,259.77</w:t>
            </w:r>
          </w:p>
        </w:tc>
        <w:tc>
          <w:tcPr>
            <w:tcW w:w="1510"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7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526,368.33</w:t>
            </w:r>
          </w:p>
        </w:tc>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231,578.45</w:t>
            </w:r>
          </w:p>
        </w:tc>
        <w:tc>
          <w:tcPr>
            <w:tcW w:w="1354" w:type="dxa"/>
            <w:tcBorders>
              <w:top w:val="single" w:sz="12" w:space="0" w:color="000000"/>
              <w:left w:val="single" w:sz="6" w:space="0" w:color="000000"/>
              <w:bottom w:val="single" w:sz="12" w:space="0" w:color="000000"/>
              <w:right w:val="single" w:sz="6" w:space="0" w:color="000000"/>
            </w:tcBorders>
          </w:tcPr>
          <w:p>
            <w:pPr/>
          </w:p>
        </w:tc>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294,789.88</w:t>
            </w:r>
          </w:p>
        </w:tc>
        <w:tc>
          <w:tcPr>
            <w:tcW w:w="1510" w:type="dxa"/>
            <w:tcBorders>
              <w:top w:val="single" w:sz="12" w:space="0" w:color="000000"/>
              <w:left w:val="single" w:sz="6" w:space="0" w:color="000000"/>
              <w:bottom w:val="single" w:sz="12" w:space="0" w:color="000000"/>
              <w:right w:val="single" w:sz="6" w:space="0" w:color="000000"/>
            </w:tcBorders>
          </w:tcPr>
          <w:p>
            <w:pPr/>
          </w:p>
        </w:tc>
      </w:tr>
      <w:tr>
        <w:trPr>
          <w:trHeight w:val="353" w:hRule="exact"/>
        </w:trPr>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b/>
                <w:w w:val="95"/>
                <w:sz w:val="18"/>
              </w:rPr>
              <w:t>115,200,579.08</w:t>
            </w:r>
            <w:r>
              <w:rPr>
                <w:rFonts w:ascii="宋体"/>
                <w:sz w:val="18"/>
              </w:rPr>
            </w:r>
          </w:p>
        </w:tc>
        <w:tc>
          <w:tcPr>
            <w:tcW w:w="17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b/>
                <w:w w:val="95"/>
                <w:sz w:val="18"/>
              </w:rPr>
              <w:t>38,778,727.36</w:t>
            </w:r>
            <w:r>
              <w:rPr>
                <w:rFonts w:ascii="宋体"/>
                <w:sz w:val="18"/>
              </w:rPr>
            </w:r>
          </w:p>
        </w:tc>
        <w:tc>
          <w:tcPr>
            <w:tcW w:w="13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48" w:right="0"/>
              <w:jc w:val="left"/>
              <w:rPr>
                <w:rFonts w:ascii="宋体" w:hAnsi="宋体" w:cs="宋体" w:eastAsia="宋体" w:hint="default"/>
                <w:sz w:val="18"/>
                <w:szCs w:val="18"/>
              </w:rPr>
            </w:pPr>
            <w:r>
              <w:rPr>
                <w:rFonts w:ascii="宋体"/>
                <w:b/>
                <w:sz w:val="18"/>
              </w:rPr>
              <w:t>2,888,802.07</w:t>
            </w:r>
            <w:r>
              <w:rPr>
                <w:rFonts w:ascii="宋体"/>
                <w:sz w:val="18"/>
              </w:rPr>
            </w:r>
          </w:p>
        </w:tc>
        <w:tc>
          <w:tcPr>
            <w:tcW w:w="16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b/>
                <w:w w:val="95"/>
                <w:sz w:val="18"/>
              </w:rPr>
              <w:t>73,533,049.65</w:t>
            </w:r>
            <w:r>
              <w:rPr>
                <w:rFonts w:ascii="宋体"/>
                <w:sz w:val="18"/>
              </w:rPr>
            </w:r>
          </w:p>
        </w:tc>
        <w:tc>
          <w:tcPr>
            <w:tcW w:w="1510" w:type="dxa"/>
            <w:tcBorders>
              <w:top w:val="single" w:sz="12" w:space="0" w:color="000000"/>
              <w:left w:val="single" w:sz="6" w:space="0" w:color="000000"/>
              <w:bottom w:val="single" w:sz="12"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982"/>
        <w:jc w:val="left"/>
        <w:rPr>
          <w:b w:val="0"/>
          <w:bCs w:val="0"/>
        </w:rPr>
      </w:pPr>
      <w:bookmarkStart w:name="（4）固定资产清理" w:id="276"/>
      <w:bookmarkEnd w:id="276"/>
      <w:r>
        <w:rPr>
          <w:b w:val="0"/>
          <w:bCs w:val="0"/>
        </w:rPr>
      </w:r>
      <w:r>
        <w:rPr/>
        <w:t>（</w:t>
      </w:r>
      <w:r>
        <w:rPr>
          <w:rFonts w:ascii="Times New Roman" w:hAnsi="Times New Roman" w:cs="Times New Roman" w:eastAsia="Times New Roman" w:hint="default"/>
        </w:rPr>
        <w:t>4</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right="982"/>
        <w:jc w:val="left"/>
        <w:rPr>
          <w:b w:val="0"/>
          <w:bCs w:val="0"/>
        </w:rPr>
      </w:pPr>
      <w:bookmarkStart w:name="13、在建工程" w:id="277"/>
      <w:bookmarkEnd w:id="277"/>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27,235,874.39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79,318,080.73</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27,235,874.39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79,318,080.73</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在建工程情况" w:id="278"/>
      <w:bookmarkEnd w:id="27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铝塑厂新喷涂 车间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煤改电项目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16,379,528.73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16,379,528.73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112,672.00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112,672.00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28,311,477.88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28,311,477.88</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28"/>
              <w:jc w:val="both"/>
              <w:rPr>
                <w:rFonts w:ascii="宋体" w:hAnsi="宋体" w:cs="宋体" w:eastAsia="宋体" w:hint="default"/>
                <w:sz w:val="18"/>
                <w:szCs w:val="18"/>
              </w:rPr>
            </w:pPr>
            <w:r>
              <w:rPr>
                <w:rFonts w:ascii="宋体" w:hAnsi="宋体" w:cs="宋体" w:eastAsia="宋体" w:hint="default"/>
                <w:sz w:val="18"/>
                <w:szCs w:val="18"/>
              </w:rPr>
              <w:t>大冶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厂房、倒班 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25,546,471.64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25,546,471.64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大冶厂房电力 及围墙工程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9,080,602.48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9,080,602.48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大冶意大利</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BK</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生产线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26,455,390.39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26,455,390.39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667,812.00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667,812.00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30,722,294.39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27,235,874.39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82,804,500.73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79,318,080.73</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重要在建工程项目本期变动情况" w:id="279"/>
      <w:bookmarkEnd w:id="27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铝塑 厂新 喷涂 车间</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3,486,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420.00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3,486,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420.00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29.05</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煤改 电项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16,379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16,379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设备 安装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28,311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,477.8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54,824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,331.2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83,023</w:t>
            </w:r>
          </w:p>
          <w:p>
            <w:pPr>
              <w:pStyle w:val="TableParagraph"/>
              <w:spacing w:line="240" w:lineRule="auto" w:before="104"/>
              <w:ind w:right="93"/>
              <w:jc w:val="right"/>
              <w:rPr>
                <w:rFonts w:ascii="Times New Roman" w:hAnsi="Times New Roman" w:cs="Times New Roman" w:eastAsia="Times New Roman" w:hint="default"/>
                <w:sz w:val="18"/>
                <w:szCs w:val="18"/>
              </w:rPr>
            </w:pPr>
            <w:r>
              <w:rPr>
                <w:rFonts w:ascii="Times New Roman"/>
                <w:sz w:val="18"/>
              </w:rPr>
              <w:t>,137.1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112,67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p>
          <w:p>
            <w:pPr>
              <w:pStyle w:val="TableParagraph"/>
              <w:spacing w:line="316" w:lineRule="auto" w:before="63"/>
              <w:ind w:left="103" w:right="77"/>
              <w:jc w:val="left"/>
              <w:rPr>
                <w:rFonts w:ascii="宋体" w:hAnsi="宋体" w:cs="宋体" w:eastAsia="宋体" w:hint="default"/>
                <w:sz w:val="18"/>
                <w:szCs w:val="18"/>
              </w:rPr>
            </w:pPr>
            <w:r>
              <w:rPr>
                <w:rFonts w:ascii="宋体" w:hAnsi="宋体" w:cs="宋体" w:eastAsia="宋体" w:hint="default"/>
                <w:sz w:val="18"/>
                <w:szCs w:val="18"/>
              </w:rPr>
              <w:t>厂房、 倒班</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25,546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,471.6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25,570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,904.4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51,117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,376.0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96.45</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大冶 厂房 电力 及围 墙工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9,080,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602.48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9,080,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602.48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82.55</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大冶 意大 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BK</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26,455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,390.3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26,455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,390.3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7"/>
              <w:jc w:val="left"/>
              <w:rPr>
                <w:rFonts w:ascii="宋体" w:hAnsi="宋体" w:cs="宋体" w:eastAsia="宋体" w:hint="default"/>
                <w:sz w:val="18"/>
                <w:szCs w:val="18"/>
              </w:rPr>
            </w:pPr>
            <w:r>
              <w:rPr>
                <w:rFonts w:ascii="宋体" w:hAnsi="宋体" w:cs="宋体" w:eastAsia="宋体" w:hint="default"/>
                <w:sz w:val="18"/>
                <w:szCs w:val="18"/>
              </w:rPr>
              <w:t>生产 线</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left"/>
              <w:rPr>
                <w:rFonts w:ascii="宋体" w:hAnsi="宋体" w:cs="宋体" w:eastAsia="宋体" w:hint="default"/>
                <w:sz w:val="18"/>
                <w:szCs w:val="18"/>
              </w:rPr>
            </w:pPr>
            <w:r>
              <w:rPr>
                <w:rFonts w:ascii="宋体" w:hAnsi="宋体" w:cs="宋体" w:eastAsia="宋体" w:hint="default"/>
                <w:sz w:val="18"/>
                <w:szCs w:val="18"/>
              </w:rPr>
              <w:t>零星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3,214,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580.53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768.53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667,81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82,804</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,500.7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110,06</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5,206.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162,14</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7,412.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30,722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,294.3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本期计提在建工程减值准备情况" w:id="280"/>
      <w:bookmarkEnd w:id="28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982"/>
        <w:jc w:val="left"/>
      </w:pPr>
      <w:r>
        <w:rPr/>
        <w:t>其他说明</w:t>
      </w:r>
    </w:p>
    <w:p>
      <w:pPr>
        <w:pStyle w:val="BodyText"/>
        <w:spacing w:line="240" w:lineRule="auto" w:before="115"/>
        <w:ind w:right="982"/>
        <w:jc w:val="left"/>
      </w:pPr>
      <w:r>
        <w:rPr/>
        <w:t>①报告期公司无借款费用资本化的情况。</w:t>
      </w:r>
    </w:p>
    <w:p>
      <w:pPr>
        <w:spacing w:line="240" w:lineRule="auto" w:before="12"/>
        <w:rPr>
          <w:rFonts w:ascii="宋体" w:hAnsi="宋体" w:cs="宋体" w:eastAsia="宋体" w:hint="default"/>
          <w:sz w:val="26"/>
          <w:szCs w:val="26"/>
        </w:rPr>
      </w:pPr>
    </w:p>
    <w:p>
      <w:pPr>
        <w:pStyle w:val="Heading4"/>
        <w:spacing w:line="240" w:lineRule="auto"/>
        <w:ind w:right="982"/>
        <w:jc w:val="left"/>
        <w:rPr>
          <w:b w:val="0"/>
          <w:bCs w:val="0"/>
        </w:rPr>
      </w:pPr>
      <w:bookmarkStart w:name="14、无形资产" w:id="281"/>
      <w:bookmarkEnd w:id="281"/>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无形资产情况" w:id="282"/>
      <w:bookmarkEnd w:id="28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762"/>
        <w:gridCol w:w="1212"/>
        <w:gridCol w:w="914"/>
        <w:gridCol w:w="898"/>
        <w:gridCol w:w="1195"/>
        <w:gridCol w:w="1197"/>
        <w:gridCol w:w="1196"/>
        <w:gridCol w:w="1195"/>
      </w:tblGrid>
      <w:tr>
        <w:trPr>
          <w:trHeight w:val="714"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3" w:right="173"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苗木生态园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42,694,866.4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413,369.18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69,549,458.5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128,773.94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112,786,468.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42,694,866.4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428,369.18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69,549,458.5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128,773.94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112,801,468.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5,588,553.37</w:t>
            </w: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235,639.26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3,723,489.03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88,910.65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9,636,592.31</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869,747.77</w:t>
            </w: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43,975.87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1,595,780.97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9,754.76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2,519,259.37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62"/>
        <w:gridCol w:w="1212"/>
        <w:gridCol w:w="914"/>
        <w:gridCol w:w="898"/>
        <w:gridCol w:w="1195"/>
        <w:gridCol w:w="1197"/>
        <w:gridCol w:w="1196"/>
        <w:gridCol w:w="1195"/>
      </w:tblGrid>
      <w:tr>
        <w:trPr>
          <w:trHeight w:val="36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869,747.77</w:t>
            </w: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43,975.87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1,595,780.97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9,754.76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2,519,259.37</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6,458,301.14</w:t>
            </w: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279,615.13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5,319,270.00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98,665.41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12,155,851.6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36,236,565.2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148,754.05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64,230,188.5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30,108.53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100,645,616.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37,106,313.0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91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177,729.92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65,825,969.4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39,863.29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103,149,875.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71</w:t>
            </w:r>
          </w:p>
        </w:tc>
      </w:tr>
    </w:tbl>
    <w:p>
      <w:pPr>
        <w:pStyle w:val="BodyText"/>
        <w:spacing w:line="240" w:lineRule="auto" w:before="51"/>
        <w:ind w:right="982"/>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bookmarkStart w:name="（2）未办妥产权证书的土地使用权情况" w:id="283"/>
      <w:bookmarkEnd w:id="28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①期末无未办妥产权证书的土地使用权情况。</w:t>
      </w:r>
    </w:p>
    <w:p>
      <w:pPr>
        <w:pStyle w:val="BodyText"/>
        <w:spacing w:line="240" w:lineRule="auto" w:before="76"/>
        <w:ind w:right="982"/>
        <w:jc w:val="left"/>
      </w:pPr>
      <w:r>
        <w:rPr/>
        <w:t>②报告期无形资产未发生减值情况，故未计提减值准备。</w:t>
      </w:r>
    </w:p>
    <w:p>
      <w:pPr>
        <w:pStyle w:val="BodyText"/>
        <w:spacing w:line="240" w:lineRule="auto" w:before="76"/>
        <w:ind w:right="982"/>
        <w:jc w:val="left"/>
      </w:pPr>
      <w:r>
        <w:rPr/>
        <w:t>③期末无设定抵押的土地使用权。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82"/>
        <w:jc w:val="left"/>
        <w:rPr>
          <w:b w:val="0"/>
          <w:bCs w:val="0"/>
        </w:rPr>
      </w:pPr>
      <w:bookmarkStart w:name="15、商誉" w:id="284"/>
      <w:bookmarkEnd w:id="284"/>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商誉账面原值" w:id="285"/>
      <w:bookmarkEnd w:id="28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7"/>
              <w:jc w:val="left"/>
              <w:rPr>
                <w:rFonts w:ascii="宋体" w:hAnsi="宋体" w:cs="宋体" w:eastAsia="宋体" w:hint="default"/>
                <w:sz w:val="18"/>
                <w:szCs w:val="18"/>
              </w:rPr>
            </w:pPr>
            <w:r>
              <w:rPr>
                <w:rFonts w:ascii="宋体" w:hAnsi="宋体" w:cs="宋体" w:eastAsia="宋体" w:hint="default"/>
                <w:sz w:val="18"/>
                <w:szCs w:val="18"/>
              </w:rPr>
              <w:t>被投资单位名 称或形成商誉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非同一控制下 企业合并重庆 华宇园林有限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296,278,562.27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296,278,562.27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296,278,562.27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296,278,562.27</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商誉减值准备" w:id="286"/>
      <w:bookmarkEnd w:id="28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both"/>
              <w:rPr>
                <w:rFonts w:ascii="宋体" w:hAnsi="宋体" w:cs="宋体" w:eastAsia="宋体" w:hint="default"/>
                <w:sz w:val="18"/>
                <w:szCs w:val="18"/>
              </w:rPr>
            </w:pPr>
            <w:r>
              <w:rPr>
                <w:rFonts w:ascii="宋体" w:hAnsi="宋体" w:cs="宋体" w:eastAsia="宋体" w:hint="default"/>
                <w:sz w:val="18"/>
                <w:szCs w:val="18"/>
              </w:rPr>
              <w:t>非同一控制下 企业合并重庆 华宇园林有限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249,352,576.07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249,352,576.07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249,352,576.07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249,352,576.07</w:t>
            </w:r>
          </w:p>
        </w:tc>
      </w:tr>
    </w:tbl>
    <w:p>
      <w:pPr>
        <w:pStyle w:val="BodyText"/>
        <w:spacing w:line="240" w:lineRule="auto" w:before="51"/>
        <w:ind w:right="982"/>
        <w:jc w:val="left"/>
      </w:pPr>
      <w:r>
        <w:rPr/>
        <w:t>商誉所在资产组或资产组组合的相关信息</w:t>
      </w:r>
    </w:p>
    <w:p>
      <w:pPr>
        <w:pStyle w:val="BodyText"/>
        <w:spacing w:line="319" w:lineRule="auto" w:before="115"/>
        <w:ind w:right="982"/>
        <w:jc w:val="left"/>
      </w:pPr>
      <w:r>
        <w:rPr>
          <w:spacing w:val="-2"/>
        </w:rPr>
        <w:t>①本公司商誉减值测试时以收购的公司整体资产及业务作为资产组进行减值测试，主要现金流入独立于其他资产或者资产组</w:t>
      </w:r>
      <w:r>
        <w:rPr>
          <w:spacing w:val="-64"/>
        </w:rPr>
        <w:t> </w:t>
      </w:r>
      <w:r>
        <w:rPr>
          <w:spacing w:val="-64"/>
        </w:rPr>
      </w:r>
      <w:r>
        <w:rPr/>
        <w:t>的现金流入，该资产组与购买日、以前年度商誉减值测试时所确认的资产组组合一致。</w:t>
      </w:r>
    </w:p>
    <w:p>
      <w:pPr>
        <w:pStyle w:val="BodyText"/>
        <w:spacing w:line="316" w:lineRule="auto" w:before="17"/>
        <w:ind w:right="982"/>
        <w:jc w:val="left"/>
      </w:pPr>
      <w:r>
        <w:rPr>
          <w:spacing w:val="-2"/>
        </w:rPr>
        <w:t>②资产组的可收回金额，按照资产组的预计未来现金流量的现值确定。根据公司批准的上述资产组五年期的财务预算为基础</w:t>
      </w:r>
      <w:r>
        <w:rPr>
          <w:spacing w:val="-64"/>
        </w:rPr>
        <w:t> </w:t>
      </w:r>
      <w:r>
        <w:rPr>
          <w:spacing w:val="-64"/>
        </w:rPr>
      </w:r>
      <w:r>
        <w:rPr/>
        <w:t>预计未来现金流量，五年以后的永续现金流量按照详细预测期最后一年的水平确定。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BodyText"/>
        <w:spacing w:line="319" w:lineRule="auto"/>
        <w:ind w:right="982"/>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14" w:lineRule="auto" w:before="55"/>
        <w:ind w:right="1132" w:firstLine="360"/>
        <w:jc w:val="both"/>
      </w:pPr>
      <w:r>
        <w:rPr>
          <w:spacing w:val="-2"/>
        </w:rPr>
        <w:t>公司将重庆华宇园林有限公司认定为资产组，各资产组的可收回金额按照预计未来现金流量的现值确定，未来现金流量</w:t>
      </w:r>
      <w:r>
        <w:rPr/>
        <w:t> </w:t>
      </w:r>
      <w:r>
        <w:rPr>
          <w:spacing w:val="-2"/>
        </w:rPr>
        <w:t>基于财务详细预算确定，以及未来估计增长率和折现率为基准计算，该增长率基于相关行业的增长预测，根据历史经验及对</w:t>
      </w:r>
      <w:r>
        <w:rPr>
          <w:spacing w:val="-66"/>
        </w:rPr>
        <w:t> </w:t>
      </w:r>
      <w:r>
        <w:rPr>
          <w:spacing w:val="-66"/>
        </w:rPr>
      </w:r>
      <w:r>
        <w:rPr>
          <w:spacing w:val="-2"/>
        </w:rPr>
        <w:t>市场发展的预测确定，折现率采用能够反映相关资产组和资产组组合的特定风险的税前利率。在预计未来现金流量时使用的</w:t>
      </w:r>
      <w:r>
        <w:rPr>
          <w:spacing w:val="-64"/>
        </w:rPr>
        <w:t> </w:t>
      </w:r>
      <w:r>
        <w:rPr>
          <w:spacing w:val="-64"/>
        </w:rPr>
      </w:r>
      <w:r>
        <w:rPr/>
        <w:t>其他关键假设还有：预算销售额及预算毛利率的现金流入</w:t>
      </w:r>
      <w:r>
        <w:rPr>
          <w:rFonts w:ascii="Times New Roman" w:hAnsi="Times New Roman" w:cs="Times New Roman" w:eastAsia="Times New Roman" w:hint="default"/>
        </w:rPr>
        <w:t>/</w:t>
      </w:r>
      <w:r>
        <w:rPr/>
        <w:t>流出的估计，这些估计基于各资产组产生现金的以往表现及对市 场发展的期望。上述假设用以分析资产组和资产组组合的可收回金额。</w:t>
      </w:r>
    </w:p>
    <w:p>
      <w:pPr>
        <w:pStyle w:val="BodyText"/>
        <w:spacing w:line="240" w:lineRule="auto" w:before="20"/>
        <w:ind w:left="474" w:right="982"/>
        <w:jc w:val="left"/>
      </w:pPr>
      <w:r>
        <w:rPr/>
        <w:t>公司采用预测未来现金流量折现方法的关键参数：</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315"/>
        <w:gridCol w:w="1500"/>
        <w:gridCol w:w="1747"/>
        <w:gridCol w:w="1650"/>
        <w:gridCol w:w="1430"/>
      </w:tblGrid>
      <w:tr>
        <w:trPr>
          <w:trHeight w:val="442" w:hRule="exact"/>
        </w:trPr>
        <w:tc>
          <w:tcPr>
            <w:tcW w:w="33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294" w:right="0"/>
              <w:jc w:val="left"/>
              <w:rPr>
                <w:rFonts w:ascii="宋体" w:hAnsi="宋体" w:cs="宋体" w:eastAsia="宋体" w:hint="default"/>
                <w:sz w:val="18"/>
                <w:szCs w:val="18"/>
              </w:rPr>
            </w:pPr>
            <w:r>
              <w:rPr>
                <w:rFonts w:ascii="宋体" w:hAnsi="宋体" w:cs="宋体" w:eastAsia="宋体" w:hint="default"/>
                <w:b/>
                <w:bCs/>
                <w:sz w:val="18"/>
                <w:szCs w:val="18"/>
              </w:rPr>
              <w:t>被投资单位名称或形成商誉的事项</w:t>
            </w:r>
            <w:r>
              <w:rPr>
                <w:rFonts w:ascii="宋体" w:hAnsi="宋体" w:cs="宋体" w:eastAsia="宋体" w:hint="default"/>
                <w:sz w:val="18"/>
                <w:szCs w:val="18"/>
              </w:rPr>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244" w:right="0"/>
              <w:jc w:val="left"/>
              <w:rPr>
                <w:rFonts w:ascii="宋体" w:hAnsi="宋体" w:cs="宋体" w:eastAsia="宋体" w:hint="default"/>
                <w:sz w:val="18"/>
                <w:szCs w:val="18"/>
              </w:rPr>
            </w:pPr>
            <w:r>
              <w:rPr>
                <w:rFonts w:ascii="宋体" w:hAnsi="宋体" w:cs="宋体" w:eastAsia="宋体" w:hint="default"/>
                <w:b/>
                <w:bCs/>
                <w:sz w:val="18"/>
                <w:szCs w:val="18"/>
              </w:rPr>
              <w:t>增长率（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321" w:right="0"/>
              <w:jc w:val="left"/>
              <w:rPr>
                <w:rFonts w:ascii="宋体" w:hAnsi="宋体" w:cs="宋体" w:eastAsia="宋体" w:hint="default"/>
                <w:sz w:val="18"/>
                <w:szCs w:val="18"/>
              </w:rPr>
            </w:pPr>
            <w:r>
              <w:rPr>
                <w:rFonts w:ascii="宋体" w:hAnsi="宋体" w:cs="宋体" w:eastAsia="宋体" w:hint="default"/>
                <w:b/>
                <w:bCs/>
                <w:sz w:val="18"/>
                <w:szCs w:val="18"/>
              </w:rPr>
              <w:t>利润率（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b/>
                <w:bCs/>
                <w:sz w:val="18"/>
                <w:szCs w:val="18"/>
              </w:rPr>
              <w:t>折现率（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55" w:hRule="exact"/>
        </w:trPr>
        <w:tc>
          <w:tcPr>
            <w:tcW w:w="33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2"/>
                <w:sz w:val="18"/>
                <w:szCs w:val="18"/>
              </w:rPr>
              <w:t>非同一控制下企业合并重庆华宇园林有限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02" w:right="0"/>
              <w:jc w:val="left"/>
              <w:rPr>
                <w:rFonts w:ascii="宋体" w:hAnsi="宋体" w:cs="宋体" w:eastAsia="宋体" w:hint="default"/>
                <w:sz w:val="18"/>
                <w:szCs w:val="18"/>
              </w:rPr>
            </w:pPr>
            <w:r>
              <w:rPr>
                <w:rFonts w:ascii="宋体"/>
                <w:sz w:val="18"/>
              </w:rPr>
              <w:t>-21.64-16.80</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740" w:right="0"/>
              <w:jc w:val="left"/>
              <w:rPr>
                <w:rFonts w:ascii="宋体" w:hAnsi="宋体" w:cs="宋体" w:eastAsia="宋体" w:hint="default"/>
                <w:sz w:val="18"/>
                <w:szCs w:val="18"/>
              </w:rPr>
            </w:pPr>
            <w:r>
              <w:rPr>
                <w:rFonts w:ascii="宋体"/>
                <w:sz w:val="18"/>
              </w:rPr>
              <w:t>15.49-15.74</w:t>
            </w:r>
          </w:p>
        </w:tc>
        <w:tc>
          <w:tcPr>
            <w:tcW w:w="16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733" w:right="0"/>
              <w:jc w:val="left"/>
              <w:rPr>
                <w:rFonts w:ascii="宋体" w:hAnsi="宋体" w:cs="宋体" w:eastAsia="宋体" w:hint="default"/>
                <w:sz w:val="18"/>
                <w:szCs w:val="18"/>
              </w:rPr>
            </w:pPr>
            <w:r>
              <w:rPr>
                <w:rFonts w:ascii="宋体"/>
                <w:sz w:val="18"/>
              </w:rPr>
              <w:t>7.90-54.22</w:t>
            </w:r>
          </w:p>
        </w:tc>
        <w:tc>
          <w:tcPr>
            <w:tcW w:w="1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宋体" w:hAnsi="宋体" w:cs="宋体" w:eastAsia="宋体" w:hint="default"/>
                <w:sz w:val="18"/>
                <w:szCs w:val="18"/>
              </w:rPr>
            </w:pPr>
            <w:r>
              <w:rPr>
                <w:rFonts w:ascii="宋体"/>
                <w:sz w:val="18"/>
              </w:rPr>
              <w:t>10.92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338" w:lineRule="auto"/>
        <w:ind w:right="982"/>
        <w:jc w:val="left"/>
      </w:pPr>
      <w:r>
        <w:rPr/>
        <w:t>商誉减值测试的影响 </w:t>
      </w:r>
      <w:r>
        <w:rPr>
          <w:spacing w:val="-2"/>
        </w:rPr>
        <w:t>公司年末对商誉进行减值测试，测试方法为未来现金流量折现法，经进行减值测试，本期发现资产组的可收回金额低于其账</w:t>
      </w:r>
      <w:r>
        <w:rPr>
          <w:spacing w:val="-66"/>
        </w:rPr>
        <w:t> </w:t>
      </w:r>
      <w:r>
        <w:rPr>
          <w:spacing w:val="-66"/>
        </w:rPr>
      </w:r>
      <w:r>
        <w:rPr/>
        <w:t>面价值，故计提商誉减值准备。</w:t>
      </w:r>
    </w:p>
    <w:p>
      <w:pPr>
        <w:spacing w:after="0" w:line="338"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35"/>
        <w:ind w:right="982"/>
        <w:jc w:val="left"/>
        <w:rPr>
          <w:b w:val="0"/>
          <w:bCs w:val="0"/>
        </w:rPr>
      </w:pPr>
      <w:bookmarkStart w:name="16、长期待摊费用" w:id="287"/>
      <w:bookmarkEnd w:id="287"/>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装修费及其他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2,094,762.07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651,957.52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59,286.64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1,383,517.91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2,094,762.07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651,957.52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59,286.64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1,383,517.91</w:t>
            </w:r>
          </w:p>
        </w:tc>
      </w:tr>
    </w:tbl>
    <w:p>
      <w:pPr>
        <w:pStyle w:val="BodyText"/>
        <w:spacing w:line="357" w:lineRule="auto" w:before="51"/>
        <w:ind w:right="3192"/>
        <w:jc w:val="left"/>
      </w:pPr>
      <w:r>
        <w:rPr/>
        <w:t>其他说明 其他减少金额为上期暂估装修费含税计入长期待摊费用，本期开票后将税金冲减长期待摊费用。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4"/>
        <w:spacing w:line="240" w:lineRule="auto"/>
        <w:ind w:right="982"/>
        <w:jc w:val="left"/>
        <w:rPr>
          <w:b w:val="0"/>
          <w:bCs w:val="0"/>
        </w:rPr>
      </w:pPr>
      <w:bookmarkStart w:name="17、递延所得税资产/递延所得税负债" w:id="288"/>
      <w:bookmarkEnd w:id="288"/>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未经抵销的递延所得税资产" w:id="289"/>
      <w:bookmarkEnd w:id="28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1,356,248.43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339,062.11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3,783,820.32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945,955.08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4,878,088.77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1,218,681.30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109,446,702.95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27,361,675.74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386,898,037.29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58,198,118.90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98,961,058.65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16,921,933.44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1,726,943.50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431,735.88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25,302,637.80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6,325,659.45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在建工程减值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3,486,420.00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871,605.00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未取得合理单据费用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8,437,164.37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2,076,000.09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5,760,400.96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1,440,100.24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403,296,482.36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62,263,598.28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246,941,040.68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53,896,928.95</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未经抵销的递延所得税负债" w:id="290"/>
      <w:bookmarkEnd w:id="29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保理融资服务费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7,053,333.33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8,893,333.33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1,334,000.00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11,261,993.72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2,815,498.43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7,053,333.33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20,155,327.05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4,149,498.43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2"/>
        <w:jc w:val="left"/>
        <w:rPr>
          <w:b w:val="0"/>
          <w:bCs w:val="0"/>
        </w:rPr>
      </w:pPr>
      <w:bookmarkStart w:name="（3）以抵销后净额列示的递延所得税资产或负债" w:id="291"/>
      <w:bookmarkEnd w:id="29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62,263,598.29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53,896,928.95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4,149,498.43</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未确认递延所得税资产明细" w:id="292"/>
      <w:bookmarkEnd w:id="29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165,495,549.42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1,702,761.35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49,195,427.66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65,936,497.07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21,363,224.14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内部销售未实现利润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245,231.13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商誉减值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249,352,576.07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100,594,451.63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3,486,420.00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655,669,377.12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1,702,761.35</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5）未确认递延所得税资产的可抵扣亏损将于以下年度到期" w:id="293"/>
      <w:bookmarkEnd w:id="29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27,070,421.33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27,423,525.80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1,484,660.87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40,211,728.40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218,100.48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70,789,873.89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165,495,549.42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1,702,761.35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8、其他非流动资产" w:id="294"/>
      <w:bookmarkEnd w:id="294"/>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4,076,826.45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42,308,033.29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27,433,682.00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11,433,682.00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31,510,508.45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53,741,715.29</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9、短期借款" w:id="295"/>
      <w:bookmarkEnd w:id="295"/>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短期借款分类" w:id="296"/>
      <w:bookmarkEnd w:id="29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464,871,689.00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113,629,737.06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336,534,200.00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保证抵押质押借款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票据融资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942,111,426.06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1,206,034,200.00</w:t>
            </w:r>
          </w:p>
        </w:tc>
      </w:tr>
    </w:tbl>
    <w:p>
      <w:pPr>
        <w:spacing w:line="240" w:lineRule="auto" w:before="2"/>
        <w:rPr>
          <w:rFonts w:ascii="宋体" w:hAnsi="宋体" w:cs="宋体" w:eastAsia="宋体" w:hint="default"/>
          <w:sz w:val="19"/>
          <w:szCs w:val="19"/>
        </w:rPr>
      </w:pPr>
    </w:p>
    <w:p>
      <w:pPr>
        <w:spacing w:line="547" w:lineRule="auto" w:before="35"/>
        <w:ind w:left="114" w:right="7109" w:firstLine="0"/>
        <w:jc w:val="left"/>
        <w:rPr>
          <w:rFonts w:ascii="宋体" w:hAnsi="宋体" w:cs="宋体" w:eastAsia="宋体" w:hint="default"/>
          <w:sz w:val="21"/>
          <w:szCs w:val="21"/>
        </w:rPr>
      </w:pPr>
      <w:bookmarkStart w:name="（2）已逾期未偿还的短期借款情况"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20、应付票据及应付账款" w:id="298"/>
      <w:bookmarkEnd w:id="298"/>
      <w:r>
        <w:rPr>
          <w:rFonts w:ascii="宋体" w:hAnsi="宋体" w:cs="宋体" w:eastAsia="宋体" w:hint="default"/>
          <w:sz w:val="18"/>
          <w:szCs w:val="18"/>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、应付票据及应付账款</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86,500,000.00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810,064,037.09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981,703,738.79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860,064,037.09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1,068,203,738.79</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应付票据分类列示" w:id="299"/>
      <w:bookmarkEnd w:id="29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86,500,000.00</w:t>
            </w:r>
          </w:p>
        </w:tc>
      </w:tr>
    </w:tbl>
    <w:p>
      <w:pPr>
        <w:pStyle w:val="BodyText"/>
        <w:spacing w:line="240" w:lineRule="auto" w:before="51"/>
        <w:ind w:right="982"/>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2"/>
        <w:jc w:val="left"/>
        <w:rPr>
          <w:b w:val="0"/>
          <w:bCs w:val="0"/>
        </w:rPr>
      </w:pPr>
      <w:bookmarkStart w:name="（2）应付账款列示" w:id="300"/>
      <w:bookmarkEnd w:id="30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318,731,118.71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684,865,466.33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275,456,390.78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108,739,445.54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67,388,218.77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154,311,959.85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148,488,308.83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33,786,867.07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810,064,037.09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981,703,738.79</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账龄超过1年的重要应付账款" w:id="301"/>
      <w:bookmarkEnd w:id="30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渠县浪淘沙建材有限公司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40,294,550.79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四川卓达建筑劳务有限公司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19,447,200.00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临安华诚建筑劳务承包有限公司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19,034,943.77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重庆市恒辉建筑工程有限公司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18,248,714.88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杭州祥盛沥青拌和有限公司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16,016,240.00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重庆巨工建材有限公司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13,078,131.18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成都沛兴达建筑劳务有限公司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12,358,400.00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四川省达州钢铁集团有限责任公司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10,735,393.00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149,213,573.62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t>其他说明：</w:t>
      </w:r>
    </w:p>
    <w:p>
      <w:pPr>
        <w:pStyle w:val="BodyText"/>
        <w:spacing w:line="240" w:lineRule="auto" w:before="116"/>
        <w:ind w:right="982"/>
        <w:jc w:val="left"/>
      </w:pPr>
      <w:r>
        <w:rPr/>
        <w:t>应付账款中无欠持有本公司</w:t>
      </w:r>
      <w:r>
        <w:rPr>
          <w:spacing w:val="-46"/>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4"/>
        <w:spacing w:line="240" w:lineRule="auto"/>
        <w:ind w:right="982"/>
        <w:jc w:val="left"/>
        <w:rPr>
          <w:b w:val="0"/>
          <w:bCs w:val="0"/>
        </w:rPr>
      </w:pPr>
      <w:bookmarkStart w:name="21、预收款项" w:id="302"/>
      <w:bookmarkEnd w:id="302"/>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预收款项列示" w:id="303"/>
      <w:bookmarkEnd w:id="30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8,977,753.29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17,009,361.75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1,153,163.56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1,518,367.37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432,108.17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333,862.23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1,535,491.73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1,599,935.05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12,098,516.75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20,461,526.40</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2、应付职工薪酬" w:id="304"/>
      <w:bookmarkEnd w:id="304"/>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应付职工薪酬列示" w:id="305"/>
      <w:bookmarkEnd w:id="30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18,493,806.01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150,111,723.86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149,671,193.35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18,934,336.52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77,916.08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12,213,330.78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12,259,294.20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31,952.66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18,571,722.09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162,325,054.64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161,930,487.55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18,966,289.18</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短期薪酬列示" w:id="306"/>
      <w:bookmarkEnd w:id="30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18,487,953.95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134,159,969.48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133,866,855.43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18,781,068.00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6,535,883.05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6,535,883.05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6,854,849.09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6,709,798.92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150,902.23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5,096.11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5,473,800.01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5,328,913.76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149,982.36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710,040.89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710,008.67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561.12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6"/>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564,002.59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563,870.89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358.75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大额救助基金和残联 基金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107,005.60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107,005.60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1,262,719.20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1,260,352.91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2,366.29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1,298,303.04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1,298,303.04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18,493,806.01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150,111,723.86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149,671,193.35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18,934,336.52</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设定提存计划列示" w:id="307"/>
      <w:bookmarkEnd w:id="30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3" w:right="0"/>
              <w:jc w:val="left"/>
              <w:rPr>
                <w:rFonts w:ascii="Times New Roman" w:hAnsi="Times New Roman" w:cs="Times New Roman" w:eastAsia="Times New Roman" w:hint="default"/>
                <w:sz w:val="18"/>
                <w:szCs w:val="18"/>
              </w:rPr>
            </w:pPr>
            <w:r>
              <w:rPr>
                <w:rFonts w:ascii="Times New Roman"/>
                <w:sz w:val="18"/>
              </w:rPr>
              <w:t>77,604.54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2" w:right="0"/>
              <w:jc w:val="left"/>
              <w:rPr>
                <w:rFonts w:ascii="Times New Roman" w:hAnsi="Times New Roman" w:cs="Times New Roman" w:eastAsia="Times New Roman" w:hint="default"/>
                <w:sz w:val="18"/>
                <w:szCs w:val="18"/>
              </w:rPr>
            </w:pPr>
            <w:r>
              <w:rPr>
                <w:rFonts w:ascii="Times New Roman"/>
                <w:sz w:val="18"/>
              </w:rPr>
              <w:t>11,762,528.69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2" w:right="0"/>
              <w:jc w:val="left"/>
              <w:rPr>
                <w:rFonts w:ascii="Times New Roman" w:hAnsi="Times New Roman" w:cs="Times New Roman" w:eastAsia="Times New Roman" w:hint="default"/>
                <w:sz w:val="18"/>
                <w:szCs w:val="18"/>
              </w:rPr>
            </w:pPr>
            <w:r>
              <w:rPr>
                <w:rFonts w:ascii="Times New Roman"/>
                <w:sz w:val="18"/>
              </w:rPr>
              <w:t>11,808,688.67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1" w:right="0"/>
              <w:jc w:val="left"/>
              <w:rPr>
                <w:rFonts w:ascii="Times New Roman" w:hAnsi="Times New Roman" w:cs="Times New Roman" w:eastAsia="Times New Roman" w:hint="default"/>
                <w:sz w:val="18"/>
                <w:szCs w:val="18"/>
              </w:rPr>
            </w:pPr>
            <w:r>
              <w:rPr>
                <w:rFonts w:ascii="Times New Roman"/>
                <w:sz w:val="18"/>
              </w:rPr>
              <w:t>31,444.56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311.54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450,802.09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450,605.53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508.10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77,916.08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12,213,330.78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12,259,294.20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31,952.66</w:t>
            </w:r>
          </w:p>
        </w:tc>
      </w:tr>
    </w:tbl>
    <w:p>
      <w:pPr>
        <w:spacing w:line="240" w:lineRule="auto" w:before="6"/>
        <w:rPr>
          <w:rFonts w:ascii="宋体" w:hAnsi="宋体" w:cs="宋体" w:eastAsia="宋体" w:hint="default"/>
          <w:sz w:val="27"/>
          <w:szCs w:val="27"/>
        </w:rPr>
      </w:pPr>
    </w:p>
    <w:p>
      <w:pPr>
        <w:pStyle w:val="BodyText"/>
        <w:spacing w:line="240" w:lineRule="auto" w:before="44"/>
        <w:ind w:right="982"/>
        <w:jc w:val="left"/>
      </w:pPr>
      <w:r>
        <w:rPr/>
        <w:t>（</w:t>
      </w:r>
      <w:r>
        <w:rPr>
          <w:rFonts w:ascii="宋体" w:hAnsi="宋体" w:cs="宋体" w:eastAsia="宋体" w:hint="default"/>
        </w:rPr>
        <w:t>4</w:t>
      </w:r>
      <w:r>
        <w:rPr/>
        <w:t>）应付职工薪酬中无拖欠职工工资。</w:t>
      </w:r>
    </w:p>
    <w:p>
      <w:pPr>
        <w:pStyle w:val="BodyText"/>
        <w:spacing w:line="240" w:lineRule="auto" w:before="76"/>
        <w:ind w:right="982"/>
        <w:jc w:val="left"/>
      </w:pPr>
      <w:r>
        <w:rPr/>
        <w:t>（</w:t>
      </w:r>
      <w:r>
        <w:rPr>
          <w:rFonts w:ascii="宋体" w:hAnsi="宋体" w:cs="宋体" w:eastAsia="宋体" w:hint="default"/>
        </w:rPr>
        <w:t>5</w:t>
      </w:r>
      <w:r>
        <w:rPr/>
        <w:t>）本期未发生非货币性福利。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82"/>
        <w:jc w:val="left"/>
        <w:rPr>
          <w:b w:val="0"/>
          <w:bCs w:val="0"/>
        </w:rPr>
      </w:pPr>
      <w:bookmarkStart w:name="23、应交税费" w:id="308"/>
      <w:bookmarkEnd w:id="308"/>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4,108,729.68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3,270,899.27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3,907,992.64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5,087,208.33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91,858.59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42,006.97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923,090.56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1,008,903.25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49,200.28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56,708.58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1,885,571.42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1,074,623.80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735,965.51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639,879.70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407,695.86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445,251.34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268,055.01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293,091.99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17,667.73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63,212.17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代扣代缴税金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111,342.43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111,342.43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6,205.05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水资源税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31,584.75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12,544,959.51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12,093,127.83</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4、其他应付款" w:id="309"/>
      <w:bookmarkEnd w:id="309"/>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8,832,912.58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3,342,520.95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257,968.05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354,334,021.42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28,839,102.97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363,424,902.05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32,181,623.92</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应付利息" w:id="310"/>
      <w:bookmarkEnd w:id="31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1,380,136.99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1,380,136.99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2,178,924.19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1,962,383.96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资金拆借利息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5,273,851.40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8,832,912.58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3,342,520.95</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应付股利" w:id="311"/>
      <w:bookmarkEnd w:id="311"/>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257,968.05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257,968.05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pStyle w:val="BodyText"/>
        <w:spacing w:line="240" w:lineRule="auto" w:before="102"/>
        <w:ind w:right="982"/>
        <w:jc w:val="left"/>
      </w:pPr>
      <w:r>
        <w:rPr/>
        <w:t>应付股利为公司孙公司重庆东飞凯格建筑景观设计咨询有限公司本期尚未支付的对少数股东的股利分配</w:t>
      </w:r>
      <w:r>
        <w:rPr>
          <w:spacing w:val="-46"/>
        </w:rPr>
        <w:t> </w:t>
      </w:r>
      <w:r>
        <w:rPr>
          <w:rFonts w:ascii="Times New Roman" w:hAnsi="Times New Roman" w:cs="Times New Roman" w:eastAsia="Times New Roman" w:hint="default"/>
        </w:rPr>
        <w:t>257,968.05</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982"/>
        <w:jc w:val="left"/>
        <w:rPr>
          <w:b w:val="0"/>
          <w:bCs w:val="0"/>
        </w:rPr>
      </w:pPr>
      <w:bookmarkStart w:name="（3）其他应付款" w:id="312"/>
      <w:bookmarkEnd w:id="31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3,852,032.25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4,528,301.00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329,740,618.33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4,688,030.03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代扣个人款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533,589.38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504,370.10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代垫项目款及其他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20,207,781.46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19,118,401.84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354,334,021.42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28,839,102.97</w:t>
            </w:r>
          </w:p>
        </w:tc>
      </w:tr>
    </w:tbl>
    <w:p>
      <w:pPr>
        <w:pStyle w:val="BodyText"/>
        <w:spacing w:line="240" w:lineRule="auto" w:before="51"/>
        <w:ind w:right="982"/>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300" w:lineRule="auto" w:before="101"/>
        <w:ind w:right="2310"/>
        <w:jc w:val="left"/>
      </w:pPr>
      <w:r>
        <w:rPr/>
        <w:t>其他应付款中欠持有本公司</w:t>
      </w:r>
      <w:r>
        <w:rPr>
          <w:spacing w:val="-46"/>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）以上表决权股份的股东单位款项情况见九、</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关联方应收应付款项 其他应付款按账龄分析</w:t>
      </w:r>
    </w:p>
    <w:tbl>
      <w:tblPr>
        <w:tblW w:w="0" w:type="auto"/>
        <w:jc w:val="left"/>
        <w:tblInd w:w="106" w:type="dxa"/>
        <w:tblLayout w:type="fixed"/>
        <w:tblCellMar>
          <w:top w:w="0" w:type="dxa"/>
          <w:left w:w="0" w:type="dxa"/>
          <w:bottom w:w="0" w:type="dxa"/>
          <w:right w:w="0" w:type="dxa"/>
        </w:tblCellMar>
        <w:tblLook w:val="01E0"/>
      </w:tblPr>
      <w:tblGrid>
        <w:gridCol w:w="2045"/>
        <w:gridCol w:w="2234"/>
        <w:gridCol w:w="1672"/>
        <w:gridCol w:w="2075"/>
        <w:gridCol w:w="1552"/>
      </w:tblGrid>
      <w:tr>
        <w:trPr>
          <w:trHeight w:val="362" w:hRule="exact"/>
        </w:trPr>
        <w:tc>
          <w:tcPr>
            <w:tcW w:w="2045" w:type="dxa"/>
            <w:vMerge w:val="restart"/>
            <w:tcBorders>
              <w:top w:val="single" w:sz="12"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905"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27"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62" w:hRule="exact"/>
        </w:trPr>
        <w:tc>
          <w:tcPr>
            <w:tcW w:w="2045" w:type="dxa"/>
            <w:vMerge/>
            <w:tcBorders>
              <w:left w:val="single" w:sz="6" w:space="0" w:color="000000"/>
              <w:bottom w:val="single" w:sz="12" w:space="0" w:color="000000"/>
              <w:right w:val="single" w:sz="6" w:space="0" w:color="000000"/>
            </w:tcBorders>
          </w:tcPr>
          <w:p>
            <w:pPr/>
          </w:p>
        </w:tc>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2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36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61" w:hRule="exact"/>
        </w:trPr>
        <w:tc>
          <w:tcPr>
            <w:tcW w:w="2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349,481,404.01</w:t>
            </w:r>
          </w:p>
        </w:tc>
        <w:tc>
          <w:tcPr>
            <w:tcW w:w="1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98.63</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26,233,585.51</w:t>
            </w:r>
          </w:p>
        </w:tc>
        <w:tc>
          <w:tcPr>
            <w:tcW w:w="1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z w:val="18"/>
              </w:rPr>
              <w:t>90.97</w:t>
            </w:r>
          </w:p>
        </w:tc>
      </w:tr>
      <w:tr>
        <w:trPr>
          <w:trHeight w:val="362" w:hRule="exact"/>
        </w:trPr>
        <w:tc>
          <w:tcPr>
            <w:tcW w:w="2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年至</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3,418,573.65</w:t>
            </w:r>
          </w:p>
        </w:tc>
        <w:tc>
          <w:tcPr>
            <w:tcW w:w="1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0.96</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1,817,993.89</w:t>
            </w:r>
          </w:p>
        </w:tc>
        <w:tc>
          <w:tcPr>
            <w:tcW w:w="1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t>6.30</w:t>
            </w:r>
          </w:p>
        </w:tc>
      </w:tr>
      <w:tr>
        <w:trPr>
          <w:trHeight w:val="362" w:hRule="exact"/>
        </w:trPr>
        <w:tc>
          <w:tcPr>
            <w:tcW w:w="2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年至</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914,094.76</w:t>
            </w:r>
          </w:p>
        </w:tc>
        <w:tc>
          <w:tcPr>
            <w:tcW w:w="1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0.26</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346,600.00</w:t>
            </w:r>
          </w:p>
        </w:tc>
        <w:tc>
          <w:tcPr>
            <w:tcW w:w="1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z w:val="18"/>
              </w:rPr>
              <w:t>1.20</w:t>
            </w:r>
          </w:p>
        </w:tc>
      </w:tr>
      <w:tr>
        <w:trPr>
          <w:trHeight w:val="362" w:hRule="exact"/>
        </w:trPr>
        <w:tc>
          <w:tcPr>
            <w:tcW w:w="2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519,949.00</w:t>
            </w:r>
          </w:p>
        </w:tc>
        <w:tc>
          <w:tcPr>
            <w:tcW w:w="1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0.15</w:t>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440,923.57</w:t>
            </w:r>
          </w:p>
        </w:tc>
        <w:tc>
          <w:tcPr>
            <w:tcW w:w="1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z w:val="18"/>
              </w:rPr>
              <w:t>1.53</w:t>
            </w:r>
          </w:p>
        </w:tc>
      </w:tr>
      <w:tr>
        <w:trPr>
          <w:trHeight w:val="362" w:hRule="exact"/>
        </w:trPr>
        <w:tc>
          <w:tcPr>
            <w:tcW w:w="2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b/>
                <w:w w:val="95"/>
                <w:sz w:val="18"/>
              </w:rPr>
              <w:t>354,334,021.42</w:t>
            </w:r>
            <w:r>
              <w:rPr>
                <w:rFonts w:ascii="宋体"/>
                <w:sz w:val="18"/>
              </w:rPr>
            </w:r>
          </w:p>
        </w:tc>
        <w:tc>
          <w:tcPr>
            <w:tcW w:w="1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100.00</w:t>
            </w:r>
            <w:r>
              <w:rPr>
                <w:rFonts w:ascii="宋体"/>
                <w:sz w:val="18"/>
              </w:rPr>
            </w:r>
          </w:p>
        </w:tc>
        <w:tc>
          <w:tcPr>
            <w:tcW w:w="2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28,839,102.97</w:t>
            </w:r>
            <w:r>
              <w:rPr>
                <w:rFonts w:ascii="宋体"/>
                <w:sz w:val="18"/>
              </w:rPr>
            </w:r>
          </w:p>
        </w:tc>
        <w:tc>
          <w:tcPr>
            <w:tcW w:w="1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2"/>
        <w:jc w:val="left"/>
        <w:rPr>
          <w:b w:val="0"/>
          <w:bCs w:val="0"/>
        </w:rPr>
      </w:pPr>
      <w:bookmarkStart w:name="25、一年内到期的非流动负债" w:id="313"/>
      <w:bookmarkEnd w:id="313"/>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129,266,890.09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142,054,760.98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129,266,890.09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142,054,760.98</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6、其他流动负债" w:id="314"/>
      <w:bookmarkEnd w:id="314"/>
      <w:r>
        <w:rPr>
          <w:b w:val="0"/>
          <w:bCs w:val="0"/>
        </w:rPr>
      </w:r>
      <w:r>
        <w:rPr>
          <w:rFonts w:ascii="Times New Roman" w:hAnsi="Times New Roman" w:cs="Times New Roman" w:eastAsia="Times New Roman" w:hint="default"/>
        </w:rPr>
        <w:t>26</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一年内摊销的递延收益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2,490,386.84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103,945,762.14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102,366,733.83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103,945,762.14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104,857,120.67</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7、长期借款" w:id="315"/>
      <w:bookmarkEnd w:id="315"/>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bookmarkStart w:name="（1）长期借款分类" w:id="316"/>
      <w:bookmarkEnd w:id="31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长期借款分类的说明：</w:t>
      </w:r>
    </w:p>
    <w:p>
      <w:pPr>
        <w:pStyle w:val="BodyText"/>
        <w:spacing w:line="300" w:lineRule="auto" w:before="116"/>
        <w:ind w:right="982"/>
        <w:jc w:val="left"/>
      </w:pPr>
      <w:r>
        <w:rPr>
          <w:spacing w:val="-2"/>
        </w:rPr>
        <w:t>长期借款为子公司重庆华宇园林有限公司项目融资，以其应收账款</w:t>
      </w:r>
      <w:r>
        <w:rPr>
          <w:rFonts w:ascii="Times New Roman" w:hAnsi="Times New Roman" w:cs="Times New Roman" w:eastAsia="Times New Roman" w:hint="default"/>
          <w:spacing w:val="-2"/>
        </w:rPr>
        <w:t>16,220,317.13</w:t>
      </w:r>
      <w:r>
        <w:rPr>
          <w:spacing w:val="-2"/>
        </w:rPr>
        <w:t>元、长期应收款</w:t>
      </w:r>
      <w:r>
        <w:rPr>
          <w:rFonts w:ascii="Times New Roman" w:hAnsi="Times New Roman" w:cs="Times New Roman" w:eastAsia="Times New Roman" w:hint="default"/>
          <w:spacing w:val="-2"/>
        </w:rPr>
        <w:t>313,847,420.00</w:t>
      </w:r>
      <w:r>
        <w:rPr>
          <w:spacing w:val="-2"/>
        </w:rPr>
        <w:t>元质押、山东</w:t>
      </w:r>
      <w:r>
        <w:rPr>
          <w:spacing w:val="-41"/>
        </w:rPr>
        <w:t> </w:t>
      </w:r>
      <w:r>
        <w:rPr>
          <w:spacing w:val="-41"/>
        </w:rPr>
      </w:r>
      <w:r>
        <w:rPr/>
        <w:t>丽鹏股份有限公司进行保证。</w:t>
      </w:r>
    </w:p>
    <w:p>
      <w:pPr>
        <w:spacing w:line="240" w:lineRule="auto" w:before="6"/>
        <w:rPr>
          <w:rFonts w:ascii="宋体" w:hAnsi="宋体" w:cs="宋体" w:eastAsia="宋体" w:hint="default"/>
          <w:sz w:val="23"/>
          <w:szCs w:val="23"/>
        </w:rPr>
      </w:pPr>
    </w:p>
    <w:p>
      <w:pPr>
        <w:pStyle w:val="Heading4"/>
        <w:spacing w:line="240" w:lineRule="auto"/>
        <w:ind w:right="982"/>
        <w:jc w:val="left"/>
        <w:rPr>
          <w:b w:val="0"/>
          <w:bCs w:val="0"/>
        </w:rPr>
      </w:pPr>
      <w:bookmarkStart w:name="28、应付债券" w:id="317"/>
      <w:bookmarkEnd w:id="317"/>
      <w:r>
        <w:rPr>
          <w:b w:val="0"/>
          <w:bCs w:val="0"/>
        </w:rPr>
      </w:r>
      <w:r>
        <w:rPr>
          <w:rFonts w:ascii="Times New Roman" w:hAnsi="Times New Roman" w:cs="Times New Roman" w:eastAsia="Times New Roman" w:hint="default"/>
        </w:rPr>
        <w:t>28</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应付债券" w:id="318"/>
      <w:bookmarkEnd w:id="31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绿色公司债券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246,517,735.60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246,085,263.48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246,517,735.60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246,085,263.48</w:t>
            </w:r>
          </w:p>
        </w:tc>
      </w:tr>
    </w:tbl>
    <w:p>
      <w:pPr>
        <w:spacing w:line="240" w:lineRule="auto" w:before="3"/>
        <w:rPr>
          <w:rFonts w:ascii="宋体" w:hAnsi="宋体" w:cs="宋体" w:eastAsia="宋体" w:hint="default"/>
          <w:sz w:val="19"/>
          <w:szCs w:val="19"/>
        </w:rPr>
      </w:pPr>
    </w:p>
    <w:p>
      <w:pPr>
        <w:pStyle w:val="Heading4"/>
        <w:spacing w:line="240" w:lineRule="auto" w:before="35"/>
        <w:ind w:right="982"/>
        <w:jc w:val="left"/>
        <w:rPr>
          <w:b w:val="0"/>
          <w:bCs w:val="0"/>
        </w:rPr>
      </w:pPr>
      <w:bookmarkStart w:name="（2）应付债券的增减变动（不包括划分为金融负债的优先股、永续债等其他金融工具）" w:id="319"/>
      <w:bookmarkEnd w:id="31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债券名</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债券期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发行金</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本期发</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按面值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溢折价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本期偿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利息调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03" w:right="122" w:hanging="180"/>
              <w:jc w:val="left"/>
              <w:rPr>
                <w:rFonts w:ascii="宋体" w:hAnsi="宋体" w:cs="宋体" w:eastAsia="宋体" w:hint="default"/>
                <w:sz w:val="18"/>
                <w:szCs w:val="18"/>
              </w:rPr>
            </w:pPr>
            <w:r>
              <w:rPr>
                <w:rFonts w:ascii="宋体" w:hAnsi="宋体" w:cs="宋体" w:eastAsia="宋体" w:hint="default"/>
                <w:sz w:val="18"/>
                <w:szCs w:val="18"/>
              </w:rPr>
              <w:t>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还</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整摊销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绿色公 司债券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246,08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5,263.4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-432,47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2.12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246,51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7,735.6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9、长期应付款" w:id="320"/>
      <w:bookmarkEnd w:id="320"/>
      <w:r>
        <w:rPr>
          <w:b w:val="0"/>
          <w:bCs w:val="0"/>
        </w:rPr>
      </w:r>
      <w:r>
        <w:rPr>
          <w:rFonts w:ascii="Times New Roman" w:hAnsi="Times New Roman" w:cs="Times New Roman" w:eastAsia="Times New Roman" w:hint="default"/>
        </w:rPr>
        <w:t>29</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220,116,328.65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266,315,675.83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220,116,328.65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266,315,675.83</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按款项性质列示长期应付款" w:id="321"/>
      <w:bookmarkEnd w:id="32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76,431,480.88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101,395,694.50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3,676,509.91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19,646,968.91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保理融资款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164,013,939.23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232,594,809.44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16,652,581.55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48,027,859.20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220,116,328.65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266,315,675.83</w:t>
            </w:r>
          </w:p>
        </w:tc>
      </w:tr>
    </w:tbl>
    <w:p>
      <w:pPr>
        <w:pStyle w:val="BodyText"/>
        <w:spacing w:line="357" w:lineRule="auto" w:before="51"/>
        <w:ind w:right="6792"/>
        <w:jc w:val="left"/>
      </w:pPr>
      <w:r>
        <w:rPr/>
        <w:t>其他说明： 长期应付款为售后回租融资租赁及保理融资业务。</w:t>
      </w:r>
    </w:p>
    <w:p>
      <w:pPr>
        <w:spacing w:line="240" w:lineRule="auto" w:before="2"/>
        <w:rPr>
          <w:rFonts w:ascii="宋体" w:hAnsi="宋体" w:cs="宋体" w:eastAsia="宋体" w:hint="default"/>
          <w:sz w:val="20"/>
          <w:szCs w:val="20"/>
        </w:rPr>
      </w:pPr>
    </w:p>
    <w:p>
      <w:pPr>
        <w:pStyle w:val="Heading4"/>
        <w:spacing w:line="240" w:lineRule="auto"/>
        <w:ind w:right="982"/>
        <w:jc w:val="left"/>
        <w:rPr>
          <w:b w:val="0"/>
          <w:bCs w:val="0"/>
        </w:rPr>
      </w:pPr>
      <w:bookmarkStart w:name="30、递延收益" w:id="322"/>
      <w:bookmarkEnd w:id="322"/>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22,812,250.97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2,780,386.84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2,502,470.17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23,090,167.64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22,812,250.97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2,780,386.84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2,502,470.17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23,090,167.64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6" w:right="16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太阳能光 电建筑应 用项目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8,020,833.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1,145,833.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-1,145,833.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8,020,833.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侧光伏发 电项目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6,835,537.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976,505.38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-976,505.3</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6,835,537.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组合式防 伪瓶盖生 产线技术 改造项目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606,921.57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112,047.06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-112,047.0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606,921.57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全自动 </w:t>
            </w:r>
            <w:r>
              <w:rPr>
                <w:rFonts w:ascii="Times New Roman" w:hAnsi="Times New Roman" w:cs="Times New Roman" w:eastAsia="Times New Roman" w:hint="default"/>
                <w:sz w:val="18"/>
                <w:szCs w:val="18"/>
              </w:rPr>
              <w:t>30*60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铝盖 生产线技 术改造项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842,105.26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105,263.16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-105,263.1</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842,105.26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土地投资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6,506,853.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150,737.91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-150,737.9</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6,506,853.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瓶盖生产 线改造项 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12,083.33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277,916.67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22,812,250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2,502,470.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-2,490,386.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23,090,167</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其他说明：</w:t>
      </w:r>
    </w:p>
    <w:p>
      <w:pPr>
        <w:pStyle w:val="BodyText"/>
        <w:spacing w:line="300" w:lineRule="auto" w:before="116"/>
        <w:ind w:right="1122" w:firstLine="360"/>
        <w:jc w:val="left"/>
      </w:pPr>
      <w:r>
        <w:rPr/>
        <w:t>①根据牟财建【</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号下达的收烟台市牟平区财政局补助通知，公司收到</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年太阳能光电建筑应用示范补助资 金</w:t>
      </w:r>
      <w:r>
        <w:rPr>
          <w:spacing w:val="-40"/>
        </w:rPr>
        <w:t> </w:t>
      </w:r>
      <w:r>
        <w:rPr>
          <w:rFonts w:ascii="Times New Roman" w:hAnsi="Times New Roman" w:cs="Times New Roman" w:eastAsia="Times New Roman" w:hint="default"/>
        </w:rPr>
        <w:t>963</w:t>
      </w:r>
      <w:r>
        <w:rPr>
          <w:rFonts w:ascii="Times New Roman" w:hAnsi="Times New Roman" w:cs="Times New Roman" w:eastAsia="Times New Roman" w:hint="default"/>
          <w:spacing w:val="5"/>
        </w:rPr>
        <w:t> </w:t>
      </w:r>
      <w:r>
        <w:rPr>
          <w:spacing w:val="-2"/>
        </w:rPr>
        <w:t>万元，列</w:t>
      </w:r>
      <w:r>
        <w:rPr>
          <w:spacing w:val="-40"/>
        </w:rPr>
        <w:t> </w:t>
      </w:r>
      <w:r>
        <w:rPr>
          <w:rFonts w:ascii="Times New Roman" w:hAnsi="Times New Roman" w:cs="Times New Roman" w:eastAsia="Times New Roman" w:hint="default"/>
          <w:spacing w:val="-6"/>
        </w:rPr>
        <w:t>21112</w:t>
      </w:r>
      <w:r>
        <w:rPr>
          <w:spacing w:val="-6"/>
        </w:rPr>
        <w:t>“可再生能源”，此项补助专项用于</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spacing w:val="-1"/>
        </w:rPr>
        <w:t>年太阳能光电建筑应用示范项目。该太阳能光电建筑应用项</w:t>
      </w:r>
    </w:p>
    <w:p>
      <w:pPr>
        <w:pStyle w:val="BodyText"/>
        <w:spacing w:line="240" w:lineRule="auto" w:before="13"/>
        <w:ind w:right="982"/>
        <w:jc w:val="left"/>
      </w:pPr>
      <w:r>
        <w:rPr/>
        <w:t>目于</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月建成，按资产摊销期限（</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年）分期转入当期损益，截至</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日，该项递延收益已累计摊销</w:t>
      </w:r>
    </w:p>
    <w:p>
      <w:pPr>
        <w:pStyle w:val="BodyText"/>
        <w:spacing w:line="240" w:lineRule="auto" w:before="63"/>
        <w:ind w:right="982"/>
        <w:jc w:val="left"/>
      </w:pPr>
      <w:r>
        <w:rPr>
          <w:rFonts w:ascii="Times New Roman" w:hAnsi="Times New Roman" w:cs="Times New Roman" w:eastAsia="Times New Roman" w:hint="default"/>
        </w:rPr>
        <w:t>4,012,500.00</w:t>
      </w:r>
      <w:r>
        <w:rPr>
          <w:rFonts w:ascii="Times New Roman" w:hAnsi="Times New Roman" w:cs="Times New Roman" w:eastAsia="Times New Roman" w:hint="default"/>
          <w:spacing w:val="-2"/>
        </w:rPr>
        <w:t> </w:t>
      </w:r>
      <w:r>
        <w:rPr/>
        <w:t>元。</w:t>
      </w:r>
    </w:p>
    <w:p>
      <w:pPr>
        <w:pStyle w:val="BodyText"/>
        <w:spacing w:line="240" w:lineRule="auto" w:before="63"/>
        <w:ind w:left="474" w:right="982"/>
        <w:jc w:val="left"/>
      </w:pPr>
      <w:r>
        <w:rPr/>
        <w:t>②根据牟财建指【</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号文件，公司收到国家可再生能源发展专项补助资金</w:t>
      </w:r>
      <w:r>
        <w:rPr>
          <w:spacing w:val="-54"/>
        </w:rPr>
        <w:t> </w:t>
      </w:r>
      <w:r>
        <w:rPr>
          <w:rFonts w:ascii="Times New Roman" w:hAnsi="Times New Roman" w:cs="Times New Roman" w:eastAsia="Times New Roman" w:hint="default"/>
        </w:rPr>
        <w:t>412</w:t>
      </w:r>
      <w:r>
        <w:rPr>
          <w:rFonts w:ascii="Times New Roman" w:hAnsi="Times New Roman" w:cs="Times New Roman" w:eastAsia="Times New Roman" w:hint="default"/>
          <w:spacing w:val="-9"/>
        </w:rPr>
        <w:t> </w:t>
      </w:r>
      <w:r>
        <w:rPr/>
        <w:t>万元，此项补助专项用于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p>
    <w:p>
      <w:pPr>
        <w:pStyle w:val="BodyText"/>
        <w:spacing w:line="240" w:lineRule="auto" w:before="63"/>
        <w:ind w:right="982"/>
        <w:jc w:val="left"/>
      </w:pPr>
      <w:r>
        <w:rPr/>
        <w:t>太阳能光电建筑应用示范项目。该太阳能光电建筑应用项目于</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月建成，按资产摊销期限（</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年）分期转入当期</w:t>
      </w:r>
    </w:p>
    <w:p>
      <w:pPr>
        <w:pStyle w:val="BodyText"/>
        <w:spacing w:line="240" w:lineRule="auto" w:before="63"/>
        <w:ind w:right="982"/>
        <w:jc w:val="left"/>
      </w:pPr>
      <w:r>
        <w:rPr/>
        <w:t>损益，截至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日，该项递延收益已累计摊销</w:t>
      </w:r>
      <w:r>
        <w:rPr>
          <w:spacing w:val="-47"/>
        </w:rPr>
        <w:t> </w:t>
      </w:r>
      <w:r>
        <w:rPr>
          <w:rFonts w:ascii="Times New Roman" w:hAnsi="Times New Roman" w:cs="Times New Roman" w:eastAsia="Times New Roman" w:hint="default"/>
        </w:rPr>
        <w:t>1,716,666.64</w:t>
      </w:r>
      <w:r>
        <w:rPr>
          <w:rFonts w:ascii="Times New Roman" w:hAnsi="Times New Roman" w:cs="Times New Roman" w:eastAsia="Times New Roman" w:hint="default"/>
          <w:spacing w:val="-1"/>
        </w:rPr>
        <w:t> </w:t>
      </w:r>
      <w:r>
        <w:rPr/>
        <w:t>元。</w:t>
      </w:r>
    </w:p>
    <w:p>
      <w:pPr>
        <w:pStyle w:val="BodyText"/>
        <w:spacing w:line="300" w:lineRule="auto" w:before="63"/>
        <w:ind w:right="1116" w:firstLine="360"/>
        <w:jc w:val="left"/>
      </w:pPr>
      <w:r>
        <w:rPr/>
        <w:t>③根据牟财建指【</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号下达的收烟台市牟平区财政局补助通知，公司收到</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年金太阳示范工程财政补助资金 预算指标</w:t>
      </w:r>
      <w:r>
        <w:rPr>
          <w:spacing w:val="-49"/>
        </w:rPr>
        <w:t> </w:t>
      </w:r>
      <w:r>
        <w:rPr>
          <w:rFonts w:ascii="Times New Roman" w:hAnsi="Times New Roman" w:cs="Times New Roman" w:eastAsia="Times New Roman" w:hint="default"/>
          <w:spacing w:val="-3"/>
        </w:rPr>
        <w:t>110 </w:t>
      </w:r>
      <w:r>
        <w:rPr/>
        <w:t>万元，列</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2111201</w:t>
      </w:r>
      <w:r>
        <w:rPr/>
        <w:t>“可再生能源”预算支出科目，此项补助专项用于公司侧光伏发电工程项目。该项</w:t>
      </w:r>
    </w:p>
    <w:p>
      <w:pPr>
        <w:pStyle w:val="BodyText"/>
        <w:spacing w:line="240" w:lineRule="auto" w:before="13"/>
        <w:ind w:right="982"/>
        <w:jc w:val="left"/>
      </w:pPr>
      <w:r>
        <w:rPr/>
        <w:t>目于</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月建成，按资产摊销期限（</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年）分期转入当期损益，截至</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日，该项递延收益已累计摊销</w:t>
      </w:r>
    </w:p>
    <w:p>
      <w:pPr>
        <w:pStyle w:val="BodyText"/>
        <w:spacing w:line="240" w:lineRule="auto" w:before="63"/>
        <w:ind w:right="982"/>
        <w:jc w:val="left"/>
      </w:pPr>
      <w:r>
        <w:rPr>
          <w:rFonts w:ascii="Times New Roman" w:hAnsi="Times New Roman" w:cs="Times New Roman" w:eastAsia="Times New Roman" w:hint="default"/>
        </w:rPr>
        <w:t>458,333.33 </w:t>
      </w:r>
      <w:r>
        <w:rPr/>
        <w:t>元。</w:t>
      </w:r>
    </w:p>
    <w:p>
      <w:pPr>
        <w:pStyle w:val="BodyText"/>
        <w:spacing w:line="300" w:lineRule="auto" w:before="63"/>
        <w:ind w:right="1116" w:firstLine="360"/>
        <w:jc w:val="left"/>
      </w:pPr>
      <w:r>
        <w:rPr/>
        <w:t>④根据牟财建指【</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t>号下达的收烟台市牟平区财政局补助通知，公司收到</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年金太阳示范工程财政补助资金 预算指标</w:t>
      </w:r>
      <w:r>
        <w:rPr>
          <w:spacing w:val="-49"/>
        </w:rPr>
        <w:t> </w:t>
      </w:r>
      <w:r>
        <w:rPr>
          <w:rFonts w:ascii="Times New Roman" w:hAnsi="Times New Roman" w:cs="Times New Roman" w:eastAsia="Times New Roman" w:hint="default"/>
        </w:rPr>
        <w:t>660</w:t>
      </w:r>
      <w:r>
        <w:rPr>
          <w:rFonts w:ascii="Times New Roman" w:hAnsi="Times New Roman" w:cs="Times New Roman" w:eastAsia="Times New Roman" w:hint="default"/>
          <w:spacing w:val="-4"/>
        </w:rPr>
        <w:t> </w:t>
      </w:r>
      <w:r>
        <w:rPr/>
        <w:t>万元，列</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2111201</w:t>
      </w:r>
      <w:r>
        <w:rPr/>
        <w:t>“可再生能源”预算支出科目，此项补助专项用于公司侧光伏发电工程项目。该项</w:t>
      </w:r>
    </w:p>
    <w:p>
      <w:pPr>
        <w:pStyle w:val="BodyText"/>
        <w:spacing w:line="240" w:lineRule="auto" w:before="13"/>
        <w:ind w:right="982"/>
        <w:jc w:val="left"/>
      </w:pPr>
      <w:r>
        <w:rPr/>
        <w:t>目于</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月建成，按资产摊销期限（</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年）分期转入当期损益，截至</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日，该项递延收益已累计摊销</w:t>
      </w:r>
    </w:p>
    <w:p>
      <w:pPr>
        <w:pStyle w:val="BodyText"/>
        <w:spacing w:line="240" w:lineRule="auto" w:before="63"/>
        <w:ind w:right="982"/>
        <w:jc w:val="left"/>
      </w:pPr>
      <w:r>
        <w:rPr>
          <w:rFonts w:ascii="Times New Roman" w:hAnsi="Times New Roman" w:cs="Times New Roman" w:eastAsia="Times New Roman" w:hint="default"/>
        </w:rPr>
        <w:t>2,750,000.00</w:t>
      </w:r>
      <w:r>
        <w:rPr>
          <w:rFonts w:ascii="Times New Roman" w:hAnsi="Times New Roman" w:cs="Times New Roman" w:eastAsia="Times New Roman" w:hint="default"/>
          <w:spacing w:val="-2"/>
        </w:rPr>
        <w:t> </w:t>
      </w:r>
      <w:r>
        <w:rPr/>
        <w:t>元。</w:t>
      </w:r>
    </w:p>
    <w:p>
      <w:pPr>
        <w:pStyle w:val="BodyText"/>
        <w:spacing w:line="300" w:lineRule="auto" w:before="63"/>
        <w:ind w:right="1116" w:firstLine="360"/>
        <w:jc w:val="left"/>
      </w:pPr>
      <w:r>
        <w:rPr/>
        <w:t>⑤根据牟财建指【</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号下达的收烟台市牟平区财政局补助通知，公司收到</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年金太阳示范工程财政补助资金 预算指标</w:t>
      </w:r>
      <w:r>
        <w:rPr>
          <w:spacing w:val="-49"/>
        </w:rPr>
        <w:t> </w:t>
      </w:r>
      <w:r>
        <w:rPr>
          <w:rFonts w:ascii="Times New Roman" w:hAnsi="Times New Roman" w:cs="Times New Roman" w:eastAsia="Times New Roman" w:hint="default"/>
        </w:rPr>
        <w:t>346</w:t>
      </w:r>
      <w:r>
        <w:rPr>
          <w:rFonts w:ascii="Times New Roman" w:hAnsi="Times New Roman" w:cs="Times New Roman" w:eastAsia="Times New Roman" w:hint="default"/>
          <w:spacing w:val="-4"/>
        </w:rPr>
        <w:t> </w:t>
      </w:r>
      <w:r>
        <w:rPr/>
        <w:t>万元，列</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2111201</w:t>
      </w:r>
      <w:r>
        <w:rPr/>
        <w:t>“可再生能源”预算支出科目，此项补助专项用于公司侧光伏发电工程项目。该项</w:t>
      </w:r>
    </w:p>
    <w:p>
      <w:pPr>
        <w:pStyle w:val="BodyText"/>
        <w:spacing w:line="240" w:lineRule="auto" w:before="13"/>
        <w:ind w:right="982"/>
        <w:jc w:val="left"/>
      </w:pPr>
      <w:r>
        <w:rPr/>
        <w:t>目于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月建成，按资产剩余使用年限（</w:t>
      </w:r>
      <w:r>
        <w:rPr>
          <w:rFonts w:ascii="Times New Roman" w:hAnsi="Times New Roman" w:cs="Times New Roman" w:eastAsia="Times New Roman" w:hint="default"/>
        </w:rPr>
        <w:t>124</w:t>
      </w:r>
      <w:r>
        <w:rPr>
          <w:rFonts w:ascii="Times New Roman" w:hAnsi="Times New Roman" w:cs="Times New Roman" w:eastAsia="Times New Roman" w:hint="default"/>
          <w:spacing w:val="-1"/>
        </w:rPr>
        <w:t> </w:t>
      </w:r>
      <w:r>
        <w:rPr/>
        <w:t>月）分期转入当期损益，截至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日，该项递延收益已累</w:t>
      </w:r>
    </w:p>
    <w:p>
      <w:pPr>
        <w:pStyle w:val="BodyText"/>
        <w:spacing w:line="240" w:lineRule="auto" w:before="63"/>
        <w:ind w:right="982"/>
        <w:jc w:val="left"/>
      </w:pPr>
      <w:r>
        <w:rPr/>
        <w:t>计摊销</w:t>
      </w:r>
      <w:r>
        <w:rPr>
          <w:spacing w:val="-50"/>
        </w:rPr>
        <w:t> </w:t>
      </w:r>
      <w:r>
        <w:rPr>
          <w:rFonts w:ascii="Times New Roman" w:hAnsi="Times New Roman" w:cs="Times New Roman" w:eastAsia="Times New Roman" w:hint="default"/>
        </w:rPr>
        <w:t>1,116,129.02</w:t>
      </w:r>
      <w:r>
        <w:rPr>
          <w:rFonts w:ascii="Times New Roman" w:hAnsi="Times New Roman" w:cs="Times New Roman" w:eastAsia="Times New Roman" w:hint="default"/>
          <w:spacing w:val="-5"/>
        </w:rPr>
        <w:t> </w:t>
      </w:r>
      <w:r>
        <w:rPr/>
        <w:t>元。</w:t>
      </w:r>
    </w:p>
    <w:p>
      <w:pPr>
        <w:pStyle w:val="BodyText"/>
        <w:spacing w:line="300" w:lineRule="auto" w:before="63"/>
        <w:ind w:right="1117" w:firstLine="360"/>
        <w:jc w:val="left"/>
        <w:rPr>
          <w:rFonts w:ascii="Times New Roman" w:hAnsi="Times New Roman" w:cs="Times New Roman" w:eastAsia="Times New Roman" w:hint="default"/>
        </w:rPr>
      </w:pPr>
      <w:r>
        <w:rPr>
          <w:spacing w:val="-2"/>
        </w:rPr>
        <w:t>⑥根据成财企【</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165</w:t>
      </w:r>
      <w:r>
        <w:rPr>
          <w:rFonts w:ascii="Times New Roman" w:hAnsi="Times New Roman" w:cs="Times New Roman" w:eastAsia="Times New Roman" w:hint="default"/>
          <w:spacing w:val="25"/>
        </w:rPr>
        <w:t> </w:t>
      </w:r>
      <w:r>
        <w:rPr>
          <w:spacing w:val="-1"/>
        </w:rPr>
        <w:t>号文件，蒲江县经济科技和信息化局拨付子公司成都海川制盖有限公司固定资产投资补助资</w:t>
      </w:r>
      <w:r>
        <w:rPr/>
        <w:t> 金</w:t>
      </w:r>
      <w:r>
        <w:rPr>
          <w:spacing w:val="-66"/>
        </w:rPr>
        <w:t> </w:t>
      </w:r>
      <w:r>
        <w:rPr>
          <w:rFonts w:ascii="Times New Roman" w:hAnsi="Times New Roman" w:cs="Times New Roman" w:eastAsia="Times New Roman" w:hint="default"/>
        </w:rPr>
        <w:t>95.24</w:t>
      </w:r>
      <w:r>
        <w:rPr>
          <w:rFonts w:ascii="Times New Roman" w:hAnsi="Times New Roman" w:cs="Times New Roman" w:eastAsia="Times New Roman" w:hint="default"/>
          <w:spacing w:val="-20"/>
        </w:rPr>
        <w:t> </w:t>
      </w:r>
      <w:r>
        <w:rPr/>
        <w:t>万元，专项用于组合式防伪瓶盖生产线技术改造项目。该组合式防伪瓶盖生产线技术改造项目于</w:t>
      </w:r>
      <w:r>
        <w:rPr>
          <w:spacing w:val="-6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spacing w:val="-6"/>
        </w:rPr>
        <w:t>年建成，</w:t>
      </w:r>
      <w:r>
        <w:rPr>
          <w:rFonts w:ascii="Times New Roman" w:hAnsi="Times New Roman" w:cs="Times New Roman" w:eastAsia="Times New Roman" w:hint="default"/>
          <w:spacing w:val="-6"/>
        </w:rPr>
        <w:t>2015</w:t>
      </w:r>
    </w:p>
    <w:p>
      <w:pPr>
        <w:pStyle w:val="BodyText"/>
        <w:spacing w:line="240" w:lineRule="auto" w:before="13"/>
        <w:ind w:right="982"/>
        <w:jc w:val="left"/>
      </w:pP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月收到补助，按资产剩余摊销期限（</w:t>
      </w:r>
      <w:r>
        <w:rPr>
          <w:rFonts w:ascii="Times New Roman" w:hAnsi="Times New Roman" w:cs="Times New Roman" w:eastAsia="Times New Roman" w:hint="default"/>
        </w:rPr>
        <w:t>102</w:t>
      </w:r>
      <w:r>
        <w:rPr>
          <w:rFonts w:ascii="Times New Roman" w:hAnsi="Times New Roman" w:cs="Times New Roman" w:eastAsia="Times New Roman" w:hint="default"/>
          <w:spacing w:val="-6"/>
        </w:rPr>
        <w:t> </w:t>
      </w:r>
      <w:r>
        <w:rPr/>
        <w:t>月）分期转入当期损益，截至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日，该项递延收益已累计摊销</w:t>
      </w:r>
    </w:p>
    <w:p>
      <w:pPr>
        <w:pStyle w:val="BodyText"/>
        <w:spacing w:line="240" w:lineRule="auto" w:before="63"/>
        <w:ind w:right="982"/>
        <w:jc w:val="left"/>
      </w:pPr>
      <w:r>
        <w:rPr>
          <w:rFonts w:ascii="Times New Roman" w:hAnsi="Times New Roman" w:cs="Times New Roman" w:eastAsia="Times New Roman" w:hint="default"/>
        </w:rPr>
        <w:t>345,478.43 </w:t>
      </w:r>
      <w:r>
        <w:rPr/>
        <w:t>元。</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right="1131" w:firstLine="360"/>
        <w:jc w:val="both"/>
      </w:pPr>
      <w:r>
        <w:rPr>
          <w:spacing w:val="-13"/>
        </w:rPr>
        <w:t>⑦根据成企财【</w:t>
      </w:r>
      <w:r>
        <w:rPr>
          <w:rFonts w:ascii="Times New Roman" w:hAnsi="Times New Roman" w:cs="Times New Roman" w:eastAsia="Times New Roman" w:hint="default"/>
          <w:spacing w:val="-13"/>
        </w:rPr>
        <w:t>2017</w:t>
      </w:r>
      <w:r>
        <w:rPr>
          <w:spacing w:val="-13"/>
        </w:rPr>
        <w:t>】</w:t>
      </w:r>
      <w:r>
        <w:rPr>
          <w:rFonts w:ascii="Times New Roman" w:hAnsi="Times New Roman" w:cs="Times New Roman" w:eastAsia="Times New Roman" w:hint="default"/>
          <w:spacing w:val="-13"/>
        </w:rPr>
        <w:t>36</w:t>
      </w:r>
      <w:r>
        <w:rPr>
          <w:rFonts w:ascii="Times New Roman" w:hAnsi="Times New Roman" w:cs="Times New Roman" w:eastAsia="Times New Roman" w:hint="default"/>
        </w:rPr>
        <w:t> </w:t>
      </w:r>
      <w:r>
        <w:rPr>
          <w:spacing w:val="-3"/>
        </w:rPr>
        <w:t>号文件，浦江县经济和信息化局拨付子公司成都海川制盖有限公司固定资产投资补助资金</w:t>
      </w:r>
      <w:r>
        <w:rPr>
          <w:spacing w:val="-57"/>
        </w:rPr>
        <w:t> </w:t>
      </w:r>
      <w:r>
        <w:rPr>
          <w:rFonts w:ascii="Times New Roman" w:hAnsi="Times New Roman" w:cs="Times New Roman" w:eastAsia="Times New Roman" w:hint="default"/>
        </w:rPr>
        <w:t>100.00 </w:t>
      </w:r>
      <w:r>
        <w:rPr/>
        <w:t>万元，专项用于全自动</w:t>
      </w:r>
      <w:r>
        <w:rPr>
          <w:spacing w:val="-46"/>
        </w:rPr>
        <w:t> </w:t>
      </w:r>
      <w:r>
        <w:rPr>
          <w:rFonts w:ascii="Times New Roman" w:hAnsi="Times New Roman" w:cs="Times New Roman" w:eastAsia="Times New Roman" w:hint="default"/>
        </w:rPr>
        <w:t>30*60</w:t>
      </w:r>
      <w:r>
        <w:rPr>
          <w:rFonts w:ascii="Times New Roman" w:hAnsi="Times New Roman" w:cs="Times New Roman" w:eastAsia="Times New Roman" w:hint="default"/>
          <w:spacing w:val="-1"/>
        </w:rPr>
        <w:t> </w:t>
      </w:r>
      <w:r>
        <w:rPr/>
        <w:t>铝盖生产线技术改造项目。相关设备在</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月转资，</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月收到政府补助，按资 产剩余使用年限（</w:t>
      </w:r>
      <w:r>
        <w:rPr>
          <w:rFonts w:ascii="Times New Roman" w:hAnsi="Times New Roman" w:cs="Times New Roman" w:eastAsia="Times New Roman" w:hint="default"/>
        </w:rPr>
        <w:t>114</w:t>
      </w:r>
      <w:r>
        <w:rPr>
          <w:rFonts w:ascii="Times New Roman" w:hAnsi="Times New Roman" w:cs="Times New Roman" w:eastAsia="Times New Roman" w:hint="default"/>
          <w:spacing w:val="-2"/>
        </w:rPr>
        <w:t> </w:t>
      </w:r>
      <w:r>
        <w:rPr/>
        <w:t>月）分期转入当期损益，截至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日，该项递延收益已累计摊销</w:t>
      </w:r>
      <w:r>
        <w:rPr>
          <w:spacing w:val="-47"/>
        </w:rPr>
        <w:t> </w:t>
      </w:r>
      <w:r>
        <w:rPr>
          <w:rFonts w:ascii="Times New Roman" w:hAnsi="Times New Roman" w:cs="Times New Roman" w:eastAsia="Times New Roman" w:hint="default"/>
        </w:rPr>
        <w:t>157,894.74</w:t>
      </w:r>
      <w:r>
        <w:rPr>
          <w:rFonts w:ascii="Times New Roman" w:hAnsi="Times New Roman" w:cs="Times New Roman" w:eastAsia="Times New Roman" w:hint="default"/>
          <w:spacing w:val="-2"/>
        </w:rPr>
        <w:t> </w:t>
      </w:r>
      <w:r>
        <w:rPr/>
        <w:t>元。</w:t>
      </w:r>
    </w:p>
    <w:p>
      <w:pPr>
        <w:pStyle w:val="BodyText"/>
        <w:spacing w:line="300" w:lineRule="auto" w:before="13"/>
        <w:ind w:right="1140" w:firstLine="360"/>
        <w:jc w:val="both"/>
      </w:pPr>
      <w:r>
        <w:rPr/>
        <w:t>⑧</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日企业收入到土地出让金补偿</w:t>
      </w:r>
      <w:r>
        <w:rPr>
          <w:spacing w:val="-46"/>
        </w:rPr>
        <w:t> </w:t>
      </w:r>
      <w:r>
        <w:rPr>
          <w:rFonts w:ascii="Times New Roman" w:hAnsi="Times New Roman" w:cs="Times New Roman" w:eastAsia="Times New Roman" w:hint="default"/>
        </w:rPr>
        <w:t>6,732,960.00</w:t>
      </w:r>
      <w:r>
        <w:rPr>
          <w:rFonts w:ascii="Times New Roman" w:hAnsi="Times New Roman" w:cs="Times New Roman" w:eastAsia="Times New Roman" w:hint="default"/>
          <w:spacing w:val="-1"/>
        </w:rPr>
        <w:t> </w:t>
      </w:r>
      <w:r>
        <w:rPr/>
        <w:t>元。根据</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日起施的《政府补助》准则第八 条 与资产相关的政府补助，应当冲减相关资产的账面价值或确认为递延收益。根据土地剩余使用期限（</w:t>
      </w:r>
      <w:r>
        <w:rPr>
          <w:rFonts w:ascii="Times New Roman" w:hAnsi="Times New Roman" w:cs="Times New Roman" w:eastAsia="Times New Roman" w:hint="default"/>
        </w:rPr>
        <w:t>536</w:t>
      </w:r>
      <w:r>
        <w:rPr>
          <w:rFonts w:ascii="Times New Roman" w:hAnsi="Times New Roman" w:cs="Times New Roman" w:eastAsia="Times New Roman" w:hint="default"/>
          <w:spacing w:val="-1"/>
        </w:rPr>
        <w:t> </w:t>
      </w:r>
      <w:r>
        <w:rPr/>
        <w:t>月）分期转入 当期损益，截至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日，该项递延收益已累计摊销</w:t>
      </w:r>
      <w:r>
        <w:rPr>
          <w:spacing w:val="-46"/>
        </w:rPr>
        <w:t> </w:t>
      </w:r>
      <w:r>
        <w:rPr>
          <w:rFonts w:ascii="Times New Roman" w:hAnsi="Times New Roman" w:cs="Times New Roman" w:eastAsia="Times New Roman" w:hint="default"/>
        </w:rPr>
        <w:t>226,106.87</w:t>
      </w:r>
      <w:r>
        <w:rPr>
          <w:rFonts w:ascii="Times New Roman" w:hAnsi="Times New Roman" w:cs="Times New Roman" w:eastAsia="Times New Roman" w:hint="default"/>
          <w:spacing w:val="-1"/>
        </w:rPr>
        <w:t> </w:t>
      </w:r>
      <w:r>
        <w:rPr/>
        <w:t>元。</w:t>
      </w:r>
    </w:p>
    <w:p>
      <w:pPr>
        <w:pStyle w:val="BodyText"/>
        <w:spacing w:line="240" w:lineRule="auto" w:before="13"/>
        <w:ind w:left="0" w:right="1132"/>
        <w:jc w:val="right"/>
        <w:rPr>
          <w:rFonts w:ascii="Times New Roman" w:hAnsi="Times New Roman" w:cs="Times New Roman" w:eastAsia="Times New Roman" w:hint="default"/>
        </w:rPr>
      </w:pPr>
      <w:r>
        <w:rPr>
          <w:spacing w:val="-10"/>
        </w:rPr>
        <w:t>⑨根据成财企【</w:t>
      </w:r>
      <w:r>
        <w:rPr>
          <w:rFonts w:ascii="Times New Roman" w:hAnsi="Times New Roman" w:cs="Times New Roman" w:eastAsia="Times New Roman" w:hint="default"/>
          <w:spacing w:val="-10"/>
        </w:rPr>
        <w:t>2018</w:t>
      </w:r>
      <w:r>
        <w:rPr>
          <w:spacing w:val="-10"/>
        </w:rPr>
        <w:t>】</w:t>
      </w:r>
      <w:r>
        <w:rPr>
          <w:rFonts w:ascii="Times New Roman" w:hAnsi="Times New Roman" w:cs="Times New Roman" w:eastAsia="Times New Roman" w:hint="default"/>
          <w:spacing w:val="-10"/>
        </w:rPr>
        <w:t>56</w:t>
      </w:r>
      <w:r>
        <w:rPr>
          <w:rFonts w:ascii="Times New Roman" w:hAnsi="Times New Roman" w:cs="Times New Roman" w:eastAsia="Times New Roman" w:hint="default"/>
          <w:spacing w:val="5"/>
        </w:rPr>
        <w:t> </w:t>
      </w:r>
      <w:r>
        <w:rPr>
          <w:spacing w:val="-5"/>
        </w:rPr>
        <w:t>号下达的收成都市财政局、成都市经济和信息化委员会补助通知，公司于</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月收到</w:t>
      </w:r>
      <w:r>
        <w:rPr>
          <w:spacing w:val="-40"/>
        </w:rPr>
        <w:t> </w:t>
      </w:r>
      <w:r>
        <w:rPr>
          <w:rFonts w:ascii="Times New Roman" w:hAnsi="Times New Roman" w:cs="Times New Roman" w:eastAsia="Times New Roman" w:hint="default"/>
        </w:rPr>
        <w:t>2018</w:t>
      </w:r>
    </w:p>
    <w:p>
      <w:pPr>
        <w:pStyle w:val="BodyText"/>
        <w:spacing w:line="240" w:lineRule="auto" w:before="63"/>
        <w:ind w:right="982"/>
        <w:jc w:val="left"/>
      </w:pPr>
      <w:r>
        <w:rPr/>
        <w:t>年第五批工业发展专项资金</w:t>
      </w:r>
      <w:r>
        <w:rPr>
          <w:spacing w:val="-42"/>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spacing w:val="-3"/>
        </w:rPr>
        <w:t>万元，此项补助专项用于公司瓶盖生产线改造项目。该项目于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3"/>
        </w:rPr>
        <w:t>月建成，按资产剩余</w:t>
      </w:r>
    </w:p>
    <w:p>
      <w:pPr>
        <w:pStyle w:val="BodyText"/>
        <w:spacing w:line="240" w:lineRule="auto" w:before="63"/>
        <w:ind w:right="982"/>
        <w:jc w:val="left"/>
      </w:pPr>
      <w:r>
        <w:rPr/>
        <w:t>使用年限（</w:t>
      </w:r>
      <w:r>
        <w:rPr>
          <w:rFonts w:ascii="Times New Roman" w:hAnsi="Times New Roman" w:cs="Times New Roman" w:eastAsia="Times New Roman" w:hint="default"/>
        </w:rPr>
        <w:t>96</w:t>
      </w:r>
      <w:r>
        <w:rPr>
          <w:rFonts w:ascii="Times New Roman" w:hAnsi="Times New Roman" w:cs="Times New Roman" w:eastAsia="Times New Roman" w:hint="default"/>
          <w:spacing w:val="-1"/>
        </w:rPr>
        <w:t> </w:t>
      </w:r>
      <w:r>
        <w:rPr/>
        <w:t>月）分期转入当期损益，截至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日，该项递延收益已累计摊销</w:t>
      </w:r>
      <w:r>
        <w:rPr>
          <w:spacing w:val="-46"/>
        </w:rPr>
        <w:t> </w:t>
      </w:r>
      <w:r>
        <w:rPr>
          <w:rFonts w:ascii="Times New Roman" w:hAnsi="Times New Roman" w:cs="Times New Roman" w:eastAsia="Times New Roman" w:hint="default"/>
        </w:rPr>
        <w:t>12,083.33</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982"/>
        <w:jc w:val="left"/>
        <w:rPr>
          <w:b w:val="0"/>
          <w:bCs w:val="0"/>
        </w:rPr>
      </w:pPr>
      <w:bookmarkStart w:name="31、其他非流动负债" w:id="323"/>
      <w:bookmarkEnd w:id="323"/>
      <w:r>
        <w:rPr>
          <w:b w:val="0"/>
          <w:bCs w:val="0"/>
        </w:rPr>
      </w:r>
      <w:r>
        <w:rPr>
          <w:rFonts w:ascii="Times New Roman" w:hAnsi="Times New Roman" w:cs="Times New Roman" w:eastAsia="Times New Roman" w:hint="default"/>
        </w:rPr>
        <w:t>31</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未实现售后租回损益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10,413,187.87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17,650,732.19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10,413,187.87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17,650,732.19</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2、股本" w:id="324"/>
      <w:bookmarkEnd w:id="324"/>
      <w:r>
        <w:rPr>
          <w:b w:val="0"/>
          <w:bCs w:val="0"/>
        </w:rPr>
      </w:r>
      <w:r>
        <w:rPr>
          <w:rFonts w:ascii="Times New Roman" w:hAnsi="Times New Roman" w:cs="Times New Roman" w:eastAsia="Times New Roman" w:hint="default"/>
        </w:rPr>
        <w:t>32</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877,427,468.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877,427,468.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982"/>
        <w:jc w:val="left"/>
      </w:pPr>
      <w:r>
        <w:rPr/>
        <w:t>其他说明：</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85"/>
        <w:gridCol w:w="1418"/>
        <w:gridCol w:w="567"/>
        <w:gridCol w:w="568"/>
        <w:gridCol w:w="709"/>
        <w:gridCol w:w="1417"/>
        <w:gridCol w:w="1418"/>
        <w:gridCol w:w="1381"/>
      </w:tblGrid>
      <w:tr>
        <w:trPr>
          <w:trHeight w:val="362" w:hRule="exact"/>
        </w:trPr>
        <w:tc>
          <w:tcPr>
            <w:tcW w:w="1985" w:type="dxa"/>
            <w:vMerge w:val="restart"/>
            <w:tcBorders>
              <w:top w:val="single" w:sz="12" w:space="0" w:color="000000"/>
              <w:left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41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99"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4678" w:type="dxa"/>
            <w:gridSpan w:val="5"/>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1541" w:right="0"/>
              <w:jc w:val="left"/>
              <w:rPr>
                <w:rFonts w:ascii="宋体" w:hAnsi="宋体" w:cs="宋体" w:eastAsia="宋体" w:hint="default"/>
                <w:sz w:val="15"/>
                <w:szCs w:val="15"/>
              </w:rPr>
            </w:pPr>
            <w:r>
              <w:rPr>
                <w:rFonts w:ascii="宋体" w:hAnsi="宋体" w:cs="宋体" w:eastAsia="宋体" w:hint="default"/>
                <w:b/>
                <w:bCs/>
                <w:sz w:val="15"/>
                <w:szCs w:val="15"/>
              </w:rPr>
              <w:t>本次变动增减（</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381" w:type="dxa"/>
            <w:vMerge w:val="restart"/>
            <w:tcBorders>
              <w:top w:val="single" w:sz="12" w:space="0" w:color="000000"/>
              <w:left w:val="single" w:sz="6" w:space="0" w:color="000000"/>
              <w:right w:val="nil" w:sz="6" w:space="0" w:color="auto"/>
            </w:tcBorders>
          </w:tcPr>
          <w:p>
            <w:pPr>
              <w:pStyle w:val="TableParagraph"/>
              <w:spacing w:line="240" w:lineRule="auto" w:before="43"/>
              <w:ind w:left="382"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673" w:hRule="exact"/>
        </w:trPr>
        <w:tc>
          <w:tcPr>
            <w:tcW w:w="1985" w:type="dxa"/>
            <w:vMerge/>
            <w:tcBorders>
              <w:left w:val="single" w:sz="6" w:space="0" w:color="000000"/>
              <w:bottom w:val="single" w:sz="12" w:space="0" w:color="000000"/>
              <w:right w:val="single" w:sz="6" w:space="0" w:color="000000"/>
            </w:tcBorders>
          </w:tcPr>
          <w:p>
            <w:pPr/>
          </w:p>
        </w:tc>
        <w:tc>
          <w:tcPr>
            <w:tcW w:w="1418" w:type="dxa"/>
            <w:vMerge/>
            <w:tcBorders>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43"/>
              <w:ind w:left="200" w:right="48" w:hanging="150"/>
              <w:jc w:val="left"/>
              <w:rPr>
                <w:rFonts w:ascii="宋体" w:hAnsi="宋体" w:cs="宋体" w:eastAsia="宋体" w:hint="default"/>
                <w:sz w:val="15"/>
                <w:szCs w:val="15"/>
              </w:rPr>
            </w:pPr>
            <w:r>
              <w:rPr>
                <w:rFonts w:ascii="宋体" w:hAnsi="宋体" w:cs="宋体" w:eastAsia="宋体" w:hint="default"/>
                <w:b/>
                <w:bCs/>
                <w:sz w:val="15"/>
                <w:szCs w:val="15"/>
              </w:rPr>
              <w:t>发行新</w:t>
            </w:r>
            <w:r>
              <w:rPr>
                <w:rFonts w:ascii="宋体" w:hAnsi="宋体" w:cs="宋体" w:eastAsia="宋体" w:hint="default"/>
                <w:b/>
                <w:bCs/>
                <w:w w:val="99"/>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125" w:right="0"/>
              <w:jc w:val="left"/>
              <w:rPr>
                <w:rFonts w:ascii="宋体" w:hAnsi="宋体" w:cs="宋体" w:eastAsia="宋体" w:hint="default"/>
                <w:sz w:val="15"/>
                <w:szCs w:val="15"/>
              </w:rPr>
            </w:pPr>
            <w:r>
              <w:rPr>
                <w:rFonts w:ascii="宋体" w:hAnsi="宋体" w:cs="宋体" w:eastAsia="宋体" w:hint="default"/>
                <w:b/>
                <w:bCs/>
                <w:sz w:val="15"/>
                <w:szCs w:val="15"/>
              </w:rPr>
              <w:t>送股</w:t>
            </w:r>
            <w:r>
              <w:rPr>
                <w:rFonts w:ascii="宋体" w:hAnsi="宋体" w:cs="宋体" w:eastAsia="宋体" w:hint="default"/>
                <w:sz w:val="15"/>
                <w:szCs w:val="15"/>
              </w:rPr>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43"/>
              <w:ind w:left="271" w:right="45" w:hanging="226"/>
              <w:jc w:val="left"/>
              <w:rPr>
                <w:rFonts w:ascii="宋体" w:hAnsi="宋体" w:cs="宋体" w:eastAsia="宋体" w:hint="default"/>
                <w:sz w:val="15"/>
                <w:szCs w:val="15"/>
              </w:rPr>
            </w:pPr>
            <w:r>
              <w:rPr>
                <w:rFonts w:ascii="宋体" w:hAnsi="宋体" w:cs="宋体" w:eastAsia="宋体" w:hint="default"/>
                <w:b/>
                <w:bCs/>
                <w:sz w:val="15"/>
                <w:szCs w:val="15"/>
              </w:rPr>
              <w:t>公积金转</w:t>
            </w:r>
            <w:r>
              <w:rPr>
                <w:rFonts w:ascii="宋体" w:hAnsi="宋体" w:cs="宋体" w:eastAsia="宋体" w:hint="default"/>
                <w:b/>
                <w:bCs/>
                <w:w w:val="99"/>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1" w:right="0"/>
              <w:jc w:val="center"/>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381" w:type="dxa"/>
            <w:vMerge/>
            <w:tcBorders>
              <w:left w:val="single" w:sz="6" w:space="0" w:color="000000"/>
              <w:bottom w:val="single" w:sz="12" w:space="0" w:color="000000"/>
              <w:right w:val="nil" w:sz="6" w:space="0" w:color="auto"/>
            </w:tcBorders>
          </w:tcPr>
          <w:p>
            <w:pP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．有限售条件股份</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spacing w:val="-1"/>
                <w:sz w:val="15"/>
              </w:rPr>
              <w:t>153,559,423.00</w:t>
            </w: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15"/>
                <w:szCs w:val="15"/>
              </w:rPr>
            </w:pPr>
            <w:r>
              <w:rPr>
                <w:rFonts w:ascii="宋体"/>
                <w:spacing w:val="-1"/>
                <w:sz w:val="15"/>
              </w:rPr>
              <w:t>-11,169,016</w:t>
            </w:r>
            <w:r>
              <w:rPr>
                <w:rFonts w:ascii="Times New Roman"/>
                <w:spacing w:val="-1"/>
                <w:sz w:val="15"/>
              </w:rPr>
              <w:t>.00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宋体" w:hAnsi="宋体" w:cs="宋体" w:eastAsia="宋体" w:hint="default"/>
                <w:sz w:val="15"/>
                <w:szCs w:val="15"/>
              </w:rPr>
            </w:pPr>
            <w:r>
              <w:rPr>
                <w:rFonts w:ascii="宋体"/>
                <w:spacing w:val="-1"/>
                <w:sz w:val="15"/>
              </w:rPr>
              <w:t>-11,169,016.00</w:t>
            </w:r>
          </w:p>
        </w:tc>
        <w:tc>
          <w:tcPr>
            <w:tcW w:w="1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15"/>
                <w:szCs w:val="15"/>
              </w:rPr>
            </w:pPr>
            <w:r>
              <w:rPr>
                <w:rFonts w:ascii="宋体"/>
                <w:spacing w:val="-1"/>
                <w:sz w:val="15"/>
              </w:rPr>
              <w:t>142,390,407</w:t>
            </w:r>
            <w:r>
              <w:rPr>
                <w:rFonts w:ascii="Times New Roman"/>
                <w:spacing w:val="-1"/>
                <w:sz w:val="15"/>
              </w:rPr>
              <w:t>.00</w:t>
            </w: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境内法人持股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1"/>
              <w:jc w:val="right"/>
              <w:rPr>
                <w:rFonts w:ascii="宋体" w:hAnsi="宋体" w:cs="宋体" w:eastAsia="宋体" w:hint="default"/>
                <w:sz w:val="15"/>
                <w:szCs w:val="15"/>
              </w:rPr>
            </w:pPr>
            <w:r>
              <w:rPr>
                <w:rFonts w:ascii="宋体"/>
                <w:spacing w:val="-1"/>
                <w:sz w:val="15"/>
              </w:rPr>
              <w:t>6,600,000.00</w:t>
            </w: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3"/>
              <w:ind w:right="7"/>
              <w:jc w:val="right"/>
              <w:rPr>
                <w:rFonts w:ascii="宋体" w:hAnsi="宋体" w:cs="宋体" w:eastAsia="宋体" w:hint="default"/>
                <w:sz w:val="15"/>
                <w:szCs w:val="15"/>
              </w:rPr>
            </w:pPr>
            <w:r>
              <w:rPr>
                <w:rFonts w:ascii="宋体"/>
                <w:spacing w:val="-1"/>
                <w:sz w:val="15"/>
              </w:rPr>
              <w:t>6,600,000.00</w:t>
            </w: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spacing w:val="-1"/>
                <w:sz w:val="15"/>
              </w:rPr>
              <w:t>146,959,423.00</w:t>
            </w: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3"/>
              <w:jc w:val="right"/>
              <w:rPr>
                <w:rFonts w:ascii="宋体" w:hAnsi="宋体" w:cs="宋体" w:eastAsia="宋体" w:hint="default"/>
                <w:sz w:val="15"/>
                <w:szCs w:val="15"/>
              </w:rPr>
            </w:pPr>
            <w:r>
              <w:rPr>
                <w:rFonts w:ascii="宋体"/>
                <w:spacing w:val="-1"/>
                <w:sz w:val="15"/>
              </w:rPr>
              <w:t>-11,169,016.00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宋体" w:hAnsi="宋体" w:cs="宋体" w:eastAsia="宋体" w:hint="default"/>
                <w:sz w:val="15"/>
                <w:szCs w:val="15"/>
              </w:rPr>
            </w:pPr>
            <w:r>
              <w:rPr>
                <w:rFonts w:ascii="宋体"/>
                <w:spacing w:val="-1"/>
                <w:sz w:val="15"/>
              </w:rPr>
              <w:t>-11,169,016.00</w:t>
            </w:r>
          </w:p>
        </w:tc>
        <w:tc>
          <w:tcPr>
            <w:tcW w:w="1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15"/>
                <w:szCs w:val="15"/>
              </w:rPr>
            </w:pPr>
            <w:r>
              <w:rPr>
                <w:rFonts w:ascii="宋体"/>
                <w:spacing w:val="-1"/>
                <w:sz w:val="15"/>
              </w:rPr>
              <w:t>135,790,407</w:t>
            </w:r>
            <w:r>
              <w:rPr>
                <w:rFonts w:ascii="Times New Roman"/>
                <w:spacing w:val="-1"/>
                <w:sz w:val="15"/>
              </w:rPr>
              <w:t>.00</w:t>
            </w:r>
          </w:p>
        </w:tc>
      </w:tr>
      <w:tr>
        <w:trPr>
          <w:trHeight w:val="363"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985"/>
        <w:gridCol w:w="1418"/>
        <w:gridCol w:w="567"/>
        <w:gridCol w:w="568"/>
        <w:gridCol w:w="709"/>
        <w:gridCol w:w="1417"/>
        <w:gridCol w:w="1418"/>
        <w:gridCol w:w="1381"/>
      </w:tblGrid>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2"/>
              <w:jc w:val="right"/>
              <w:rPr>
                <w:rFonts w:ascii="宋体" w:hAnsi="宋体" w:cs="宋体" w:eastAsia="宋体" w:hint="default"/>
                <w:sz w:val="15"/>
                <w:szCs w:val="15"/>
              </w:rPr>
            </w:pPr>
            <w:r>
              <w:rPr>
                <w:rFonts w:ascii="宋体"/>
                <w:spacing w:val="-1"/>
                <w:sz w:val="15"/>
              </w:rPr>
              <w:t>153,559,423.00</w:t>
            </w: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3"/>
              <w:jc w:val="right"/>
              <w:rPr>
                <w:rFonts w:ascii="宋体" w:hAnsi="宋体" w:cs="宋体" w:eastAsia="宋体" w:hint="default"/>
                <w:sz w:val="15"/>
                <w:szCs w:val="15"/>
              </w:rPr>
            </w:pPr>
            <w:r>
              <w:rPr>
                <w:rFonts w:ascii="宋体"/>
                <w:spacing w:val="-1"/>
                <w:sz w:val="15"/>
              </w:rPr>
              <w:t>-11,169,016.00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1"/>
              <w:jc w:val="right"/>
              <w:rPr>
                <w:rFonts w:ascii="宋体" w:hAnsi="宋体" w:cs="宋体" w:eastAsia="宋体" w:hint="default"/>
                <w:sz w:val="15"/>
                <w:szCs w:val="15"/>
              </w:rPr>
            </w:pPr>
            <w:r>
              <w:rPr>
                <w:rFonts w:ascii="宋体"/>
                <w:spacing w:val="-1"/>
                <w:sz w:val="15"/>
              </w:rPr>
              <w:t>-11,169,016.00</w:t>
            </w:r>
          </w:p>
        </w:tc>
        <w:tc>
          <w:tcPr>
            <w:tcW w:w="1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3"/>
              <w:ind w:right="8"/>
              <w:jc w:val="right"/>
              <w:rPr>
                <w:rFonts w:ascii="宋体" w:hAnsi="宋体" w:cs="宋体" w:eastAsia="宋体" w:hint="default"/>
                <w:sz w:val="15"/>
                <w:szCs w:val="15"/>
              </w:rPr>
            </w:pPr>
            <w:r>
              <w:rPr>
                <w:rFonts w:ascii="宋体"/>
                <w:spacing w:val="-1"/>
                <w:sz w:val="15"/>
              </w:rPr>
              <w:t>142,390,407.00</w:t>
            </w:r>
          </w:p>
        </w:tc>
      </w:tr>
      <w:tr>
        <w:trPr>
          <w:trHeight w:val="361"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．无限售条件流通股份</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spacing w:val="-1"/>
                <w:sz w:val="15"/>
              </w:rPr>
              <w:t>723,868,045.00</w:t>
            </w: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3"/>
              <w:jc w:val="right"/>
              <w:rPr>
                <w:rFonts w:ascii="宋体" w:hAnsi="宋体" w:cs="宋体" w:eastAsia="宋体" w:hint="default"/>
                <w:sz w:val="15"/>
                <w:szCs w:val="15"/>
              </w:rPr>
            </w:pPr>
            <w:r>
              <w:rPr>
                <w:rFonts w:ascii="宋体"/>
                <w:spacing w:val="-1"/>
                <w:sz w:val="15"/>
              </w:rPr>
              <w:t>11,169,016.00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宋体" w:hAnsi="宋体" w:cs="宋体" w:eastAsia="宋体" w:hint="default"/>
                <w:sz w:val="15"/>
                <w:szCs w:val="15"/>
              </w:rPr>
            </w:pPr>
            <w:r>
              <w:rPr>
                <w:rFonts w:ascii="宋体"/>
                <w:spacing w:val="-1"/>
                <w:sz w:val="15"/>
              </w:rPr>
              <w:t>11,169,016.00</w:t>
            </w:r>
          </w:p>
        </w:tc>
        <w:tc>
          <w:tcPr>
            <w:tcW w:w="1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8"/>
              <w:jc w:val="right"/>
              <w:rPr>
                <w:rFonts w:ascii="宋体" w:hAnsi="宋体" w:cs="宋体" w:eastAsia="宋体" w:hint="default"/>
                <w:sz w:val="15"/>
                <w:szCs w:val="15"/>
              </w:rPr>
            </w:pPr>
            <w:r>
              <w:rPr>
                <w:rFonts w:ascii="宋体"/>
                <w:spacing w:val="-1"/>
                <w:sz w:val="15"/>
              </w:rPr>
              <w:t>735,037,061.00</w:t>
            </w:r>
          </w:p>
        </w:tc>
      </w:tr>
      <w:tr>
        <w:trPr>
          <w:trHeight w:val="363"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境内上市的外资股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境外上市的外资股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无限售条件流通股份合计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2"/>
              <w:jc w:val="right"/>
              <w:rPr>
                <w:rFonts w:ascii="宋体" w:hAnsi="宋体" w:cs="宋体" w:eastAsia="宋体" w:hint="default"/>
                <w:sz w:val="15"/>
                <w:szCs w:val="15"/>
              </w:rPr>
            </w:pPr>
            <w:r>
              <w:rPr>
                <w:rFonts w:ascii="宋体"/>
                <w:spacing w:val="-1"/>
                <w:sz w:val="15"/>
              </w:rPr>
              <w:t>723,868,045.00</w:t>
            </w: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3"/>
              <w:jc w:val="right"/>
              <w:rPr>
                <w:rFonts w:ascii="宋体" w:hAnsi="宋体" w:cs="宋体" w:eastAsia="宋体" w:hint="default"/>
                <w:sz w:val="15"/>
                <w:szCs w:val="15"/>
              </w:rPr>
            </w:pPr>
            <w:r>
              <w:rPr>
                <w:rFonts w:ascii="宋体"/>
                <w:spacing w:val="-1"/>
                <w:sz w:val="15"/>
              </w:rPr>
              <w:t>11,169,016.00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1"/>
              <w:jc w:val="right"/>
              <w:rPr>
                <w:rFonts w:ascii="宋体" w:hAnsi="宋体" w:cs="宋体" w:eastAsia="宋体" w:hint="default"/>
                <w:sz w:val="15"/>
                <w:szCs w:val="15"/>
              </w:rPr>
            </w:pPr>
            <w:r>
              <w:rPr>
                <w:rFonts w:ascii="宋体"/>
                <w:spacing w:val="-1"/>
                <w:sz w:val="15"/>
              </w:rPr>
              <w:t>11,169,016.00</w:t>
            </w:r>
          </w:p>
        </w:tc>
        <w:tc>
          <w:tcPr>
            <w:tcW w:w="1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3"/>
              <w:ind w:right="8"/>
              <w:jc w:val="right"/>
              <w:rPr>
                <w:rFonts w:ascii="宋体" w:hAnsi="宋体" w:cs="宋体" w:eastAsia="宋体" w:hint="default"/>
                <w:sz w:val="15"/>
                <w:szCs w:val="15"/>
              </w:rPr>
            </w:pPr>
            <w:r>
              <w:rPr>
                <w:rFonts w:ascii="宋体"/>
                <w:spacing w:val="-1"/>
                <w:sz w:val="15"/>
              </w:rPr>
              <w:t>735,037,061.00</w:t>
            </w:r>
          </w:p>
        </w:tc>
      </w:tr>
      <w:tr>
        <w:trPr>
          <w:trHeight w:val="361"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b/>
                <w:bCs/>
                <w:sz w:val="15"/>
                <w:szCs w:val="15"/>
              </w:rPr>
              <w:t>合</w:t>
            </w:r>
            <w:r>
              <w:rPr>
                <w:rFonts w:ascii="宋体" w:hAnsi="宋体" w:cs="宋体" w:eastAsia="宋体" w:hint="default"/>
                <w:b/>
                <w:bCs/>
                <w:spacing w:val="74"/>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1"/>
              <w:jc w:val="right"/>
              <w:rPr>
                <w:rFonts w:ascii="宋体" w:hAnsi="宋体" w:cs="宋体" w:eastAsia="宋体" w:hint="default"/>
                <w:sz w:val="15"/>
                <w:szCs w:val="15"/>
              </w:rPr>
            </w:pPr>
            <w:r>
              <w:rPr>
                <w:rFonts w:ascii="宋体"/>
                <w:b/>
                <w:w w:val="95"/>
                <w:sz w:val="15"/>
              </w:rPr>
              <w:t>877,427,468.00</w:t>
            </w:r>
            <w:r>
              <w:rPr>
                <w:rFonts w:ascii="宋体"/>
                <w:sz w:val="15"/>
              </w:rPr>
            </w:r>
          </w:p>
        </w:tc>
        <w:tc>
          <w:tcPr>
            <w:tcW w:w="567" w:type="dxa"/>
            <w:tcBorders>
              <w:top w:val="single" w:sz="12" w:space="0" w:color="000000"/>
              <w:left w:val="single" w:sz="6" w:space="0" w:color="000000"/>
              <w:bottom w:val="single" w:sz="12" w:space="0" w:color="000000"/>
              <w:right w:val="single" w:sz="6" w:space="0" w:color="000000"/>
            </w:tcBorders>
          </w:tcPr>
          <w:p>
            <w:pPr/>
          </w:p>
        </w:tc>
        <w:tc>
          <w:tcPr>
            <w:tcW w:w="568" w:type="dxa"/>
            <w:tcBorders>
              <w:top w:val="single" w:sz="12" w:space="0" w:color="000000"/>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3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3"/>
              <w:ind w:right="7"/>
              <w:jc w:val="right"/>
              <w:rPr>
                <w:rFonts w:ascii="宋体" w:hAnsi="宋体" w:cs="宋体" w:eastAsia="宋体" w:hint="default"/>
                <w:sz w:val="15"/>
                <w:szCs w:val="15"/>
              </w:rPr>
            </w:pPr>
            <w:r>
              <w:rPr>
                <w:rFonts w:ascii="宋体"/>
                <w:b/>
                <w:w w:val="95"/>
                <w:sz w:val="15"/>
              </w:rPr>
              <w:t>877,427,468.00</w:t>
            </w:r>
            <w:r>
              <w:rPr>
                <w:rFonts w:ascii="宋体"/>
                <w:sz w:val="15"/>
              </w:rPr>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3、资本公积" w:id="325"/>
      <w:bookmarkEnd w:id="325"/>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1,806,339,597.75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1" w:right="0"/>
              <w:jc w:val="left"/>
              <w:rPr>
                <w:rFonts w:ascii="Times New Roman" w:hAnsi="Times New Roman" w:cs="Times New Roman" w:eastAsia="Times New Roman" w:hint="default"/>
                <w:sz w:val="18"/>
                <w:szCs w:val="18"/>
              </w:rPr>
            </w:pPr>
            <w:r>
              <w:rPr>
                <w:rFonts w:ascii="Times New Roman"/>
                <w:sz w:val="18"/>
              </w:rPr>
              <w:t>1,806,339,597.75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1,806,339,597.75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1" w:right="0"/>
              <w:jc w:val="left"/>
              <w:rPr>
                <w:rFonts w:ascii="Times New Roman" w:hAnsi="Times New Roman" w:cs="Times New Roman" w:eastAsia="Times New Roman" w:hint="default"/>
                <w:sz w:val="18"/>
                <w:szCs w:val="18"/>
              </w:rPr>
            </w:pPr>
            <w:r>
              <w:rPr>
                <w:rFonts w:ascii="Times New Roman"/>
                <w:sz w:val="18"/>
              </w:rPr>
              <w:t>1,806,339,597.75</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4、盈余公积" w:id="326"/>
      <w:bookmarkEnd w:id="326"/>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15,220,557.25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15,220,557.25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15,220,557.25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15,220,557.25</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5、未分配利润" w:id="327"/>
      <w:bookmarkEnd w:id="327"/>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485,570,751.86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421,836,344.78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485,570,751.86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-789,840,556.16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90,057,231.12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26,322,824.04</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-304,269,804.30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485,570,751.86</w:t>
            </w:r>
          </w:p>
        </w:tc>
      </w:tr>
    </w:tbl>
    <w:p>
      <w:pPr>
        <w:pStyle w:val="BodyText"/>
        <w:spacing w:line="240" w:lineRule="auto" w:before="51"/>
        <w:ind w:right="982"/>
        <w:jc w:val="left"/>
      </w:pPr>
      <w:r>
        <w:rPr/>
        <w:t>调整期初未分配利润明细：</w:t>
      </w:r>
    </w:p>
    <w:p>
      <w:pPr>
        <w:pStyle w:val="BodyText"/>
        <w:spacing w:line="240" w:lineRule="auto" w:before="116"/>
        <w:ind w:right="982"/>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982"/>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2"/>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982"/>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-531.12</w:t>
      </w:r>
      <w:r>
        <w:rPr>
          <w:rFonts w:ascii="Times New Roman" w:hAnsi="Times New Roman" w:cs="Times New Roman" w:eastAsia="Times New Roman" w:hint="default"/>
          <w:spacing w:val="-2"/>
        </w:rPr>
        <w:t> </w:t>
      </w:r>
      <w:r>
        <w:rPr/>
        <w:t>元。</w:t>
      </w:r>
    </w:p>
    <w:p>
      <w:pPr>
        <w:pStyle w:val="BodyText"/>
        <w:spacing w:line="240" w:lineRule="auto" w:before="103"/>
        <w:ind w:right="982"/>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982"/>
        <w:jc w:val="left"/>
        <w:rPr>
          <w:b w:val="0"/>
          <w:bCs w:val="0"/>
        </w:rPr>
      </w:pPr>
      <w:bookmarkStart w:name="36、营业收入和营业成本" w:id="328"/>
      <w:bookmarkEnd w:id="328"/>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1,219,127,199.49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1,095,881,155.36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1,832,897,843.58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1,569,908,164.37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28,762,150.92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19,517,215.16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24,919,645.22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19,318,917.02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1,247,889,350.41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1,115,398,370.52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1,857,817,488.80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1,589,227,081.39</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7、税金及附加" w:id="329"/>
      <w:bookmarkEnd w:id="329"/>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2,984,528.02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2,899,084.00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1,393,248.02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1,354,678.20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70,686.45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1,086.22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4,391,627.69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3,399,281.21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2,252,075.96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1,917,857.37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23,665.52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21,201.46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2,074,723.33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665,990.80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936,003.67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900,896.38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24,974.86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13,629.87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138,173.71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125,577.13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14,289,707.23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11,299,282.64</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8、销售费用" w:id="330"/>
      <w:bookmarkEnd w:id="330"/>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10,180,913.49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10,668,340.09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1,764,773.33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1,599,380.10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63,202.63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849,420.15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5,660,984.95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4,347,592.98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160,010.46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892,599.09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7,631,209.68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7,172,306.65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质量扣款及其他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20,104,901.54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1,010,054.58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45,565,996.08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26,539,693.64</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9、管理费用" w:id="331"/>
      <w:bookmarkEnd w:id="331"/>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5,960,794.23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6,756,479.42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5,434,892.12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7,818,936.83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1,112,622.79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893,454.43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1,366,486.81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1,454,783.98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12,702,262.27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7,772,497.17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53,977,255.74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49,245,152.09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10,713,021.31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9,807,439.78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3,186,134.09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2,681,573.66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物料消耗及其他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3,068,066.39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2,602,726.14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2,110,299.81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2,092,072.70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6,295,108.43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4,143,174.36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105,926,943.99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95,268,290.56</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0、研发费用" w:id="332"/>
      <w:bookmarkEnd w:id="332"/>
      <w:r>
        <w:rPr>
          <w:b w:val="0"/>
          <w:bCs w:val="0"/>
        </w:rPr>
      </w:r>
      <w:r>
        <w:rPr>
          <w:rFonts w:ascii="Times New Roman" w:hAnsi="Times New Roman" w:cs="Times New Roman" w:eastAsia="Times New Roman" w:hint="default"/>
        </w:rPr>
        <w:t>40</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4,300,743.04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4,653,734.48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2,627,340.92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14,005.00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8,975.00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4,414,748.04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7,290,050.40</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1、财务费用" w:id="333"/>
      <w:bookmarkEnd w:id="333"/>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120,362,438.31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71,945,069.70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124,917,339.68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89,863,865.19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-343,511.78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2,506,893.67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3,332,516.66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1,101,111.40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2" w:right="0"/>
              <w:jc w:val="left"/>
              <w:rPr>
                <w:rFonts w:ascii="Times New Roman" w:hAnsi="Times New Roman" w:cs="Times New Roman" w:eastAsia="Times New Roman" w:hint="default"/>
                <w:sz w:val="18"/>
                <w:szCs w:val="18"/>
              </w:rPr>
            </w:pPr>
            <w:r>
              <w:rPr>
                <w:rFonts w:ascii="Times New Roman"/>
                <w:sz w:val="18"/>
              </w:rPr>
              <w:t>-1,565,896.49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2" w:right="0"/>
              <w:jc w:val="left"/>
              <w:rPr>
                <w:rFonts w:ascii="Times New Roman" w:hAnsi="Times New Roman" w:cs="Times New Roman" w:eastAsia="Times New Roman" w:hint="default"/>
                <w:sz w:val="18"/>
                <w:szCs w:val="18"/>
              </w:rPr>
            </w:pPr>
            <w:r>
              <w:rPr>
                <w:rFonts w:ascii="Times New Roman"/>
                <w:sz w:val="18"/>
              </w:rPr>
              <w:t>-14,310,790.42</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2、资产减值损失" w:id="334"/>
      <w:bookmarkEnd w:id="334"/>
      <w:r>
        <w:rPr>
          <w:b w:val="0"/>
          <w:bCs w:val="0"/>
        </w:rPr>
      </w:r>
      <w:r>
        <w:rPr>
          <w:rFonts w:ascii="Times New Roman" w:hAnsi="Times New Roman" w:cs="Times New Roman" w:eastAsia="Times New Roman" w:hint="default"/>
        </w:rPr>
        <w:t>42</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329,870,363.59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32,024,154.74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70,253,990.61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4,719,444.75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100,594,451.63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3,486,420.00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249,352,576.07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750,071,381.90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40,230,019.49</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3、其他收益" w:id="335"/>
      <w:bookmarkEnd w:id="335"/>
      <w:r>
        <w:rPr>
          <w:b w:val="0"/>
          <w:bCs w:val="0"/>
        </w:rPr>
      </w:r>
      <w:r>
        <w:rPr>
          <w:rFonts w:ascii="Times New Roman" w:hAnsi="Times New Roman" w:cs="Times New Roman" w:eastAsia="Times New Roman" w:hint="default"/>
        </w:rPr>
        <w:t>43</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95"/>
              <w:jc w:val="left"/>
              <w:rPr>
                <w:rFonts w:ascii="宋体" w:hAnsi="宋体" w:cs="宋体" w:eastAsia="宋体" w:hint="default"/>
                <w:sz w:val="18"/>
                <w:szCs w:val="18"/>
              </w:rPr>
            </w:pPr>
            <w:r>
              <w:rPr>
                <w:rFonts w:ascii="宋体" w:hAnsi="宋体" w:cs="宋体" w:eastAsia="宋体" w:hint="default"/>
                <w:sz w:val="18"/>
                <w:szCs w:val="18"/>
              </w:rPr>
              <w:t>烟台市牟平区财政局太阳能光电建筑 应用示范补助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1,145,833.33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1,145,833.33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金太阳示范工程财政补助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976,505.38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976,505.38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组合式防伪瓶盖生产线技术改造项目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112,047.06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112,047.06</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94"/>
              <w:jc w:val="left"/>
              <w:rPr>
                <w:rFonts w:ascii="宋体" w:hAnsi="宋体" w:cs="宋体" w:eastAsia="宋体" w:hint="default"/>
                <w:sz w:val="18"/>
                <w:szCs w:val="18"/>
              </w:rPr>
            </w:pPr>
            <w:r>
              <w:rPr>
                <w:rFonts w:ascii="宋体" w:hAnsi="宋体" w:cs="宋体" w:eastAsia="宋体" w:hint="default"/>
                <w:sz w:val="18"/>
                <w:szCs w:val="18"/>
              </w:rPr>
              <w:t>全自动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30*60 </w:t>
            </w:r>
            <w:r>
              <w:rPr>
                <w:rFonts w:ascii="宋体" w:hAnsi="宋体" w:cs="宋体" w:eastAsia="宋体" w:hint="default"/>
                <w:sz w:val="18"/>
                <w:szCs w:val="18"/>
              </w:rPr>
              <w:t>铝盖生产线技术改造项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105,263.16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52,631.58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瓶盖生产线改造项目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12,083.33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土地出让金补贴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150,737.91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75,368.96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以前年度增值税返还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1,918,422.00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税收补助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专利资助奖励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67,710.00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12,290.00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失业保险稳岗就业补贴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45,988.00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54,515.00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中央外经贸发展专项资金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26,100.00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市级安全生产达标奖励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三代手续费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168,474.24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38,797.16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牟平工会拨款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增值税财政扶持款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21,237.00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江北区商贸物流产业扶持奖励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24,600.00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知识产权补贴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标准化资助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国家级知识产权示范奖金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江北英才创新项目资助经费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年鼓励类企业补助资金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164,639.06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小微企业暂免征收增值税优惠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206.22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13,595.00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烟台市牟平区科学技术局补贴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山东省专利创造资助资金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烟台市食品工业协会赴台补贴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市级专利补助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党建工作经费补贴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烟台市人才引入补贴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烟台市牟平区专利保险试点企业补贴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33,170.00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浦江县经济和信息化局纳税奖励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浦江县就业服务管理局稳岗补贴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86,261.82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蒲江县人民政府办公室专利补贴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5,260.00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重庆市江北区财政国库中心产业扶持 基金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2,723,200.00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中小企业</w:t>
            </w:r>
            <w:r>
              <w:rPr>
                <w:rFonts w:ascii="Times New Roman" w:hAnsi="Times New Roman" w:cs="Times New Roman" w:eastAsia="Times New Roman" w:hint="default"/>
                <w:sz w:val="18"/>
                <w:szCs w:val="18"/>
              </w:rPr>
              <w:t>"</w:t>
            </w: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宋体" w:hAnsi="宋体" w:cs="宋体" w:eastAsia="宋体" w:hint="default"/>
                <w:sz w:val="18"/>
                <w:szCs w:val="18"/>
              </w:rPr>
              <w:t>市场开拓专项补助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14,165.00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5,258,846.69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5,633,340.29</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4、投资收益" w:id="336"/>
      <w:bookmarkEnd w:id="336"/>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-1,127,333.31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-3,451,537.47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-1,127,333.31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-1,451,537.47</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5、资产处置收益" w:id="337"/>
      <w:bookmarkEnd w:id="337"/>
      <w:r>
        <w:rPr>
          <w:b w:val="0"/>
          <w:bCs w:val="0"/>
        </w:rPr>
      </w:r>
      <w:r>
        <w:rPr>
          <w:rFonts w:ascii="Times New Roman" w:hAnsi="Times New Roman" w:cs="Times New Roman" w:eastAsia="Times New Roman" w:hint="default"/>
        </w:rPr>
        <w:t>45</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134,400.88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-156,235.56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134,400.88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-156,235.56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2"/>
        <w:jc w:val="left"/>
        <w:rPr>
          <w:b w:val="0"/>
          <w:bCs w:val="0"/>
        </w:rPr>
      </w:pPr>
      <w:bookmarkStart w:name="46、营业外收入" w:id="338"/>
      <w:bookmarkEnd w:id="338"/>
      <w:r>
        <w:rPr>
          <w:b w:val="0"/>
          <w:bCs w:val="0"/>
        </w:rPr>
      </w:r>
      <w:r>
        <w:rPr>
          <w:rFonts w:ascii="Times New Roman" w:hAnsi="Times New Roman" w:cs="Times New Roman" w:eastAsia="Times New Roman" w:hint="default"/>
        </w:rPr>
        <w:t>46</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3,702.62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3,702.62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与日常活动无关的政府补助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269,597.09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991,945.73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269,597.09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273,299.71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991,945.73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273,299.71</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7、营业外支出" w:id="339"/>
      <w:bookmarkEnd w:id="339"/>
      <w:r>
        <w:rPr>
          <w:b w:val="0"/>
          <w:bCs w:val="0"/>
        </w:rPr>
      </w:r>
      <w:r>
        <w:rPr>
          <w:rFonts w:ascii="Times New Roman" w:hAnsi="Times New Roman" w:cs="Times New Roman" w:eastAsia="Times New Roman" w:hint="default"/>
        </w:rPr>
        <w:t>47</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576,500.00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226,899.63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1,407,514.34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226,899.63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工伤就业补助金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223,869.04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223,869.04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521,509.10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240,538.43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521,509.10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1,158,277.77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2,647,552.77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1,158,277.77</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8、所得税费用" w:id="340"/>
      <w:bookmarkEnd w:id="340"/>
      <w:r>
        <w:rPr>
          <w:b w:val="0"/>
          <w:bCs w:val="0"/>
        </w:rPr>
      </w: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bookmarkStart w:name="（1）所得税费用表" w:id="341"/>
      <w:bookmarkEnd w:id="34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16,680,114.90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26,294,170.70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-11,458,167.77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-14,159,148.92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5,221,947.13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12,135,021.78</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会计利润与所得税费用调整过程" w:id="342"/>
      <w:bookmarkEnd w:id="34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-782,830,964.66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-117,424,644.71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-7,157,046.83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19,587,201.51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-194,952.54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61,273,092.12</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49,634,956.73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-496,659.15</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5,221,947.13</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9、现金流量表项目" w:id="343"/>
      <w:bookmarkEnd w:id="343"/>
      <w:r>
        <w:rPr>
          <w:b w:val="0"/>
          <w:bCs w:val="0"/>
        </w:rPr>
      </w:r>
      <w:r>
        <w:rPr>
          <w:rFonts w:ascii="Times New Roman" w:hAnsi="Times New Roman" w:cs="Times New Roman" w:eastAsia="Times New Roman" w:hint="default"/>
        </w:rPr>
        <w:t>49</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收到的其他与经营活动有关的现金" w:id="344"/>
      <w:bookmarkEnd w:id="34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3,046,170.30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3,270,953.98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2,436,048.07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6,106,095.19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240,966,550.54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11,081,201.68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246,448,768.91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20,458,250.85</w:t>
            </w:r>
          </w:p>
        </w:tc>
      </w:tr>
    </w:tbl>
    <w:p>
      <w:pPr>
        <w:spacing w:line="240" w:lineRule="auto" w:before="3"/>
        <w:rPr>
          <w:rFonts w:ascii="宋体" w:hAnsi="宋体" w:cs="宋体" w:eastAsia="宋体" w:hint="default"/>
          <w:sz w:val="19"/>
          <w:szCs w:val="19"/>
        </w:rPr>
      </w:pPr>
    </w:p>
    <w:p>
      <w:pPr>
        <w:pStyle w:val="Heading4"/>
        <w:spacing w:line="240" w:lineRule="auto" w:before="35"/>
        <w:ind w:right="982"/>
        <w:jc w:val="left"/>
        <w:rPr>
          <w:b w:val="0"/>
          <w:bCs w:val="0"/>
        </w:rPr>
      </w:pPr>
      <w:bookmarkStart w:name="（2）支付的其他与经营活动有关的现金" w:id="345"/>
      <w:bookmarkEnd w:id="34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管理费用中的现金支出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35,920,696.26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30,068,884.05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销售费用中的现金支出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25,166,381.36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22,010,360.78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186,137,300.75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126,097,016.90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247,224,378.37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178,176,261.73</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收到的其他与投资活动有关的现金" w:id="346"/>
      <w:bookmarkEnd w:id="34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7,732,960.00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项目投资款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购买资产信用证保证金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51,360,000.00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7,732,960.00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2"/>
        <w:jc w:val="left"/>
        <w:rPr>
          <w:b w:val="0"/>
          <w:bCs w:val="0"/>
        </w:rPr>
      </w:pPr>
      <w:bookmarkStart w:name="（4）支付的其他与投资活动有关的现金" w:id="347"/>
      <w:bookmarkEnd w:id="34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购买资产信用证保证金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9,862,679.98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项目投资款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255,979,420.00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128,368,000.00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255,979,420.00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138,230,679.98</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5）收到的其他与筹资活动有关的现金" w:id="348"/>
      <w:bookmarkEnd w:id="34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保理融资</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公司及个人借款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342,800,000.00</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6）支付的其他与筹资活动有关的现金" w:id="349"/>
      <w:bookmarkEnd w:id="34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售后回租融资租赁租金及利息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147,857,144.27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117,663,126.96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债券发行及担保费用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4,776,842.46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4,145,566.60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保理融资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36,810,459.64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公司及个人借款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378,444,446.37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121,808,693.56</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50、现金流量表补充资料" w:id="350"/>
      <w:bookmarkEnd w:id="350"/>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现金流量表补充资料" w:id="351"/>
      <w:bookmarkEnd w:id="35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-788,052,911.79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92,508,799.54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750,071,381.90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40,230,019.49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102,625,283.48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84,487,353.94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2,519,259.37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2,526,915.70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651,957.52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375,916.05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-134,400.88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156,235.56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223,197.01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1,407,514.34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122,089,666.88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73,485,029.88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1,127,333.31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1,451,537.47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-8,366,669.34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-18,308,647.35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-3,091,498.43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4,149,498.43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291,926,178.69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-283,431,294.13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-644,923,953.29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-672,042,416.62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-212,099,364.91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148,440,053.90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-385,434,540.48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-524,563,483.80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89,712,204.40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640,953,911.34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640,953,911.34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758,323,050.42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-551,241,706.94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-117,369,139.08</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现金和现金等价物的构成" w:id="352"/>
      <w:bookmarkEnd w:id="35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89,712,204.40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640,953,911.34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276,872.45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1,102,570.85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87,305,496.26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639,851,340.49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2,129,835.69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89,712,204.40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640,953,911.34</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51、所有权或使用权受到限制的资产" w:id="353"/>
      <w:bookmarkEnd w:id="353"/>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86,801,249.67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8"/>
              <w:jc w:val="left"/>
              <w:rPr>
                <w:rFonts w:ascii="宋体" w:hAnsi="宋体" w:cs="宋体" w:eastAsia="宋体" w:hint="default"/>
                <w:sz w:val="18"/>
                <w:szCs w:val="18"/>
              </w:rPr>
            </w:pPr>
            <w:r>
              <w:rPr>
                <w:rFonts w:ascii="宋体" w:hAnsi="宋体" w:cs="宋体" w:eastAsia="宋体" w:hint="default"/>
                <w:sz w:val="18"/>
                <w:szCs w:val="18"/>
              </w:rPr>
              <w:t>借款质押、保证金冻结、票据及借款 保证金、银行存款冻结</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79,454,770.86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64,652,517.13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借款质押、冻结</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313,847,420.00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9,162,874.74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553,918,832.40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2157"/>
        <w:jc w:val="left"/>
      </w:pPr>
      <w:r>
        <w:rPr/>
        <w:t>其他说明： 应收账款</w:t>
      </w:r>
      <w:r>
        <w:rPr>
          <w:rFonts w:ascii="Times New Roman" w:hAnsi="Times New Roman" w:cs="Times New Roman" w:eastAsia="Times New Roman" w:hint="default"/>
        </w:rPr>
        <w:t>4,843.22</w:t>
      </w:r>
      <w:r>
        <w:rPr/>
        <w:t>万元于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日已解冻；货币资金中</w:t>
      </w:r>
      <w:r>
        <w:rPr>
          <w:rFonts w:ascii="Times New Roman" w:hAnsi="Times New Roman" w:cs="Times New Roman" w:eastAsia="Times New Roman" w:hint="default"/>
        </w:rPr>
        <w:t>4,570,213.18</w:t>
      </w:r>
      <w:r>
        <w:rPr/>
        <w:t>元银行存款于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日已解冻。</w:t>
      </w:r>
    </w:p>
    <w:p>
      <w:pPr>
        <w:spacing w:line="240" w:lineRule="auto" w:before="5"/>
        <w:rPr>
          <w:rFonts w:ascii="宋体" w:hAnsi="宋体" w:cs="宋体" w:eastAsia="宋体" w:hint="default"/>
          <w:sz w:val="18"/>
          <w:szCs w:val="18"/>
        </w:rPr>
      </w:pPr>
    </w:p>
    <w:p>
      <w:pPr>
        <w:pStyle w:val="Heading4"/>
        <w:spacing w:line="240" w:lineRule="auto"/>
        <w:ind w:right="982"/>
        <w:jc w:val="left"/>
        <w:rPr>
          <w:b w:val="0"/>
          <w:bCs w:val="0"/>
        </w:rPr>
      </w:pPr>
      <w:bookmarkStart w:name="52、外币货币性项目" w:id="354"/>
      <w:bookmarkEnd w:id="354"/>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外币货币性项目" w:id="355"/>
      <w:bookmarkEnd w:id="35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271,410.04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1,862,741.39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4,558,522.70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31,286,052.99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59" w:lineRule="auto" w:before="35"/>
        <w:ind w:right="982"/>
        <w:jc w:val="left"/>
        <w:rPr>
          <w:b w:val="0"/>
          <w:bCs w:val="0"/>
        </w:rPr>
      </w:pPr>
      <w:bookmarkStart w:name="（2）境外经营实体说明，包括对于重要的境外经营实体，应披露其境外主要经营地、记账" w:id="356"/>
      <w:bookmarkEnd w:id="35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4"/>
        </w:rPr>
        <w:t> </w:t>
      </w:r>
      <w:r>
        <w:rPr>
          <w:spacing w:val="-6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53、政府补助" w:id="357"/>
      <w:bookmarkEnd w:id="357"/>
      <w:r>
        <w:rPr>
          <w:b w:val="0"/>
          <w:bCs w:val="0"/>
        </w:rPr>
      </w:r>
      <w:r>
        <w:rPr>
          <w:rFonts w:ascii="Times New Roman" w:hAnsi="Times New Roman" w:cs="Times New Roman" w:eastAsia="Times New Roman" w:hint="default"/>
        </w:rPr>
        <w:t>53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bookmarkStart w:name="（1）政府补助基本情况" w:id="358"/>
      <w:bookmarkEnd w:id="358"/>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烟台市牟平区财政局太阳能 光电建筑应用示范补助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1,145,833.33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金太阳示范工程财政补助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976,505.38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组合式防伪瓶盖生产线技术 改造项目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952,400.00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112,047.06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全自动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30*60 </w:t>
            </w:r>
            <w:r>
              <w:rPr>
                <w:rFonts w:ascii="宋体" w:hAnsi="宋体" w:cs="宋体" w:eastAsia="宋体" w:hint="default"/>
                <w:sz w:val="18"/>
                <w:szCs w:val="18"/>
              </w:rPr>
              <w:t>铝盖生产线技 术改造项目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105,263.16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瓶盖生产线改造项目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12,083.33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土地出让金补贴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6,732,960.00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150,737.91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以前年度增值税返还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1,918,422.00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1,918,422.00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税收补助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专利资助奖励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67,710.00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67,710.00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失业保险稳岗就业补贴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45,988.00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45,988.00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中央外经贸发展专项资金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市级安全生产达标奖励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三代手续费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168,474.24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168,474.24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牟平工会拨款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增值税财政扶持款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21,237.00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21,237.00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江北区商贸物流产业扶持奖 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26,600.00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知识产权补贴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标准化资助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国家级知识产权示范奖金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江北英才创新项目资助经费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年鼓励类企业补助资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164,639.06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164,639.06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小微企业暂免征收增值税优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206.22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206.22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4" w:right="0"/>
              <w:jc w:val="left"/>
              <w:rPr>
                <w:rFonts w:ascii="Times New Roman" w:hAnsi="Times New Roman" w:cs="Times New Roman" w:eastAsia="Times New Roman" w:hint="default"/>
                <w:sz w:val="18"/>
                <w:szCs w:val="18"/>
              </w:rPr>
            </w:pPr>
            <w:r>
              <w:rPr>
                <w:rFonts w:ascii="Times New Roman"/>
                <w:sz w:val="18"/>
              </w:rPr>
              <w:t>36,641,736.52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4" w:right="0"/>
              <w:jc w:val="left"/>
              <w:rPr>
                <w:rFonts w:ascii="Times New Roman" w:hAnsi="Times New Roman" w:cs="Times New Roman" w:eastAsia="Times New Roman" w:hint="default"/>
                <w:sz w:val="18"/>
                <w:szCs w:val="18"/>
              </w:rPr>
            </w:pPr>
            <w:r>
              <w:rPr>
                <w:rFonts w:ascii="Times New Roman"/>
                <w:sz w:val="18"/>
              </w:rPr>
              <w:t>5,258,846.69</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政府补助退回情况" w:id="359"/>
      <w:bookmarkEnd w:id="359"/>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9222"/>
        <w:jc w:val="left"/>
      </w:pPr>
      <w:r>
        <w:rPr/>
        <w:t>□ 适用 √ 不适用 其他说明：</w:t>
      </w:r>
    </w:p>
    <w:p>
      <w:pPr>
        <w:pStyle w:val="BodyText"/>
        <w:spacing w:line="240" w:lineRule="auto" w:before="28"/>
        <w:ind w:left="474" w:right="982"/>
        <w:jc w:val="left"/>
      </w:pPr>
      <w:r>
        <w:rPr>
          <w:rFonts w:ascii="Times New Roman" w:hAnsi="Times New Roman" w:cs="Times New Roman" w:eastAsia="Times New Roman" w:hint="default"/>
        </w:rPr>
        <w:t>1</w:t>
      </w:r>
      <w:r>
        <w:rPr/>
        <w:t>）根据牟财建</w:t>
      </w:r>
      <w:r>
        <w:rPr>
          <w:rFonts w:ascii="Times New Roman" w:hAnsi="Times New Roman" w:cs="Times New Roman" w:eastAsia="Times New Roman" w:hint="default"/>
        </w:rPr>
        <w:t>[2013]7</w:t>
      </w:r>
      <w:r>
        <w:rPr>
          <w:rFonts w:ascii="Times New Roman" w:hAnsi="Times New Roman" w:cs="Times New Roman" w:eastAsia="Times New Roman" w:hint="default"/>
          <w:spacing w:val="-2"/>
        </w:rPr>
        <w:t> </w:t>
      </w:r>
      <w:r>
        <w:rPr/>
        <w:t>号下达的收烟台市牟平区财政局补助通知，公司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年收到太阳能光电建筑应用示范补助资金</w:t>
      </w:r>
    </w:p>
    <w:p>
      <w:pPr>
        <w:pStyle w:val="BodyText"/>
        <w:spacing w:line="300" w:lineRule="auto" w:before="63"/>
        <w:ind w:right="1173"/>
        <w:jc w:val="left"/>
      </w:pPr>
      <w:r>
        <w:rPr>
          <w:rFonts w:ascii="Times New Roman" w:hAnsi="Times New Roman" w:cs="Times New Roman" w:eastAsia="Times New Roman" w:hint="default"/>
        </w:rPr>
        <w:t>963</w:t>
      </w:r>
      <w:r>
        <w:rPr>
          <w:rFonts w:ascii="Times New Roman" w:hAnsi="Times New Roman" w:cs="Times New Roman" w:eastAsia="Times New Roman" w:hint="default"/>
          <w:spacing w:val="-1"/>
        </w:rPr>
        <w:t> </w:t>
      </w:r>
      <w:r>
        <w:rPr/>
        <w:t>万元，此项补助专项用于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年太阳能光电建筑应用示范项目。该太阳能光电建筑应用项目于</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月建成，按 资产摊销期限（</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年）分期转入当期损益，本期转入其他收益</w:t>
      </w:r>
      <w:r>
        <w:rPr>
          <w:spacing w:val="-47"/>
        </w:rPr>
        <w:t> </w:t>
      </w:r>
      <w:r>
        <w:rPr>
          <w:rFonts w:ascii="Times New Roman" w:hAnsi="Times New Roman" w:cs="Times New Roman" w:eastAsia="Times New Roman" w:hint="default"/>
        </w:rPr>
        <w:t>802,500.00</w:t>
      </w:r>
      <w:r>
        <w:rPr>
          <w:rFonts w:ascii="Times New Roman" w:hAnsi="Times New Roman" w:cs="Times New Roman" w:eastAsia="Times New Roman" w:hint="default"/>
          <w:spacing w:val="-2"/>
        </w:rPr>
        <w:t> </w:t>
      </w:r>
      <w:r>
        <w:rPr/>
        <w:t>元；</w:t>
      </w:r>
    </w:p>
    <w:p>
      <w:pPr>
        <w:pStyle w:val="BodyText"/>
        <w:spacing w:line="240" w:lineRule="auto" w:before="13"/>
        <w:ind w:left="474" w:right="982"/>
        <w:jc w:val="left"/>
      </w:pPr>
      <w:r>
        <w:rPr/>
        <w:t>根据牟财建指</w:t>
      </w:r>
      <w:r>
        <w:rPr>
          <w:rFonts w:ascii="Times New Roman" w:hAnsi="Times New Roman" w:cs="Times New Roman" w:eastAsia="Times New Roman" w:hint="default"/>
        </w:rPr>
        <w:t>[2014]20</w:t>
      </w:r>
      <w:r>
        <w:rPr>
          <w:rFonts w:ascii="Times New Roman" w:hAnsi="Times New Roman" w:cs="Times New Roman" w:eastAsia="Times New Roman" w:hint="default"/>
          <w:spacing w:val="-1"/>
        </w:rPr>
        <w:t> </w:t>
      </w:r>
      <w:r>
        <w:rPr/>
        <w:t>号文件，公司收到国家可再生能源发展专项补助资金</w:t>
      </w:r>
      <w:r>
        <w:rPr>
          <w:spacing w:val="-46"/>
        </w:rPr>
        <w:t> </w:t>
      </w:r>
      <w:r>
        <w:rPr>
          <w:rFonts w:ascii="Times New Roman" w:hAnsi="Times New Roman" w:cs="Times New Roman" w:eastAsia="Times New Roman" w:hint="default"/>
        </w:rPr>
        <w:t>412</w:t>
      </w:r>
      <w:r>
        <w:rPr>
          <w:rFonts w:ascii="Times New Roman" w:hAnsi="Times New Roman" w:cs="Times New Roman" w:eastAsia="Times New Roman" w:hint="default"/>
          <w:spacing w:val="-1"/>
        </w:rPr>
        <w:t> </w:t>
      </w:r>
      <w:r>
        <w:rPr/>
        <w:t>万元，此项补助专项用于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年太阳</w:t>
      </w:r>
    </w:p>
    <w:p>
      <w:pPr>
        <w:pStyle w:val="BodyText"/>
        <w:spacing w:line="240" w:lineRule="auto" w:before="63"/>
        <w:ind w:right="982"/>
        <w:jc w:val="left"/>
      </w:pPr>
      <w:r>
        <w:rPr/>
        <w:t>能光电建筑应用示范项目。该太阳能光电建筑应用项目于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月建成，按资产摊销期限（</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年）分期转入当期损益，</w:t>
      </w:r>
    </w:p>
    <w:p>
      <w:pPr>
        <w:pStyle w:val="BodyText"/>
        <w:spacing w:line="240" w:lineRule="auto" w:before="63"/>
        <w:ind w:right="982"/>
        <w:jc w:val="left"/>
      </w:pPr>
      <w:r>
        <w:rPr/>
        <w:t>本期转入其他收益</w:t>
      </w:r>
      <w:r>
        <w:rPr>
          <w:spacing w:val="-47"/>
        </w:rPr>
        <w:t> </w:t>
      </w:r>
      <w:r>
        <w:rPr>
          <w:rFonts w:ascii="Times New Roman" w:hAnsi="Times New Roman" w:cs="Times New Roman" w:eastAsia="Times New Roman" w:hint="default"/>
        </w:rPr>
        <w:t>343,333.33</w:t>
      </w:r>
      <w:r>
        <w:rPr>
          <w:rFonts w:ascii="Times New Roman" w:hAnsi="Times New Roman" w:cs="Times New Roman" w:eastAsia="Times New Roman" w:hint="default"/>
          <w:spacing w:val="-2"/>
        </w:rPr>
        <w:t> </w:t>
      </w:r>
      <w:r>
        <w:rPr/>
        <w:t>元。</w:t>
      </w:r>
    </w:p>
    <w:p>
      <w:pPr>
        <w:pStyle w:val="BodyText"/>
        <w:spacing w:line="300" w:lineRule="auto" w:before="63"/>
        <w:ind w:right="1132" w:firstLine="360"/>
        <w:jc w:val="both"/>
      </w:pPr>
      <w:r>
        <w:rPr>
          <w:rFonts w:ascii="Times New Roman" w:hAnsi="Times New Roman" w:cs="Times New Roman" w:eastAsia="Times New Roman" w:hint="default"/>
          <w:spacing w:val="-3"/>
        </w:rPr>
        <w:t>2</w:t>
      </w:r>
      <w:r>
        <w:rPr>
          <w:spacing w:val="-3"/>
        </w:rPr>
        <w:t>）根据牟财建指</w:t>
      </w:r>
      <w:r>
        <w:rPr>
          <w:rFonts w:ascii="Times New Roman" w:hAnsi="Times New Roman" w:cs="Times New Roman" w:eastAsia="Times New Roman" w:hint="default"/>
          <w:spacing w:val="-3"/>
        </w:rPr>
        <w:t>[2013]20</w:t>
      </w:r>
      <w:r>
        <w:rPr>
          <w:rFonts w:ascii="Times New Roman" w:hAnsi="Times New Roman" w:cs="Times New Roman" w:eastAsia="Times New Roman" w:hint="default"/>
          <w:spacing w:val="-8"/>
        </w:rPr>
        <w:t> </w:t>
      </w:r>
      <w:r>
        <w:rPr/>
        <w:t>号下达的收烟台市牟平区财政局补助通知，公司收到</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年金太阳示范工程财政补助资金预 算指标</w:t>
      </w:r>
      <w:r>
        <w:rPr>
          <w:spacing w:val="-46"/>
        </w:rPr>
        <w:t> </w:t>
      </w:r>
      <w:r>
        <w:rPr>
          <w:rFonts w:ascii="Times New Roman" w:hAnsi="Times New Roman" w:cs="Times New Roman" w:eastAsia="Times New Roman" w:hint="default"/>
          <w:spacing w:val="-3"/>
        </w:rPr>
        <w:t>110</w:t>
      </w:r>
      <w:r>
        <w:rPr>
          <w:rFonts w:ascii="Times New Roman" w:hAnsi="Times New Roman" w:cs="Times New Roman" w:eastAsia="Times New Roman" w:hint="default"/>
          <w:spacing w:val="-1"/>
        </w:rPr>
        <w:t> </w:t>
      </w:r>
      <w:r>
        <w:rPr/>
        <w:t>万元，此项补助专项用于公司侧光伏发电工程项目。该项目于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月建成，按资产摊销期限（</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年）分</w:t>
      </w:r>
    </w:p>
    <w:p>
      <w:pPr>
        <w:pStyle w:val="BodyText"/>
        <w:spacing w:line="240" w:lineRule="auto" w:before="13"/>
        <w:ind w:right="982"/>
        <w:jc w:val="left"/>
      </w:pPr>
      <w:r>
        <w:rPr/>
        <w:t>期转入当期损益，本期转入其他收益</w:t>
      </w:r>
      <w:r>
        <w:rPr>
          <w:spacing w:val="-46"/>
        </w:rPr>
        <w:t> </w:t>
      </w:r>
      <w:r>
        <w:rPr>
          <w:rFonts w:ascii="Times New Roman" w:hAnsi="Times New Roman" w:cs="Times New Roman" w:eastAsia="Times New Roman" w:hint="default"/>
        </w:rPr>
        <w:t>91,666.67</w:t>
      </w:r>
      <w:r>
        <w:rPr>
          <w:rFonts w:ascii="Times New Roman" w:hAnsi="Times New Roman" w:cs="Times New Roman" w:eastAsia="Times New Roman" w:hint="default"/>
          <w:spacing w:val="-1"/>
        </w:rPr>
        <w:t> </w:t>
      </w:r>
      <w:r>
        <w:rPr/>
        <w:t>元；</w:t>
      </w:r>
    </w:p>
    <w:p>
      <w:pPr>
        <w:pStyle w:val="BodyText"/>
        <w:spacing w:line="300" w:lineRule="auto" w:before="63"/>
        <w:ind w:right="1155" w:firstLine="360"/>
        <w:jc w:val="both"/>
      </w:pPr>
      <w:r>
        <w:rPr/>
        <w:t>根据牟财建指</w:t>
      </w:r>
      <w:r>
        <w:rPr>
          <w:rFonts w:ascii="Times New Roman" w:hAnsi="Times New Roman" w:cs="Times New Roman" w:eastAsia="Times New Roman" w:hint="default"/>
        </w:rPr>
        <w:t>[2013]26</w:t>
      </w:r>
      <w:r>
        <w:rPr>
          <w:rFonts w:ascii="Times New Roman" w:hAnsi="Times New Roman" w:cs="Times New Roman" w:eastAsia="Times New Roman" w:hint="default"/>
          <w:spacing w:val="-1"/>
        </w:rPr>
        <w:t> </w:t>
      </w:r>
      <w:r>
        <w:rPr/>
        <w:t>号下达的收烟台市牟平区财政局补助通知，公司收到</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年金太阳示范工程财政补助资金预算 指标</w:t>
      </w:r>
      <w:r>
        <w:rPr>
          <w:spacing w:val="-46"/>
        </w:rPr>
        <w:t> </w:t>
      </w:r>
      <w:r>
        <w:rPr>
          <w:rFonts w:ascii="Times New Roman" w:hAnsi="Times New Roman" w:cs="Times New Roman" w:eastAsia="Times New Roman" w:hint="default"/>
        </w:rPr>
        <w:t>660</w:t>
      </w:r>
      <w:r>
        <w:rPr>
          <w:rFonts w:ascii="Times New Roman" w:hAnsi="Times New Roman" w:cs="Times New Roman" w:eastAsia="Times New Roman" w:hint="default"/>
          <w:spacing w:val="-1"/>
        </w:rPr>
        <w:t> </w:t>
      </w:r>
      <w:r>
        <w:rPr/>
        <w:t>万元，此项补助专项用于公司侧光伏发电工程项目。该项目于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月建成，按资产摊销期限（</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年）分期</w:t>
      </w:r>
    </w:p>
    <w:p>
      <w:pPr>
        <w:pStyle w:val="BodyText"/>
        <w:spacing w:line="240" w:lineRule="auto" w:before="13"/>
        <w:ind w:right="982"/>
        <w:jc w:val="left"/>
      </w:pPr>
      <w:r>
        <w:rPr/>
        <w:t>转入当期损益，本期转入其他收益</w:t>
      </w:r>
      <w:r>
        <w:rPr>
          <w:spacing w:val="-47"/>
        </w:rPr>
        <w:t> </w:t>
      </w:r>
      <w:r>
        <w:rPr>
          <w:rFonts w:ascii="Times New Roman" w:hAnsi="Times New Roman" w:cs="Times New Roman" w:eastAsia="Times New Roman" w:hint="default"/>
        </w:rPr>
        <w:t>550,000.00</w:t>
      </w:r>
      <w:r>
        <w:rPr>
          <w:rFonts w:ascii="Times New Roman" w:hAnsi="Times New Roman" w:cs="Times New Roman" w:eastAsia="Times New Roman" w:hint="default"/>
          <w:spacing w:val="-2"/>
        </w:rPr>
        <w:t> </w:t>
      </w:r>
      <w:r>
        <w:rPr/>
        <w:t>元；</w:t>
      </w:r>
    </w:p>
    <w:p>
      <w:pPr>
        <w:pStyle w:val="BodyText"/>
        <w:spacing w:line="300" w:lineRule="auto" w:before="63"/>
        <w:ind w:right="1094" w:firstLine="360"/>
        <w:jc w:val="both"/>
      </w:pPr>
      <w:r>
        <w:rPr/>
        <w:t>根据牟财建指</w:t>
      </w:r>
      <w:r>
        <w:rPr>
          <w:rFonts w:ascii="Times New Roman" w:hAnsi="Times New Roman" w:cs="Times New Roman" w:eastAsia="Times New Roman" w:hint="default"/>
        </w:rPr>
        <w:t>[2015]30</w:t>
      </w:r>
      <w:r>
        <w:rPr>
          <w:rFonts w:ascii="Times New Roman" w:hAnsi="Times New Roman" w:cs="Times New Roman" w:eastAsia="Times New Roman" w:hint="default"/>
          <w:spacing w:val="-1"/>
        </w:rPr>
        <w:t> </w:t>
      </w:r>
      <w:r>
        <w:rPr/>
        <w:t>号下达的收烟台市牟平区财政局补助通知，公司收到</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年金太阳示范工程财政补助资金预算 指标</w:t>
      </w:r>
      <w:r>
        <w:rPr>
          <w:spacing w:val="-46"/>
        </w:rPr>
        <w:t> </w:t>
      </w:r>
      <w:r>
        <w:rPr>
          <w:rFonts w:ascii="Times New Roman" w:hAnsi="Times New Roman" w:cs="Times New Roman" w:eastAsia="Times New Roman" w:hint="default"/>
        </w:rPr>
        <w:t>346</w:t>
      </w:r>
      <w:r>
        <w:rPr>
          <w:rFonts w:ascii="Times New Roman" w:hAnsi="Times New Roman" w:cs="Times New Roman" w:eastAsia="Times New Roman" w:hint="default"/>
          <w:spacing w:val="-1"/>
        </w:rPr>
        <w:t> </w:t>
      </w:r>
      <w:r>
        <w:rPr/>
        <w:t>万元，此项补助专项用于公司侧光伏发电工程项目。该项目于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月建成，按资产剩余使用期限（</w:t>
      </w:r>
      <w:r>
        <w:rPr>
          <w:rFonts w:ascii="Times New Roman" w:hAnsi="Times New Roman" w:cs="Times New Roman" w:eastAsia="Times New Roman" w:hint="default"/>
        </w:rPr>
        <w:t>124</w:t>
      </w:r>
      <w:r>
        <w:rPr>
          <w:rFonts w:ascii="Times New Roman" w:hAnsi="Times New Roman" w:cs="Times New Roman" w:eastAsia="Times New Roman" w:hint="default"/>
          <w:spacing w:val="-1"/>
        </w:rPr>
        <w:t> </w:t>
      </w:r>
      <w:r>
        <w:rPr/>
        <w:t>月）</w:t>
      </w:r>
    </w:p>
    <w:p>
      <w:pPr>
        <w:pStyle w:val="BodyText"/>
        <w:spacing w:line="240" w:lineRule="auto" w:before="13"/>
        <w:ind w:right="982"/>
        <w:jc w:val="left"/>
      </w:pPr>
      <w:r>
        <w:rPr/>
        <w:t>分期转入当期损益，本期转入其他收益</w:t>
      </w:r>
      <w:r>
        <w:rPr>
          <w:spacing w:val="-46"/>
        </w:rPr>
        <w:t> </w:t>
      </w:r>
      <w:r>
        <w:rPr>
          <w:rFonts w:ascii="Times New Roman" w:hAnsi="Times New Roman" w:cs="Times New Roman" w:eastAsia="Times New Roman" w:hint="default"/>
        </w:rPr>
        <w:t>334,838.71 </w:t>
      </w:r>
      <w:r>
        <w:rPr/>
        <w:t>元。</w:t>
      </w:r>
    </w:p>
    <w:p>
      <w:pPr>
        <w:pStyle w:val="BodyText"/>
        <w:spacing w:line="300" w:lineRule="auto" w:before="63"/>
        <w:ind w:right="1132"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日，蒲江县经济科技和信息化局根据成财企</w:t>
      </w:r>
      <w:r>
        <w:rPr>
          <w:rFonts w:ascii="Times New Roman" w:hAnsi="Times New Roman" w:cs="Times New Roman" w:eastAsia="Times New Roman" w:hint="default"/>
        </w:rPr>
        <w:t>[2015]165</w:t>
      </w:r>
      <w:r>
        <w:rPr>
          <w:rFonts w:ascii="Times New Roman" w:hAnsi="Times New Roman" w:cs="Times New Roman" w:eastAsia="Times New Roman" w:hint="default"/>
          <w:spacing w:val="-5"/>
        </w:rPr>
        <w:t> </w:t>
      </w:r>
      <w:r>
        <w:rPr/>
        <w:t>号文件《成都市财政局成都市经济和信息化委 员会关于下达</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年企业技术改造项目固定资产投资补助资金的通知》的规定，向成都海川制盖有限公司拨付固定资产投</w:t>
      </w:r>
    </w:p>
    <w:p>
      <w:pPr>
        <w:pStyle w:val="BodyText"/>
        <w:spacing w:line="240" w:lineRule="auto" w:before="13"/>
        <w:ind w:right="982"/>
        <w:jc w:val="left"/>
        <w:rPr>
          <w:rFonts w:ascii="Times New Roman" w:hAnsi="Times New Roman" w:cs="Times New Roman" w:eastAsia="Times New Roman" w:hint="default"/>
        </w:rPr>
      </w:pPr>
      <w:r>
        <w:rPr/>
        <w:t>资补助资金</w:t>
      </w:r>
      <w:r>
        <w:rPr>
          <w:spacing w:val="-74"/>
        </w:rPr>
        <w:t> </w:t>
      </w:r>
      <w:r>
        <w:rPr>
          <w:rFonts w:ascii="Times New Roman" w:hAnsi="Times New Roman" w:cs="Times New Roman" w:eastAsia="Times New Roman" w:hint="default"/>
        </w:rPr>
        <w:t>95.24</w:t>
      </w:r>
      <w:r>
        <w:rPr>
          <w:rFonts w:ascii="Times New Roman" w:hAnsi="Times New Roman" w:cs="Times New Roman" w:eastAsia="Times New Roman" w:hint="default"/>
          <w:spacing w:val="-29"/>
        </w:rPr>
        <w:t> </w:t>
      </w:r>
      <w:r>
        <w:rPr/>
        <w:t>万元。补助专项用于组合式防伪瓶盖生产线技术改造项目。该组合式防伪瓶盖生产线技术改造项目于</w:t>
      </w:r>
      <w:r>
        <w:rPr>
          <w:spacing w:val="-73"/>
        </w:rPr>
        <w:t> </w:t>
      </w:r>
      <w:r>
        <w:rPr>
          <w:rFonts w:ascii="Times New Roman" w:hAnsi="Times New Roman" w:cs="Times New Roman" w:eastAsia="Times New Roman" w:hint="default"/>
        </w:rPr>
        <w:t>2014</w:t>
      </w:r>
    </w:p>
    <w:p>
      <w:pPr>
        <w:pStyle w:val="BodyText"/>
        <w:spacing w:line="240" w:lineRule="auto" w:before="63"/>
        <w:ind w:right="982"/>
        <w:jc w:val="left"/>
      </w:pPr>
      <w:r>
        <w:rPr/>
        <w:t>年建成，</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月收到补助，按资产剩余摊销期限（</w:t>
      </w:r>
      <w:r>
        <w:rPr>
          <w:rFonts w:ascii="Times New Roman" w:hAnsi="Times New Roman" w:cs="Times New Roman" w:eastAsia="Times New Roman" w:hint="default"/>
        </w:rPr>
        <w:t>102</w:t>
      </w:r>
      <w:r>
        <w:rPr>
          <w:rFonts w:ascii="Times New Roman" w:hAnsi="Times New Roman" w:cs="Times New Roman" w:eastAsia="Times New Roman" w:hint="default"/>
          <w:spacing w:val="-3"/>
        </w:rPr>
        <w:t> </w:t>
      </w:r>
      <w:r>
        <w:rPr/>
        <w:t>月）分期转入当期损益，本期转入其他收益</w:t>
      </w:r>
      <w:r>
        <w:rPr>
          <w:spacing w:val="-48"/>
        </w:rPr>
        <w:t> </w:t>
      </w:r>
      <w:r>
        <w:rPr>
          <w:rFonts w:ascii="Times New Roman" w:hAnsi="Times New Roman" w:cs="Times New Roman" w:eastAsia="Times New Roman" w:hint="default"/>
        </w:rPr>
        <w:t>112,047.06</w:t>
      </w:r>
      <w:r>
        <w:rPr>
          <w:rFonts w:ascii="Times New Roman" w:hAnsi="Times New Roman" w:cs="Times New Roman" w:eastAsia="Times New Roman" w:hint="default"/>
          <w:spacing w:val="-3"/>
        </w:rPr>
        <w:t> </w:t>
      </w:r>
      <w:r>
        <w:rPr/>
        <w:t>元。</w:t>
      </w:r>
    </w:p>
    <w:p>
      <w:pPr>
        <w:pStyle w:val="BodyText"/>
        <w:spacing w:line="300" w:lineRule="auto" w:before="63"/>
        <w:ind w:right="1132"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日，蒲江县经济和信息化局根据成财企</w:t>
      </w:r>
      <w:r>
        <w:rPr>
          <w:rFonts w:ascii="Times New Roman" w:hAnsi="Times New Roman" w:cs="Times New Roman" w:eastAsia="Times New Roman" w:hint="default"/>
        </w:rPr>
        <w:t>[2017]36</w:t>
      </w:r>
      <w:r>
        <w:rPr>
          <w:rFonts w:ascii="Times New Roman" w:hAnsi="Times New Roman" w:cs="Times New Roman" w:eastAsia="Times New Roman" w:hint="default"/>
          <w:spacing w:val="-4"/>
        </w:rPr>
        <w:t> </w:t>
      </w:r>
      <w:r>
        <w:rPr/>
        <w:t>号文件《成都市财政局</w:t>
      </w:r>
      <w:r>
        <w:rPr>
          <w:spacing w:val="-6"/>
        </w:rPr>
        <w:t> </w:t>
      </w:r>
      <w:r>
        <w:rPr/>
        <w:t>成都市经济和信息化委员会</w:t>
      </w:r>
      <w:r>
        <w:rPr/>
        <w:t> 关于拨付</w:t>
      </w:r>
      <w:r>
        <w:rPr>
          <w:spacing w:val="-46"/>
        </w:rPr>
        <w:t> </w:t>
      </w:r>
      <w:r>
        <w:rPr>
          <w:rFonts w:ascii="Times New Roman" w:hAnsi="Times New Roman" w:cs="Times New Roman" w:eastAsia="Times New Roman" w:hint="default"/>
        </w:rPr>
        <w:t>2017 </w:t>
      </w:r>
      <w:r>
        <w:rPr/>
        <w:t>年第一批成都市中小企业发展专项资金的通知》的规定，向成都海川制盖有限公司拨付固定资产投资补助资</w:t>
      </w:r>
    </w:p>
    <w:p>
      <w:pPr>
        <w:pStyle w:val="BodyText"/>
        <w:spacing w:line="300" w:lineRule="auto" w:before="13"/>
        <w:ind w:right="1131"/>
        <w:jc w:val="left"/>
      </w:pPr>
      <w:r>
        <w:rPr/>
        <w:t>金</w:t>
      </w:r>
      <w:r>
        <w:rPr>
          <w:spacing w:val="-46"/>
        </w:rPr>
        <w:t> </w:t>
      </w:r>
      <w:r>
        <w:rPr>
          <w:rFonts w:ascii="Times New Roman" w:hAnsi="Times New Roman" w:cs="Times New Roman" w:eastAsia="Times New Roman" w:hint="default"/>
        </w:rPr>
        <w:t>100.00 </w:t>
      </w:r>
      <w:r>
        <w:rPr/>
        <w:t>万元，专项用于全自动</w:t>
      </w:r>
      <w:r>
        <w:rPr>
          <w:spacing w:val="-46"/>
        </w:rPr>
        <w:t> </w:t>
      </w:r>
      <w:r>
        <w:rPr>
          <w:rFonts w:ascii="Times New Roman" w:hAnsi="Times New Roman" w:cs="Times New Roman" w:eastAsia="Times New Roman" w:hint="default"/>
        </w:rPr>
        <w:t>30*60</w:t>
      </w:r>
      <w:r>
        <w:rPr>
          <w:rFonts w:ascii="Times New Roman" w:hAnsi="Times New Roman" w:cs="Times New Roman" w:eastAsia="Times New Roman" w:hint="default"/>
          <w:spacing w:val="-1"/>
        </w:rPr>
        <w:t> </w:t>
      </w:r>
      <w:r>
        <w:rPr/>
        <w:t>铝盖生产线技术改造项目。相关设备在</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月转资，</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月收到政府补 助，按资产剩余使用年限（</w:t>
      </w:r>
      <w:r>
        <w:rPr>
          <w:rFonts w:ascii="Times New Roman" w:hAnsi="Times New Roman" w:cs="Times New Roman" w:eastAsia="Times New Roman" w:hint="default"/>
        </w:rPr>
        <w:t>114</w:t>
      </w:r>
      <w:r>
        <w:rPr>
          <w:rFonts w:ascii="Times New Roman" w:hAnsi="Times New Roman" w:cs="Times New Roman" w:eastAsia="Times New Roman" w:hint="default"/>
          <w:spacing w:val="-5"/>
        </w:rPr>
        <w:t> </w:t>
      </w:r>
      <w:r>
        <w:rPr/>
        <w:t>月）分期转入当期损益，本期转入其他收益</w:t>
      </w:r>
      <w:r>
        <w:rPr>
          <w:spacing w:val="-50"/>
        </w:rPr>
        <w:t> </w:t>
      </w:r>
      <w:r>
        <w:rPr>
          <w:rFonts w:ascii="Times New Roman" w:hAnsi="Times New Roman" w:cs="Times New Roman" w:eastAsia="Times New Roman" w:hint="default"/>
        </w:rPr>
        <w:t>105,263.16</w:t>
      </w:r>
      <w:r>
        <w:rPr>
          <w:rFonts w:ascii="Times New Roman" w:hAnsi="Times New Roman" w:cs="Times New Roman" w:eastAsia="Times New Roman" w:hint="default"/>
          <w:spacing w:val="-5"/>
        </w:rPr>
        <w:t> </w:t>
      </w:r>
      <w:r>
        <w:rPr/>
        <w:t>元。</w:t>
      </w:r>
    </w:p>
    <w:p>
      <w:pPr>
        <w:pStyle w:val="BodyText"/>
        <w:spacing w:line="300" w:lineRule="auto" w:before="13"/>
        <w:ind w:right="1132"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日，蒲江县经济科技和信息化局根据成财企</w:t>
      </w:r>
      <w:r>
        <w:rPr>
          <w:rFonts w:ascii="Times New Roman" w:hAnsi="Times New Roman" w:cs="Times New Roman" w:eastAsia="Times New Roman" w:hint="default"/>
        </w:rPr>
        <w:t>[2018]56</w:t>
      </w:r>
      <w:r>
        <w:rPr>
          <w:rFonts w:ascii="Times New Roman" w:hAnsi="Times New Roman" w:cs="Times New Roman" w:eastAsia="Times New Roman" w:hint="default"/>
          <w:spacing w:val="-1"/>
        </w:rPr>
        <w:t> </w:t>
      </w:r>
      <w:r>
        <w:rPr/>
        <w:t>号文件《成都市财政局成都市经济和信息化委 员会关于下达</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3"/>
        </w:rPr>
        <w:t>年第五批工业发展专项资金的通知》的规定，向成都海川制盖有限公司拨付</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年第五批工业发展专项</w:t>
      </w:r>
    </w:p>
    <w:p>
      <w:pPr>
        <w:pStyle w:val="BodyText"/>
        <w:spacing w:line="240" w:lineRule="auto" w:before="13"/>
        <w:ind w:right="982"/>
        <w:jc w:val="left"/>
      </w:pPr>
      <w:r>
        <w:rPr/>
        <w:t>资金</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万元。此项补助专项用于公司瓶盖生产线改造项目。该项目于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月建成，按资产剩余使用年限（</w:t>
      </w:r>
      <w:r>
        <w:rPr>
          <w:rFonts w:ascii="Times New Roman" w:hAnsi="Times New Roman" w:cs="Times New Roman" w:eastAsia="Times New Roman" w:hint="default"/>
        </w:rPr>
        <w:t>96</w:t>
      </w:r>
      <w:r>
        <w:rPr>
          <w:rFonts w:ascii="Times New Roman" w:hAnsi="Times New Roman" w:cs="Times New Roman" w:eastAsia="Times New Roman" w:hint="default"/>
          <w:spacing w:val="-1"/>
        </w:rPr>
        <w:t> </w:t>
      </w:r>
      <w:r>
        <w:rPr/>
        <w:t>月）分</w:t>
      </w:r>
    </w:p>
    <w:p>
      <w:pPr>
        <w:pStyle w:val="BodyText"/>
        <w:spacing w:line="240" w:lineRule="auto" w:before="63"/>
        <w:ind w:right="982"/>
        <w:jc w:val="left"/>
      </w:pPr>
      <w:r>
        <w:rPr/>
        <w:t>期转入当期损益，截至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日，本期转入其他收益</w:t>
      </w:r>
      <w:r>
        <w:rPr>
          <w:spacing w:val="-46"/>
        </w:rPr>
        <w:t> </w:t>
      </w:r>
      <w:r>
        <w:rPr>
          <w:rFonts w:ascii="Times New Roman" w:hAnsi="Times New Roman" w:cs="Times New Roman" w:eastAsia="Times New Roman" w:hint="default"/>
        </w:rPr>
        <w:t>12,083.33</w:t>
      </w:r>
      <w:r>
        <w:rPr>
          <w:rFonts w:ascii="Times New Roman" w:hAnsi="Times New Roman" w:cs="Times New Roman" w:eastAsia="Times New Roman" w:hint="default"/>
          <w:spacing w:val="-1"/>
        </w:rPr>
        <w:t> </w:t>
      </w:r>
      <w:r>
        <w:rPr/>
        <w:t>元。</w:t>
      </w:r>
    </w:p>
    <w:p>
      <w:pPr>
        <w:pStyle w:val="BodyText"/>
        <w:spacing w:line="300" w:lineRule="auto" w:before="63"/>
        <w:ind w:right="1132" w:firstLine="360"/>
        <w:jc w:val="both"/>
      </w:pP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日企业收入到土地出让金补偿</w:t>
      </w:r>
      <w:r>
        <w:rPr>
          <w:spacing w:val="-46"/>
        </w:rPr>
        <w:t> </w:t>
      </w:r>
      <w:r>
        <w:rPr>
          <w:rFonts w:ascii="Times New Roman" w:hAnsi="Times New Roman" w:cs="Times New Roman" w:eastAsia="Times New Roman" w:hint="default"/>
        </w:rPr>
        <w:t>6,732,960.00 </w:t>
      </w:r>
      <w:r>
        <w:rPr>
          <w:spacing w:val="-6"/>
        </w:rPr>
        <w:t>元。根据</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日起施的《政府补助》准则第八</w:t>
      </w:r>
      <w:r>
        <w:rPr/>
        <w:t> </w:t>
      </w:r>
      <w:r>
        <w:rPr>
          <w:spacing w:val="-1"/>
        </w:rPr>
        <w:t>条与资产相关的政府补助，应当冲减相关资产的账面价值或确认为递延收益。根据土地剩余使用期限（</w:t>
      </w:r>
      <w:r>
        <w:rPr>
          <w:rFonts w:ascii="Times New Roman" w:hAnsi="Times New Roman" w:cs="Times New Roman" w:eastAsia="Times New Roman" w:hint="default"/>
          <w:spacing w:val="-1"/>
        </w:rPr>
        <w:t>536</w:t>
      </w:r>
      <w:r>
        <w:rPr>
          <w:rFonts w:ascii="Times New Roman" w:hAnsi="Times New Roman" w:cs="Times New Roman" w:eastAsia="Times New Roman" w:hint="default"/>
          <w:spacing w:val="19"/>
        </w:rPr>
        <w:t> </w:t>
      </w:r>
      <w:r>
        <w:rPr>
          <w:spacing w:val="-2"/>
        </w:rPr>
        <w:t>月）分期转入当</w:t>
      </w:r>
      <w:r>
        <w:rPr>
          <w:spacing w:val="-87"/>
        </w:rPr>
        <w:t> </w:t>
      </w:r>
      <w:r>
        <w:rPr>
          <w:spacing w:val="-87"/>
        </w:rPr>
      </w:r>
      <w:r>
        <w:rPr/>
        <w:t>期损益，本期转入其他收益</w:t>
      </w:r>
      <w:r>
        <w:rPr>
          <w:spacing w:val="-46"/>
        </w:rPr>
        <w:t> </w:t>
      </w:r>
      <w:r>
        <w:rPr>
          <w:rFonts w:ascii="Times New Roman" w:hAnsi="Times New Roman" w:cs="Times New Roman" w:eastAsia="Times New Roman" w:hint="default"/>
        </w:rPr>
        <w:t>150,737.91</w:t>
      </w:r>
      <w:r>
        <w:rPr>
          <w:rFonts w:ascii="Times New Roman" w:hAnsi="Times New Roman" w:cs="Times New Roman" w:eastAsia="Times New Roman" w:hint="default"/>
          <w:spacing w:val="-1"/>
        </w:rPr>
        <w:t> </w:t>
      </w:r>
      <w:r>
        <w:rPr/>
        <w:t>元。</w:t>
      </w:r>
    </w:p>
    <w:p>
      <w:pPr>
        <w:pStyle w:val="BodyText"/>
        <w:spacing w:line="300" w:lineRule="auto" w:before="13"/>
        <w:ind w:right="1129" w:firstLine="360"/>
        <w:jc w:val="both"/>
      </w:pPr>
      <w:r>
        <w:rPr>
          <w:rFonts w:ascii="Times New Roman" w:hAnsi="Times New Roman" w:cs="Times New Roman" w:eastAsia="Times New Roman" w:hint="default"/>
          <w:spacing w:val="-4"/>
        </w:rPr>
        <w:t>7</w:t>
      </w:r>
      <w:r>
        <w:rPr>
          <w:spacing w:val="-4"/>
        </w:rPr>
        <w:t>）根据“亳州丽鹏制盖有限公司高档组合式防伪瓶盖技术改造项目”《投资合同书》约定，自</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5"/>
        </w:rPr>
        <w:t> </w:t>
      </w:r>
      <w:r>
        <w:rPr>
          <w:rFonts w:ascii="Times New Roman" w:hAnsi="Times New Roman" w:cs="Times New Roman" w:eastAsia="Times New Roman" w:hint="default"/>
        </w:rPr>
        <w:t>14 </w:t>
      </w:r>
      <w:r>
        <w:rPr>
          <w:spacing w:val="-4"/>
        </w:rPr>
        <w:t>日起，前</w:t>
      </w:r>
      <w:r>
        <w:rPr/>
        <w:t> 三年半按企业实缴税收（增值税、所得税）地方留成部分的</w:t>
      </w:r>
      <w:r>
        <w:rPr>
          <w:spacing w:val="-56"/>
        </w:rPr>
        <w:t> </w:t>
      </w:r>
      <w:r>
        <w:rPr>
          <w:rFonts w:ascii="Times New Roman" w:hAnsi="Times New Roman" w:cs="Times New Roman" w:eastAsia="Times New Roman" w:hint="default"/>
        </w:rPr>
        <w:t>100%</w:t>
      </w:r>
      <w:r>
        <w:rPr/>
        <w:t>、后三年按地方留成部分的</w:t>
      </w:r>
      <w:r>
        <w:rPr>
          <w:spacing w:val="-57"/>
        </w:rPr>
        <w:t> </w:t>
      </w:r>
      <w:r>
        <w:rPr>
          <w:rFonts w:ascii="Times New Roman" w:hAnsi="Times New Roman" w:cs="Times New Roman" w:eastAsia="Times New Roman" w:hint="default"/>
        </w:rPr>
        <w:t>50%</w:t>
      </w:r>
      <w:r>
        <w:rPr/>
        <w:t>给予企业财政奖励。企业 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日收到中华人民共和国国家金库亳州市中心支库拨付的以前年度增值税返还，共计</w:t>
      </w:r>
      <w:r>
        <w:rPr>
          <w:spacing w:val="-45"/>
        </w:rPr>
        <w:t> </w:t>
      </w:r>
      <w:r>
        <w:rPr>
          <w:rFonts w:ascii="Times New Roman" w:hAnsi="Times New Roman" w:cs="Times New Roman" w:eastAsia="Times New Roman" w:hint="default"/>
        </w:rPr>
        <w:t>1,918,422.00</w:t>
      </w:r>
      <w:r>
        <w:rPr>
          <w:rFonts w:ascii="Times New Roman" w:hAnsi="Times New Roman" w:cs="Times New Roman" w:eastAsia="Times New Roman" w:hint="default"/>
          <w:spacing w:val="-2"/>
        </w:rPr>
        <w:t> </w:t>
      </w:r>
      <w:r>
        <w:rPr/>
        <w:t>元。</w:t>
      </w:r>
    </w:p>
    <w:p>
      <w:pPr>
        <w:pStyle w:val="BodyText"/>
        <w:spacing w:line="240" w:lineRule="auto" w:before="13"/>
        <w:ind w:left="474" w:right="982"/>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日，收到蒲江县税务局</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年度重点纳税企业补贴</w:t>
      </w:r>
      <w:r>
        <w:rPr>
          <w:spacing w:val="-46"/>
        </w:rPr>
        <w:t> </w:t>
      </w:r>
      <w:r>
        <w:rPr>
          <w:rFonts w:ascii="Times New Roman" w:hAnsi="Times New Roman" w:cs="Times New Roman" w:eastAsia="Times New Roman" w:hint="default"/>
        </w:rPr>
        <w:t>54,000.00</w:t>
      </w:r>
      <w:r>
        <w:rPr>
          <w:rFonts w:ascii="Times New Roman" w:hAnsi="Times New Roman" w:cs="Times New Roman" w:eastAsia="Times New Roman" w:hint="default"/>
          <w:spacing w:val="-1"/>
        </w:rPr>
        <w:t> </w:t>
      </w:r>
      <w:r>
        <w:rPr/>
        <w:t>元。</w:t>
      </w:r>
    </w:p>
    <w:p>
      <w:pPr>
        <w:pStyle w:val="BodyText"/>
        <w:spacing w:line="240" w:lineRule="auto" w:before="63"/>
        <w:ind w:left="474" w:right="982"/>
        <w:jc w:val="left"/>
        <w:rPr>
          <w:rFonts w:ascii="Times New Roman" w:hAnsi="Times New Roman" w:cs="Times New Roman" w:eastAsia="Times New Roman" w:hint="default"/>
        </w:rPr>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spacing w:val="-4"/>
        </w:rPr>
        <w:t>11 </w:t>
      </w:r>
      <w:r>
        <w:rPr/>
        <w:t>日及</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日，重庆市江北区科学技术委员会根据江北科委发</w:t>
      </w:r>
      <w:r>
        <w:rPr>
          <w:rFonts w:ascii="Times New Roman" w:hAnsi="Times New Roman" w:cs="Times New Roman" w:eastAsia="Times New Roman" w:hint="default"/>
        </w:rPr>
        <w:t>[2013]9</w:t>
      </w:r>
      <w:r>
        <w:rPr>
          <w:rFonts w:ascii="Times New Roman" w:hAnsi="Times New Roman" w:cs="Times New Roman" w:eastAsia="Times New Roman" w:hint="default"/>
          <w:spacing w:val="-3"/>
        </w:rPr>
        <w:t> </w:t>
      </w:r>
      <w:r>
        <w:rPr/>
        <w:t>号文件《关于印发</w:t>
      </w:r>
      <w:r>
        <w:rPr>
          <w:rFonts w:ascii="Times New Roman" w:hAnsi="Times New Roman" w:cs="Times New Roman" w:eastAsia="Times New Roman" w:hint="default"/>
        </w:rPr>
        <w:t>&lt;</w:t>
      </w:r>
    </w:p>
    <w:p>
      <w:pPr>
        <w:pStyle w:val="BodyText"/>
        <w:spacing w:line="240" w:lineRule="auto" w:before="63"/>
        <w:ind w:right="982"/>
        <w:jc w:val="left"/>
        <w:rPr>
          <w:rFonts w:ascii="Times New Roman" w:hAnsi="Times New Roman" w:cs="Times New Roman" w:eastAsia="Times New Roman" w:hint="default"/>
        </w:rPr>
      </w:pPr>
      <w:r>
        <w:rPr/>
        <w:t>重庆市江北区专利资助及奖励办法</w:t>
      </w:r>
      <w:r>
        <w:rPr>
          <w:rFonts w:ascii="Times New Roman" w:hAnsi="Times New Roman" w:cs="Times New Roman" w:eastAsia="Times New Roman" w:hint="default"/>
        </w:rPr>
        <w:t>&gt;</w:t>
      </w:r>
      <w:r>
        <w:rPr/>
        <w:t>的通知</w:t>
      </w:r>
      <w:r>
        <w:rPr>
          <w:spacing w:val="-90"/>
        </w:rPr>
        <w:t>》</w:t>
      </w:r>
      <w:r>
        <w:rPr/>
        <w:t>的规定</w:t>
      </w:r>
      <w:r>
        <w:rPr>
          <w:spacing w:val="-90"/>
        </w:rPr>
        <w:t>，</w:t>
      </w:r>
      <w:r>
        <w:rPr/>
        <w:t>分别向重庆华宇园林有限公司拨付专利资助奖励</w:t>
      </w:r>
      <w:r>
        <w:rPr>
          <w:spacing w:val="-61"/>
        </w:rPr>
        <w:t> </w:t>
      </w:r>
      <w:r>
        <w:rPr>
          <w:rFonts w:ascii="Times New Roman" w:hAnsi="Times New Roman" w:cs="Times New Roman" w:eastAsia="Times New Roman" w:hint="default"/>
        </w:rPr>
        <w:t>56,400.00</w:t>
      </w:r>
      <w:r>
        <w:rPr>
          <w:rFonts w:ascii="Times New Roman" w:hAnsi="Times New Roman" w:cs="Times New Roman" w:eastAsia="Times New Roman" w:hint="default"/>
          <w:spacing w:val="-16"/>
        </w:rPr>
        <w:t> </w:t>
      </w:r>
      <w:r>
        <w:rPr>
          <w:spacing w:val="-2"/>
        </w:rPr>
        <w:t>元</w:t>
      </w:r>
      <w:r>
        <w:rPr/>
        <w:t>及</w:t>
      </w:r>
      <w:r>
        <w:rPr>
          <w:spacing w:val="-62"/>
        </w:rPr>
        <w:t> </w:t>
      </w:r>
      <w:r>
        <w:rPr>
          <w:rFonts w:ascii="Times New Roman" w:hAnsi="Times New Roman" w:cs="Times New Roman" w:eastAsia="Times New Roman" w:hint="default"/>
        </w:rPr>
        <w:t>4,200.00</w:t>
      </w:r>
    </w:p>
    <w:p>
      <w:pPr>
        <w:pStyle w:val="BodyText"/>
        <w:spacing w:line="240" w:lineRule="auto" w:before="63"/>
        <w:ind w:right="982"/>
        <w:jc w:val="left"/>
      </w:pPr>
      <w:r>
        <w:rPr/>
        <w:t>元，共计</w:t>
      </w:r>
      <w:r>
        <w:rPr>
          <w:spacing w:val="-46"/>
        </w:rPr>
        <w:t> </w:t>
      </w:r>
      <w:r>
        <w:rPr>
          <w:rFonts w:ascii="Times New Roman" w:hAnsi="Times New Roman" w:cs="Times New Roman" w:eastAsia="Times New Roman" w:hint="default"/>
        </w:rPr>
        <w:t>60,600.00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left="474" w:right="98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21 </w:t>
      </w:r>
      <w:r>
        <w:rPr/>
        <w:t>日和</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日，蒲江县经济科技和信息化局根据蒲府发</w:t>
      </w:r>
      <w:r>
        <w:rPr>
          <w:rFonts w:ascii="Times New Roman" w:hAnsi="Times New Roman" w:cs="Times New Roman" w:eastAsia="Times New Roman" w:hint="default"/>
        </w:rPr>
        <w:t>[2017]21</w:t>
      </w:r>
      <w:r>
        <w:rPr>
          <w:rFonts w:ascii="Times New Roman" w:hAnsi="Times New Roman" w:cs="Times New Roman" w:eastAsia="Times New Roman" w:hint="default"/>
          <w:spacing w:val="-1"/>
        </w:rPr>
        <w:t> </w:t>
      </w:r>
      <w:r>
        <w:rPr/>
        <w:t>号文件《蒲江县人民政府关</w:t>
      </w:r>
    </w:p>
    <w:p>
      <w:pPr>
        <w:pStyle w:val="BodyText"/>
        <w:spacing w:line="240" w:lineRule="auto" w:before="63"/>
        <w:ind w:right="982"/>
        <w:jc w:val="left"/>
      </w:pPr>
      <w:r>
        <w:rPr>
          <w:spacing w:val="-3"/>
        </w:rPr>
        <w:t>于印发</w:t>
      </w:r>
      <w:r>
        <w:rPr>
          <w:rFonts w:ascii="Times New Roman" w:hAnsi="Times New Roman" w:cs="Times New Roman" w:eastAsia="Times New Roman" w:hint="default"/>
          <w:spacing w:val="-3"/>
        </w:rPr>
        <w:t>&lt;</w:t>
      </w:r>
      <w:r>
        <w:rPr>
          <w:spacing w:val="-3"/>
        </w:rPr>
        <w:t>蒲江县专利资助资金管理办法</w:t>
      </w:r>
      <w:r>
        <w:rPr>
          <w:rFonts w:ascii="Times New Roman" w:hAnsi="Times New Roman" w:cs="Times New Roman" w:eastAsia="Times New Roman" w:hint="default"/>
          <w:spacing w:val="-3"/>
        </w:rPr>
        <w:t>&gt;</w:t>
      </w:r>
      <w:r>
        <w:rPr>
          <w:spacing w:val="-3"/>
        </w:rPr>
        <w:t>的通知》的规定，向成都海川制盖有限公司分别拨付专利补贴</w:t>
      </w:r>
      <w:r>
        <w:rPr>
          <w:spacing w:val="-38"/>
        </w:rPr>
        <w:t> </w:t>
      </w:r>
      <w:r>
        <w:rPr>
          <w:rFonts w:ascii="Times New Roman" w:hAnsi="Times New Roman" w:cs="Times New Roman" w:eastAsia="Times New Roman" w:hint="default"/>
        </w:rPr>
        <w:t>800.00</w:t>
      </w:r>
      <w:r>
        <w:rPr>
          <w:rFonts w:ascii="Times New Roman" w:hAnsi="Times New Roman" w:cs="Times New Roman" w:eastAsia="Times New Roman" w:hint="default"/>
          <w:spacing w:val="6"/>
        </w:rPr>
        <w:t> </w:t>
      </w:r>
      <w:r>
        <w:rPr/>
        <w:t>元和</w:t>
      </w:r>
      <w:r>
        <w:rPr>
          <w:spacing w:val="-39"/>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6"/>
        </w:rPr>
        <w:t> </w:t>
      </w:r>
      <w:r>
        <w:rPr/>
        <w:t>元，</w:t>
      </w:r>
    </w:p>
    <w:p>
      <w:pPr>
        <w:pStyle w:val="BodyText"/>
        <w:spacing w:line="240" w:lineRule="auto" w:before="63"/>
        <w:ind w:right="982"/>
        <w:jc w:val="left"/>
      </w:pPr>
      <w:r>
        <w:rPr/>
        <w:t>共计</w:t>
      </w:r>
      <w:r>
        <w:rPr>
          <w:spacing w:val="-46"/>
        </w:rPr>
        <w:t> </w:t>
      </w:r>
      <w:r>
        <w:rPr>
          <w:rFonts w:ascii="Times New Roman" w:hAnsi="Times New Roman" w:cs="Times New Roman" w:eastAsia="Times New Roman" w:hint="default"/>
        </w:rPr>
        <w:t>1,400.00 </w:t>
      </w:r>
      <w:r>
        <w:rPr/>
        <w:t>元；</w:t>
      </w:r>
    </w:p>
    <w:p>
      <w:pPr>
        <w:pStyle w:val="BodyText"/>
        <w:spacing w:line="240" w:lineRule="auto" w:before="63"/>
        <w:ind w:left="474" w:right="98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21 </w:t>
      </w:r>
      <w:r>
        <w:rPr/>
        <w:t>日和</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日，烟台市知识产权局根据《关于开展</w:t>
      </w:r>
      <w:r>
        <w:rPr>
          <w:spacing w:val="-46"/>
        </w:rPr>
        <w:t> </w:t>
      </w:r>
      <w:r>
        <w:rPr>
          <w:rFonts w:ascii="Times New Roman" w:hAnsi="Times New Roman" w:cs="Times New Roman" w:eastAsia="Times New Roman" w:hint="default"/>
        </w:rPr>
        <w:t>2018 </w:t>
      </w:r>
      <w:r>
        <w:rPr/>
        <w:t>年度专利保险工</w:t>
      </w:r>
    </w:p>
    <w:p>
      <w:pPr>
        <w:pStyle w:val="BodyText"/>
        <w:spacing w:line="240" w:lineRule="auto" w:before="63"/>
        <w:ind w:right="982"/>
        <w:jc w:val="left"/>
        <w:rPr>
          <w:rFonts w:ascii="Times New Roman" w:hAnsi="Times New Roman" w:cs="Times New Roman" w:eastAsia="Times New Roman" w:hint="default"/>
        </w:rPr>
      </w:pPr>
      <w:r>
        <w:rPr/>
        <w:t>作的通知》的规定，分别向山东丽鹏股份有限公司拨付专利保险补助</w:t>
      </w:r>
      <w:r>
        <w:rPr>
          <w:spacing w:val="-46"/>
        </w:rPr>
        <w:t> </w:t>
      </w:r>
      <w:r>
        <w:rPr>
          <w:rFonts w:ascii="Times New Roman" w:hAnsi="Times New Roman" w:cs="Times New Roman" w:eastAsia="Times New Roman" w:hint="default"/>
        </w:rPr>
        <w:t>1,170.00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t>元和</w:t>
      </w:r>
      <w:r>
        <w:rPr>
          <w:spacing w:val="-47"/>
        </w:rPr>
        <w:t> </w:t>
      </w:r>
      <w:r>
        <w:rPr>
          <w:rFonts w:ascii="Times New Roman" w:hAnsi="Times New Roman" w:cs="Times New Roman" w:eastAsia="Times New Roman" w:hint="default"/>
        </w:rPr>
        <w:t>1,540.00</w:t>
      </w:r>
      <w:r>
        <w:rPr>
          <w:rFonts w:ascii="Times New Roman" w:hAnsi="Times New Roman" w:cs="Times New Roman" w:eastAsia="Times New Roman" w:hint="default"/>
          <w:spacing w:val="-2"/>
        </w:rPr>
        <w:t> </w:t>
      </w:r>
      <w:r>
        <w:rPr/>
        <w:t>元，共计</w:t>
      </w:r>
      <w:r>
        <w:rPr>
          <w:spacing w:val="-47"/>
        </w:rPr>
        <w:t> </w:t>
      </w:r>
      <w:r>
        <w:rPr>
          <w:rFonts w:ascii="Times New Roman" w:hAnsi="Times New Roman" w:cs="Times New Roman" w:eastAsia="Times New Roman" w:hint="default"/>
        </w:rPr>
        <w:t>5,710.00</w:t>
      </w:r>
    </w:p>
    <w:p>
      <w:pPr>
        <w:pStyle w:val="BodyText"/>
        <w:spacing w:line="240" w:lineRule="auto" w:before="63"/>
        <w:ind w:right="982"/>
        <w:jc w:val="left"/>
      </w:pPr>
      <w:r>
        <w:rPr/>
        <w:t>元。</w:t>
      </w:r>
    </w:p>
    <w:p>
      <w:pPr>
        <w:pStyle w:val="BodyText"/>
        <w:spacing w:line="300" w:lineRule="auto" w:before="76"/>
        <w:ind w:right="1154" w:firstLine="360"/>
        <w:jc w:val="both"/>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日，重庆市江北区就业和人才服务局根据渝人社发</w:t>
      </w:r>
      <w:r>
        <w:rPr>
          <w:rFonts w:ascii="Times New Roman" w:hAnsi="Times New Roman" w:cs="Times New Roman" w:eastAsia="Times New Roman" w:hint="default"/>
        </w:rPr>
        <w:t>[2015]156</w:t>
      </w:r>
      <w:r>
        <w:rPr>
          <w:rFonts w:ascii="Times New Roman" w:hAnsi="Times New Roman" w:cs="Times New Roman" w:eastAsia="Times New Roman" w:hint="default"/>
          <w:spacing w:val="-1"/>
        </w:rPr>
        <w:t> </w:t>
      </w:r>
      <w:r>
        <w:rPr/>
        <w:t>号文件《关于进一步做好失业保险稳 定岗位工作有关问题的通知》的规定，向重庆华宇园林有限公司拨付失业保险稳岗就业补贴</w:t>
      </w:r>
      <w:r>
        <w:rPr>
          <w:spacing w:val="-45"/>
        </w:rPr>
        <w:t> </w:t>
      </w:r>
      <w:r>
        <w:rPr>
          <w:rFonts w:ascii="Times New Roman" w:hAnsi="Times New Roman" w:cs="Times New Roman" w:eastAsia="Times New Roman" w:hint="default"/>
        </w:rPr>
        <w:t>24,444.00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19 </w:t>
      </w:r>
      <w:r>
        <w:rPr/>
        <w:t>日，重庆市江北区就业和人才服务局根据渝人社发</w:t>
      </w:r>
      <w:r>
        <w:rPr>
          <w:rFonts w:ascii="Times New Roman" w:hAnsi="Times New Roman" w:cs="Times New Roman" w:eastAsia="Times New Roman" w:hint="default"/>
        </w:rPr>
        <w:t>[2015]156</w:t>
      </w:r>
      <w:r>
        <w:rPr>
          <w:rFonts w:ascii="Times New Roman" w:hAnsi="Times New Roman" w:cs="Times New Roman" w:eastAsia="Times New Roman" w:hint="default"/>
          <w:spacing w:val="-1"/>
        </w:rPr>
        <w:t> </w:t>
      </w:r>
      <w:r>
        <w:rPr/>
        <w:t>号文件《关于进一步做好失业保险稳定岗位工作有关问题的通 知》的规定，向重庆东飞凯格建筑景观设计咨询有限公司拨付失业保险稳岗就业补贴</w:t>
      </w:r>
      <w:r>
        <w:rPr>
          <w:spacing w:val="-45"/>
        </w:rPr>
        <w:t> </w:t>
      </w:r>
      <w:r>
        <w:rPr>
          <w:rFonts w:ascii="Times New Roman" w:hAnsi="Times New Roman" w:cs="Times New Roman" w:eastAsia="Times New Roman" w:hint="default"/>
        </w:rPr>
        <w:t>4,323.00 </w:t>
      </w:r>
      <w:r>
        <w:rPr/>
        <w:t>元；</w:t>
      </w:r>
    </w:p>
    <w:p>
      <w:pPr>
        <w:pStyle w:val="BodyText"/>
        <w:spacing w:line="240" w:lineRule="auto" w:before="13"/>
        <w:ind w:left="474" w:right="98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日，泸州市江阳区就业服务管理局根据泸市人社办</w:t>
      </w:r>
      <w:r>
        <w:rPr>
          <w:rFonts w:ascii="Times New Roman" w:hAnsi="Times New Roman" w:cs="Times New Roman" w:eastAsia="Times New Roman" w:hint="default"/>
        </w:rPr>
        <w:t>[2018]66</w:t>
      </w:r>
      <w:r>
        <w:rPr>
          <w:rFonts w:ascii="Times New Roman" w:hAnsi="Times New Roman" w:cs="Times New Roman" w:eastAsia="Times New Roman" w:hint="default"/>
          <w:spacing w:val="-5"/>
        </w:rPr>
        <w:t> </w:t>
      </w:r>
      <w:r>
        <w:rPr/>
        <w:t>号文件《泸州市人力资源和社会保障局关于</w:t>
      </w:r>
    </w:p>
    <w:p>
      <w:pPr>
        <w:pStyle w:val="BodyText"/>
        <w:spacing w:line="240" w:lineRule="auto" w:before="63"/>
        <w:ind w:right="982"/>
        <w:jc w:val="left"/>
      </w:pPr>
      <w:r>
        <w:rPr/>
        <w:t>申报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1"/>
        </w:rPr>
        <w:t>度</w:t>
      </w:r>
      <w:r>
        <w:rPr/>
        <w:t>稳岗补贴的通知</w:t>
      </w:r>
      <w:r>
        <w:rPr>
          <w:spacing w:val="-90"/>
        </w:rPr>
        <w:t>》</w:t>
      </w:r>
      <w:r>
        <w:rPr/>
        <w:t>，向四川泸州丽鹏制盖有限公司拨付稳岗补贴</w:t>
      </w:r>
      <w:r>
        <w:rPr>
          <w:spacing w:val="-46"/>
        </w:rPr>
        <w:t> </w:t>
      </w:r>
      <w:r>
        <w:rPr>
          <w:rFonts w:ascii="Times New Roman" w:hAnsi="Times New Roman" w:cs="Times New Roman" w:eastAsia="Times New Roman" w:hint="default"/>
        </w:rPr>
        <w:t>16,021.</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63"/>
        <w:ind w:left="474" w:right="98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日和</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日，蒲江县就业服务管理局根据蒲就发</w:t>
      </w:r>
      <w:r>
        <w:rPr>
          <w:rFonts w:ascii="Times New Roman" w:hAnsi="Times New Roman" w:cs="Times New Roman" w:eastAsia="Times New Roman" w:hint="default"/>
        </w:rPr>
        <w:t>[2016]6</w:t>
      </w:r>
      <w:r>
        <w:rPr>
          <w:rFonts w:ascii="Times New Roman" w:hAnsi="Times New Roman" w:cs="Times New Roman" w:eastAsia="Times New Roman" w:hint="default"/>
          <w:spacing w:val="-3"/>
        </w:rPr>
        <w:t> </w:t>
      </w:r>
      <w:r>
        <w:rPr/>
        <w:t>号文件《蒲江县就业服务管理局关</w:t>
      </w:r>
    </w:p>
    <w:p>
      <w:pPr>
        <w:pStyle w:val="BodyText"/>
        <w:spacing w:line="240" w:lineRule="auto" w:before="63"/>
        <w:ind w:right="982"/>
        <w:jc w:val="left"/>
        <w:rPr>
          <w:rFonts w:ascii="Times New Roman" w:hAnsi="Times New Roman" w:cs="Times New Roman" w:eastAsia="Times New Roman" w:hint="default"/>
        </w:rPr>
      </w:pPr>
      <w:r>
        <w:rPr/>
        <w:t>于进一步做好失业动态监测工作的通知</w:t>
      </w:r>
      <w:r>
        <w:rPr>
          <w:spacing w:val="-90"/>
        </w:rPr>
        <w:t>》</w:t>
      </w:r>
      <w:r>
        <w:rPr/>
        <w:t>的规定</w:t>
      </w:r>
      <w:r>
        <w:rPr>
          <w:spacing w:val="-90"/>
        </w:rPr>
        <w:t>，</w:t>
      </w:r>
      <w:r>
        <w:rPr/>
        <w:t>向成都海川制盖有限公司拨付就业补助</w:t>
      </w:r>
      <w:r>
        <w:rPr>
          <w:spacing w:val="-53"/>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8"/>
        </w:rPr>
        <w:t> </w:t>
      </w:r>
      <w:r>
        <w:rPr/>
        <w:t>元和</w:t>
      </w:r>
      <w:r>
        <w:rPr>
          <w:spacing w:val="-53"/>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8"/>
        </w:rPr>
        <w:t> </w:t>
      </w:r>
      <w:r>
        <w:rPr/>
        <w:t>元</w:t>
      </w:r>
      <w:r>
        <w:rPr>
          <w:spacing w:val="-90"/>
        </w:rPr>
        <w:t>，</w:t>
      </w:r>
      <w:r>
        <w:rPr/>
        <w:t>共计</w:t>
      </w:r>
      <w:r>
        <w:rPr>
          <w:spacing w:val="-53"/>
        </w:rPr>
        <w:t> </w:t>
      </w:r>
      <w:r>
        <w:rPr>
          <w:rFonts w:ascii="Times New Roman" w:hAnsi="Times New Roman" w:cs="Times New Roman" w:eastAsia="Times New Roman" w:hint="default"/>
        </w:rPr>
        <w:t>1,200.00</w:t>
      </w:r>
    </w:p>
    <w:p>
      <w:pPr>
        <w:pStyle w:val="BodyText"/>
        <w:spacing w:line="240" w:lineRule="auto" w:before="63"/>
        <w:ind w:right="982"/>
        <w:jc w:val="left"/>
      </w:pPr>
      <w:r>
        <w:rPr/>
        <w:t>元。</w:t>
      </w:r>
    </w:p>
    <w:p>
      <w:pPr>
        <w:pStyle w:val="BodyText"/>
        <w:spacing w:line="300" w:lineRule="auto" w:before="76"/>
        <w:ind w:right="1120" w:firstLine="360"/>
        <w:jc w:val="left"/>
      </w:pPr>
      <w:r>
        <w:rPr>
          <w:rFonts w:ascii="Times New Roman" w:hAnsi="Times New Roman" w:cs="Times New Roman" w:eastAsia="Times New Roman" w:hint="default"/>
          <w:spacing w:val="-5"/>
        </w:rPr>
        <w:t>11</w:t>
      </w:r>
      <w:r>
        <w:rPr>
          <w:spacing w:val="-5"/>
        </w:rPr>
        <w:t>）</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日，成都市财政局根据成商务发</w:t>
      </w:r>
      <w:r>
        <w:rPr>
          <w:rFonts w:ascii="Times New Roman" w:hAnsi="Times New Roman" w:cs="Times New Roman" w:eastAsia="Times New Roman" w:hint="default"/>
        </w:rPr>
        <w:t>[2017]118</w:t>
      </w:r>
      <w:r>
        <w:rPr>
          <w:rFonts w:ascii="Times New Roman" w:hAnsi="Times New Roman" w:cs="Times New Roman" w:eastAsia="Times New Roman" w:hint="default"/>
          <w:spacing w:val="-7"/>
        </w:rPr>
        <w:t> </w:t>
      </w:r>
      <w:r>
        <w:rPr/>
        <w:t>号文件《市商务委市财政局关于印发</w:t>
      </w:r>
      <w:r>
        <w:rPr>
          <w:rFonts w:ascii="Times New Roman" w:hAnsi="Times New Roman" w:cs="Times New Roman" w:eastAsia="Times New Roman" w:hint="default"/>
        </w:rPr>
        <w:t>&lt;2017</w:t>
      </w:r>
      <w:r>
        <w:rPr>
          <w:rFonts w:ascii="Times New Roman" w:hAnsi="Times New Roman" w:cs="Times New Roman" w:eastAsia="Times New Roman" w:hint="default"/>
          <w:spacing w:val="-7"/>
        </w:rPr>
        <w:t> </w:t>
      </w:r>
      <w:r>
        <w:rPr/>
        <w:t>年度中央对外 </w:t>
      </w:r>
      <w:r>
        <w:rPr>
          <w:spacing w:val="-2"/>
        </w:rPr>
        <w:t>经贸发展专项资金申报指南</w:t>
      </w:r>
      <w:r>
        <w:rPr>
          <w:rFonts w:ascii="Times New Roman" w:hAnsi="Times New Roman" w:cs="Times New Roman" w:eastAsia="Times New Roman" w:hint="default"/>
          <w:spacing w:val="-2"/>
        </w:rPr>
        <w:t>&gt;</w:t>
      </w:r>
      <w:r>
        <w:rPr>
          <w:spacing w:val="-2"/>
        </w:rPr>
        <w:t>和开展申报审核工作的通知》，向成都海川制盖有限公司拨付中央对外经贸发展专项资金</w:t>
      </w:r>
      <w:r>
        <w:rPr>
          <w:spacing w:val="-76"/>
        </w:rPr>
        <w:t> </w:t>
      </w:r>
      <w:r>
        <w:rPr>
          <w:spacing w:val="-76"/>
        </w:rPr>
      </w:r>
      <w:r>
        <w:rPr>
          <w:rFonts w:ascii="Times New Roman" w:hAnsi="Times New Roman" w:cs="Times New Roman" w:eastAsia="Times New Roman" w:hint="default"/>
        </w:rPr>
        <w:t>26,100.00 </w:t>
      </w:r>
      <w:r>
        <w:rPr/>
        <w:t>元。</w:t>
      </w:r>
    </w:p>
    <w:p>
      <w:pPr>
        <w:pStyle w:val="BodyText"/>
        <w:spacing w:line="309" w:lineRule="auto" w:before="13"/>
        <w:ind w:right="1187" w:firstLine="360"/>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日，亳州市安全生产监督管理局根据亳安监</w:t>
      </w:r>
      <w:r>
        <w:rPr>
          <w:rFonts w:ascii="Times New Roman" w:hAnsi="Times New Roman" w:cs="Times New Roman" w:eastAsia="Times New Roman" w:hint="default"/>
        </w:rPr>
        <w:t>[2017]142</w:t>
      </w:r>
      <w:r>
        <w:rPr>
          <w:rFonts w:ascii="Times New Roman" w:hAnsi="Times New Roman" w:cs="Times New Roman" w:eastAsia="Times New Roman" w:hint="default"/>
          <w:spacing w:val="-1"/>
        </w:rPr>
        <w:t> </w:t>
      </w:r>
      <w:r>
        <w:rPr/>
        <w:t>号文件《关于三级安全生产标准化达标企业 的公告》的规定，通过中华人民共和国国家金库亳州市中心支库向亳州丽鹏制盖有限公司拨付市级安全生产达标奖励 </w:t>
      </w:r>
      <w:r>
        <w:rPr>
          <w:rFonts w:ascii="Times New Roman" w:hAnsi="Times New Roman" w:cs="Times New Roman" w:eastAsia="Times New Roman" w:hint="default"/>
        </w:rPr>
        <w:t>40,000.00 </w:t>
      </w:r>
      <w:r>
        <w:rPr/>
        <w:t>元。</w:t>
      </w:r>
    </w:p>
    <w:p>
      <w:pPr>
        <w:pStyle w:val="BodyText"/>
        <w:spacing w:line="300" w:lineRule="auto" w:before="5"/>
        <w:ind w:right="1121" w:firstLine="360"/>
        <w:jc w:val="left"/>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日，重庆市江北区地方税务局根据财行</w:t>
      </w:r>
      <w:r>
        <w:rPr>
          <w:rFonts w:ascii="Times New Roman" w:hAnsi="Times New Roman" w:cs="Times New Roman" w:eastAsia="Times New Roman" w:hint="default"/>
        </w:rPr>
        <w:t>[2005]365</w:t>
      </w:r>
      <w:r>
        <w:rPr>
          <w:rFonts w:ascii="Times New Roman" w:hAnsi="Times New Roman" w:cs="Times New Roman" w:eastAsia="Times New Roman" w:hint="default"/>
          <w:spacing w:val="-5"/>
        </w:rPr>
        <w:t> </w:t>
      </w:r>
      <w:r>
        <w:rPr/>
        <w:t>号文件《关于进一步加强代扣代收代征税款手续费 管理的通知》的规定，向重庆华宇园林有限公司拨付返还的三代手续费</w:t>
      </w:r>
      <w:r>
        <w:rPr>
          <w:spacing w:val="-45"/>
        </w:rPr>
        <w:t> </w:t>
      </w:r>
      <w:r>
        <w:rPr>
          <w:rFonts w:ascii="Times New Roman" w:hAnsi="Times New Roman" w:cs="Times New Roman" w:eastAsia="Times New Roman" w:hint="default"/>
        </w:rPr>
        <w:t>162,918.33</w:t>
      </w:r>
      <w:r>
        <w:rPr>
          <w:rFonts w:ascii="Times New Roman" w:hAnsi="Times New Roman" w:cs="Times New Roman" w:eastAsia="Times New Roman" w:hint="default"/>
          <w:spacing w:val="-1"/>
        </w:rPr>
        <w:t> </w:t>
      </w:r>
      <w:r>
        <w:rPr/>
        <w:t>元；</w:t>
      </w:r>
    </w:p>
    <w:p>
      <w:pPr>
        <w:pStyle w:val="BodyText"/>
        <w:spacing w:line="300" w:lineRule="auto" w:before="13"/>
        <w:ind w:right="1171"/>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日，烟台市地方税务司牟平分局依据《中华人民共和国个人所得税法》第十七条规定“对扣缴义务人按照 所扣缴的税款，付给百分之二的手续费”</w:t>
      </w:r>
      <w:r>
        <w:rPr>
          <w:spacing w:val="-1"/>
        </w:rPr>
        <w:t> </w:t>
      </w:r>
      <w:r>
        <w:rPr/>
        <w:t>的规定，向山东丽鹏股份有限公司拨付个税代收代付手续费返还</w:t>
      </w:r>
      <w:r>
        <w:rPr>
          <w:spacing w:val="-46"/>
        </w:rPr>
        <w:t> </w:t>
      </w:r>
      <w:r>
        <w:rPr>
          <w:rFonts w:ascii="Times New Roman" w:hAnsi="Times New Roman" w:cs="Times New Roman" w:eastAsia="Times New Roman" w:hint="default"/>
        </w:rPr>
        <w:t>5,555.91</w:t>
      </w:r>
      <w:r>
        <w:rPr>
          <w:rFonts w:ascii="Times New Roman" w:hAnsi="Times New Roman" w:cs="Times New Roman" w:eastAsia="Times New Roman" w:hint="default"/>
          <w:spacing w:val="-2"/>
        </w:rPr>
        <w:t> </w:t>
      </w:r>
      <w:r>
        <w:rPr/>
        <w:t>元。</w:t>
      </w:r>
    </w:p>
    <w:p>
      <w:pPr>
        <w:pStyle w:val="BodyText"/>
        <w:spacing w:line="240" w:lineRule="auto" w:before="13"/>
        <w:ind w:left="474" w:right="982"/>
        <w:jc w:val="left"/>
      </w:pPr>
      <w:r>
        <w:rPr>
          <w:rFonts w:ascii="Times New Roman" w:hAnsi="Times New Roman" w:cs="Times New Roman" w:eastAsia="Times New Roman" w:hint="default"/>
        </w:rPr>
        <w:t>14</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月和</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日，烟台市牟平区总工会将公司列入重点职工观摩点，向山东丽鹏股份有限公</w:t>
      </w:r>
    </w:p>
    <w:p>
      <w:pPr>
        <w:pStyle w:val="BodyText"/>
        <w:spacing w:line="240" w:lineRule="auto" w:before="63"/>
        <w:ind w:right="982"/>
        <w:jc w:val="left"/>
      </w:pPr>
      <w:r>
        <w:rPr/>
        <w:t>司拨付需要制作的看板、宣传标语的工会款</w:t>
      </w:r>
      <w:r>
        <w:rPr>
          <w:spacing w:val="-47"/>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
        </w:rPr>
        <w:t> </w:t>
      </w:r>
      <w:r>
        <w:rPr/>
        <w:t>元和</w:t>
      </w:r>
      <w:r>
        <w:rPr>
          <w:spacing w:val="-47"/>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2"/>
        </w:rPr>
        <w:t> </w:t>
      </w:r>
      <w:r>
        <w:rPr/>
        <w:t>元，共计</w:t>
      </w:r>
      <w:r>
        <w:rPr>
          <w:spacing w:val="-47"/>
        </w:rPr>
        <w:t> </w:t>
      </w:r>
      <w:r>
        <w:rPr>
          <w:rFonts w:ascii="Times New Roman" w:hAnsi="Times New Roman" w:cs="Times New Roman" w:eastAsia="Times New Roman" w:hint="default"/>
        </w:rPr>
        <w:t>51,000.00</w:t>
      </w:r>
      <w:r>
        <w:rPr>
          <w:rFonts w:ascii="Times New Roman" w:hAnsi="Times New Roman" w:cs="Times New Roman" w:eastAsia="Times New Roman" w:hint="default"/>
          <w:spacing w:val="-2"/>
        </w:rPr>
        <w:t> </w:t>
      </w:r>
      <w:r>
        <w:rPr/>
        <w:t>元。</w:t>
      </w:r>
    </w:p>
    <w:p>
      <w:pPr>
        <w:pStyle w:val="BodyText"/>
        <w:spacing w:line="309" w:lineRule="auto" w:before="63"/>
        <w:ind w:right="1133" w:firstLine="360"/>
        <w:jc w:val="both"/>
      </w:pPr>
      <w:r>
        <w:rPr>
          <w:rFonts w:ascii="Times New Roman" w:hAnsi="Times New Roman" w:cs="Times New Roman" w:eastAsia="Times New Roman" w:hint="default"/>
          <w:spacing w:val="-11"/>
        </w:rPr>
        <w:t>15</w:t>
      </w:r>
      <w:r>
        <w:rPr>
          <w:spacing w:val="-11"/>
        </w:rPr>
        <w:t>）</w:t>
      </w:r>
      <w:r>
        <w:rPr>
          <w:rFonts w:ascii="Times New Roman" w:hAnsi="Times New Roman" w:cs="Times New Roman" w:eastAsia="Times New Roman" w:hint="default"/>
          <w:spacing w:val="-11"/>
        </w:rPr>
        <w:t>2018</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日及</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19"/>
        </w:rPr>
        <w:t>日、</w:t>
      </w:r>
      <w:r>
        <w:rPr>
          <w:rFonts w:ascii="Times New Roman" w:hAnsi="Times New Roman" w:cs="Times New Roman" w:eastAsia="Times New Roman" w:hint="default"/>
          <w:spacing w:val="-19"/>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10"/>
        </w:rPr>
        <w:t>日，根据《重庆市黔江区总部经济招商优惠政策》（黔江府发</w:t>
      </w:r>
      <w:r>
        <w:rPr>
          <w:rFonts w:ascii="Times New Roman" w:hAnsi="Times New Roman" w:cs="Times New Roman" w:eastAsia="Times New Roman" w:hint="default"/>
          <w:spacing w:val="-10"/>
        </w:rPr>
        <w:t>[2010]36</w:t>
      </w:r>
      <w:r>
        <w:rPr>
          <w:rFonts w:ascii="Times New Roman" w:hAnsi="Times New Roman" w:cs="Times New Roman" w:eastAsia="Times New Roman" w:hint="default"/>
        </w:rPr>
        <w:t> </w:t>
      </w:r>
      <w:r>
        <w:rPr>
          <w:spacing w:val="-2"/>
        </w:rPr>
        <w:t>号）文件精神及《重庆市正阳工业园区管理委员会总部企业入驻协议》，黔江正阳园区财政处通过重庆黔俦实业有限公司拨</w:t>
      </w:r>
      <w:r>
        <w:rPr>
          <w:spacing w:val="-72"/>
        </w:rPr>
        <w:t> </w:t>
      </w:r>
      <w:r>
        <w:rPr>
          <w:spacing w:val="-72"/>
        </w:rPr>
      </w:r>
      <w:r>
        <w:rPr/>
        <w:t>付给重庆秉创新材料科技有限公司增值税财政扶持款</w:t>
      </w:r>
      <w:r>
        <w:rPr>
          <w:spacing w:val="-45"/>
        </w:rPr>
        <w:t> </w:t>
      </w:r>
      <w:r>
        <w:rPr>
          <w:rFonts w:ascii="Times New Roman" w:hAnsi="Times New Roman" w:cs="Times New Roman" w:eastAsia="Times New Roman" w:hint="default"/>
        </w:rPr>
        <w:t>21,237.00</w:t>
      </w:r>
      <w:r>
        <w:rPr>
          <w:rFonts w:ascii="Times New Roman" w:hAnsi="Times New Roman" w:cs="Times New Roman" w:eastAsia="Times New Roman" w:hint="default"/>
          <w:spacing w:val="-1"/>
        </w:rPr>
        <w:t> </w:t>
      </w:r>
      <w:r>
        <w:rPr/>
        <w:t>元。</w:t>
      </w:r>
    </w:p>
    <w:p>
      <w:pPr>
        <w:pStyle w:val="BodyText"/>
        <w:spacing w:line="240" w:lineRule="auto" w:before="5"/>
        <w:ind w:left="474" w:right="982"/>
        <w:jc w:val="left"/>
      </w:pPr>
      <w:r>
        <w:rPr>
          <w:rFonts w:ascii="Times New Roman" w:hAnsi="Times New Roman" w:cs="Times New Roman" w:eastAsia="Times New Roman" w:hint="default"/>
        </w:rPr>
        <w:t>16</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日，重庆市江北区商务局根据江北商务发</w:t>
      </w:r>
      <w:r>
        <w:rPr>
          <w:rFonts w:ascii="Times New Roman" w:hAnsi="Times New Roman" w:cs="Times New Roman" w:eastAsia="Times New Roman" w:hint="default"/>
        </w:rPr>
        <w:t>[2018]12</w:t>
      </w:r>
      <w:r>
        <w:rPr>
          <w:rFonts w:ascii="Times New Roman" w:hAnsi="Times New Roman" w:cs="Times New Roman" w:eastAsia="Times New Roman" w:hint="default"/>
          <w:spacing w:val="-4"/>
        </w:rPr>
        <w:t> </w:t>
      </w:r>
      <w:r>
        <w:rPr/>
        <w:t>号文件《关于组织申报</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年度江北区商贸物</w:t>
      </w:r>
    </w:p>
    <w:p>
      <w:pPr>
        <w:pStyle w:val="BodyText"/>
        <w:spacing w:line="240" w:lineRule="auto" w:before="63"/>
        <w:ind w:right="982"/>
        <w:jc w:val="left"/>
      </w:pPr>
      <w:r>
        <w:rPr/>
        <w:t>流产业扶持资金的通知》的规定，向重庆华宇园林有限公司拨付</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年产业扶持奖励</w:t>
      </w:r>
      <w:r>
        <w:rPr>
          <w:spacing w:val="-2"/>
        </w:rPr>
        <w:t> </w:t>
      </w:r>
      <w:r>
        <w:rPr>
          <w:rFonts w:ascii="Times New Roman" w:hAnsi="Times New Roman" w:cs="Times New Roman" w:eastAsia="Times New Roman" w:hint="default"/>
        </w:rPr>
        <w:t>26,600.00</w:t>
      </w:r>
      <w:r>
        <w:rPr>
          <w:rFonts w:ascii="Times New Roman" w:hAnsi="Times New Roman" w:cs="Times New Roman" w:eastAsia="Times New Roman" w:hint="default"/>
          <w:spacing w:val="-1"/>
        </w:rPr>
        <w:t> </w:t>
      </w:r>
      <w:r>
        <w:rPr/>
        <w:t>元。</w:t>
      </w:r>
    </w:p>
    <w:p>
      <w:pPr>
        <w:pStyle w:val="BodyText"/>
        <w:spacing w:line="300" w:lineRule="auto" w:before="63"/>
        <w:ind w:right="1187" w:firstLine="360"/>
        <w:jc w:val="left"/>
      </w:pPr>
      <w:r>
        <w:rPr>
          <w:rFonts w:ascii="Times New Roman" w:hAnsi="Times New Roman" w:cs="Times New Roman" w:eastAsia="Times New Roman" w:hint="default"/>
        </w:rPr>
        <w:t>17</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日，山东省知识产权局根据鲁财教</w:t>
      </w:r>
      <w:r>
        <w:rPr>
          <w:rFonts w:ascii="Times New Roman" w:hAnsi="Times New Roman" w:cs="Times New Roman" w:eastAsia="Times New Roman" w:hint="default"/>
        </w:rPr>
        <w:t>[2017]29</w:t>
      </w:r>
      <w:r>
        <w:rPr>
          <w:rFonts w:ascii="Times New Roman" w:hAnsi="Times New Roman" w:cs="Times New Roman" w:eastAsia="Times New Roman" w:hint="default"/>
          <w:spacing w:val="-1"/>
        </w:rPr>
        <w:t> </w:t>
      </w:r>
      <w:r>
        <w:rPr/>
        <w:t>号文件《关于印发山东省知识产权（专利）资金管理 办法的通知》的规定，向山东丽鹏股份有限公司拨付山东省</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年第一批专利资助资金</w:t>
      </w:r>
      <w:r>
        <w:rPr>
          <w:spacing w:val="-46"/>
        </w:rPr>
        <w:t> </w:t>
      </w:r>
      <w:r>
        <w:rPr>
          <w:rFonts w:ascii="Times New Roman" w:hAnsi="Times New Roman" w:cs="Times New Roman" w:eastAsia="Times New Roman" w:hint="default"/>
        </w:rPr>
        <w:t>2,000.00 </w:t>
      </w:r>
      <w:r>
        <w:rPr/>
        <w:t>元。</w:t>
      </w:r>
    </w:p>
    <w:p>
      <w:pPr>
        <w:pStyle w:val="BodyText"/>
        <w:spacing w:line="300" w:lineRule="auto" w:before="13"/>
        <w:ind w:right="1029" w:firstLine="360"/>
        <w:jc w:val="left"/>
      </w:pPr>
      <w:r>
        <w:rPr>
          <w:rFonts w:ascii="Times New Roman" w:hAnsi="Times New Roman" w:cs="Times New Roman" w:eastAsia="Times New Roman" w:hint="default"/>
        </w:rPr>
        <w:t>18</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日，烟台市质量技术监督局根据烟质监函</w:t>
      </w:r>
      <w:r>
        <w:rPr>
          <w:rFonts w:ascii="Times New Roman" w:hAnsi="Times New Roman" w:cs="Times New Roman" w:eastAsia="Times New Roman" w:hint="default"/>
        </w:rPr>
        <w:t>[2018]157</w:t>
      </w:r>
      <w:r>
        <w:rPr>
          <w:rFonts w:ascii="Times New Roman" w:hAnsi="Times New Roman" w:cs="Times New Roman" w:eastAsia="Times New Roman" w:hint="default"/>
          <w:spacing w:val="-3"/>
        </w:rPr>
        <w:t> </w:t>
      </w:r>
      <w:r>
        <w:rPr/>
        <w:t>号文件《关于公布</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年度烟台市标准化资助 项目名单的通报》及烟质监标便字</w:t>
      </w:r>
      <w:r>
        <w:rPr>
          <w:rFonts w:ascii="Times New Roman" w:hAnsi="Times New Roman" w:cs="Times New Roman" w:eastAsia="Times New Roman" w:hint="default"/>
        </w:rPr>
        <w:t>[2018]10</w:t>
      </w:r>
      <w:r>
        <w:rPr>
          <w:rFonts w:ascii="Times New Roman" w:hAnsi="Times New Roman" w:cs="Times New Roman" w:eastAsia="Times New Roman" w:hint="default"/>
          <w:spacing w:val="-24"/>
        </w:rPr>
        <w:t> </w:t>
      </w:r>
      <w:r>
        <w:rPr/>
        <w:t>号通知文件的规定，向山东丽鹏股份有限公司拨付标准化资助基金</w:t>
      </w:r>
      <w:r>
        <w:rPr>
          <w:spacing w:val="-69"/>
        </w:rPr>
        <w:t> </w:t>
      </w:r>
      <w:r>
        <w:rPr>
          <w:rFonts w:ascii="Times New Roman" w:hAnsi="Times New Roman" w:cs="Times New Roman" w:eastAsia="Times New Roman" w:hint="default"/>
        </w:rPr>
        <w:t>90,000.00</w:t>
      </w:r>
      <w:r>
        <w:rPr>
          <w:rFonts w:ascii="Times New Roman" w:hAnsi="Times New Roman" w:cs="Times New Roman" w:eastAsia="Times New Roman" w:hint="default"/>
          <w:spacing w:val="-24"/>
        </w:rPr>
        <w:t> </w:t>
      </w:r>
      <w:r>
        <w:rPr/>
        <w:t>元。</w:t>
      </w:r>
    </w:p>
    <w:p>
      <w:pPr>
        <w:pStyle w:val="BodyText"/>
        <w:spacing w:line="300" w:lineRule="auto" w:before="13"/>
        <w:ind w:right="1028" w:firstLine="360"/>
        <w:jc w:val="left"/>
      </w:pPr>
      <w:r>
        <w:rPr>
          <w:rFonts w:ascii="Times New Roman" w:hAnsi="Times New Roman" w:cs="Times New Roman" w:eastAsia="Times New Roman" w:hint="default"/>
        </w:rPr>
        <w:t>19</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日，烟台市牟平区科学技术局根据“</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年山东省知识产权示范企业资助精神，省知识产权局对 </w:t>
      </w:r>
      <w:r>
        <w:rPr>
          <w:spacing w:val="-6"/>
        </w:rPr>
        <w:t>山东省知识产权示范企业给予一定资助。”向山东丽鹏股份有限公司拨付</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年国家级知识产权示范奖金资金</w:t>
      </w:r>
      <w:r>
        <w:rPr>
          <w:spacing w:val="-41"/>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4"/>
        </w:rPr>
        <w:t> </w:t>
      </w:r>
      <w:r>
        <w:rPr/>
        <w:t>元。</w:t>
      </w:r>
    </w:p>
    <w:p>
      <w:pPr>
        <w:pStyle w:val="BodyText"/>
        <w:spacing w:line="300" w:lineRule="auto" w:before="13"/>
        <w:ind w:right="1191" w:firstLine="360"/>
        <w:jc w:val="left"/>
      </w:pPr>
      <w:r>
        <w:rPr>
          <w:rFonts w:ascii="Times New Roman" w:hAnsi="Times New Roman" w:cs="Times New Roman" w:eastAsia="Times New Roman" w:hint="default"/>
        </w:rPr>
        <w:t>20</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日，中国共产党重庆市江北区委员会组织部根据江人才办</w:t>
      </w:r>
      <w:r>
        <w:rPr>
          <w:rFonts w:ascii="Times New Roman" w:hAnsi="Times New Roman" w:cs="Times New Roman" w:eastAsia="Times New Roman" w:hint="default"/>
        </w:rPr>
        <w:t>[2016]3 </w:t>
      </w:r>
      <w:r>
        <w:rPr/>
        <w:t>号文件《关于申报“江北英才” 特殊支持计划创新项目的通知》的规定，向重庆华宇园林有限公司拨付江北英才创新项目资助经费</w:t>
      </w:r>
      <w:r>
        <w:rPr>
          <w:spacing w:val="-45"/>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1"/>
        </w:rPr>
        <w:t> </w:t>
      </w:r>
      <w:r>
        <w:rPr/>
        <w:t>元。</w:t>
      </w:r>
    </w:p>
    <w:p>
      <w:pPr>
        <w:pStyle w:val="BodyText"/>
        <w:spacing w:line="300" w:lineRule="auto" w:before="13"/>
        <w:ind w:right="1121" w:firstLine="360"/>
        <w:jc w:val="left"/>
      </w:pPr>
      <w:r>
        <w:rPr>
          <w:rFonts w:ascii="Times New Roman" w:hAnsi="Times New Roman" w:cs="Times New Roman" w:eastAsia="Times New Roman" w:hint="default"/>
        </w:rPr>
        <w:t>21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日，重庆市江北区中小企业发展指导局根据渝中小企</w:t>
      </w:r>
      <w:r>
        <w:rPr>
          <w:rFonts w:ascii="Times New Roman" w:hAnsi="Times New Roman" w:cs="Times New Roman" w:eastAsia="Times New Roman" w:hint="default"/>
        </w:rPr>
        <w:t>[2015]94</w:t>
      </w:r>
      <w:r>
        <w:rPr>
          <w:rFonts w:ascii="Times New Roman" w:hAnsi="Times New Roman" w:cs="Times New Roman" w:eastAsia="Times New Roman" w:hint="default"/>
          <w:spacing w:val="-5"/>
        </w:rPr>
        <w:t> </w:t>
      </w:r>
      <w:r>
        <w:rPr/>
        <w:t>号文件《关于实施新办鼓励类中小企 业有关财政扶持政策的通知》的规定，向重庆东飞凯格建筑景观设计咨询有限公司拨付</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年鼓励类企业补助资金</w:t>
      </w:r>
    </w:p>
    <w:p>
      <w:pPr>
        <w:pStyle w:val="BodyText"/>
        <w:spacing w:line="240" w:lineRule="auto" w:before="13"/>
        <w:ind w:right="982"/>
        <w:jc w:val="left"/>
      </w:pPr>
      <w:r>
        <w:rPr>
          <w:rFonts w:ascii="Times New Roman" w:hAnsi="Times New Roman" w:cs="Times New Roman" w:eastAsia="Times New Roman" w:hint="default"/>
        </w:rPr>
        <w:t>164,639.06 </w:t>
      </w:r>
      <w:r>
        <w:rPr/>
        <w:t>元。</w:t>
      </w:r>
    </w:p>
    <w:p>
      <w:pPr>
        <w:pStyle w:val="BodyText"/>
        <w:spacing w:line="240" w:lineRule="auto" w:before="63"/>
        <w:ind w:left="474" w:right="982"/>
        <w:jc w:val="left"/>
      </w:pPr>
      <w:r>
        <w:rPr>
          <w:rFonts w:ascii="Times New Roman" w:hAnsi="Times New Roman" w:cs="Times New Roman" w:eastAsia="Times New Roman" w:hint="default"/>
        </w:rPr>
        <w:t>22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年三季度，根据国家税务总局公告</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年第</w:t>
      </w:r>
      <w:r>
        <w:rPr>
          <w:spacing w:val="-54"/>
        </w:rPr>
        <w:t> </w:t>
      </w:r>
      <w:r>
        <w:rPr>
          <w:rFonts w:ascii="Times New Roman" w:hAnsi="Times New Roman" w:cs="Times New Roman" w:eastAsia="Times New Roman" w:hint="default"/>
        </w:rPr>
        <w:t>52</w:t>
      </w:r>
      <w:r>
        <w:rPr>
          <w:rFonts w:ascii="Times New Roman" w:hAnsi="Times New Roman" w:cs="Times New Roman" w:eastAsia="Times New Roman" w:hint="default"/>
          <w:spacing w:val="-9"/>
        </w:rPr>
        <w:t> </w:t>
      </w:r>
      <w:r>
        <w:rPr/>
        <w:t>号文件《关于小微企业免征增值税有关问题的公告》的规定，</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982"/>
        <w:jc w:val="left"/>
      </w:pPr>
      <w:r>
        <w:rPr/>
        <w:t>重庆华宇园林有限公司养护分公司享受小微企业暂免征收增值税优惠</w:t>
      </w:r>
      <w:r>
        <w:rPr>
          <w:spacing w:val="-45"/>
        </w:rPr>
        <w:t> </w:t>
      </w:r>
      <w:r>
        <w:rPr>
          <w:rFonts w:ascii="Times New Roman" w:hAnsi="Times New Roman" w:cs="Times New Roman" w:eastAsia="Times New Roman" w:hint="default"/>
        </w:rPr>
        <w:t>206.22</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982"/>
        <w:jc w:val="left"/>
        <w:rPr>
          <w:b w:val="0"/>
          <w:bCs w:val="0"/>
        </w:rPr>
      </w:pPr>
      <w:bookmarkStart w:name="八、合并范围的变更" w:id="360"/>
      <w:bookmarkEnd w:id="360"/>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同一控制下企业合并" w:id="361"/>
      <w:bookmarkEnd w:id="361"/>
      <w:r>
        <w:rPr>
          <w:b w:val="0"/>
          <w:bCs w:val="0"/>
        </w:rPr>
      </w:r>
      <w:r>
        <w:rPr>
          <w:rFonts w:ascii="Times New Roman" w:hAnsi="Times New Roman" w:cs="Times New Roman" w:eastAsia="Times New Roman" w:hint="default"/>
        </w:rPr>
        <w:t>1</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本期发生的同一控制下企业合并" w:id="362"/>
      <w:bookmarkEnd w:id="36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3"/>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6" w:right="167"/>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6"/>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167"/>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苏州中锐 智信教育 投资有限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28"/>
              <w:jc w:val="left"/>
              <w:rPr>
                <w:rFonts w:ascii="宋体" w:hAnsi="宋体" w:cs="宋体" w:eastAsia="宋体" w:hint="default"/>
                <w:sz w:val="18"/>
                <w:szCs w:val="18"/>
              </w:rPr>
            </w:pPr>
            <w:r>
              <w:rPr>
                <w:rFonts w:ascii="宋体" w:hAnsi="宋体" w:cs="宋体" w:eastAsia="宋体" w:hint="default"/>
                <w:sz w:val="18"/>
                <w:szCs w:val="18"/>
              </w:rPr>
              <w:t>同一实际 控制人</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29"/>
              <w:jc w:val="left"/>
              <w:rPr>
                <w:rFonts w:ascii="宋体" w:hAnsi="宋体" w:cs="宋体" w:eastAsia="宋体" w:hint="default"/>
                <w:sz w:val="18"/>
                <w:szCs w:val="18"/>
              </w:rPr>
            </w:pPr>
            <w:r>
              <w:rPr>
                <w:rFonts w:ascii="宋体" w:hAnsi="宋体" w:cs="宋体" w:eastAsia="宋体" w:hint="default"/>
                <w:sz w:val="18"/>
                <w:szCs w:val="18"/>
              </w:rPr>
              <w:t>取得实际 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-956.47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7"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-532.12</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合并成本" w:id="363"/>
      <w:bookmarkEnd w:id="36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97" w:firstLine="360"/>
        <w:jc w:val="left"/>
      </w:pPr>
      <w:r>
        <w:rPr/>
        <w:t>丽鹏公司零元受让苏州中锐智信教育投资有限公司</w:t>
      </w:r>
      <w:r>
        <w:rPr>
          <w:rFonts w:ascii="Times New Roman" w:hAnsi="Times New Roman" w:cs="Times New Roman" w:eastAsia="Times New Roman" w:hint="default"/>
        </w:rPr>
        <w:t>100%</w:t>
      </w:r>
      <w:r>
        <w:rPr/>
        <w:t>的股权，苏州中锐智信教育投资有限公司的注册资本</w:t>
      </w:r>
      <w:r>
        <w:rPr>
          <w:rFonts w:ascii="Times New Roman" w:hAnsi="Times New Roman" w:cs="Times New Roman" w:eastAsia="Times New Roman" w:hint="default"/>
        </w:rPr>
        <w:t>10,000</w:t>
      </w:r>
      <w:r>
        <w:rPr/>
        <w:t>万 元未实缴，丽鹏公司受让股权后注册资本由丽鹏公司认缴。</w:t>
      </w:r>
    </w:p>
    <w:p>
      <w:pPr>
        <w:spacing w:line="240" w:lineRule="auto" w:before="6"/>
        <w:rPr>
          <w:rFonts w:ascii="宋体" w:hAnsi="宋体" w:cs="宋体" w:eastAsia="宋体" w:hint="default"/>
          <w:sz w:val="23"/>
          <w:szCs w:val="23"/>
        </w:rPr>
      </w:pPr>
    </w:p>
    <w:p>
      <w:pPr>
        <w:pStyle w:val="Heading4"/>
        <w:spacing w:line="240" w:lineRule="auto"/>
        <w:ind w:right="982"/>
        <w:jc w:val="left"/>
        <w:rPr>
          <w:b w:val="0"/>
          <w:bCs w:val="0"/>
        </w:rPr>
      </w:pPr>
      <w:bookmarkStart w:name="（3）合并日被合并方资产、负债的账面价值" w:id="364"/>
      <w:bookmarkEnd w:id="36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6381"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23,512.41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4,468.88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-1,487.59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-531.12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-1,487.59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-531.12</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其他原因的合并范围变动" w:id="365"/>
      <w:bookmarkEnd w:id="365"/>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说明其他原因导致的合并范围变动（如，新设子公司、清算子公司等）及其相关情况：</w:t>
      </w:r>
    </w:p>
    <w:p>
      <w:pPr>
        <w:pStyle w:val="Heading4"/>
        <w:spacing w:line="240" w:lineRule="auto" w:before="90"/>
        <w:ind w:left="526" w:right="982"/>
        <w:jc w:val="left"/>
        <w:rPr>
          <w:b w:val="0"/>
          <w:bCs w:val="0"/>
        </w:rPr>
      </w:pPr>
      <w:r>
        <w:rPr/>
        <w:t>新设子公司</w:t>
      </w:r>
      <w:r>
        <w:rPr>
          <w:b w:val="0"/>
          <w:bCs w:val="0"/>
        </w:rPr>
      </w:r>
    </w:p>
    <w:p>
      <w:pPr>
        <w:spacing w:line="240" w:lineRule="auto" w:before="2"/>
        <w:rPr>
          <w:rFonts w:ascii="宋体" w:hAnsi="宋体" w:cs="宋体" w:eastAsia="宋体" w:hint="default"/>
          <w:b/>
          <w:bCs/>
          <w:sz w:val="13"/>
          <w:szCs w:val="13"/>
        </w:rPr>
      </w:pPr>
    </w:p>
    <w:tbl>
      <w:tblPr>
        <w:tblW w:w="0" w:type="auto"/>
        <w:jc w:val="left"/>
        <w:tblInd w:w="106" w:type="dxa"/>
        <w:tblLayout w:type="fixed"/>
        <w:tblCellMar>
          <w:top w:w="0" w:type="dxa"/>
          <w:left w:w="0" w:type="dxa"/>
          <w:bottom w:w="0" w:type="dxa"/>
          <w:right w:w="0" w:type="dxa"/>
        </w:tblCellMar>
        <w:tblLook w:val="01E0"/>
      </w:tblPr>
      <w:tblGrid>
        <w:gridCol w:w="1762"/>
        <w:gridCol w:w="1134"/>
        <w:gridCol w:w="1276"/>
        <w:gridCol w:w="992"/>
        <w:gridCol w:w="1417"/>
        <w:gridCol w:w="1348"/>
        <w:gridCol w:w="1043"/>
      </w:tblGrid>
      <w:tr>
        <w:trPr>
          <w:trHeight w:val="667" w:hRule="exact"/>
        </w:trPr>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b/>
                <w:bCs/>
                <w:sz w:val="18"/>
                <w:szCs w:val="18"/>
              </w:rPr>
              <w:t>新设子公司名称</w:t>
            </w:r>
            <w:r>
              <w:rPr>
                <w:rFonts w:ascii="宋体" w:hAnsi="宋体" w:cs="宋体" w:eastAsia="宋体" w:hint="default"/>
                <w:sz w:val="18"/>
                <w:szCs w:val="18"/>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b/>
                <w:bCs/>
                <w:sz w:val="18"/>
                <w:szCs w:val="18"/>
              </w:rPr>
              <w:t>成立日期</w:t>
            </w:r>
            <w:r>
              <w:rPr>
                <w:rFonts w:ascii="宋体" w:hAnsi="宋体" w:cs="宋体" w:eastAsia="宋体" w:hint="default"/>
                <w:sz w:val="18"/>
                <w:szCs w:val="18"/>
              </w:rPr>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50" w:right="87" w:hanging="362"/>
              <w:jc w:val="left"/>
              <w:rPr>
                <w:rFonts w:ascii="宋体" w:hAnsi="宋体" w:cs="宋体" w:eastAsia="宋体" w:hint="default"/>
                <w:sz w:val="18"/>
                <w:szCs w:val="18"/>
              </w:rPr>
            </w:pPr>
            <w:r>
              <w:rPr>
                <w:rFonts w:ascii="宋体" w:hAnsi="宋体" w:cs="宋体" w:eastAsia="宋体" w:hint="default"/>
                <w:b/>
                <w:bCs/>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72" w:right="35" w:hanging="136"/>
              <w:jc w:val="left"/>
              <w:rPr>
                <w:rFonts w:ascii="宋体" w:hAnsi="宋体" w:cs="宋体" w:eastAsia="宋体" w:hint="default"/>
                <w:sz w:val="18"/>
                <w:szCs w:val="18"/>
              </w:rPr>
            </w:pPr>
            <w:r>
              <w:rPr>
                <w:rFonts w:ascii="宋体" w:hAnsi="宋体" w:cs="宋体" w:eastAsia="宋体" w:hint="default"/>
                <w:b/>
                <w:bCs/>
                <w:sz w:val="18"/>
                <w:szCs w:val="18"/>
              </w:rPr>
              <w:t>股权取得比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13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b/>
                <w:bCs/>
                <w:sz w:val="18"/>
                <w:szCs w:val="18"/>
              </w:rPr>
              <w:t>实际经营地</w:t>
            </w:r>
            <w:r>
              <w:rPr>
                <w:rFonts w:ascii="宋体" w:hAnsi="宋体" w:cs="宋体" w:eastAsia="宋体" w:hint="default"/>
                <w:sz w:val="18"/>
                <w:szCs w:val="18"/>
              </w:rPr>
            </w:r>
          </w:p>
        </w:tc>
        <w:tc>
          <w:tcPr>
            <w:tcW w:w="10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52"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762"/>
        <w:gridCol w:w="1134"/>
        <w:gridCol w:w="1276"/>
        <w:gridCol w:w="992"/>
        <w:gridCol w:w="1417"/>
        <w:gridCol w:w="1348"/>
        <w:gridCol w:w="1043"/>
      </w:tblGrid>
      <w:tr>
        <w:trPr>
          <w:trHeight w:val="979" w:hRule="exact"/>
        </w:trPr>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13"/>
                <w:sz w:val="18"/>
                <w:szCs w:val="18"/>
              </w:rPr>
              <w:t>山东丽鹏包装科技有</w:t>
            </w:r>
            <w:r>
              <w:rPr>
                <w:rFonts w:ascii="宋体" w:hAnsi="宋体" w:cs="宋体" w:eastAsia="宋体" w:hint="default"/>
                <w:sz w:val="18"/>
                <w:szCs w:val="18"/>
              </w:rPr>
              <w:t> 限公司</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2018.8.28</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1,000.00</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18" w:right="0"/>
              <w:jc w:val="left"/>
              <w:rPr>
                <w:rFonts w:ascii="宋体" w:hAnsi="宋体" w:cs="宋体" w:eastAsia="宋体" w:hint="default"/>
                <w:sz w:val="18"/>
                <w:szCs w:val="18"/>
              </w:rPr>
            </w:pPr>
            <w:r>
              <w:rPr>
                <w:rFonts w:ascii="宋体"/>
                <w:sz w:val="18"/>
              </w:rPr>
              <w:t>100.00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71" w:right="68"/>
              <w:jc w:val="center"/>
              <w:rPr>
                <w:rFonts w:ascii="宋体" w:hAnsi="宋体" w:cs="宋体" w:eastAsia="宋体" w:hint="default"/>
                <w:sz w:val="18"/>
                <w:szCs w:val="18"/>
              </w:rPr>
            </w:pPr>
            <w:r>
              <w:rPr>
                <w:rFonts w:ascii="宋体" w:hAnsi="宋体" w:cs="宋体" w:eastAsia="宋体" w:hint="default"/>
                <w:sz w:val="18"/>
                <w:szCs w:val="18"/>
              </w:rPr>
              <w:t>山东省烟台市牟 平区姜格庄街道 丽鹏路</w:t>
            </w:r>
            <w:r>
              <w:rPr>
                <w:rFonts w:ascii="宋体" w:hAnsi="宋体" w:cs="宋体" w:eastAsia="宋体" w:hint="default"/>
                <w:sz w:val="18"/>
                <w:szCs w:val="18"/>
              </w:rPr>
              <w:t>1</w:t>
            </w:r>
            <w:r>
              <w:rPr>
                <w:rFonts w:ascii="宋体" w:hAnsi="宋体" w:cs="宋体" w:eastAsia="宋体" w:hint="default"/>
                <w:sz w:val="18"/>
                <w:szCs w:val="18"/>
              </w:rPr>
              <w:t>号</w:t>
            </w:r>
          </w:p>
        </w:tc>
        <w:tc>
          <w:tcPr>
            <w:tcW w:w="134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7" w:right="34"/>
              <w:jc w:val="center"/>
              <w:rPr>
                <w:rFonts w:ascii="宋体" w:hAnsi="宋体" w:cs="宋体" w:eastAsia="宋体" w:hint="default"/>
                <w:sz w:val="18"/>
                <w:szCs w:val="18"/>
              </w:rPr>
            </w:pPr>
            <w:r>
              <w:rPr>
                <w:rFonts w:ascii="宋体" w:hAnsi="宋体" w:cs="宋体" w:eastAsia="宋体" w:hint="default"/>
                <w:sz w:val="18"/>
                <w:szCs w:val="18"/>
              </w:rPr>
              <w:t>山东省烟台市牟 平区姜格庄街道 丽鹏路</w:t>
            </w:r>
            <w:r>
              <w:rPr>
                <w:rFonts w:ascii="宋体" w:hAnsi="宋体" w:cs="宋体" w:eastAsia="宋体" w:hint="default"/>
                <w:sz w:val="18"/>
                <w:szCs w:val="18"/>
              </w:rPr>
              <w:t>1</w:t>
            </w:r>
            <w:r>
              <w:rPr>
                <w:rFonts w:ascii="宋体" w:hAnsi="宋体" w:cs="宋体" w:eastAsia="宋体" w:hint="default"/>
                <w:sz w:val="18"/>
                <w:szCs w:val="18"/>
              </w:rPr>
              <w:t>号</w:t>
            </w:r>
          </w:p>
        </w:tc>
        <w:tc>
          <w:tcPr>
            <w:tcW w:w="10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43" w:right="0"/>
              <w:jc w:val="left"/>
              <w:rPr>
                <w:rFonts w:ascii="宋体" w:hAnsi="宋体" w:cs="宋体" w:eastAsia="宋体" w:hint="default"/>
                <w:sz w:val="18"/>
                <w:szCs w:val="18"/>
              </w:rPr>
            </w:pPr>
            <w:r>
              <w:rPr>
                <w:rFonts w:ascii="宋体" w:hAnsi="宋体" w:cs="宋体" w:eastAsia="宋体" w:hint="default"/>
                <w:sz w:val="18"/>
                <w:szCs w:val="18"/>
              </w:rPr>
              <w:t>生产型</w:t>
            </w:r>
          </w:p>
        </w:tc>
      </w:tr>
      <w:tr>
        <w:trPr>
          <w:trHeight w:val="1288"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华阴市双华城乡建设</w:t>
            </w:r>
            <w:r>
              <w:rPr>
                <w:rFonts w:ascii="宋体" w:hAnsi="宋体" w:cs="宋体" w:eastAsia="宋体" w:hint="default"/>
                <w:sz w:val="18"/>
                <w:szCs w:val="18"/>
              </w:rPr>
              <w:t> 工程有限公司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2018.6.28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9,869.20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sz w:val="18"/>
              </w:rPr>
              <w:t>79.88</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71" w:right="68"/>
              <w:jc w:val="center"/>
              <w:rPr>
                <w:rFonts w:ascii="宋体" w:hAnsi="宋体" w:cs="宋体" w:eastAsia="宋体" w:hint="default"/>
                <w:sz w:val="18"/>
                <w:szCs w:val="18"/>
              </w:rPr>
            </w:pPr>
            <w:r>
              <w:rPr>
                <w:rFonts w:ascii="宋体" w:hAnsi="宋体" w:cs="宋体" w:eastAsia="宋体" w:hint="default"/>
                <w:sz w:val="18"/>
                <w:szCs w:val="18"/>
              </w:rPr>
              <w:t>陕西省渭南市华 阴市东岳路政府 广场东侧嘉阳国 际</w:t>
            </w:r>
          </w:p>
        </w:tc>
        <w:tc>
          <w:tcPr>
            <w:tcW w:w="1348"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37" w:right="35"/>
              <w:jc w:val="center"/>
              <w:rPr>
                <w:rFonts w:ascii="宋体" w:hAnsi="宋体" w:cs="宋体" w:eastAsia="宋体" w:hint="default"/>
                <w:sz w:val="18"/>
                <w:szCs w:val="18"/>
              </w:rPr>
            </w:pPr>
            <w:r>
              <w:rPr>
                <w:rFonts w:ascii="宋体" w:hAnsi="宋体" w:cs="宋体" w:eastAsia="宋体" w:hint="default"/>
                <w:sz w:val="18"/>
                <w:szCs w:val="18"/>
              </w:rPr>
              <w:t>陕西省渭南市华 阴市东岳路政府 广场东侧嘉阳国 际</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319" w:lineRule="auto" w:before="10"/>
              <w:ind w:left="63" w:right="7" w:hanging="62"/>
              <w:jc w:val="left"/>
              <w:rPr>
                <w:rFonts w:ascii="宋体" w:hAnsi="宋体" w:cs="宋体" w:eastAsia="宋体" w:hint="default"/>
                <w:sz w:val="18"/>
                <w:szCs w:val="18"/>
              </w:rPr>
            </w:pPr>
            <w:r>
              <w:rPr>
                <w:rFonts w:ascii="宋体" w:hAnsi="宋体" w:cs="宋体" w:eastAsia="宋体" w:hint="default"/>
                <w:spacing w:val="-10"/>
                <w:sz w:val="18"/>
                <w:szCs w:val="18"/>
              </w:rPr>
              <w:t>施工建设、绿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化、苗木等</w:t>
            </w:r>
          </w:p>
        </w:tc>
      </w:tr>
      <w:tr>
        <w:trPr>
          <w:trHeight w:val="977"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成都丽宇建设工程有</w:t>
            </w:r>
            <w:r>
              <w:rPr>
                <w:rFonts w:ascii="宋体" w:hAnsi="宋体" w:cs="宋体" w:eastAsia="宋体" w:hint="default"/>
                <w:sz w:val="18"/>
                <w:szCs w:val="18"/>
              </w:rPr>
              <w:t> 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2018.2.7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8" w:right="0"/>
              <w:jc w:val="left"/>
              <w:rPr>
                <w:rFonts w:ascii="宋体" w:hAnsi="宋体" w:cs="宋体" w:eastAsia="宋体" w:hint="default"/>
                <w:sz w:val="18"/>
                <w:szCs w:val="18"/>
              </w:rPr>
            </w:pPr>
            <w:r>
              <w:rPr>
                <w:rFonts w:ascii="宋体"/>
                <w:sz w:val="18"/>
              </w:rPr>
              <w:t>100.00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6" w:right="24" w:firstLine="1"/>
              <w:jc w:val="center"/>
              <w:rPr>
                <w:rFonts w:ascii="宋体" w:hAnsi="宋体" w:cs="宋体" w:eastAsia="宋体" w:hint="default"/>
                <w:sz w:val="18"/>
                <w:szCs w:val="18"/>
              </w:rPr>
            </w:pPr>
            <w:r>
              <w:rPr>
                <w:rFonts w:ascii="宋体" w:hAnsi="宋体" w:cs="宋体" w:eastAsia="宋体" w:hint="default"/>
                <w:sz w:val="18"/>
                <w:szCs w:val="18"/>
              </w:rPr>
              <w:t>成都市蒲江县鹤 山街道盐井路</w:t>
            </w:r>
            <w:r>
              <w:rPr>
                <w:rFonts w:ascii="宋体" w:hAnsi="宋体" w:cs="宋体" w:eastAsia="宋体" w:hint="default"/>
                <w:sz w:val="18"/>
                <w:szCs w:val="18"/>
              </w:rPr>
              <w:t>144 </w:t>
            </w:r>
            <w:r>
              <w:rPr>
                <w:rFonts w:ascii="宋体" w:hAnsi="宋体" w:cs="宋体" w:eastAsia="宋体" w:hint="default"/>
                <w:sz w:val="18"/>
                <w:szCs w:val="18"/>
              </w:rPr>
              <w:t>号</w:t>
            </w:r>
          </w:p>
        </w:tc>
        <w:tc>
          <w:tcPr>
            <w:tcW w:w="134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7" w:right="34"/>
              <w:jc w:val="center"/>
              <w:rPr>
                <w:rFonts w:ascii="宋体" w:hAnsi="宋体" w:cs="宋体" w:eastAsia="宋体" w:hint="default"/>
                <w:sz w:val="18"/>
                <w:szCs w:val="18"/>
              </w:rPr>
            </w:pPr>
            <w:r>
              <w:rPr>
                <w:rFonts w:ascii="宋体" w:hAnsi="宋体" w:cs="宋体" w:eastAsia="宋体" w:hint="default"/>
                <w:sz w:val="18"/>
                <w:szCs w:val="18"/>
              </w:rPr>
              <w:t>成都市蒲江县鹤 山街道盐井路 </w:t>
            </w:r>
            <w:r>
              <w:rPr>
                <w:rFonts w:ascii="宋体" w:hAnsi="宋体" w:cs="宋体" w:eastAsia="宋体" w:hint="default"/>
                <w:sz w:val="18"/>
                <w:szCs w:val="18"/>
              </w:rPr>
              <w:t>144</w:t>
            </w:r>
            <w:r>
              <w:rPr>
                <w:rFonts w:ascii="宋体" w:hAnsi="宋体" w:cs="宋体" w:eastAsia="宋体" w:hint="default"/>
                <w:sz w:val="18"/>
                <w:szCs w:val="18"/>
              </w:rPr>
              <w:t>号</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63" w:right="7" w:hanging="62"/>
              <w:jc w:val="left"/>
              <w:rPr>
                <w:rFonts w:ascii="宋体" w:hAnsi="宋体" w:cs="宋体" w:eastAsia="宋体" w:hint="default"/>
                <w:sz w:val="18"/>
                <w:szCs w:val="18"/>
              </w:rPr>
            </w:pPr>
            <w:r>
              <w:rPr>
                <w:rFonts w:ascii="宋体" w:hAnsi="宋体" w:cs="宋体" w:eastAsia="宋体" w:hint="default"/>
                <w:spacing w:val="-10"/>
                <w:sz w:val="18"/>
                <w:szCs w:val="18"/>
              </w:rPr>
              <w:t>施工建设、绿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化、苗木等</w:t>
            </w:r>
          </w:p>
        </w:tc>
      </w:tr>
      <w:tr>
        <w:trPr>
          <w:trHeight w:val="976" w:hRule="exact"/>
        </w:trPr>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pacing w:val="13"/>
                <w:sz w:val="18"/>
                <w:szCs w:val="18"/>
              </w:rPr>
              <w:t>上海锐科教育科技有</w:t>
            </w:r>
            <w:r>
              <w:rPr>
                <w:rFonts w:ascii="宋体" w:hAnsi="宋体" w:cs="宋体" w:eastAsia="宋体" w:hint="default"/>
                <w:sz w:val="18"/>
                <w:szCs w:val="18"/>
              </w:rPr>
              <w:t> 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2018.12.3</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8" w:right="0"/>
              <w:jc w:val="left"/>
              <w:rPr>
                <w:rFonts w:ascii="宋体" w:hAnsi="宋体" w:cs="宋体" w:eastAsia="宋体" w:hint="default"/>
                <w:sz w:val="18"/>
                <w:szCs w:val="18"/>
              </w:rPr>
            </w:pPr>
            <w:r>
              <w:rPr>
                <w:rFonts w:ascii="宋体"/>
                <w:sz w:val="18"/>
              </w:rPr>
              <w:t>100.00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1" w:right="68"/>
              <w:jc w:val="center"/>
              <w:rPr>
                <w:rFonts w:ascii="宋体" w:hAnsi="宋体" w:cs="宋体" w:eastAsia="宋体" w:hint="default"/>
                <w:sz w:val="18"/>
                <w:szCs w:val="18"/>
              </w:rPr>
            </w:pPr>
            <w:r>
              <w:rPr>
                <w:rFonts w:ascii="宋体" w:hAnsi="宋体" w:cs="宋体" w:eastAsia="宋体" w:hint="default"/>
                <w:sz w:val="18"/>
                <w:szCs w:val="18"/>
              </w:rPr>
              <w:t>上海市长宁区金 钟路</w:t>
            </w:r>
            <w:r>
              <w:rPr>
                <w:rFonts w:ascii="宋体" w:hAnsi="宋体" w:cs="宋体" w:eastAsia="宋体" w:hint="default"/>
                <w:sz w:val="18"/>
                <w:szCs w:val="18"/>
              </w:rPr>
              <w:t>767</w:t>
            </w:r>
            <w:r>
              <w:rPr>
                <w:rFonts w:ascii="宋体" w:hAnsi="宋体" w:cs="宋体" w:eastAsia="宋体" w:hint="default"/>
                <w:sz w:val="18"/>
                <w:szCs w:val="18"/>
              </w:rPr>
              <w:t>弄</w:t>
            </w:r>
            <w:r>
              <w:rPr>
                <w:rFonts w:ascii="宋体" w:hAnsi="宋体" w:cs="宋体" w:eastAsia="宋体" w:hint="default"/>
                <w:sz w:val="18"/>
                <w:szCs w:val="18"/>
              </w:rPr>
              <w:t>2</w:t>
            </w:r>
            <w:r>
              <w:rPr>
                <w:rFonts w:ascii="宋体" w:hAnsi="宋体" w:cs="宋体" w:eastAsia="宋体" w:hint="default"/>
                <w:sz w:val="18"/>
                <w:szCs w:val="18"/>
              </w:rPr>
              <w:t>号 </w:t>
            </w:r>
            <w:r>
              <w:rPr>
                <w:rFonts w:ascii="宋体" w:hAnsi="宋体" w:cs="宋体" w:eastAsia="宋体" w:hint="default"/>
                <w:sz w:val="18"/>
                <w:szCs w:val="18"/>
              </w:rPr>
              <w:t>509B</w:t>
            </w:r>
            <w:r>
              <w:rPr>
                <w:rFonts w:ascii="宋体" w:hAnsi="宋体" w:cs="宋体" w:eastAsia="宋体" w:hint="default"/>
                <w:sz w:val="18"/>
                <w:szCs w:val="18"/>
              </w:rPr>
              <w:t>室</w:t>
            </w:r>
          </w:p>
        </w:tc>
        <w:tc>
          <w:tcPr>
            <w:tcW w:w="134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7" w:right="34"/>
              <w:jc w:val="center"/>
              <w:rPr>
                <w:rFonts w:ascii="宋体" w:hAnsi="宋体" w:cs="宋体" w:eastAsia="宋体" w:hint="default"/>
                <w:sz w:val="18"/>
                <w:szCs w:val="18"/>
              </w:rPr>
            </w:pPr>
            <w:r>
              <w:rPr>
                <w:rFonts w:ascii="宋体" w:hAnsi="宋体" w:cs="宋体" w:eastAsia="宋体" w:hint="default"/>
                <w:sz w:val="18"/>
                <w:szCs w:val="18"/>
              </w:rPr>
              <w:t>上海市长宁区金 钟路</w:t>
            </w:r>
            <w:r>
              <w:rPr>
                <w:rFonts w:ascii="宋体" w:hAnsi="宋体" w:cs="宋体" w:eastAsia="宋体" w:hint="default"/>
                <w:sz w:val="18"/>
                <w:szCs w:val="18"/>
              </w:rPr>
              <w:t>767</w:t>
            </w:r>
            <w:r>
              <w:rPr>
                <w:rFonts w:ascii="宋体" w:hAnsi="宋体" w:cs="宋体" w:eastAsia="宋体" w:hint="default"/>
                <w:sz w:val="18"/>
                <w:szCs w:val="18"/>
              </w:rPr>
              <w:t>弄</w:t>
            </w:r>
            <w:r>
              <w:rPr>
                <w:rFonts w:ascii="宋体" w:hAnsi="宋体" w:cs="宋体" w:eastAsia="宋体" w:hint="default"/>
                <w:sz w:val="18"/>
                <w:szCs w:val="18"/>
              </w:rPr>
              <w:t>2</w:t>
            </w:r>
            <w:r>
              <w:rPr>
                <w:rFonts w:ascii="宋体" w:hAnsi="宋体" w:cs="宋体" w:eastAsia="宋体" w:hint="default"/>
                <w:sz w:val="18"/>
                <w:szCs w:val="18"/>
              </w:rPr>
              <w:t>号 </w:t>
            </w:r>
            <w:r>
              <w:rPr>
                <w:rFonts w:ascii="宋体" w:hAnsi="宋体" w:cs="宋体" w:eastAsia="宋体" w:hint="default"/>
                <w:sz w:val="18"/>
                <w:szCs w:val="18"/>
              </w:rPr>
              <w:t>509B</w:t>
            </w:r>
            <w:r>
              <w:rPr>
                <w:rFonts w:ascii="宋体" w:hAnsi="宋体" w:cs="宋体" w:eastAsia="宋体" w:hint="default"/>
                <w:sz w:val="18"/>
                <w:szCs w:val="18"/>
              </w:rPr>
              <w:t>室</w:t>
            </w:r>
          </w:p>
        </w:tc>
        <w:tc>
          <w:tcPr>
            <w:tcW w:w="10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153" w:right="7" w:hanging="152"/>
              <w:jc w:val="left"/>
              <w:rPr>
                <w:rFonts w:ascii="宋体" w:hAnsi="宋体" w:cs="宋体" w:eastAsia="宋体" w:hint="default"/>
                <w:sz w:val="18"/>
                <w:szCs w:val="18"/>
              </w:rPr>
            </w:pPr>
            <w:r>
              <w:rPr>
                <w:rFonts w:ascii="宋体" w:hAnsi="宋体" w:cs="宋体" w:eastAsia="宋体" w:hint="default"/>
                <w:spacing w:val="-10"/>
                <w:sz w:val="18"/>
                <w:szCs w:val="18"/>
              </w:rPr>
              <w:t>教育咨询、计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算机网络</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right="982"/>
        <w:jc w:val="left"/>
        <w:rPr>
          <w:b w:val="0"/>
          <w:bCs w:val="0"/>
        </w:rPr>
      </w:pPr>
      <w:bookmarkStart w:name="九、在其他主体中的权益" w:id="366"/>
      <w:bookmarkEnd w:id="36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在子公司中的权益" w:id="367"/>
      <w:bookmarkEnd w:id="36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企业集团的构成" w:id="368"/>
      <w:bookmarkEnd w:id="36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成都海川制盖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蒲江县工业集 中发展区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蒲江县工业集 中发展区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北京鹏和祥包 装制品有限公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both"/>
              <w:rPr>
                <w:rFonts w:ascii="宋体" w:hAnsi="宋体" w:cs="宋体" w:eastAsia="宋体" w:hint="default"/>
                <w:sz w:val="18"/>
                <w:szCs w:val="18"/>
              </w:rPr>
            </w:pPr>
            <w:r>
              <w:rPr>
                <w:rFonts w:ascii="宋体" w:hAnsi="宋体" w:cs="宋体" w:eastAsia="宋体" w:hint="default"/>
                <w:sz w:val="18"/>
                <w:szCs w:val="18"/>
              </w:rPr>
              <w:t>北京市怀柔区 桥梓镇金宇瑞 科技产业基地 西侧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both"/>
              <w:rPr>
                <w:rFonts w:ascii="宋体" w:hAnsi="宋体" w:cs="宋体" w:eastAsia="宋体" w:hint="default"/>
                <w:sz w:val="18"/>
                <w:szCs w:val="18"/>
              </w:rPr>
            </w:pPr>
            <w:r>
              <w:rPr>
                <w:rFonts w:ascii="宋体" w:hAnsi="宋体" w:cs="宋体" w:eastAsia="宋体" w:hint="default"/>
                <w:sz w:val="18"/>
                <w:szCs w:val="18"/>
              </w:rPr>
              <w:t>北京市怀柔区 桥梓镇金宇瑞 科技产业基地 西侧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大冶市劲鹏制 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1" w:right="38"/>
              <w:jc w:val="left"/>
              <w:rPr>
                <w:rFonts w:ascii="宋体" w:hAnsi="宋体" w:cs="宋体" w:eastAsia="宋体" w:hint="default"/>
                <w:sz w:val="18"/>
                <w:szCs w:val="18"/>
              </w:rPr>
            </w:pPr>
            <w:r>
              <w:rPr>
                <w:rFonts w:ascii="宋体" w:hAnsi="宋体" w:cs="宋体" w:eastAsia="宋体" w:hint="default"/>
                <w:sz w:val="18"/>
                <w:szCs w:val="18"/>
              </w:rPr>
              <w:t>大冶经济开发 区城西北工业 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路以南、 </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路以北、</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路以西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39"/>
              <w:jc w:val="left"/>
              <w:rPr>
                <w:rFonts w:ascii="宋体" w:hAnsi="宋体" w:cs="宋体" w:eastAsia="宋体" w:hint="default"/>
                <w:sz w:val="18"/>
                <w:szCs w:val="18"/>
              </w:rPr>
            </w:pPr>
            <w:r>
              <w:rPr>
                <w:rFonts w:ascii="宋体" w:hAnsi="宋体" w:cs="宋体" w:eastAsia="宋体" w:hint="default"/>
                <w:sz w:val="18"/>
                <w:szCs w:val="18"/>
              </w:rPr>
              <w:t>大冶经济开发 区城西北工业 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路以南、 </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路以北、</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路以西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103" w:right="177"/>
              <w:jc w:val="left"/>
              <w:rPr>
                <w:rFonts w:ascii="宋体" w:hAnsi="宋体" w:cs="宋体" w:eastAsia="宋体" w:hint="default"/>
                <w:sz w:val="18"/>
                <w:szCs w:val="18"/>
              </w:rPr>
            </w:pPr>
            <w:r>
              <w:rPr>
                <w:rFonts w:ascii="宋体" w:hAnsi="宋体" w:cs="宋体" w:eastAsia="宋体" w:hint="default"/>
                <w:sz w:val="18"/>
                <w:szCs w:val="18"/>
              </w:rPr>
              <w:t>新疆军鹏制盖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both"/>
              <w:rPr>
                <w:rFonts w:ascii="宋体" w:hAnsi="宋体" w:cs="宋体" w:eastAsia="宋体" w:hint="default"/>
                <w:sz w:val="18"/>
                <w:szCs w:val="18"/>
              </w:rPr>
            </w:pPr>
            <w:r>
              <w:rPr>
                <w:rFonts w:ascii="宋体" w:hAnsi="宋体" w:cs="宋体" w:eastAsia="宋体" w:hint="default"/>
                <w:sz w:val="18"/>
                <w:szCs w:val="18"/>
              </w:rPr>
              <w:t>新疆维吾尔自 治区伊犁哈萨 克自治州新源 县肖尔布拉克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both"/>
              <w:rPr>
                <w:rFonts w:ascii="宋体" w:hAnsi="宋体" w:cs="宋体" w:eastAsia="宋体" w:hint="default"/>
                <w:sz w:val="18"/>
                <w:szCs w:val="18"/>
              </w:rPr>
            </w:pPr>
            <w:r>
              <w:rPr>
                <w:rFonts w:ascii="宋体" w:hAnsi="宋体" w:cs="宋体" w:eastAsia="宋体" w:hint="default"/>
                <w:sz w:val="18"/>
                <w:szCs w:val="18"/>
              </w:rPr>
              <w:t>新疆维吾尔自 治区伊犁哈萨 克自治州新源 县肖尔布拉克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亳州丽鹏制盖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 w:right="173"/>
              <w:jc w:val="both"/>
              <w:rPr>
                <w:rFonts w:ascii="宋体" w:hAnsi="宋体" w:cs="宋体" w:eastAsia="宋体" w:hint="default"/>
                <w:sz w:val="18"/>
                <w:szCs w:val="18"/>
              </w:rPr>
            </w:pPr>
            <w:r>
              <w:rPr>
                <w:rFonts w:ascii="宋体" w:hAnsi="宋体" w:cs="宋体" w:eastAsia="宋体" w:hint="default"/>
                <w:sz w:val="18"/>
                <w:szCs w:val="18"/>
              </w:rPr>
              <w:t>亳州经济开发 区华佗大道北 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2"/>
              <w:jc w:val="both"/>
              <w:rPr>
                <w:rFonts w:ascii="宋体" w:hAnsi="宋体" w:cs="宋体" w:eastAsia="宋体" w:hint="default"/>
                <w:sz w:val="18"/>
                <w:szCs w:val="18"/>
              </w:rPr>
            </w:pPr>
            <w:r>
              <w:rPr>
                <w:rFonts w:ascii="宋体" w:hAnsi="宋体" w:cs="宋体" w:eastAsia="宋体" w:hint="default"/>
                <w:sz w:val="18"/>
                <w:szCs w:val="18"/>
              </w:rPr>
              <w:t>亳州经济开发 区华佗大道北 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四川泸州丽鹏 制盖有限公司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18"/>
              <w:jc w:val="both"/>
              <w:rPr>
                <w:rFonts w:ascii="宋体" w:hAnsi="宋体" w:cs="宋体" w:eastAsia="宋体" w:hint="default"/>
                <w:sz w:val="18"/>
                <w:szCs w:val="18"/>
              </w:rPr>
            </w:pPr>
            <w:r>
              <w:rPr>
                <w:rFonts w:ascii="宋体" w:hAnsi="宋体" w:cs="宋体" w:eastAsia="宋体" w:hint="default"/>
                <w:sz w:val="18"/>
                <w:szCs w:val="18"/>
              </w:rPr>
              <w:t>泸州市江阳区 黄舣镇泸州酒 业集中发展区 聚源大道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7"/>
              <w:jc w:val="both"/>
              <w:rPr>
                <w:rFonts w:ascii="宋体" w:hAnsi="宋体" w:cs="宋体" w:eastAsia="宋体" w:hint="default"/>
                <w:sz w:val="18"/>
                <w:szCs w:val="18"/>
              </w:rPr>
            </w:pPr>
            <w:r>
              <w:rPr>
                <w:rFonts w:ascii="宋体" w:hAnsi="宋体" w:cs="宋体" w:eastAsia="宋体" w:hint="default"/>
                <w:sz w:val="18"/>
                <w:szCs w:val="18"/>
              </w:rPr>
              <w:t>泸州市江阳区 黄舣镇泸州酒 业集中发展区 聚源大道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山东丽鹏国际 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烟台市牟平区 姜格庄街道办 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烟台市牟平区 姜格庄街道办 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渝北四村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p>
          <w:p>
            <w:pPr>
              <w:pStyle w:val="TableParagraph"/>
              <w:spacing w:line="240" w:lineRule="auto"/>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渝北四村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园林设计、施 工、苗木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非同一控制企 业合并</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巴中华丰建设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03"/>
              <w:jc w:val="left"/>
              <w:rPr>
                <w:rFonts w:ascii="宋体" w:hAnsi="宋体" w:cs="宋体" w:eastAsia="宋体" w:hint="default"/>
                <w:sz w:val="18"/>
                <w:szCs w:val="18"/>
              </w:rPr>
            </w:pPr>
            <w:r>
              <w:rPr>
                <w:rFonts w:ascii="宋体" w:hAnsi="宋体" w:cs="宋体" w:eastAsia="宋体" w:hint="default"/>
                <w:sz w:val="18"/>
                <w:szCs w:val="18"/>
              </w:rPr>
              <w:t>四川省巴中市 巴州区巴州大 道中段龙湖花 园十五幢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F2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单 元二楼一号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四川省巴中市 巴州区巴州大 道中段龙湖花 园十五幢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F2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单 元二楼一号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1"/>
              <w:jc w:val="left"/>
              <w:rPr>
                <w:rFonts w:ascii="宋体" w:hAnsi="宋体" w:cs="宋体" w:eastAsia="宋体" w:hint="default"/>
                <w:sz w:val="18"/>
                <w:szCs w:val="18"/>
              </w:rPr>
            </w:pPr>
            <w:r>
              <w:rPr>
                <w:rFonts w:ascii="宋体" w:hAnsi="宋体" w:cs="宋体" w:eastAsia="宋体" w:hint="default"/>
                <w:sz w:val="18"/>
                <w:szCs w:val="18"/>
              </w:rPr>
              <w:t>施工建设、绿 </w:t>
            </w:r>
            <w:r>
              <w:rPr>
                <w:rFonts w:ascii="宋体" w:hAnsi="宋体" w:cs="宋体" w:eastAsia="宋体" w:hint="default"/>
                <w:spacing w:val="-3"/>
                <w:sz w:val="18"/>
                <w:szCs w:val="18"/>
              </w:rPr>
              <w:t>化、规划设计、</w:t>
            </w:r>
            <w:r>
              <w:rPr>
                <w:rFonts w:ascii="宋体" w:hAnsi="宋体" w:cs="宋体" w:eastAsia="宋体" w:hint="default"/>
                <w:sz w:val="18"/>
                <w:szCs w:val="18"/>
              </w:rPr>
              <w:t> 苗木等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安顺华宇生态 建设有限公司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贵州省安顺市 西秀区龙青路 电力城天瀑阳 光商业街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贵州省安顺市 西秀区龙青路 电力城天瀑阳 光商业街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重庆东飞凯格 建筑景观设计 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1" w:right="173"/>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72"/>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园林景观设 计、施工、城 市规划设计咨 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重庆秉创新材 料科技有限公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both"/>
              <w:rPr>
                <w:rFonts w:ascii="宋体" w:hAnsi="宋体" w:cs="宋体" w:eastAsia="宋体" w:hint="default"/>
                <w:sz w:val="18"/>
                <w:szCs w:val="18"/>
              </w:rPr>
            </w:pPr>
            <w:r>
              <w:rPr>
                <w:rFonts w:ascii="宋体" w:hAnsi="宋体" w:cs="宋体" w:eastAsia="宋体" w:hint="default"/>
                <w:sz w:val="18"/>
                <w:szCs w:val="18"/>
              </w:rPr>
              <w:t>重庆市正阳工 业园区园区路 白家河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2"/>
              <w:jc w:val="both"/>
              <w:rPr>
                <w:rFonts w:ascii="宋体" w:hAnsi="宋体" w:cs="宋体" w:eastAsia="宋体" w:hint="default"/>
                <w:sz w:val="18"/>
                <w:szCs w:val="18"/>
              </w:rPr>
            </w:pPr>
            <w:r>
              <w:rPr>
                <w:rFonts w:ascii="宋体" w:hAnsi="宋体" w:cs="宋体" w:eastAsia="宋体" w:hint="default"/>
                <w:sz w:val="18"/>
                <w:szCs w:val="18"/>
              </w:rPr>
              <w:t>重庆市正阳工 业园区园区路 白家河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建筑新材料、 新技术、新工 </w:t>
            </w:r>
            <w:r>
              <w:rPr>
                <w:rFonts w:ascii="宋体" w:hAnsi="宋体" w:cs="宋体" w:eastAsia="宋体" w:hint="default"/>
                <w:spacing w:val="-3"/>
                <w:sz w:val="18"/>
                <w:szCs w:val="18"/>
              </w:rPr>
              <w:t>艺研发、推广、</w:t>
            </w:r>
            <w:r>
              <w:rPr>
                <w:rFonts w:ascii="宋体" w:hAnsi="宋体" w:cs="宋体" w:eastAsia="宋体" w:hint="default"/>
                <w:sz w:val="18"/>
                <w:szCs w:val="18"/>
              </w:rPr>
              <w:t> 应用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重庆广裕鑫投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1" w:right="173"/>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号四楼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72"/>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号四楼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利用自有资金 从事投资业务 及投资咨询服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烟台市鹏科能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街道办事处丽 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街道办事处丽 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太阳能光伏能 源研发、工程 设计、施工、 管理等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烟台丽鹏投资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莱山区港城东 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10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山东省烟台市 莱山区港城东 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3"/>
              <w:jc w:val="left"/>
              <w:rPr>
                <w:rFonts w:ascii="宋体" w:hAnsi="宋体" w:cs="宋体" w:eastAsia="宋体" w:hint="default"/>
                <w:sz w:val="18"/>
                <w:szCs w:val="18"/>
              </w:rPr>
            </w:pPr>
            <w:r>
              <w:rPr>
                <w:rFonts w:ascii="宋体" w:hAnsi="宋体" w:cs="宋体" w:eastAsia="宋体" w:hint="default"/>
                <w:sz w:val="18"/>
                <w:szCs w:val="18"/>
              </w:rPr>
              <w:t>投资及投资咨 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山东丽鹏生态 建设有限公司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103" w:right="172"/>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造林和更新； 林木种植、销 售、租赁；绿 化管理；园林 绿化工程设计 和施工；水污 染治理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177"/>
              <w:jc w:val="both"/>
              <w:rPr>
                <w:rFonts w:ascii="宋体" w:hAnsi="宋体" w:cs="宋体" w:eastAsia="宋体" w:hint="default"/>
                <w:sz w:val="18"/>
                <w:szCs w:val="18"/>
              </w:rPr>
            </w:pPr>
            <w:r>
              <w:rPr>
                <w:rFonts w:ascii="宋体" w:hAnsi="宋体" w:cs="宋体" w:eastAsia="宋体" w:hint="default"/>
                <w:sz w:val="18"/>
                <w:szCs w:val="18"/>
              </w:rPr>
              <w:t>重庆翠荟生态 旅游文化发展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2"/>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园林施工、养 </w:t>
            </w:r>
            <w:r>
              <w:rPr>
                <w:rFonts w:ascii="宋体" w:hAnsi="宋体" w:cs="宋体" w:eastAsia="宋体" w:hint="default"/>
                <w:spacing w:val="-3"/>
                <w:sz w:val="18"/>
                <w:szCs w:val="18"/>
              </w:rPr>
              <w:t>护；餐饮服务；</w:t>
            </w:r>
            <w:r>
              <w:rPr>
                <w:rFonts w:ascii="宋体" w:hAnsi="宋体" w:cs="宋体" w:eastAsia="宋体" w:hint="default"/>
                <w:sz w:val="18"/>
                <w:szCs w:val="18"/>
              </w:rPr>
              <w:t> 旅游景区管 理；旅游信息 咨询；从事建 筑相关业务等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山东丽鹏包装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华阴市双华城 乡建设工程有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陕西省渭南市 华阴市东岳路 政府广场东侧 嘉阳国际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陕西省渭南市 华阴市东岳路 政府广场东侧 嘉阳国际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3"/>
              <w:jc w:val="left"/>
              <w:rPr>
                <w:rFonts w:ascii="宋体" w:hAnsi="宋体" w:cs="宋体" w:eastAsia="宋体" w:hint="default"/>
                <w:sz w:val="18"/>
                <w:szCs w:val="18"/>
              </w:rPr>
            </w:pPr>
            <w:r>
              <w:rPr>
                <w:rFonts w:ascii="宋体" w:hAnsi="宋体" w:cs="宋体" w:eastAsia="宋体" w:hint="default"/>
                <w:sz w:val="18"/>
                <w:szCs w:val="18"/>
              </w:rPr>
              <w:t>施工建设、绿 化、苗木等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79.88%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成都丽宇建设 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成都市蒲江县 鹤山街道盐井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成都市蒲江县 鹤山街道盐井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施工建设、绿 化、苗木等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上海锐科教育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上海市长宁区 金钟路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767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509B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上海市长宁区 金钟路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767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509B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教育咨询、计 算机网络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苏州中锐智信 教育投资有限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苏州工业园区 普惠路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2"/>
              <w:jc w:val="left"/>
              <w:rPr>
                <w:rFonts w:ascii="宋体" w:hAnsi="宋体" w:cs="宋体" w:eastAsia="宋体" w:hint="default"/>
                <w:sz w:val="18"/>
                <w:szCs w:val="18"/>
              </w:rPr>
            </w:pPr>
            <w:r>
              <w:rPr>
                <w:rFonts w:ascii="宋体" w:hAnsi="宋体" w:cs="宋体" w:eastAsia="宋体" w:hint="default"/>
                <w:sz w:val="18"/>
                <w:szCs w:val="18"/>
              </w:rPr>
              <w:t>苏州工业园区 普惠路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教育咨询、投 资等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2"/>
        <w:jc w:val="left"/>
        <w:rPr>
          <w:b w:val="0"/>
          <w:bCs w:val="0"/>
        </w:rPr>
      </w:pPr>
      <w:bookmarkStart w:name="（2）重要的非全资子公司" w:id="369"/>
      <w:bookmarkEnd w:id="36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新疆军鹏制盖有限公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1,367,062.26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12,476,938.94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四川泸州丽鹏制盖有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-515,693.02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9,148,969.97</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18"/>
                <w:szCs w:val="18"/>
              </w:rPr>
            </w:pPr>
            <w:r>
              <w:rPr>
                <w:rFonts w:ascii="宋体" w:hAnsi="宋体" w:cs="宋体" w:eastAsia="宋体" w:hint="default"/>
                <w:sz w:val="18"/>
                <w:szCs w:val="18"/>
              </w:rPr>
              <w:t>巴中华丰建设发展有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-645,052.49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-1,162,286.38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36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1"/>
              <w:jc w:val="left"/>
              <w:rPr>
                <w:rFonts w:ascii="宋体" w:hAnsi="宋体" w:cs="宋体" w:eastAsia="宋体" w:hint="default"/>
                <w:sz w:val="18"/>
                <w:szCs w:val="18"/>
              </w:rPr>
            </w:pPr>
            <w:r>
              <w:rPr>
                <w:rFonts w:ascii="宋体" w:hAnsi="宋体" w:cs="宋体" w:eastAsia="宋体" w:hint="default"/>
                <w:sz w:val="18"/>
                <w:szCs w:val="18"/>
              </w:rPr>
              <w:t>重庆东飞凯格建筑景 观设计咨询有限公司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976,422.77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0" w:right="0"/>
              <w:jc w:val="left"/>
              <w:rPr>
                <w:rFonts w:ascii="Times New Roman" w:hAnsi="Times New Roman" w:cs="Times New Roman" w:eastAsia="Times New Roman" w:hint="default"/>
                <w:sz w:val="18"/>
                <w:szCs w:val="18"/>
              </w:rPr>
            </w:pPr>
            <w:r>
              <w:rPr>
                <w:rFonts w:ascii="Times New Roman"/>
                <w:sz w:val="18"/>
              </w:rPr>
              <w:t>622,681.51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5,232,480.78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安顺华宇生态建设有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752,408.12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100,212,862.83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烟台丽鹏投资有限公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-284.60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2,453,957.19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华阴市双华城乡建设 工程有限公司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-147,218.67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-147,218.67</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重要非全资子公司的主要财务信息" w:id="370"/>
      <w:bookmarkEnd w:id="37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新疆 军鹏 制盖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22,501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,172.7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9,960,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264.69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32,461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,437.4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1,269,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090.06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1,269,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090.06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21,832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2"/>
                <w:sz w:val="18"/>
              </w:rPr>
              <w:t>,511.5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10,484</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,470.5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,982.1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4,542,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290.44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4,542,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290.44</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四川 泸州 丽鹏 制盖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21,120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,463.9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47,705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,536.4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68,826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3,945,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699.60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3,945,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699.60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35,958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,805.1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44,949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,546.4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80,908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,351.6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12,419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,282.3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12,419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,282.3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巴中 华丰 建设 发展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18,450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,486.2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321,84</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7,742.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340,29</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8,228.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35,185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,951.1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302,92</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3,709.</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338,10</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9,660.</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17,484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206,53</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8,730.</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224,02</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3,298.</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49,294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,509.0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169,31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4,958.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218,60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9,467.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99</w:t>
            </w:r>
          </w:p>
        </w:tc>
      </w:tr>
      <w:tr>
        <w:trPr>
          <w:trHeight w:val="223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重庆 东飞 凯格 建筑 景观 设计 咨询</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,753.3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6" w:right="0"/>
              <w:jc w:val="center"/>
              <w:rPr>
                <w:rFonts w:ascii="Times New Roman" w:hAnsi="Times New Roman" w:cs="Times New Roman" w:eastAsia="Times New Roman" w:hint="default"/>
                <w:sz w:val="18"/>
                <w:szCs w:val="18"/>
              </w:rPr>
            </w:pPr>
            <w:r>
              <w:rPr>
                <w:rFonts w:ascii="Times New Roman"/>
                <w:sz w:val="18"/>
              </w:rPr>
              <w:t>249,86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17,300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,617.6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72" w:right="0"/>
              <w:jc w:val="left"/>
              <w:rPr>
                <w:rFonts w:ascii="Times New Roman" w:hAnsi="Times New Roman" w:cs="Times New Roman" w:eastAsia="Times New Roman" w:hint="default"/>
                <w:sz w:val="18"/>
                <w:szCs w:val="18"/>
              </w:rPr>
            </w:pPr>
            <w:r>
              <w:rPr>
                <w:rFonts w:ascii="Times New Roman"/>
                <w:sz w:val="18"/>
              </w:rPr>
              <w:t>6,551,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324.22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71" w:right="0"/>
              <w:jc w:val="left"/>
              <w:rPr>
                <w:rFonts w:ascii="Times New Roman" w:hAnsi="Times New Roman" w:cs="Times New Roman" w:eastAsia="Times New Roman" w:hint="default"/>
                <w:sz w:val="18"/>
                <w:szCs w:val="18"/>
              </w:rPr>
            </w:pPr>
            <w:r>
              <w:rPr>
                <w:rFonts w:ascii="Times New Roman"/>
                <w:sz w:val="18"/>
              </w:rPr>
              <w:t>6,551,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324.22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13,972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,038.0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3" w:right="0"/>
              <w:jc w:val="center"/>
              <w:rPr>
                <w:rFonts w:ascii="Times New Roman" w:hAnsi="Times New Roman" w:cs="Times New Roman" w:eastAsia="Times New Roman" w:hint="default"/>
                <w:sz w:val="18"/>
                <w:szCs w:val="18"/>
              </w:rPr>
            </w:pPr>
            <w:r>
              <w:rPr>
                <w:rFonts w:ascii="Times New Roman"/>
                <w:sz w:val="18"/>
              </w:rPr>
              <w:t>258,95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14,230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,992.0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73" w:right="0"/>
              <w:jc w:val="left"/>
              <w:rPr>
                <w:rFonts w:ascii="Times New Roman" w:hAnsi="Times New Roman" w:cs="Times New Roman" w:eastAsia="Times New Roman" w:hint="default"/>
                <w:sz w:val="18"/>
                <w:szCs w:val="18"/>
              </w:rPr>
            </w:pPr>
            <w:r>
              <w:rPr>
                <w:rFonts w:ascii="Times New Roman"/>
                <w:sz w:val="18"/>
              </w:rPr>
              <w:t>3,849,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916.28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72" w:right="0"/>
              <w:jc w:val="left"/>
              <w:rPr>
                <w:rFonts w:ascii="Times New Roman" w:hAnsi="Times New Roman" w:cs="Times New Roman" w:eastAsia="Times New Roman" w:hint="default"/>
                <w:sz w:val="18"/>
                <w:szCs w:val="18"/>
              </w:rPr>
            </w:pPr>
            <w:r>
              <w:rPr>
                <w:rFonts w:ascii="Times New Roman"/>
                <w:sz w:val="18"/>
              </w:rPr>
              <w:t>3,849,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916.28</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61"/>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安顺 华宇 生态 建设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8,692,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773.18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1,540,</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331,22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9.73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1,549,</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024,00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522,42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0,277.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550,68</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8,604.</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1,073,</w:t>
            </w:r>
          </w:p>
          <w:p>
            <w:pPr>
              <w:pStyle w:val="TableParagraph"/>
              <w:spacing w:line="240" w:lineRule="auto" w:before="104"/>
              <w:ind w:left="23" w:right="0"/>
              <w:jc w:val="center"/>
              <w:rPr>
                <w:rFonts w:ascii="Times New Roman" w:hAnsi="Times New Roman" w:cs="Times New Roman" w:eastAsia="Times New Roman" w:hint="default"/>
                <w:sz w:val="18"/>
                <w:szCs w:val="18"/>
              </w:rPr>
            </w:pPr>
            <w:r>
              <w:rPr>
                <w:rFonts w:ascii="Times New Roman"/>
                <w:sz w:val="18"/>
              </w:rPr>
              <w:t>108,88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60,291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,763.7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4"/>
              <w:ind w:left="23" w:right="0"/>
              <w:jc w:val="center"/>
              <w:rPr>
                <w:rFonts w:ascii="Times New Roman" w:hAnsi="Times New Roman" w:cs="Times New Roman" w:eastAsia="Times New Roman" w:hint="default"/>
                <w:sz w:val="18"/>
                <w:szCs w:val="18"/>
              </w:rPr>
            </w:pPr>
            <w:r>
              <w:rPr>
                <w:rFonts w:ascii="Times New Roman"/>
                <w:sz w:val="18"/>
              </w:rPr>
              <w:t>399,52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1,169,</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691,29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347,55</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0,092.</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816,98</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8,120.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1,164,</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538,21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2.77</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烟台 丽鹏 投资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8,075.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5,008,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075.91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8,656.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5,008,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656.73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华阴 市双 华城 乡建 设工 程有 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36,596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,703.6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905,86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37,502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,573.0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234,27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6.22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234,27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新疆军鹏 制盖有限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25,337,103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3,417,655.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3,417,655.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-1,837,846.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25,481,231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4,844,100.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4,844,100.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2,104,143.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四川泸州 丽鹏制盖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41,116,036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-3,608,768.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-3,608,768.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-6,183,769.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39,650,334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-898,494.8</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-898,494.8</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2,638,080.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巴中华丰 建设发展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-3,225,262.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-3,225,262.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-4,552,578.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-1,521,810.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-1,521,810.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-40,397,83</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6.01</w:t>
            </w:r>
          </w:p>
        </w:tc>
      </w:tr>
      <w:tr>
        <w:trPr>
          <w:trHeight w:val="16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重庆东飞 凯格建筑 景观设计 咨询有限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9,551,903.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2,789,779.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2,789,779.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872,718.95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13,177,396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3,459,152.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3,459,152.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-1,613,092.</w:t>
            </w:r>
          </w:p>
          <w:p>
            <w:pPr>
              <w:pStyle w:val="TableParagraph"/>
              <w:spacing w:line="240" w:lineRule="auto" w:before="105"/>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26"/>
              <w:jc w:val="left"/>
              <w:rPr>
                <w:rFonts w:ascii="宋体" w:hAnsi="宋体" w:cs="宋体" w:eastAsia="宋体" w:hint="default"/>
                <w:sz w:val="18"/>
                <w:szCs w:val="18"/>
              </w:rPr>
            </w:pPr>
            <w:r>
              <w:rPr>
                <w:rFonts w:ascii="宋体" w:hAnsi="宋体" w:cs="宋体" w:eastAsia="宋体" w:hint="default"/>
                <w:sz w:val="18"/>
                <w:szCs w:val="18"/>
              </w:rPr>
              <w:t>安顺华宇 生态建设</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3,762,040.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3,762,040.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-524,398,8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-1,317,223.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-1,317,223.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57,697,277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烟台丽鹏 投资有限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-580.82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-580.82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-580.82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-1,170.34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-1,170.34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-1,170.34</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华阴市双 华城乡建 设工程有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-731,703.1</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-731,703.1</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-35,808,41</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3.76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在合营安排或联营企业中的权益" w:id="371"/>
      <w:bookmarkEnd w:id="371"/>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不重要的合营企业和联营企业的汇总财务信息" w:id="372"/>
      <w:bookmarkEnd w:id="372"/>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4,094,282.02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3,761,615.33</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-1,127,333.31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-3,451,537.47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-1,127,333.31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-3,451,537.47</w:t>
            </w:r>
          </w:p>
        </w:tc>
      </w:tr>
    </w:tbl>
    <w:p>
      <w:pPr>
        <w:pStyle w:val="BodyText"/>
        <w:spacing w:line="240" w:lineRule="auto" w:before="51"/>
        <w:ind w:right="982"/>
        <w:jc w:val="left"/>
      </w:pPr>
      <w:r>
        <w:rPr/>
        <w:t>其他说明</w:t>
      </w:r>
    </w:p>
    <w:p>
      <w:pPr>
        <w:pStyle w:val="Heading5"/>
        <w:spacing w:line="240" w:lineRule="auto" w:before="89"/>
        <w:ind w:right="982"/>
        <w:jc w:val="left"/>
      </w:pPr>
      <w:r>
        <w:rPr/>
        <w:t>不重要的联营企业</w:t>
      </w:r>
    </w:p>
    <w:p>
      <w:pPr>
        <w:spacing w:line="240" w:lineRule="auto" w:before="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312"/>
        <w:gridCol w:w="1700"/>
        <w:gridCol w:w="1702"/>
        <w:gridCol w:w="2051"/>
        <w:gridCol w:w="785"/>
        <w:gridCol w:w="775"/>
        <w:gridCol w:w="1288"/>
      </w:tblGrid>
      <w:tr>
        <w:trPr>
          <w:trHeight w:val="356" w:hRule="exact"/>
        </w:trPr>
        <w:tc>
          <w:tcPr>
            <w:tcW w:w="1312" w:type="dxa"/>
            <w:vMerge w:val="restart"/>
            <w:tcBorders>
              <w:top w:val="single" w:sz="6" w:space="0" w:color="000000"/>
              <w:left w:val="single" w:sz="6" w:space="0" w:color="000000"/>
              <w:right w:val="single" w:sz="6" w:space="0" w:color="000000"/>
            </w:tcBorders>
          </w:tcPr>
          <w:p>
            <w:pPr>
              <w:pStyle w:val="TableParagraph"/>
              <w:tabs>
                <w:tab w:pos="919" w:val="left" w:leader="none"/>
              </w:tabs>
              <w:spacing w:line="316" w:lineRule="auto" w:before="21"/>
              <w:ind w:left="557" w:right="17" w:hanging="542"/>
              <w:jc w:val="left"/>
              <w:rPr>
                <w:rFonts w:ascii="宋体" w:hAnsi="宋体" w:cs="宋体" w:eastAsia="宋体" w:hint="default"/>
                <w:sz w:val="18"/>
                <w:szCs w:val="18"/>
              </w:rPr>
            </w:pPr>
            <w:r>
              <w:rPr>
                <w:rFonts w:ascii="宋体" w:hAnsi="宋体" w:cs="宋体" w:eastAsia="宋体" w:hint="default"/>
                <w:b/>
                <w:bCs/>
                <w:w w:val="95"/>
                <w:sz w:val="18"/>
                <w:szCs w:val="18"/>
              </w:rPr>
              <w:t>联营企</w:t>
              <w:tab/>
            </w:r>
            <w:r>
              <w:rPr>
                <w:rFonts w:ascii="宋体" w:hAnsi="宋体" w:cs="宋体" w:eastAsia="宋体" w:hint="default"/>
                <w:b/>
                <w:bCs/>
                <w:sz w:val="18"/>
                <w:szCs w:val="18"/>
              </w:rPr>
              <w:t>业名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before="21"/>
              <w:ind w:left="391"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2051" w:type="dxa"/>
            <w:vMerge w:val="restart"/>
            <w:tcBorders>
              <w:top w:val="single" w:sz="6" w:space="0" w:color="000000"/>
              <w:left w:val="single" w:sz="6" w:space="0" w:color="000000"/>
              <w:right w:val="single" w:sz="6" w:space="0" w:color="000000"/>
            </w:tcBorders>
          </w:tcPr>
          <w:p>
            <w:pPr>
              <w:pStyle w:val="TableParagraph"/>
              <w:spacing w:line="240" w:lineRule="auto" w:before="21"/>
              <w:ind w:left="656"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56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7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1288" w:type="dxa"/>
            <w:vMerge w:val="restart"/>
            <w:tcBorders>
              <w:top w:val="single" w:sz="6" w:space="0" w:color="000000"/>
              <w:left w:val="single" w:sz="6" w:space="0" w:color="000000"/>
              <w:right w:val="nil" w:sz="6" w:space="0" w:color="auto"/>
            </w:tcBorders>
          </w:tcPr>
          <w:p>
            <w:pPr>
              <w:pStyle w:val="TableParagraph"/>
              <w:spacing w:line="316" w:lineRule="auto" w:before="21"/>
              <w:ind w:left="3" w:right="11"/>
              <w:jc w:val="left"/>
              <w:rPr>
                <w:rFonts w:ascii="宋体" w:hAnsi="宋体" w:cs="宋体" w:eastAsia="宋体" w:hint="default"/>
                <w:sz w:val="18"/>
                <w:szCs w:val="18"/>
              </w:rPr>
            </w:pPr>
            <w:r>
              <w:rPr>
                <w:rFonts w:ascii="宋体" w:hAnsi="宋体" w:cs="宋体" w:eastAsia="宋体" w:hint="default"/>
                <w:b/>
                <w:bCs/>
                <w:sz w:val="18"/>
                <w:szCs w:val="18"/>
              </w:rPr>
              <w:t>对联营企业投资</w:t>
            </w:r>
            <w:r>
              <w:rPr>
                <w:rFonts w:ascii="宋体" w:hAnsi="宋体" w:cs="宋体" w:eastAsia="宋体" w:hint="default"/>
                <w:b/>
                <w:bCs/>
                <w:w w:val="99"/>
                <w:sz w:val="18"/>
                <w:szCs w:val="18"/>
              </w:rPr>
              <w:t> </w:t>
            </w:r>
            <w:r>
              <w:rPr>
                <w:rFonts w:ascii="宋体" w:hAnsi="宋体" w:cs="宋体" w:eastAsia="宋体" w:hint="default"/>
                <w:b/>
                <w:bCs/>
                <w:sz w:val="18"/>
                <w:szCs w:val="18"/>
              </w:rPr>
              <w:t>的会计处理方法</w:t>
            </w:r>
            <w:r>
              <w:rPr>
                <w:rFonts w:ascii="宋体" w:hAnsi="宋体" w:cs="宋体" w:eastAsia="宋体" w:hint="default"/>
                <w:sz w:val="18"/>
                <w:szCs w:val="18"/>
              </w:rPr>
            </w:r>
          </w:p>
        </w:tc>
      </w:tr>
      <w:tr>
        <w:trPr>
          <w:trHeight w:val="352" w:hRule="exact"/>
        </w:trPr>
        <w:tc>
          <w:tcPr>
            <w:tcW w:w="1312" w:type="dxa"/>
            <w:vMerge/>
            <w:tcBorders>
              <w:left w:val="single" w:sz="6" w:space="0" w:color="000000"/>
              <w:bottom w:val="single" w:sz="12" w:space="0" w:color="000000"/>
              <w:right w:val="single" w:sz="6" w:space="0" w:color="000000"/>
            </w:tcBorders>
          </w:tcPr>
          <w:p>
            <w:pPr/>
          </w:p>
        </w:tc>
        <w:tc>
          <w:tcPr>
            <w:tcW w:w="1700" w:type="dxa"/>
            <w:vMerge/>
            <w:tcBorders>
              <w:left w:val="single" w:sz="6" w:space="0" w:color="000000"/>
              <w:bottom w:val="single" w:sz="12" w:space="0" w:color="000000"/>
              <w:right w:val="single" w:sz="6" w:space="0" w:color="000000"/>
            </w:tcBorders>
          </w:tcPr>
          <w:p>
            <w:pPr/>
          </w:p>
        </w:tc>
        <w:tc>
          <w:tcPr>
            <w:tcW w:w="1702" w:type="dxa"/>
            <w:vMerge/>
            <w:tcBorders>
              <w:left w:val="single" w:sz="6" w:space="0" w:color="000000"/>
              <w:bottom w:val="single" w:sz="12" w:space="0" w:color="000000"/>
              <w:right w:val="single" w:sz="6" w:space="0" w:color="000000"/>
            </w:tcBorders>
          </w:tcPr>
          <w:p>
            <w:pPr/>
          </w:p>
        </w:tc>
        <w:tc>
          <w:tcPr>
            <w:tcW w:w="2051" w:type="dxa"/>
            <w:vMerge/>
            <w:tcBorders>
              <w:left w:val="single" w:sz="6" w:space="0" w:color="000000"/>
              <w:bottom w:val="single" w:sz="12" w:space="0" w:color="000000"/>
              <w:right w:val="single" w:sz="6" w:space="0" w:color="000000"/>
            </w:tcBorders>
          </w:tcPr>
          <w:p>
            <w:pPr/>
          </w:p>
        </w:tc>
        <w:tc>
          <w:tcPr>
            <w:tcW w:w="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288" w:type="dxa"/>
            <w:vMerge/>
            <w:tcBorders>
              <w:left w:val="single" w:sz="6" w:space="0" w:color="000000"/>
              <w:bottom w:val="single" w:sz="12" w:space="0" w:color="000000"/>
              <w:right w:val="nil" w:sz="6" w:space="0" w:color="auto"/>
            </w:tcBorders>
          </w:tcPr>
          <w:p>
            <w:pPr/>
          </w:p>
        </w:tc>
      </w:tr>
      <w:tr>
        <w:trPr>
          <w:trHeight w:val="1600" w:hRule="exact"/>
        </w:trPr>
        <w:tc>
          <w:tcPr>
            <w:tcW w:w="131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深圳在乎传媒科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技有限公司</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0"/>
              <w:jc w:val="both"/>
              <w:rPr>
                <w:rFonts w:ascii="宋体" w:hAnsi="宋体" w:cs="宋体" w:eastAsia="宋体" w:hint="default"/>
                <w:sz w:val="18"/>
                <w:szCs w:val="18"/>
              </w:rPr>
            </w:pPr>
            <w:r>
              <w:rPr>
                <w:rFonts w:ascii="宋体" w:hAnsi="宋体" w:cs="宋体" w:eastAsia="宋体" w:hint="default"/>
                <w:spacing w:val="6"/>
                <w:sz w:val="18"/>
                <w:szCs w:val="18"/>
              </w:rPr>
              <w:t>深圳市前海深港合作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4"/>
                <w:sz w:val="18"/>
                <w:szCs w:val="18"/>
              </w:rPr>
              <w:t>区前湾一路</w:t>
            </w:r>
            <w:r>
              <w:rPr>
                <w:rFonts w:ascii="宋体" w:hAnsi="宋体" w:cs="宋体" w:eastAsia="宋体" w:hint="default"/>
                <w:spacing w:val="-60"/>
                <w:sz w:val="18"/>
                <w:szCs w:val="18"/>
              </w:rPr>
              <w:t> </w:t>
            </w:r>
            <w:r>
              <w:rPr>
                <w:rFonts w:ascii="宋体" w:hAnsi="宋体" w:cs="宋体" w:eastAsia="宋体" w:hint="default"/>
                <w:sz w:val="18"/>
                <w:szCs w:val="18"/>
              </w:rPr>
              <w:t>1</w:t>
            </w:r>
            <w:r>
              <w:rPr>
                <w:rFonts w:ascii="宋体" w:hAnsi="宋体" w:cs="宋体" w:eastAsia="宋体" w:hint="default"/>
                <w:spacing w:val="-59"/>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A</w:t>
            </w:r>
            <w:r>
              <w:rPr>
                <w:rFonts w:ascii="宋体" w:hAnsi="宋体" w:cs="宋体" w:eastAsia="宋体" w:hint="default"/>
                <w:spacing w:val="-60"/>
                <w:sz w:val="18"/>
                <w:szCs w:val="18"/>
              </w:rPr>
              <w:t> </w:t>
            </w:r>
            <w:r>
              <w:rPr>
                <w:rFonts w:ascii="宋体" w:hAnsi="宋体" w:cs="宋体" w:eastAsia="宋体" w:hint="default"/>
                <w:sz w:val="18"/>
                <w:szCs w:val="18"/>
              </w:rPr>
              <w:t>栋 </w:t>
            </w:r>
            <w:r>
              <w:rPr>
                <w:rFonts w:ascii="宋体" w:hAnsi="宋体" w:cs="宋体" w:eastAsia="宋体" w:hint="default"/>
                <w:spacing w:val="-3"/>
                <w:sz w:val="18"/>
                <w:szCs w:val="18"/>
              </w:rPr>
              <w:t>201</w:t>
            </w:r>
            <w:r>
              <w:rPr>
                <w:rFonts w:ascii="宋体" w:hAnsi="宋体" w:cs="宋体" w:eastAsia="宋体" w:hint="default"/>
                <w:spacing w:val="-3"/>
                <w:sz w:val="18"/>
                <w:szCs w:val="18"/>
              </w:rPr>
              <w:t>室（入驻深圳市前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w:t>
            </w:r>
            <w:r>
              <w:rPr>
                <w:rFonts w:ascii="宋体" w:hAnsi="宋体" w:cs="宋体" w:eastAsia="宋体" w:hint="default"/>
                <w:spacing w:val="-56"/>
                <w:sz w:val="18"/>
                <w:szCs w:val="18"/>
              </w:rPr>
              <w:t> </w:t>
            </w:r>
            <w:r>
              <w:rPr>
                <w:rFonts w:ascii="宋体" w:hAnsi="宋体" w:cs="宋体" w:eastAsia="宋体" w:hint="default"/>
                <w:sz w:val="18"/>
                <w:szCs w:val="18"/>
              </w:rPr>
              <w:t>商</w:t>
            </w:r>
            <w:r>
              <w:rPr>
                <w:rFonts w:ascii="宋体" w:hAnsi="宋体" w:cs="宋体" w:eastAsia="宋体" w:hint="default"/>
                <w:spacing w:val="-56"/>
                <w:sz w:val="18"/>
                <w:szCs w:val="18"/>
              </w:rPr>
              <w:t> </w:t>
            </w:r>
            <w:r>
              <w:rPr>
                <w:rFonts w:ascii="宋体" w:hAnsi="宋体" w:cs="宋体" w:eastAsia="宋体" w:hint="default"/>
                <w:sz w:val="18"/>
                <w:szCs w:val="18"/>
              </w:rPr>
              <w:t>务</w:t>
            </w:r>
            <w:r>
              <w:rPr>
                <w:rFonts w:ascii="宋体" w:hAnsi="宋体" w:cs="宋体" w:eastAsia="宋体" w:hint="default"/>
                <w:spacing w:val="-56"/>
                <w:sz w:val="18"/>
                <w:szCs w:val="18"/>
              </w:rPr>
              <w:t> </w:t>
            </w:r>
            <w:r>
              <w:rPr>
                <w:rFonts w:ascii="宋体" w:hAnsi="宋体" w:cs="宋体" w:eastAsia="宋体" w:hint="default"/>
                <w:sz w:val="18"/>
                <w:szCs w:val="18"/>
              </w:rPr>
              <w:t>秘</w:t>
            </w:r>
            <w:r>
              <w:rPr>
                <w:rFonts w:ascii="宋体" w:hAnsi="宋体" w:cs="宋体" w:eastAsia="宋体" w:hint="default"/>
                <w:spacing w:val="-57"/>
                <w:sz w:val="18"/>
                <w:szCs w:val="18"/>
              </w:rPr>
              <w:t> </w:t>
            </w:r>
            <w:r>
              <w:rPr>
                <w:rFonts w:ascii="宋体" w:hAnsi="宋体" w:cs="宋体" w:eastAsia="宋体" w:hint="default"/>
                <w:sz w:val="18"/>
                <w:szCs w:val="18"/>
              </w:rPr>
              <w:t>书</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6"/>
                <w:sz w:val="18"/>
                <w:szCs w:val="18"/>
              </w:rPr>
              <w:t> </w:t>
            </w:r>
            <w:r>
              <w:rPr>
                <w:rFonts w:ascii="宋体" w:hAnsi="宋体" w:cs="宋体" w:eastAsia="宋体" w:hint="default"/>
                <w:sz w:val="18"/>
                <w:szCs w:val="18"/>
              </w:rPr>
              <w:t>限</w:t>
            </w:r>
            <w:r>
              <w:rPr>
                <w:rFonts w:ascii="宋体" w:hAnsi="宋体" w:cs="宋体" w:eastAsia="宋体" w:hint="default"/>
                <w:spacing w:val="-56"/>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both"/>
              <w:rPr>
                <w:rFonts w:ascii="宋体" w:hAnsi="宋体" w:cs="宋体" w:eastAsia="宋体" w:hint="default"/>
                <w:sz w:val="18"/>
                <w:szCs w:val="18"/>
              </w:rPr>
            </w:pPr>
            <w:r>
              <w:rPr>
                <w:rFonts w:ascii="宋体" w:hAnsi="宋体" w:cs="宋体" w:eastAsia="宋体" w:hint="default"/>
                <w:spacing w:val="6"/>
                <w:sz w:val="18"/>
                <w:szCs w:val="18"/>
              </w:rPr>
              <w:t>深圳市前海深港合作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4"/>
                <w:sz w:val="18"/>
                <w:szCs w:val="18"/>
              </w:rPr>
              <w:t>区前湾一路</w:t>
            </w:r>
            <w:r>
              <w:rPr>
                <w:rFonts w:ascii="宋体" w:hAnsi="宋体" w:cs="宋体" w:eastAsia="宋体" w:hint="default"/>
                <w:spacing w:val="-60"/>
                <w:sz w:val="18"/>
                <w:szCs w:val="18"/>
              </w:rPr>
              <w:t> </w:t>
            </w:r>
            <w:r>
              <w:rPr>
                <w:rFonts w:ascii="宋体" w:hAnsi="宋体" w:cs="宋体" w:eastAsia="宋体" w:hint="default"/>
                <w:sz w:val="18"/>
                <w:szCs w:val="18"/>
              </w:rPr>
              <w:t>1</w:t>
            </w:r>
            <w:r>
              <w:rPr>
                <w:rFonts w:ascii="宋体" w:hAnsi="宋体" w:cs="宋体" w:eastAsia="宋体" w:hint="default"/>
                <w:spacing w:val="-59"/>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A</w:t>
            </w:r>
            <w:r>
              <w:rPr>
                <w:rFonts w:ascii="宋体" w:hAnsi="宋体" w:cs="宋体" w:eastAsia="宋体" w:hint="default"/>
                <w:spacing w:val="-60"/>
                <w:sz w:val="18"/>
                <w:szCs w:val="18"/>
              </w:rPr>
              <w:t> </w:t>
            </w:r>
            <w:r>
              <w:rPr>
                <w:rFonts w:ascii="宋体" w:hAnsi="宋体" w:cs="宋体" w:eastAsia="宋体" w:hint="default"/>
                <w:sz w:val="18"/>
                <w:szCs w:val="18"/>
              </w:rPr>
              <w:t>栋 </w:t>
            </w:r>
            <w:r>
              <w:rPr>
                <w:rFonts w:ascii="宋体" w:hAnsi="宋体" w:cs="宋体" w:eastAsia="宋体" w:hint="default"/>
                <w:spacing w:val="-3"/>
                <w:sz w:val="18"/>
                <w:szCs w:val="18"/>
              </w:rPr>
              <w:t>201</w:t>
            </w:r>
            <w:r>
              <w:rPr>
                <w:rFonts w:ascii="宋体" w:hAnsi="宋体" w:cs="宋体" w:eastAsia="宋体" w:hint="default"/>
                <w:spacing w:val="-3"/>
                <w:sz w:val="18"/>
                <w:szCs w:val="18"/>
              </w:rPr>
              <w:t>室（入驻深圳市前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w:t>
            </w:r>
            <w:r>
              <w:rPr>
                <w:rFonts w:ascii="宋体" w:hAnsi="宋体" w:cs="宋体" w:eastAsia="宋体" w:hint="default"/>
                <w:spacing w:val="-56"/>
                <w:sz w:val="18"/>
                <w:szCs w:val="18"/>
              </w:rPr>
              <w:t> </w:t>
            </w:r>
            <w:r>
              <w:rPr>
                <w:rFonts w:ascii="宋体" w:hAnsi="宋体" w:cs="宋体" w:eastAsia="宋体" w:hint="default"/>
                <w:sz w:val="18"/>
                <w:szCs w:val="18"/>
              </w:rPr>
              <w:t>商</w:t>
            </w:r>
            <w:r>
              <w:rPr>
                <w:rFonts w:ascii="宋体" w:hAnsi="宋体" w:cs="宋体" w:eastAsia="宋体" w:hint="default"/>
                <w:spacing w:val="-56"/>
                <w:sz w:val="18"/>
                <w:szCs w:val="18"/>
              </w:rPr>
              <w:t> </w:t>
            </w:r>
            <w:r>
              <w:rPr>
                <w:rFonts w:ascii="宋体" w:hAnsi="宋体" w:cs="宋体" w:eastAsia="宋体" w:hint="default"/>
                <w:sz w:val="18"/>
                <w:szCs w:val="18"/>
              </w:rPr>
              <w:t>务</w:t>
            </w:r>
            <w:r>
              <w:rPr>
                <w:rFonts w:ascii="宋体" w:hAnsi="宋体" w:cs="宋体" w:eastAsia="宋体" w:hint="default"/>
                <w:spacing w:val="-56"/>
                <w:sz w:val="18"/>
                <w:szCs w:val="18"/>
              </w:rPr>
              <w:t> </w:t>
            </w:r>
            <w:r>
              <w:rPr>
                <w:rFonts w:ascii="宋体" w:hAnsi="宋体" w:cs="宋体" w:eastAsia="宋体" w:hint="default"/>
                <w:sz w:val="18"/>
                <w:szCs w:val="18"/>
              </w:rPr>
              <w:t>秘</w:t>
            </w:r>
            <w:r>
              <w:rPr>
                <w:rFonts w:ascii="宋体" w:hAnsi="宋体" w:cs="宋体" w:eastAsia="宋体" w:hint="default"/>
                <w:spacing w:val="-57"/>
                <w:sz w:val="18"/>
                <w:szCs w:val="18"/>
              </w:rPr>
              <w:t> </w:t>
            </w:r>
            <w:r>
              <w:rPr>
                <w:rFonts w:ascii="宋体" w:hAnsi="宋体" w:cs="宋体" w:eastAsia="宋体" w:hint="default"/>
                <w:sz w:val="18"/>
                <w:szCs w:val="18"/>
              </w:rPr>
              <w:t>书</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6"/>
                <w:sz w:val="18"/>
                <w:szCs w:val="18"/>
              </w:rPr>
              <w:t> </w:t>
            </w:r>
            <w:r>
              <w:rPr>
                <w:rFonts w:ascii="宋体" w:hAnsi="宋体" w:cs="宋体" w:eastAsia="宋体" w:hint="default"/>
                <w:sz w:val="18"/>
                <w:szCs w:val="18"/>
              </w:rPr>
              <w:t>限</w:t>
            </w:r>
            <w:r>
              <w:rPr>
                <w:rFonts w:ascii="宋体" w:hAnsi="宋体" w:cs="宋体" w:eastAsia="宋体" w:hint="default"/>
                <w:spacing w:val="-56"/>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20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网上业务、数据库管理</w:t>
            </w:r>
          </w:p>
        </w:tc>
        <w:tc>
          <w:tcPr>
            <w:tcW w:w="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59" w:right="0"/>
              <w:jc w:val="left"/>
              <w:rPr>
                <w:rFonts w:ascii="宋体" w:hAnsi="宋体" w:cs="宋体" w:eastAsia="宋体" w:hint="default"/>
                <w:sz w:val="18"/>
                <w:szCs w:val="18"/>
              </w:rPr>
            </w:pPr>
            <w:r>
              <w:rPr>
                <w:rFonts w:ascii="宋体"/>
                <w:sz w:val="18"/>
              </w:rPr>
              <w:t>38.00</w:t>
            </w:r>
          </w:p>
        </w:tc>
        <w:tc>
          <w:tcPr>
            <w:tcW w:w="775" w:type="dxa"/>
            <w:tcBorders>
              <w:top w:val="single" w:sz="12" w:space="0" w:color="000000"/>
              <w:left w:val="single" w:sz="6" w:space="0" w:color="000000"/>
              <w:bottom w:val="single" w:sz="12" w:space="0" w:color="000000"/>
              <w:right w:val="single" w:sz="6" w:space="0" w:color="000000"/>
            </w:tcBorders>
          </w:tcPr>
          <w:p>
            <w:pPr/>
          </w:p>
        </w:tc>
        <w:tc>
          <w:tcPr>
            <w:tcW w:w="12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72"/>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977" w:hRule="exact"/>
        </w:trPr>
        <w:tc>
          <w:tcPr>
            <w:tcW w:w="131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both"/>
              <w:rPr>
                <w:rFonts w:ascii="宋体" w:hAnsi="宋体" w:cs="宋体" w:eastAsia="宋体" w:hint="default"/>
                <w:sz w:val="18"/>
                <w:szCs w:val="18"/>
              </w:rPr>
            </w:pPr>
            <w:r>
              <w:rPr>
                <w:rFonts w:ascii="宋体" w:hAnsi="宋体" w:cs="宋体" w:eastAsia="宋体" w:hint="default"/>
                <w:spacing w:val="3"/>
                <w:sz w:val="18"/>
                <w:szCs w:val="18"/>
              </w:rPr>
              <w:t>重庆市合川区石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庙子水利综合开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发有限公司</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1"/>
              <w:jc w:val="left"/>
              <w:rPr>
                <w:rFonts w:ascii="宋体" w:hAnsi="宋体" w:cs="宋体" w:eastAsia="宋体" w:hint="default"/>
                <w:sz w:val="18"/>
                <w:szCs w:val="18"/>
              </w:rPr>
            </w:pPr>
            <w:r>
              <w:rPr>
                <w:rFonts w:ascii="宋体" w:hAnsi="宋体" w:cs="宋体" w:eastAsia="宋体" w:hint="default"/>
                <w:sz w:val="18"/>
                <w:szCs w:val="18"/>
              </w:rPr>
              <w:t>重庆市合川区三汇镇 平安街</w:t>
            </w:r>
            <w:r>
              <w:rPr>
                <w:rFonts w:ascii="宋体" w:hAnsi="宋体" w:cs="宋体" w:eastAsia="宋体" w:hint="default"/>
                <w:sz w:val="18"/>
                <w:szCs w:val="18"/>
              </w:rPr>
              <w:t>102</w:t>
            </w:r>
            <w:r>
              <w:rPr>
                <w:rFonts w:ascii="宋体" w:hAnsi="宋体" w:cs="宋体" w:eastAsia="宋体" w:hint="default"/>
                <w:sz w:val="18"/>
                <w:szCs w:val="18"/>
              </w:rPr>
              <w:t>号</w:t>
            </w:r>
            <w:r>
              <w:rPr>
                <w:rFonts w:ascii="宋体" w:hAnsi="宋体" w:cs="宋体" w:eastAsia="宋体" w:hint="default"/>
                <w:sz w:val="18"/>
                <w:szCs w:val="18"/>
              </w:rPr>
              <w:t>4</w:t>
            </w:r>
            <w:r>
              <w:rPr>
                <w:rFonts w:ascii="宋体" w:hAnsi="宋体" w:cs="宋体" w:eastAsia="宋体" w:hint="default"/>
                <w:sz w:val="18"/>
                <w:szCs w:val="18"/>
              </w:rPr>
              <w:t>幢</w:t>
            </w:r>
            <w:r>
              <w:rPr>
                <w:rFonts w:ascii="宋体" w:hAnsi="宋体" w:cs="宋体" w:eastAsia="宋体" w:hint="default"/>
                <w:sz w:val="18"/>
                <w:szCs w:val="18"/>
              </w:rPr>
              <w:t>2</w:t>
            </w:r>
            <w:r>
              <w:rPr>
                <w:rFonts w:ascii="宋体" w:hAnsi="宋体" w:cs="宋体" w:eastAsia="宋体" w:hint="default"/>
                <w:sz w:val="18"/>
                <w:szCs w:val="18"/>
              </w:rPr>
              <w:t>单 位</w:t>
            </w:r>
            <w:r>
              <w:rPr>
                <w:rFonts w:ascii="宋体" w:hAnsi="宋体" w:cs="宋体" w:eastAsia="宋体" w:hint="default"/>
                <w:sz w:val="18"/>
                <w:szCs w:val="18"/>
              </w:rPr>
              <w:t>6-2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3"/>
              <w:jc w:val="left"/>
              <w:rPr>
                <w:rFonts w:ascii="宋体" w:hAnsi="宋体" w:cs="宋体" w:eastAsia="宋体" w:hint="default"/>
                <w:sz w:val="18"/>
                <w:szCs w:val="18"/>
              </w:rPr>
            </w:pPr>
            <w:r>
              <w:rPr>
                <w:rFonts w:ascii="宋体" w:hAnsi="宋体" w:cs="宋体" w:eastAsia="宋体" w:hint="default"/>
                <w:sz w:val="18"/>
                <w:szCs w:val="18"/>
              </w:rPr>
              <w:t>重庆市合川区三汇镇 平安街</w:t>
            </w:r>
            <w:r>
              <w:rPr>
                <w:rFonts w:ascii="宋体" w:hAnsi="宋体" w:cs="宋体" w:eastAsia="宋体" w:hint="default"/>
                <w:sz w:val="18"/>
                <w:szCs w:val="18"/>
              </w:rPr>
              <w:t>102</w:t>
            </w:r>
            <w:r>
              <w:rPr>
                <w:rFonts w:ascii="宋体" w:hAnsi="宋体" w:cs="宋体" w:eastAsia="宋体" w:hint="default"/>
                <w:sz w:val="18"/>
                <w:szCs w:val="18"/>
              </w:rPr>
              <w:t>号</w:t>
            </w:r>
            <w:r>
              <w:rPr>
                <w:rFonts w:ascii="宋体" w:hAnsi="宋体" w:cs="宋体" w:eastAsia="宋体" w:hint="default"/>
                <w:sz w:val="18"/>
                <w:szCs w:val="18"/>
              </w:rPr>
              <w:t>4</w:t>
            </w:r>
            <w:r>
              <w:rPr>
                <w:rFonts w:ascii="宋体" w:hAnsi="宋体" w:cs="宋体" w:eastAsia="宋体" w:hint="default"/>
                <w:sz w:val="18"/>
                <w:szCs w:val="18"/>
              </w:rPr>
              <w:t>幢</w:t>
            </w:r>
            <w:r>
              <w:rPr>
                <w:rFonts w:ascii="宋体" w:hAnsi="宋体" w:cs="宋体" w:eastAsia="宋体" w:hint="default"/>
                <w:sz w:val="18"/>
                <w:szCs w:val="18"/>
              </w:rPr>
              <w:t>2</w:t>
            </w:r>
            <w:r>
              <w:rPr>
                <w:rFonts w:ascii="宋体" w:hAnsi="宋体" w:cs="宋体" w:eastAsia="宋体" w:hint="default"/>
                <w:sz w:val="18"/>
                <w:szCs w:val="18"/>
              </w:rPr>
              <w:t>单 位</w:t>
            </w:r>
            <w:r>
              <w:rPr>
                <w:rFonts w:ascii="宋体" w:hAnsi="宋体" w:cs="宋体" w:eastAsia="宋体" w:hint="default"/>
                <w:sz w:val="18"/>
                <w:szCs w:val="18"/>
              </w:rPr>
              <w:t>6-2</w:t>
            </w:r>
          </w:p>
        </w:tc>
        <w:tc>
          <w:tcPr>
            <w:tcW w:w="205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7" w:right="26"/>
              <w:jc w:val="both"/>
              <w:rPr>
                <w:rFonts w:ascii="宋体" w:hAnsi="宋体" w:cs="宋体" w:eastAsia="宋体" w:hint="default"/>
                <w:sz w:val="18"/>
                <w:szCs w:val="18"/>
              </w:rPr>
            </w:pPr>
            <w:r>
              <w:rPr>
                <w:rFonts w:ascii="宋体" w:hAnsi="宋体" w:cs="宋体" w:eastAsia="宋体" w:hint="default"/>
                <w:sz w:val="18"/>
                <w:szCs w:val="18"/>
              </w:rPr>
              <w:t>水利工程运营管理、水利 发电，水利技术服务，水 利资源开发、利用、规划</w:t>
            </w:r>
          </w:p>
        </w:tc>
        <w:tc>
          <w:tcPr>
            <w:tcW w:w="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59" w:right="0"/>
              <w:jc w:val="left"/>
              <w:rPr>
                <w:rFonts w:ascii="宋体" w:hAnsi="宋体" w:cs="宋体" w:eastAsia="宋体" w:hint="default"/>
                <w:sz w:val="18"/>
                <w:szCs w:val="18"/>
              </w:rPr>
            </w:pPr>
            <w:r>
              <w:rPr>
                <w:rFonts w:ascii="宋体"/>
                <w:sz w:val="18"/>
              </w:rPr>
              <w:t>40.00</w:t>
            </w:r>
          </w:p>
        </w:tc>
        <w:tc>
          <w:tcPr>
            <w:tcW w:w="775" w:type="dxa"/>
            <w:tcBorders>
              <w:top w:val="single" w:sz="12" w:space="0" w:color="000000"/>
              <w:left w:val="single" w:sz="6" w:space="0" w:color="000000"/>
              <w:bottom w:val="single" w:sz="12" w:space="0" w:color="000000"/>
              <w:right w:val="single" w:sz="6" w:space="0" w:color="000000"/>
            </w:tcBorders>
          </w:tcPr>
          <w:p>
            <w:pPr/>
          </w:p>
        </w:tc>
        <w:tc>
          <w:tcPr>
            <w:tcW w:w="12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72"/>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1600" w:hRule="exact"/>
        </w:trPr>
        <w:tc>
          <w:tcPr>
            <w:tcW w:w="131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2"/>
              <w:jc w:val="both"/>
              <w:rPr>
                <w:rFonts w:ascii="宋体" w:hAnsi="宋体" w:cs="宋体" w:eastAsia="宋体" w:hint="default"/>
                <w:sz w:val="18"/>
                <w:szCs w:val="18"/>
              </w:rPr>
            </w:pPr>
            <w:r>
              <w:rPr>
                <w:rFonts w:ascii="宋体" w:hAnsi="宋体" w:cs="宋体" w:eastAsia="宋体" w:hint="default"/>
                <w:spacing w:val="3"/>
                <w:sz w:val="18"/>
                <w:szCs w:val="18"/>
              </w:rPr>
              <w:t>华阴市云鼎生态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建设有限责任公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61"/>
              <w:jc w:val="both"/>
              <w:rPr>
                <w:rFonts w:ascii="宋体" w:hAnsi="宋体" w:cs="宋体" w:eastAsia="宋体" w:hint="default"/>
                <w:sz w:val="18"/>
                <w:szCs w:val="18"/>
              </w:rPr>
            </w:pPr>
            <w:r>
              <w:rPr>
                <w:rFonts w:ascii="宋体" w:hAnsi="宋体" w:cs="宋体" w:eastAsia="宋体" w:hint="default"/>
                <w:sz w:val="18"/>
                <w:szCs w:val="18"/>
              </w:rPr>
              <w:t>陕西省渭南市华阴市 岳庙街办事处南城子 村</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63"/>
              <w:jc w:val="both"/>
              <w:rPr>
                <w:rFonts w:ascii="宋体" w:hAnsi="宋体" w:cs="宋体" w:eastAsia="宋体" w:hint="default"/>
                <w:sz w:val="18"/>
                <w:szCs w:val="18"/>
              </w:rPr>
            </w:pPr>
            <w:r>
              <w:rPr>
                <w:rFonts w:ascii="宋体" w:hAnsi="宋体" w:cs="宋体" w:eastAsia="宋体" w:hint="default"/>
                <w:sz w:val="18"/>
                <w:szCs w:val="18"/>
              </w:rPr>
              <w:t>陕西省渭南市华阴市 岳庙街办事处南城子 村</w:t>
            </w:r>
          </w:p>
        </w:tc>
        <w:tc>
          <w:tcPr>
            <w:tcW w:w="2051"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7" w:right="26"/>
              <w:jc w:val="center"/>
              <w:rPr>
                <w:rFonts w:ascii="宋体" w:hAnsi="宋体" w:cs="宋体" w:eastAsia="宋体" w:hint="default"/>
                <w:sz w:val="18"/>
                <w:szCs w:val="18"/>
              </w:rPr>
            </w:pPr>
            <w:r>
              <w:rPr>
                <w:rFonts w:ascii="宋体" w:hAnsi="宋体" w:cs="宋体" w:eastAsia="宋体" w:hint="default"/>
                <w:sz w:val="18"/>
                <w:szCs w:val="18"/>
              </w:rPr>
              <w:t>环境治理工程施工，园林 绿化工程设计及施工；绿 化管理：水污染治理；林 木种植、砂石开采、销售 及租赁</w:t>
            </w:r>
          </w:p>
        </w:tc>
        <w:tc>
          <w:tcPr>
            <w:tcW w:w="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59" w:right="0"/>
              <w:jc w:val="left"/>
              <w:rPr>
                <w:rFonts w:ascii="宋体" w:hAnsi="宋体" w:cs="宋体" w:eastAsia="宋体" w:hint="default"/>
                <w:sz w:val="18"/>
                <w:szCs w:val="18"/>
              </w:rPr>
            </w:pPr>
            <w:r>
              <w:rPr>
                <w:rFonts w:ascii="宋体"/>
                <w:sz w:val="18"/>
              </w:rPr>
              <w:t>30.00</w:t>
            </w:r>
          </w:p>
        </w:tc>
        <w:tc>
          <w:tcPr>
            <w:tcW w:w="775" w:type="dxa"/>
            <w:tcBorders>
              <w:top w:val="single" w:sz="12" w:space="0" w:color="000000"/>
              <w:left w:val="single" w:sz="6" w:space="0" w:color="000000"/>
              <w:bottom w:val="single" w:sz="12" w:space="0" w:color="000000"/>
              <w:right w:val="single" w:sz="6" w:space="0" w:color="000000"/>
            </w:tcBorders>
          </w:tcPr>
          <w:p>
            <w:pPr/>
          </w:p>
        </w:tc>
        <w:tc>
          <w:tcPr>
            <w:tcW w:w="12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72"/>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352" w:hRule="exact"/>
        </w:trPr>
        <w:tc>
          <w:tcPr>
            <w:tcW w:w="1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铜鼓河湖水系生</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江西省宜春市铜鼓县</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江西省宜春市铜鼓县</w:t>
            </w:r>
          </w:p>
        </w:tc>
        <w:tc>
          <w:tcPr>
            <w:tcW w:w="20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工程投资、建设及管理；</w:t>
            </w:r>
          </w:p>
        </w:tc>
        <w:tc>
          <w:tcPr>
            <w:tcW w:w="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59" w:right="0"/>
              <w:jc w:val="left"/>
              <w:rPr>
                <w:rFonts w:ascii="宋体" w:hAnsi="宋体" w:cs="宋体" w:eastAsia="宋体" w:hint="default"/>
                <w:sz w:val="18"/>
                <w:szCs w:val="18"/>
              </w:rPr>
            </w:pPr>
            <w:r>
              <w:rPr>
                <w:rFonts w:ascii="宋体"/>
                <w:sz w:val="18"/>
              </w:rPr>
              <w:t>39.00</w:t>
            </w:r>
          </w:p>
        </w:tc>
        <w:tc>
          <w:tcPr>
            <w:tcW w:w="775" w:type="dxa"/>
            <w:tcBorders>
              <w:top w:val="single" w:sz="12" w:space="0" w:color="000000"/>
              <w:left w:val="single" w:sz="6" w:space="0" w:color="000000"/>
              <w:bottom w:val="single" w:sz="12" w:space="0" w:color="000000"/>
              <w:right w:val="single" w:sz="6" w:space="0" w:color="000000"/>
            </w:tcBorders>
          </w:tcPr>
          <w:p>
            <w:pPr/>
          </w:p>
        </w:tc>
        <w:tc>
          <w:tcPr>
            <w:tcW w:w="12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72"/>
              <w:jc w:val="righ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316"/>
        <w:gridCol w:w="1700"/>
        <w:gridCol w:w="1702"/>
        <w:gridCol w:w="2051"/>
        <w:gridCol w:w="785"/>
        <w:gridCol w:w="775"/>
        <w:gridCol w:w="1288"/>
      </w:tblGrid>
      <w:tr>
        <w:trPr>
          <w:trHeight w:val="1603" w:hRule="exact"/>
        </w:trPr>
        <w:tc>
          <w:tcPr>
            <w:tcW w:w="13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态治理有限公司</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421"/>
              <w:jc w:val="left"/>
              <w:rPr>
                <w:rFonts w:ascii="宋体" w:hAnsi="宋体" w:cs="宋体" w:eastAsia="宋体" w:hint="default"/>
                <w:sz w:val="18"/>
                <w:szCs w:val="18"/>
              </w:rPr>
            </w:pPr>
            <w:r>
              <w:rPr>
                <w:rFonts w:ascii="宋体" w:hAnsi="宋体" w:cs="宋体" w:eastAsia="宋体" w:hint="default"/>
                <w:sz w:val="18"/>
                <w:szCs w:val="18"/>
              </w:rPr>
              <w:t>永宁镇定江东路 </w:t>
            </w:r>
            <w:r>
              <w:rPr>
                <w:rFonts w:ascii="宋体" w:hAnsi="宋体" w:cs="宋体" w:eastAsia="宋体" w:hint="default"/>
                <w:sz w:val="18"/>
                <w:szCs w:val="18"/>
              </w:rPr>
              <w:t>386-7</w:t>
            </w:r>
            <w:r>
              <w:rPr>
                <w:rFonts w:ascii="宋体" w:hAnsi="宋体" w:cs="宋体" w:eastAsia="宋体" w:hint="default"/>
                <w:sz w:val="18"/>
                <w:szCs w:val="18"/>
              </w:rPr>
              <w:t>号</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423"/>
              <w:jc w:val="left"/>
              <w:rPr>
                <w:rFonts w:ascii="宋体" w:hAnsi="宋体" w:cs="宋体" w:eastAsia="宋体" w:hint="default"/>
                <w:sz w:val="18"/>
                <w:szCs w:val="18"/>
              </w:rPr>
            </w:pPr>
            <w:r>
              <w:rPr>
                <w:rFonts w:ascii="宋体" w:hAnsi="宋体" w:cs="宋体" w:eastAsia="宋体" w:hint="default"/>
                <w:sz w:val="18"/>
                <w:szCs w:val="18"/>
              </w:rPr>
              <w:t>永宁镇定江东路 </w:t>
            </w:r>
            <w:r>
              <w:rPr>
                <w:rFonts w:ascii="宋体" w:hAnsi="宋体" w:cs="宋体" w:eastAsia="宋体" w:hint="default"/>
                <w:sz w:val="18"/>
                <w:szCs w:val="18"/>
              </w:rPr>
              <w:t>386-7</w:t>
            </w:r>
            <w:r>
              <w:rPr>
                <w:rFonts w:ascii="宋体" w:hAnsi="宋体" w:cs="宋体" w:eastAsia="宋体" w:hint="default"/>
                <w:sz w:val="18"/>
                <w:szCs w:val="18"/>
              </w:rPr>
              <w:t>号</w:t>
            </w:r>
          </w:p>
        </w:tc>
        <w:tc>
          <w:tcPr>
            <w:tcW w:w="2051"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1"/>
              <w:ind w:left="2" w:right="1" w:firstLine="25"/>
              <w:jc w:val="both"/>
              <w:rPr>
                <w:rFonts w:ascii="宋体" w:hAnsi="宋体" w:cs="宋体" w:eastAsia="宋体" w:hint="default"/>
                <w:sz w:val="18"/>
                <w:szCs w:val="18"/>
              </w:rPr>
            </w:pPr>
            <w:r>
              <w:rPr>
                <w:rFonts w:ascii="宋体" w:hAnsi="宋体" w:cs="宋体" w:eastAsia="宋体" w:hint="default"/>
                <w:sz w:val="18"/>
                <w:szCs w:val="18"/>
              </w:rPr>
              <w:t>河湖水系的生态保护和综 合治理的投资、建设及运 营管理；环境保护和综合 </w:t>
            </w:r>
            <w:r>
              <w:rPr>
                <w:rFonts w:ascii="宋体" w:hAnsi="宋体" w:cs="宋体" w:eastAsia="宋体" w:hint="default"/>
                <w:spacing w:val="-11"/>
                <w:sz w:val="18"/>
                <w:szCs w:val="18"/>
              </w:rPr>
              <w:t>治理（包括“三废”）的投</w:t>
            </w:r>
            <w:r>
              <w:rPr>
                <w:rFonts w:ascii="宋体" w:hAnsi="宋体" w:cs="宋体" w:eastAsia="宋体" w:hint="default"/>
                <w:sz w:val="18"/>
                <w:szCs w:val="18"/>
              </w:rPr>
              <w:t> 资、建设及运营管理等</w:t>
            </w:r>
          </w:p>
        </w:tc>
        <w:tc>
          <w:tcPr>
            <w:tcW w:w="785" w:type="dxa"/>
            <w:tcBorders>
              <w:top w:val="single" w:sz="6" w:space="0" w:color="000000"/>
              <w:left w:val="single" w:sz="6" w:space="0" w:color="000000"/>
              <w:bottom w:val="single" w:sz="12" w:space="0" w:color="000000"/>
              <w:right w:val="single" w:sz="6" w:space="0" w:color="000000"/>
            </w:tcBorders>
          </w:tcPr>
          <w:p>
            <w:pPr/>
          </w:p>
        </w:tc>
        <w:tc>
          <w:tcPr>
            <w:tcW w:w="775" w:type="dxa"/>
            <w:tcBorders>
              <w:top w:val="single" w:sz="6" w:space="0" w:color="000000"/>
              <w:left w:val="single" w:sz="6" w:space="0" w:color="000000"/>
              <w:bottom w:val="single" w:sz="12" w:space="0" w:color="000000"/>
              <w:right w:val="single" w:sz="6" w:space="0" w:color="000000"/>
            </w:tcBorders>
          </w:tcPr>
          <w:p>
            <w:pPr/>
          </w:p>
        </w:tc>
        <w:tc>
          <w:tcPr>
            <w:tcW w:w="128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982"/>
        <w:jc w:val="left"/>
        <w:rPr>
          <w:b w:val="0"/>
          <w:bCs w:val="0"/>
        </w:rPr>
      </w:pPr>
      <w:bookmarkStart w:name="十、与金融工具相关的风险" w:id="373"/>
      <w:bookmarkEnd w:id="373"/>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spacing w:val="-2"/>
        </w:rPr>
        <w:t>公司在经营过程中面临各种金融风险：信用风险、市场风险和流动性风险。公司经营管理层全面负责风险管理目标和政</w:t>
      </w:r>
      <w:r>
        <w:rPr/>
        <w:t> </w:t>
      </w:r>
      <w:r>
        <w:rPr>
          <w:spacing w:val="-2"/>
        </w:rPr>
        <w:t>策的确定，并对风险管理目标和政策承担最终责任。风险管理的总体目标是在不过度影响公司竞争力和应变力的情况下，制</w:t>
      </w:r>
      <w:r>
        <w:rPr>
          <w:spacing w:val="-66"/>
        </w:rPr>
        <w:t> </w:t>
      </w:r>
      <w:r>
        <w:rPr>
          <w:spacing w:val="-66"/>
        </w:rPr>
      </w:r>
      <w:r>
        <w:rPr/>
        <w:t>定尽可能降低风险的风险管理政策。</w:t>
      </w:r>
    </w:p>
    <w:p>
      <w:pPr>
        <w:pStyle w:val="BodyText"/>
        <w:spacing w:line="316" w:lineRule="auto" w:before="19"/>
        <w:ind w:left="474" w:right="4272"/>
        <w:jc w:val="left"/>
      </w:pPr>
      <w:r>
        <w:rPr>
          <w:rFonts w:ascii="宋体" w:hAnsi="宋体" w:cs="宋体" w:eastAsia="宋体" w:hint="default"/>
        </w:rPr>
        <w:t>1</w:t>
      </w:r>
      <w:r>
        <w:rPr/>
        <w:t>、信用风险 信用风险是指金融工具的一方不履行义务，造成另一方发生财务损失的风险。</w:t>
      </w:r>
    </w:p>
    <w:p>
      <w:pPr>
        <w:pStyle w:val="BodyText"/>
        <w:spacing w:line="316" w:lineRule="auto" w:before="19"/>
        <w:ind w:right="1131" w:firstLine="360"/>
        <w:jc w:val="both"/>
      </w:pPr>
      <w:r>
        <w:rPr>
          <w:spacing w:val="-2"/>
        </w:rPr>
        <w:t>为降低信用风险，本公司制定了相关的内部控制政策负责确定信用额度、进行信用审批，包括外部信用评级和在某些情</w:t>
      </w:r>
      <w:r>
        <w:rPr/>
        <w:t> </w:t>
      </w:r>
      <w:r>
        <w:rPr>
          <w:spacing w:val="-2"/>
        </w:rPr>
        <w:t>况下的银行资信证明（当此信息可获取时），并执行其他监控程序以确保采取必要的措施回收过期债权。因此，本公司管理</w:t>
      </w:r>
      <w:r>
        <w:rPr>
          <w:spacing w:val="-64"/>
        </w:rPr>
        <w:t> </w:t>
      </w:r>
      <w:r>
        <w:rPr>
          <w:spacing w:val="-64"/>
        </w:rPr>
      </w:r>
      <w:r>
        <w:rPr/>
        <w:t>层认为本公司所承担的信用风险已经大为降低。</w:t>
      </w:r>
    </w:p>
    <w:p>
      <w:pPr>
        <w:pStyle w:val="BodyText"/>
        <w:spacing w:line="316" w:lineRule="auto" w:before="19"/>
        <w:ind w:right="1133" w:firstLine="360"/>
        <w:jc w:val="both"/>
      </w:pPr>
      <w:r>
        <w:rPr>
          <w:spacing w:val="-2"/>
        </w:rPr>
        <w:t>本公司其他金融资产包括货币资金、应收账款等，这些金融资产的信用风险源自交易对手违约，最大风险敞口等于这些</w:t>
      </w:r>
      <w:r>
        <w:rPr/>
        <w:t> 工具的账面金额。</w:t>
      </w:r>
    </w:p>
    <w:p>
      <w:pPr>
        <w:pStyle w:val="BodyText"/>
        <w:spacing w:line="240" w:lineRule="auto" w:before="19"/>
        <w:ind w:left="474" w:right="982"/>
        <w:jc w:val="left"/>
      </w:pPr>
      <w:r>
        <w:rPr/>
        <w:t>（</w:t>
      </w:r>
      <w:r>
        <w:rPr>
          <w:rFonts w:ascii="宋体" w:hAnsi="宋体" w:cs="宋体" w:eastAsia="宋体" w:hint="default"/>
        </w:rPr>
        <w:t>1</w:t>
      </w:r>
      <w:r>
        <w:rPr/>
        <w:t>）本公司的流动资金存放在信用评级较高的银行，故流动资金的信用风险较低。</w:t>
      </w:r>
    </w:p>
    <w:p>
      <w:pPr>
        <w:pStyle w:val="BodyText"/>
        <w:spacing w:line="316" w:lineRule="auto" w:before="76"/>
        <w:ind w:left="474" w:right="5982"/>
        <w:jc w:val="left"/>
      </w:pPr>
      <w:r>
        <w:rPr/>
        <w:t>（</w:t>
      </w:r>
      <w:r>
        <w:rPr>
          <w:rFonts w:ascii="宋体" w:hAnsi="宋体" w:cs="宋体" w:eastAsia="宋体" w:hint="default"/>
        </w:rPr>
        <w:t>2</w:t>
      </w:r>
      <w:r>
        <w:rPr/>
        <w:t>）资产负债表日，公司按会计政策计提了坏账准备。 </w:t>
      </w:r>
      <w:r>
        <w:rPr>
          <w:rFonts w:ascii="宋体" w:hAnsi="宋体" w:cs="宋体" w:eastAsia="宋体" w:hint="default"/>
        </w:rPr>
        <w:t>2</w:t>
      </w:r>
      <w:r>
        <w:rPr/>
        <w:t>、市场风险</w:t>
      </w:r>
    </w:p>
    <w:p>
      <w:pPr>
        <w:pStyle w:val="BodyText"/>
        <w:spacing w:line="319" w:lineRule="auto" w:before="19"/>
        <w:ind w:right="1132" w:firstLine="360"/>
        <w:jc w:val="both"/>
      </w:pPr>
      <w:r>
        <w:rPr>
          <w:spacing w:val="-2"/>
        </w:rPr>
        <w:t>金融工具的市场风险，是指金融工具的公允价值或未来现金流量因市场价格变动而发生波动的风险，包括外汇风险、利</w:t>
      </w:r>
      <w:r>
        <w:rPr/>
        <w:t> 率风险和其他价格风险。</w:t>
      </w:r>
    </w:p>
    <w:p>
      <w:pPr>
        <w:pStyle w:val="BodyText"/>
        <w:spacing w:line="316" w:lineRule="auto" w:before="17"/>
        <w:ind w:left="474" w:right="982"/>
        <w:jc w:val="left"/>
      </w:pPr>
      <w:r>
        <w:rPr/>
        <w:t>（</w:t>
      </w:r>
      <w:r>
        <w:rPr>
          <w:rFonts w:ascii="宋体" w:hAnsi="宋体" w:cs="宋体" w:eastAsia="宋体" w:hint="default"/>
        </w:rPr>
        <w:t>1</w:t>
      </w:r>
      <w:r>
        <w:rPr/>
        <w:t>）外汇风险 外汇风险指因汇率变动产生损失的风险。本公司承受外汇风险主要与美元有关，本公司主要以美元进行部分销售。于</w:t>
      </w:r>
    </w:p>
    <w:p>
      <w:pPr>
        <w:pStyle w:val="BodyText"/>
        <w:spacing w:line="316" w:lineRule="auto" w:before="19"/>
        <w:ind w:right="1114"/>
        <w:jc w:val="left"/>
      </w:pPr>
      <w:r>
        <w:rPr>
          <w:rFonts w:ascii="宋体" w:hAnsi="宋体" w:cs="宋体" w:eastAsia="宋体" w:hint="default"/>
        </w:rPr>
        <w:t>2018</w:t>
      </w:r>
      <w:r>
        <w:rPr/>
        <w:t>年</w:t>
      </w:r>
      <w:r>
        <w:rPr>
          <w:rFonts w:ascii="宋体" w:hAnsi="宋体" w:cs="宋体" w:eastAsia="宋体" w:hint="default"/>
        </w:rPr>
        <w:t>12</w:t>
      </w:r>
      <w:r>
        <w:rPr>
          <w:rFonts w:ascii="宋体" w:hAnsi="宋体" w:cs="宋体" w:eastAsia="宋体" w:hint="default"/>
          <w:spacing w:val="-41"/>
        </w:rPr>
        <w:t> </w:t>
      </w:r>
      <w:r>
        <w:rPr/>
        <w:t>月</w:t>
      </w:r>
      <w:r>
        <w:rPr>
          <w:rFonts w:ascii="宋体" w:hAnsi="宋体" w:cs="宋体" w:eastAsia="宋体" w:hint="default"/>
        </w:rPr>
        <w:t>31</w:t>
      </w:r>
      <w:r>
        <w:rPr>
          <w:rFonts w:ascii="宋体" w:hAnsi="宋体" w:cs="宋体" w:eastAsia="宋体" w:hint="default"/>
          <w:spacing w:val="-41"/>
        </w:rPr>
        <w:t> </w:t>
      </w:r>
      <w:r>
        <w:rPr/>
        <w:t>日，除下表所述资产或负债为外币余额外，本公司的资产及负债均为人民币余额。该等外币余额的资产和负 债产生的外汇风险可能对本公司的经营业绩产生影响。</w:t>
      </w:r>
    </w:p>
    <w:tbl>
      <w:tblPr>
        <w:tblW w:w="0" w:type="auto"/>
        <w:jc w:val="left"/>
        <w:tblInd w:w="106" w:type="dxa"/>
        <w:tblLayout w:type="fixed"/>
        <w:tblCellMar>
          <w:top w:w="0" w:type="dxa"/>
          <w:left w:w="0" w:type="dxa"/>
          <w:bottom w:w="0" w:type="dxa"/>
          <w:right w:w="0" w:type="dxa"/>
        </w:tblCellMar>
        <w:tblLook w:val="01E0"/>
      </w:tblPr>
      <w:tblGrid>
        <w:gridCol w:w="2926"/>
        <w:gridCol w:w="3006"/>
        <w:gridCol w:w="3006"/>
      </w:tblGrid>
      <w:tr>
        <w:trPr>
          <w:trHeight w:val="355" w:hRule="exact"/>
        </w:trPr>
        <w:tc>
          <w:tcPr>
            <w:tcW w:w="2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953"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30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952" w:right="0"/>
              <w:jc w:val="left"/>
              <w:rPr>
                <w:rFonts w:ascii="宋体" w:hAnsi="宋体" w:cs="宋体" w:eastAsia="宋体" w:hint="default"/>
                <w:sz w:val="18"/>
                <w:szCs w:val="18"/>
              </w:rPr>
            </w:pPr>
            <w:r>
              <w:rPr>
                <w:rFonts w:ascii="宋体" w:hAnsi="宋体" w:cs="宋体" w:eastAsia="宋体" w:hint="default"/>
                <w:b/>
                <w:bCs/>
                <w:sz w:val="18"/>
                <w:szCs w:val="18"/>
              </w:rPr>
              <w:t>期初外币余额</w:t>
            </w:r>
            <w:r>
              <w:rPr>
                <w:rFonts w:ascii="宋体" w:hAnsi="宋体" w:cs="宋体" w:eastAsia="宋体" w:hint="default"/>
                <w:sz w:val="18"/>
                <w:szCs w:val="18"/>
              </w:rPr>
            </w:r>
          </w:p>
        </w:tc>
      </w:tr>
      <w:tr>
        <w:trPr>
          <w:trHeight w:val="353" w:hRule="exact"/>
        </w:trPr>
        <w:tc>
          <w:tcPr>
            <w:tcW w:w="2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3006" w:type="dxa"/>
            <w:tcBorders>
              <w:top w:val="single" w:sz="12" w:space="0" w:color="000000"/>
              <w:left w:val="single" w:sz="6" w:space="0" w:color="000000"/>
              <w:bottom w:val="single" w:sz="12" w:space="0" w:color="000000"/>
              <w:right w:val="single" w:sz="6" w:space="0" w:color="000000"/>
            </w:tcBorders>
          </w:tcPr>
          <w:p>
            <w:pPr/>
          </w:p>
        </w:tc>
        <w:tc>
          <w:tcPr>
            <w:tcW w:w="30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271,410.04</w:t>
            </w:r>
          </w:p>
        </w:tc>
        <w:tc>
          <w:tcPr>
            <w:tcW w:w="3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5,667.00</w:t>
            </w:r>
          </w:p>
        </w:tc>
      </w:tr>
      <w:tr>
        <w:trPr>
          <w:trHeight w:val="352" w:hRule="exact"/>
        </w:trPr>
        <w:tc>
          <w:tcPr>
            <w:tcW w:w="2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006" w:type="dxa"/>
            <w:tcBorders>
              <w:top w:val="single" w:sz="12" w:space="0" w:color="000000"/>
              <w:left w:val="single" w:sz="6" w:space="0" w:color="000000"/>
              <w:bottom w:val="single" w:sz="12" w:space="0" w:color="000000"/>
              <w:right w:val="single" w:sz="6" w:space="0" w:color="000000"/>
            </w:tcBorders>
          </w:tcPr>
          <w:p>
            <w:pPr/>
          </w:p>
        </w:tc>
        <w:tc>
          <w:tcPr>
            <w:tcW w:w="3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30,090.00</w:t>
            </w:r>
          </w:p>
        </w:tc>
      </w:tr>
      <w:tr>
        <w:trPr>
          <w:trHeight w:val="353" w:hRule="exact"/>
        </w:trPr>
        <w:tc>
          <w:tcPr>
            <w:tcW w:w="2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006" w:type="dxa"/>
            <w:tcBorders>
              <w:top w:val="single" w:sz="12" w:space="0" w:color="000000"/>
              <w:left w:val="single" w:sz="6" w:space="0" w:color="000000"/>
              <w:bottom w:val="single" w:sz="12" w:space="0" w:color="000000"/>
              <w:right w:val="single" w:sz="6" w:space="0" w:color="000000"/>
            </w:tcBorders>
          </w:tcPr>
          <w:p>
            <w:pPr/>
          </w:p>
        </w:tc>
        <w:tc>
          <w:tcPr>
            <w:tcW w:w="3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46.55</w:t>
            </w:r>
          </w:p>
        </w:tc>
      </w:tr>
      <w:tr>
        <w:trPr>
          <w:trHeight w:val="352" w:hRule="exact"/>
        </w:trPr>
        <w:tc>
          <w:tcPr>
            <w:tcW w:w="2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3006" w:type="dxa"/>
            <w:tcBorders>
              <w:top w:val="single" w:sz="12" w:space="0" w:color="000000"/>
              <w:left w:val="single" w:sz="6" w:space="0" w:color="000000"/>
              <w:bottom w:val="single" w:sz="12" w:space="0" w:color="000000"/>
              <w:right w:val="single" w:sz="6" w:space="0" w:color="000000"/>
            </w:tcBorders>
          </w:tcPr>
          <w:p>
            <w:pPr/>
          </w:p>
        </w:tc>
        <w:tc>
          <w:tcPr>
            <w:tcW w:w="3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700.00</w:t>
            </w:r>
          </w:p>
        </w:tc>
      </w:tr>
      <w:tr>
        <w:trPr>
          <w:trHeight w:val="352" w:hRule="exact"/>
        </w:trPr>
        <w:tc>
          <w:tcPr>
            <w:tcW w:w="2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006" w:type="dxa"/>
            <w:tcBorders>
              <w:top w:val="single" w:sz="12" w:space="0" w:color="000000"/>
              <w:left w:val="single" w:sz="6" w:space="0" w:color="000000"/>
              <w:bottom w:val="single" w:sz="12" w:space="0" w:color="000000"/>
              <w:right w:val="single" w:sz="6" w:space="0" w:color="000000"/>
            </w:tcBorders>
          </w:tcPr>
          <w:p>
            <w:pPr/>
          </w:p>
        </w:tc>
        <w:tc>
          <w:tcPr>
            <w:tcW w:w="3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697,000.00</w:t>
            </w:r>
          </w:p>
        </w:tc>
      </w:tr>
      <w:tr>
        <w:trPr>
          <w:trHeight w:val="353" w:hRule="exact"/>
        </w:trPr>
        <w:tc>
          <w:tcPr>
            <w:tcW w:w="2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006" w:type="dxa"/>
            <w:tcBorders>
              <w:top w:val="single" w:sz="12" w:space="0" w:color="000000"/>
              <w:left w:val="single" w:sz="6" w:space="0" w:color="000000"/>
              <w:bottom w:val="single" w:sz="12" w:space="0" w:color="000000"/>
              <w:right w:val="single" w:sz="6" w:space="0" w:color="000000"/>
            </w:tcBorders>
          </w:tcPr>
          <w:p>
            <w:pPr/>
          </w:p>
        </w:tc>
        <w:tc>
          <w:tcPr>
            <w:tcW w:w="300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9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4,558,522.70</w:t>
            </w:r>
          </w:p>
        </w:tc>
        <w:tc>
          <w:tcPr>
            <w:tcW w:w="3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7,926,296.61</w:t>
            </w:r>
          </w:p>
        </w:tc>
      </w:tr>
    </w:tbl>
    <w:p>
      <w:pPr>
        <w:pStyle w:val="BodyText"/>
        <w:spacing w:line="316" w:lineRule="auto" w:before="19"/>
        <w:ind w:right="1130" w:firstLine="360"/>
        <w:jc w:val="both"/>
      </w:pPr>
      <w:r>
        <w:rPr>
          <w:spacing w:val="-2"/>
        </w:rPr>
        <w:t>为规避汇率风险，公司主要采取以下措施：通过积极调整生产结构和产品结构，提高劳动生产率和产品附加值，争取更</w:t>
      </w:r>
      <w:r>
        <w:rPr/>
        <w:t> </w:t>
      </w:r>
      <w:r>
        <w:rPr>
          <w:spacing w:val="-2"/>
        </w:rPr>
        <w:t>大的利润空间；加快资金回笼速度，及时结汇，加快资金的周转率；充分依靠公司的竞争优势，发挥议价能力，接单过程中</w:t>
      </w:r>
      <w:r>
        <w:rPr>
          <w:spacing w:val="-68"/>
        </w:rPr>
        <w:t> </w:t>
      </w:r>
      <w:r>
        <w:rPr>
          <w:spacing w:val="-68"/>
        </w:rPr>
      </w:r>
      <w:r>
        <w:rPr/>
        <w:t>全面考虑人民币的升值预期，在出口合同中附加相关条款，减少和转嫁部分汇率波动风险。</w:t>
      </w:r>
    </w:p>
    <w:p>
      <w:pPr>
        <w:pStyle w:val="BodyText"/>
        <w:spacing w:line="316" w:lineRule="auto" w:before="19"/>
        <w:ind w:left="474" w:right="1212"/>
        <w:jc w:val="left"/>
      </w:pPr>
      <w:r>
        <w:rPr/>
        <w:t>外汇风险敏感性分析： 外汇风险敏感性分析假设：在其他变量不变的情况下，汇率可能发生的合理变动对当期损益和股东权益的影响如下：</w:t>
      </w:r>
    </w:p>
    <w:tbl>
      <w:tblPr>
        <w:tblW w:w="0" w:type="auto"/>
        <w:jc w:val="left"/>
        <w:tblInd w:w="391" w:type="dxa"/>
        <w:tblLayout w:type="fixed"/>
        <w:tblCellMar>
          <w:top w:w="0" w:type="dxa"/>
          <w:left w:w="0" w:type="dxa"/>
          <w:bottom w:w="0" w:type="dxa"/>
          <w:right w:w="0" w:type="dxa"/>
        </w:tblCellMar>
        <w:tblLook w:val="01E0"/>
      </w:tblPr>
      <w:tblGrid>
        <w:gridCol w:w="1134"/>
        <w:gridCol w:w="1559"/>
        <w:gridCol w:w="1559"/>
        <w:gridCol w:w="1843"/>
        <w:gridCol w:w="1559"/>
        <w:gridCol w:w="1844"/>
      </w:tblGrid>
      <w:tr>
        <w:trPr>
          <w:trHeight w:val="355" w:hRule="exact"/>
        </w:trPr>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21"/>
              <w:ind w:left="288"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21"/>
              <w:ind w:left="410"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340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3404"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352" w:hRule="exact"/>
        </w:trPr>
        <w:tc>
          <w:tcPr>
            <w:tcW w:w="1134" w:type="dxa"/>
            <w:vMerge/>
            <w:tcBorders>
              <w:left w:val="single" w:sz="6" w:space="0" w:color="000000"/>
              <w:bottom w:val="single" w:sz="12" w:space="0" w:color="000000"/>
              <w:right w:val="single" w:sz="6" w:space="0" w:color="000000"/>
            </w:tcBorders>
          </w:tcPr>
          <w:p>
            <w:pPr/>
          </w:p>
        </w:tc>
        <w:tc>
          <w:tcPr>
            <w:tcW w:w="1559" w:type="dxa"/>
            <w:vMerge/>
            <w:tcBorders>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0" w:right="0"/>
              <w:jc w:val="left"/>
              <w:rPr>
                <w:rFonts w:ascii="宋体" w:hAnsi="宋体" w:cs="宋体" w:eastAsia="宋体" w:hint="default"/>
                <w:sz w:val="18"/>
                <w:szCs w:val="18"/>
              </w:rPr>
            </w:pPr>
            <w:r>
              <w:rPr>
                <w:rFonts w:ascii="宋体" w:hAnsi="宋体" w:cs="宋体" w:eastAsia="宋体" w:hint="default"/>
                <w:b/>
                <w:bCs/>
                <w:sz w:val="18"/>
                <w:szCs w:val="18"/>
              </w:rPr>
              <w:t>对股东权益的影响</w:t>
            </w:r>
            <w:r>
              <w:rPr>
                <w:rFonts w:ascii="宋体" w:hAnsi="宋体" w:cs="宋体" w:eastAsia="宋体" w:hint="default"/>
                <w:sz w:val="18"/>
                <w:szCs w:val="18"/>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b/>
                <w:bCs/>
                <w:sz w:val="18"/>
                <w:szCs w:val="18"/>
              </w:rPr>
              <w:t>对股东权益的影响</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391" w:type="dxa"/>
        <w:tblLayout w:type="fixed"/>
        <w:tblCellMar>
          <w:top w:w="0" w:type="dxa"/>
          <w:left w:w="0" w:type="dxa"/>
          <w:bottom w:w="0" w:type="dxa"/>
          <w:right w:w="0" w:type="dxa"/>
        </w:tblCellMar>
        <w:tblLook w:val="01E0"/>
      </w:tblPr>
      <w:tblGrid>
        <w:gridCol w:w="1134"/>
        <w:gridCol w:w="1559"/>
        <w:gridCol w:w="1559"/>
        <w:gridCol w:w="1843"/>
        <w:gridCol w:w="1559"/>
        <w:gridCol w:w="1844"/>
      </w:tblGrid>
      <w:tr>
        <w:trPr>
          <w:trHeight w:val="355" w:hRule="exact"/>
        </w:trPr>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人民币升值</w:t>
            </w:r>
            <w:r>
              <w:rPr>
                <w:rFonts w:ascii="宋体" w:hAnsi="宋体" w:cs="宋体" w:eastAsia="宋体" w:hint="default"/>
                <w:sz w:val="18"/>
                <w:szCs w:val="18"/>
              </w:rPr>
              <w:t>5%</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241,496.67</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241,496.67</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432,990.01</w:t>
            </w:r>
          </w:p>
        </w:tc>
        <w:tc>
          <w:tcPr>
            <w:tcW w:w="18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432,990.01</w:t>
            </w:r>
          </w:p>
        </w:tc>
      </w:tr>
      <w:tr>
        <w:trPr>
          <w:trHeight w:val="352" w:hRule="exact"/>
        </w:trPr>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人民币贬值</w:t>
            </w:r>
            <w:r>
              <w:rPr>
                <w:rFonts w:ascii="宋体" w:hAnsi="宋体" w:cs="宋体" w:eastAsia="宋体" w:hint="default"/>
                <w:sz w:val="18"/>
                <w:szCs w:val="18"/>
              </w:rPr>
              <w:t>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-241,496.67</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-241,496.67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Times New Roman"/>
                <w:w w:val="95"/>
                <w:sz w:val="18"/>
              </w:rPr>
              <w:t>-</w:t>
            </w:r>
            <w:r>
              <w:rPr>
                <w:rFonts w:ascii="宋体"/>
                <w:w w:val="95"/>
                <w:sz w:val="18"/>
              </w:rPr>
              <w:t>432,990.01</w:t>
            </w:r>
            <w:r>
              <w:rPr>
                <w:rFonts w:ascii="宋体"/>
                <w:sz w:val="18"/>
              </w:rPr>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Times New Roman"/>
                <w:w w:val="95"/>
                <w:sz w:val="18"/>
              </w:rPr>
              <w:t>-</w:t>
            </w:r>
            <w:r>
              <w:rPr>
                <w:rFonts w:ascii="宋体"/>
                <w:w w:val="95"/>
                <w:sz w:val="18"/>
              </w:rPr>
              <w:t>432,990.01</w:t>
            </w:r>
            <w:r>
              <w:rPr>
                <w:rFonts w:ascii="宋体"/>
                <w:sz w:val="18"/>
              </w:rPr>
            </w:r>
          </w:p>
        </w:tc>
      </w:tr>
    </w:tbl>
    <w:p>
      <w:pPr>
        <w:pStyle w:val="BodyText"/>
        <w:spacing w:line="319" w:lineRule="auto" w:before="10"/>
        <w:ind w:left="474" w:right="3372"/>
        <w:jc w:val="left"/>
      </w:pPr>
      <w:r>
        <w:rPr/>
        <w:t>（</w:t>
      </w:r>
      <w:r>
        <w:rPr>
          <w:rFonts w:ascii="宋体" w:hAnsi="宋体" w:cs="宋体" w:eastAsia="宋体" w:hint="default"/>
        </w:rPr>
        <w:t>2</w:t>
      </w:r>
      <w:r>
        <w:rPr/>
        <w:t>）利率风险 利率风险，是指金融工具的公允价值或未来现金流量因市场利率变动而发生波动的风险。 </w:t>
      </w:r>
      <w:r>
        <w:rPr>
          <w:rFonts w:ascii="宋体" w:hAnsi="宋体" w:cs="宋体" w:eastAsia="宋体" w:hint="default"/>
        </w:rPr>
        <w:t>3</w:t>
      </w:r>
      <w:r>
        <w:rPr/>
        <w:t>、流动风险</w:t>
      </w:r>
    </w:p>
    <w:p>
      <w:pPr>
        <w:pStyle w:val="BodyText"/>
        <w:spacing w:line="316" w:lineRule="auto" w:before="17"/>
        <w:ind w:right="1131" w:firstLine="270"/>
        <w:jc w:val="both"/>
      </w:pPr>
      <w:r>
        <w:rPr/>
        <w:t>流动性风险，是指企业在履行以交付现金或其他金融资产的方式结算的义务时发生资金短缺的风险。本公司的政策是确 </w:t>
      </w:r>
      <w:r>
        <w:rPr>
          <w:spacing w:val="-2"/>
        </w:rPr>
        <w:t>保拥有充足的现金以偿还到期债务。流动性风险由本公司的财务部门集中控制。财务部门通过监控现金余额、可随时变现的</w:t>
      </w:r>
      <w:r>
        <w:rPr>
          <w:spacing w:val="-66"/>
        </w:rPr>
        <w:t> </w:t>
      </w:r>
      <w:r>
        <w:rPr>
          <w:spacing w:val="-66"/>
        </w:rPr>
      </w:r>
      <w:r>
        <w:rPr/>
        <w:t>有价证券等以确保公司在所有合理预测的情况下拥有充足的资金偿还债务。</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982"/>
        <w:jc w:val="left"/>
        <w:rPr>
          <w:b w:val="0"/>
          <w:bCs w:val="0"/>
        </w:rPr>
      </w:pPr>
      <w:bookmarkStart w:name="十一、关联方及关联交易" w:id="374"/>
      <w:bookmarkEnd w:id="374"/>
      <w:r>
        <w:rPr>
          <w:b w:val="0"/>
          <w:bCs w:val="0"/>
        </w:rPr>
      </w: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bookmarkStart w:name="1、本企业的母公司情况" w:id="375"/>
      <w:bookmarkEnd w:id="37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pStyle w:val="BodyText"/>
        <w:spacing w:line="240" w:lineRule="auto" w:before="51"/>
        <w:ind w:right="982"/>
        <w:jc w:val="left"/>
      </w:pPr>
      <w:r>
        <w:rPr/>
        <w:t>本企业的母公司情况的说明</w:t>
      </w:r>
    </w:p>
    <w:p>
      <w:pPr>
        <w:pStyle w:val="Heading5"/>
        <w:spacing w:line="240" w:lineRule="auto" w:before="90"/>
        <w:ind w:left="596" w:right="982"/>
        <w:jc w:val="left"/>
      </w:pPr>
      <w:r>
        <w:rPr/>
        <w:t>①本公司实际控制人变动后</w:t>
      </w:r>
    </w:p>
    <w:p>
      <w:pPr>
        <w:spacing w:line="240" w:lineRule="auto" w:before="6"/>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152"/>
        <w:gridCol w:w="2260"/>
        <w:gridCol w:w="2534"/>
        <w:gridCol w:w="2127"/>
      </w:tblGrid>
      <w:tr>
        <w:trPr>
          <w:trHeight w:val="361" w:hRule="exact"/>
        </w:trPr>
        <w:tc>
          <w:tcPr>
            <w:tcW w:w="2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64" w:right="0"/>
              <w:jc w:val="left"/>
              <w:rPr>
                <w:rFonts w:ascii="宋体" w:hAnsi="宋体" w:cs="宋体" w:eastAsia="宋体" w:hint="default"/>
                <w:sz w:val="18"/>
                <w:szCs w:val="18"/>
              </w:rPr>
            </w:pPr>
            <w:r>
              <w:rPr>
                <w:rFonts w:ascii="宋体" w:hAnsi="宋体" w:cs="宋体" w:eastAsia="宋体" w:hint="default"/>
                <w:b/>
                <w:bCs/>
                <w:sz w:val="18"/>
                <w:szCs w:val="18"/>
              </w:rPr>
              <w:t>本公司实际控控股股东</w:t>
            </w:r>
            <w:r>
              <w:rPr>
                <w:rFonts w:ascii="宋体" w:hAnsi="宋体" w:cs="宋体" w:eastAsia="宋体" w:hint="default"/>
                <w:sz w:val="18"/>
                <w:szCs w:val="18"/>
              </w:rPr>
            </w:r>
          </w:p>
        </w:tc>
        <w:tc>
          <w:tcPr>
            <w:tcW w:w="2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b/>
                <w:bCs/>
                <w:sz w:val="18"/>
                <w:szCs w:val="18"/>
              </w:rPr>
              <w:t>对本公司的持股比例（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对本公司的表决权比例（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b/>
                <w:bCs/>
                <w:sz w:val="18"/>
                <w:szCs w:val="18"/>
              </w:rPr>
              <w:t>本公司最终控制方</w:t>
            </w:r>
            <w:r>
              <w:rPr>
                <w:rFonts w:ascii="宋体" w:hAnsi="宋体" w:cs="宋体" w:eastAsia="宋体" w:hint="default"/>
                <w:sz w:val="18"/>
                <w:szCs w:val="18"/>
              </w:rPr>
            </w:r>
          </w:p>
        </w:tc>
      </w:tr>
      <w:tr>
        <w:trPr>
          <w:trHeight w:val="675" w:hRule="exact"/>
        </w:trPr>
        <w:tc>
          <w:tcPr>
            <w:tcW w:w="21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3"/>
                <w:sz w:val="18"/>
                <w:szCs w:val="18"/>
              </w:rPr>
              <w:t>苏州睿畅投资管理有限公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2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11.00</w:t>
            </w:r>
          </w:p>
        </w:tc>
        <w:tc>
          <w:tcPr>
            <w:tcW w:w="2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钱建蓉</w:t>
            </w:r>
          </w:p>
        </w:tc>
      </w:tr>
    </w:tbl>
    <w:p>
      <w:pPr>
        <w:spacing w:line="240" w:lineRule="auto" w:before="8"/>
        <w:rPr>
          <w:rFonts w:ascii="宋体" w:hAnsi="宋体" w:cs="宋体" w:eastAsia="宋体" w:hint="default"/>
          <w:sz w:val="7"/>
          <w:szCs w:val="7"/>
        </w:rPr>
      </w:pPr>
    </w:p>
    <w:p>
      <w:pPr>
        <w:pStyle w:val="Heading5"/>
        <w:spacing w:line="240" w:lineRule="auto" w:before="35"/>
        <w:ind w:left="536" w:right="982"/>
        <w:jc w:val="left"/>
      </w:pPr>
      <w:r>
        <w:rPr/>
        <w:t>②本公司实际控制人变动前</w:t>
      </w:r>
    </w:p>
    <w:p>
      <w:pPr>
        <w:spacing w:line="240" w:lineRule="auto" w:before="6"/>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152"/>
        <w:gridCol w:w="2260"/>
        <w:gridCol w:w="2534"/>
        <w:gridCol w:w="2127"/>
      </w:tblGrid>
      <w:tr>
        <w:trPr>
          <w:trHeight w:val="362" w:hRule="exact"/>
        </w:trPr>
        <w:tc>
          <w:tcPr>
            <w:tcW w:w="2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本公司实际控制人</w:t>
            </w:r>
            <w:r>
              <w:rPr>
                <w:rFonts w:ascii="宋体" w:hAnsi="宋体" w:cs="宋体" w:eastAsia="宋体" w:hint="default"/>
                <w:sz w:val="18"/>
                <w:szCs w:val="18"/>
              </w:rPr>
            </w:r>
          </w:p>
        </w:tc>
        <w:tc>
          <w:tcPr>
            <w:tcW w:w="2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b/>
                <w:bCs/>
                <w:sz w:val="18"/>
                <w:szCs w:val="18"/>
              </w:rPr>
              <w:t>对本公司的持股比例（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对本公司的表决权比例（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b/>
                <w:bCs/>
                <w:sz w:val="18"/>
                <w:szCs w:val="18"/>
              </w:rPr>
              <w:t>本公司最终控制方</w:t>
            </w:r>
            <w:r>
              <w:rPr>
                <w:rFonts w:ascii="宋体" w:hAnsi="宋体" w:cs="宋体" w:eastAsia="宋体" w:hint="default"/>
                <w:sz w:val="18"/>
                <w:szCs w:val="18"/>
              </w:rPr>
            </w:r>
          </w:p>
        </w:tc>
      </w:tr>
      <w:tr>
        <w:trPr>
          <w:trHeight w:val="361" w:hRule="exact"/>
        </w:trPr>
        <w:tc>
          <w:tcPr>
            <w:tcW w:w="2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孙世尧家族</w:t>
            </w:r>
          </w:p>
        </w:tc>
        <w:tc>
          <w:tcPr>
            <w:tcW w:w="2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21.97</w:t>
            </w:r>
          </w:p>
        </w:tc>
        <w:tc>
          <w:tcPr>
            <w:tcW w:w="25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21.97</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孙世尧家族</w:t>
            </w:r>
          </w:p>
        </w:tc>
      </w:tr>
    </w:tbl>
    <w:p>
      <w:pPr>
        <w:spacing w:line="240" w:lineRule="auto" w:before="5"/>
        <w:rPr>
          <w:rFonts w:ascii="宋体" w:hAnsi="宋体" w:cs="宋体" w:eastAsia="宋体" w:hint="default"/>
          <w:sz w:val="24"/>
          <w:szCs w:val="24"/>
        </w:rPr>
      </w:pPr>
    </w:p>
    <w:p>
      <w:pPr>
        <w:pStyle w:val="BodyText"/>
        <w:spacing w:line="360" w:lineRule="auto" w:before="44"/>
        <w:ind w:right="8412"/>
        <w:jc w:val="left"/>
      </w:pPr>
      <w:r>
        <w:rPr/>
        <w:t>本企业最终控制方是钱建蓉。 其他说明：</w:t>
      </w:r>
    </w:p>
    <w:p>
      <w:pPr>
        <w:spacing w:line="240" w:lineRule="auto" w:before="11"/>
        <w:rPr>
          <w:rFonts w:ascii="宋体" w:hAnsi="宋体" w:cs="宋体" w:eastAsia="宋体" w:hint="default"/>
          <w:sz w:val="19"/>
          <w:szCs w:val="19"/>
        </w:rPr>
      </w:pPr>
    </w:p>
    <w:p>
      <w:pPr>
        <w:spacing w:line="547" w:lineRule="auto" w:before="0"/>
        <w:ind w:left="114" w:right="7062" w:firstLine="0"/>
        <w:jc w:val="left"/>
        <w:rPr>
          <w:rFonts w:ascii="宋体" w:hAnsi="宋体" w:cs="宋体" w:eastAsia="宋体" w:hint="default"/>
          <w:sz w:val="21"/>
          <w:szCs w:val="21"/>
        </w:rPr>
      </w:pPr>
      <w:bookmarkStart w:name="2、本企业的子公司情况" w:id="376"/>
      <w:bookmarkEnd w:id="37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77"/>
      <w:bookmarkEnd w:id="37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18"/>
          <w:szCs w:val="18"/>
        </w:rPr>
        <w:t>本企业重要的合营或联营企业详见附注七、</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bookmarkStart w:name="4、其他关联方情况" w:id="378"/>
      <w:bookmarkEnd w:id="37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上海瑞文投资咨询有限公司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上海中锐教育发展有限公司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苏州科锐软件开发有限公司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江苏中锐科教发展有限公司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上海中锐创业投资管理有限公司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杭州晨莘投资管理合伙企业（有限合伙）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杭州博珲投资管理合伙企业（有限合伙）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上海中锐文化发展有限公司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无锡音速凡贸易有限公司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上海总财金融信息服务有限公司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南京中锐投资有限公司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上海宁总贸易有限公司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实际控制人一致行动人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实际控制人一致行动人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原实际控制人孙世尧家族成员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原实际控制人孙世尧家族成员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原实际控制人孙世尧家族成员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pStyle w:val="BodyText"/>
        <w:spacing w:line="240" w:lineRule="auto" w:before="51"/>
        <w:ind w:right="982"/>
        <w:jc w:val="left"/>
      </w:pPr>
      <w:r>
        <w:rPr/>
        <w:t>其他说明</w:t>
      </w:r>
    </w:p>
    <w:p>
      <w:pPr>
        <w:pStyle w:val="BodyText"/>
        <w:spacing w:line="240" w:lineRule="auto" w:before="116"/>
        <w:ind w:right="98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年，公司股东于志芬、孙红丽、霍文菊股份本期将持有股份全部转让，期末不再属于关联方。</w:t>
      </w:r>
    </w:p>
    <w:p>
      <w:pPr>
        <w:spacing w:line="240" w:lineRule="auto" w:before="11"/>
        <w:rPr>
          <w:rFonts w:ascii="宋体" w:hAnsi="宋体" w:cs="宋体" w:eastAsia="宋体" w:hint="default"/>
          <w:sz w:val="25"/>
          <w:szCs w:val="25"/>
        </w:rPr>
      </w:pPr>
    </w:p>
    <w:p>
      <w:pPr>
        <w:pStyle w:val="Heading4"/>
        <w:spacing w:line="240" w:lineRule="auto"/>
        <w:ind w:right="982"/>
        <w:jc w:val="left"/>
        <w:rPr>
          <w:b w:val="0"/>
          <w:bCs w:val="0"/>
        </w:rPr>
      </w:pPr>
      <w:bookmarkStart w:name="5、关联交易情况" w:id="379"/>
      <w:bookmarkEnd w:id="37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购销商品、提供和接受劳务的关联交易" w:id="380"/>
      <w:bookmarkEnd w:id="38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深圳在乎传媒科技有限公司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5" w:right="0"/>
              <w:jc w:val="left"/>
              <w:rPr>
                <w:rFonts w:ascii="Times New Roman" w:hAnsi="Times New Roman" w:cs="Times New Roman" w:eastAsia="Times New Roman" w:hint="default"/>
                <w:sz w:val="18"/>
                <w:szCs w:val="18"/>
              </w:rPr>
            </w:pPr>
            <w:r>
              <w:rPr>
                <w:rFonts w:ascii="Times New Roman"/>
                <w:sz w:val="18"/>
              </w:rPr>
              <w:t>54,698.29</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关联担保情况" w:id="381"/>
      <w:bookmarkEnd w:id="381"/>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40"/>
        <w:gridCol w:w="1389"/>
        <w:gridCol w:w="1914"/>
        <w:gridCol w:w="1914"/>
        <w:gridCol w:w="1914"/>
      </w:tblGrid>
      <w:tr>
        <w:trPr>
          <w:trHeight w:val="71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40"/>
        <w:gridCol w:w="1389"/>
        <w:gridCol w:w="1914"/>
        <w:gridCol w:w="1914"/>
        <w:gridCol w:w="1914"/>
      </w:tblGrid>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82"/>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司、孙鲲鹏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重庆华宇园林有限公 </w:t>
            </w:r>
            <w:r>
              <w:rPr>
                <w:rFonts w:ascii="宋体" w:hAnsi="宋体" w:cs="宋体" w:eastAsia="宋体" w:hint="default"/>
                <w:spacing w:val="-2"/>
                <w:sz w:val="18"/>
                <w:szCs w:val="18"/>
              </w:rPr>
              <w:t>司、孙世尧、于志芬、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孙鲲鹏、林田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重庆华宇园林有限公 </w:t>
            </w:r>
            <w:r>
              <w:rPr>
                <w:rFonts w:ascii="宋体" w:hAnsi="宋体" w:cs="宋体" w:eastAsia="宋体" w:hint="default"/>
                <w:spacing w:val="-2"/>
                <w:sz w:val="18"/>
                <w:szCs w:val="18"/>
              </w:rPr>
              <w:t>司、孙世尧、于志芬、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孙鲲鹏、林田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重庆华宇园林有限公 </w:t>
            </w:r>
            <w:r>
              <w:rPr>
                <w:rFonts w:ascii="宋体" w:hAnsi="宋体" w:cs="宋体" w:eastAsia="宋体" w:hint="default"/>
                <w:spacing w:val="-2"/>
                <w:sz w:val="18"/>
                <w:szCs w:val="18"/>
              </w:rPr>
              <w:t>司、孙世尧、于志芬、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孙鲲鹏、林田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重庆华宇园林有限公 </w:t>
            </w:r>
            <w:r>
              <w:rPr>
                <w:rFonts w:ascii="宋体" w:hAnsi="宋体" w:cs="宋体" w:eastAsia="宋体" w:hint="default"/>
                <w:spacing w:val="-2"/>
                <w:sz w:val="18"/>
                <w:szCs w:val="18"/>
              </w:rPr>
              <w:t>司、孙世尧、于志芬、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孙鲲鹏、林田、中锐 控股集团有限公司、 苏州睿畅投资管理有 限公司、钱建蓉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13,726,400.00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成都海川制盖有限公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大冶市劲鹏制盖有限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孙世尧、于志芬、重 庆华宇园林有限公司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孙世尧、于志芬、重 庆华宇园林有限公司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孙世尧、于志芬、重 庆华宇园林有限公司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孙世尧、于志芳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孙世尧、于志芬、重 庆华宇园林有限公司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成都海川制盖有限公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孙世尧、孙鲲鹏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982"/>
        <w:jc w:val="left"/>
        <w:rPr>
          <w:b w:val="0"/>
          <w:bCs w:val="0"/>
        </w:rPr>
      </w:pPr>
      <w:bookmarkStart w:name="（3）关联方资金拆借" w:id="382"/>
      <w:bookmarkEnd w:id="382"/>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4"/>
        <w:gridCol w:w="1604"/>
        <w:gridCol w:w="1915"/>
        <w:gridCol w:w="1914"/>
        <w:gridCol w:w="1914"/>
      </w:tblGrid>
      <w:tr>
        <w:trPr>
          <w:trHeight w:val="402" w:hRule="exact"/>
        </w:trPr>
        <w:tc>
          <w:tcPr>
            <w:tcW w:w="2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关键管理人员报酬" w:id="383"/>
      <w:bookmarkEnd w:id="383"/>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288.62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288.34</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6、关联方应收应付款项" w:id="384"/>
      <w:bookmarkEnd w:id="38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应收项目" w:id="385"/>
      <w:bookmarkEnd w:id="38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21"/>
              <w:jc w:val="both"/>
              <w:rPr>
                <w:rFonts w:ascii="宋体" w:hAnsi="宋体" w:cs="宋体" w:eastAsia="宋体" w:hint="default"/>
                <w:sz w:val="18"/>
                <w:szCs w:val="18"/>
              </w:rPr>
            </w:pPr>
            <w:r>
              <w:rPr>
                <w:rFonts w:ascii="宋体" w:hAnsi="宋体" w:cs="宋体" w:eastAsia="宋体" w:hint="default"/>
                <w:sz w:val="18"/>
                <w:szCs w:val="18"/>
              </w:rPr>
              <w:t>重庆市合川区石 庙子水利综合开 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131,072.83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61" w:right="0"/>
              <w:jc w:val="left"/>
              <w:rPr>
                <w:rFonts w:ascii="Times New Roman" w:hAnsi="Times New Roman" w:cs="Times New Roman" w:eastAsia="Times New Roman" w:hint="default"/>
                <w:sz w:val="18"/>
                <w:szCs w:val="18"/>
              </w:rPr>
            </w:pPr>
            <w:r>
              <w:rPr>
                <w:rFonts w:ascii="Times New Roman"/>
                <w:sz w:val="18"/>
              </w:rPr>
              <w:t>32,048.78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深圳在乎传媒科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63,997.00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重庆市合川区石 庙子水利综合开 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5,000,000.00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华阴市云鼎生态 建设有限责任公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10,712,109.59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应付项目" w:id="386"/>
      <w:bookmarkEnd w:id="38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141,000,000.00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苏州中锐地产集团有限公司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5,000.00</w:t>
            </w:r>
          </w:p>
        </w:tc>
      </w:tr>
    </w:tbl>
    <w:p>
      <w:pPr>
        <w:spacing w:line="240" w:lineRule="auto" w:before="2"/>
        <w:rPr>
          <w:rFonts w:ascii="宋体" w:hAnsi="宋体" w:cs="宋体" w:eastAsia="宋体" w:hint="default"/>
          <w:sz w:val="18"/>
          <w:szCs w:val="18"/>
        </w:rPr>
      </w:pPr>
    </w:p>
    <w:p>
      <w:pPr>
        <w:pStyle w:val="Heading2"/>
        <w:spacing w:line="240" w:lineRule="auto" w:before="26"/>
        <w:ind w:right="982"/>
        <w:jc w:val="left"/>
        <w:rPr>
          <w:b w:val="0"/>
          <w:bCs w:val="0"/>
        </w:rPr>
      </w:pPr>
      <w:bookmarkStart w:name="十二、股份支付" w:id="387"/>
      <w:bookmarkEnd w:id="387"/>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股份支付总体情况" w:id="388"/>
      <w:bookmarkEnd w:id="38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2、以权益结算的股份支付情况" w:id="389"/>
      <w:bookmarkEnd w:id="38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3、以现金结算的股份支付情况" w:id="390"/>
      <w:bookmarkEnd w:id="39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4、股份支付的修改、终止情况" w:id="391"/>
      <w:bookmarkEnd w:id="391"/>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4" w:right="8221" w:firstLine="0"/>
        <w:jc w:val="left"/>
        <w:rPr>
          <w:rFonts w:ascii="宋体" w:hAnsi="宋体" w:cs="宋体" w:eastAsia="宋体" w:hint="default"/>
          <w:sz w:val="21"/>
          <w:szCs w:val="21"/>
        </w:rPr>
      </w:pPr>
      <w:bookmarkStart w:name="5、其他" w:id="392"/>
      <w:bookmarkEnd w:id="39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393"/>
      <w:bookmarkEnd w:id="39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394"/>
      <w:bookmarkEnd w:id="394"/>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982"/>
        <w:jc w:val="left"/>
      </w:pPr>
      <w:r>
        <w:rPr/>
        <w:t>资产负债表日存在的重要承诺</w:t>
      </w:r>
    </w:p>
    <w:p>
      <w:pPr>
        <w:pStyle w:val="BodyText"/>
        <w:spacing w:line="240" w:lineRule="auto" w:before="116"/>
        <w:ind w:right="982"/>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日，公司无影响本财务报表阅读和理解的重大承诺事项。</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left="234" w:right="0"/>
        <w:jc w:val="left"/>
        <w:rPr>
          <w:b w:val="0"/>
          <w:bCs w:val="0"/>
        </w:rPr>
      </w:pPr>
      <w:bookmarkStart w:name="2、或有事项" w:id="395"/>
      <w:bookmarkEnd w:id="39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34" w:right="0"/>
        <w:jc w:val="left"/>
        <w:rPr>
          <w:b w:val="0"/>
          <w:bCs w:val="0"/>
        </w:rPr>
      </w:pPr>
      <w:bookmarkStart w:name="（1）资产负债表日存在的重要或有事项" w:id="396"/>
      <w:bookmarkEnd w:id="39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4" w:right="0"/>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日，公司不存在需要披露的重大或有事项。</w:t>
      </w:r>
    </w:p>
    <w:p>
      <w:pPr>
        <w:spacing w:line="240" w:lineRule="auto" w:before="11"/>
        <w:rPr>
          <w:rFonts w:ascii="宋体" w:hAnsi="宋体" w:cs="宋体" w:eastAsia="宋体" w:hint="default"/>
          <w:sz w:val="25"/>
          <w:szCs w:val="25"/>
        </w:rPr>
      </w:pPr>
    </w:p>
    <w:p>
      <w:pPr>
        <w:pStyle w:val="Heading4"/>
        <w:spacing w:line="240" w:lineRule="auto"/>
        <w:ind w:left="234" w:right="0"/>
        <w:jc w:val="left"/>
        <w:rPr>
          <w:b w:val="0"/>
          <w:bCs w:val="0"/>
        </w:rPr>
      </w:pPr>
      <w:bookmarkStart w:name="（2）公司没有需要披露的重要或有事项，也应予以说明" w:id="397"/>
      <w:bookmarkEnd w:id="39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4" w:right="0"/>
        <w:jc w:val="left"/>
      </w:pPr>
      <w:r>
        <w:rPr/>
        <w:t>公司不存在需要披露的重要或有事项。</w:t>
      </w:r>
    </w:p>
    <w:p>
      <w:pPr>
        <w:spacing w:line="240" w:lineRule="auto" w:before="2"/>
        <w:rPr>
          <w:rFonts w:ascii="宋体" w:hAnsi="宋体" w:cs="宋体" w:eastAsia="宋体" w:hint="default"/>
          <w:sz w:val="25"/>
          <w:szCs w:val="25"/>
        </w:rPr>
      </w:pPr>
    </w:p>
    <w:p>
      <w:pPr>
        <w:pStyle w:val="Heading2"/>
        <w:spacing w:line="240" w:lineRule="auto"/>
        <w:ind w:left="234" w:right="0"/>
        <w:jc w:val="left"/>
        <w:rPr>
          <w:b w:val="0"/>
          <w:bCs w:val="0"/>
        </w:rPr>
      </w:pPr>
      <w:bookmarkStart w:name="十四、资产负债表日后事项" w:id="398"/>
      <w:bookmarkEnd w:id="398"/>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34" w:right="0"/>
        <w:jc w:val="left"/>
        <w:rPr>
          <w:b w:val="0"/>
          <w:bCs w:val="0"/>
        </w:rPr>
      </w:pPr>
      <w:bookmarkStart w:name="1、其他资产负债表日后事项说明" w:id="399"/>
      <w:bookmarkEnd w:id="399"/>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94" w:right="0"/>
        <w:jc w:val="left"/>
      </w:pPr>
      <w:r>
        <w:rPr/>
        <w:t>截至审计报告日，公司资产负债表日后重大事项为部分银行借款及银行承兑汇票发生逾期情况。</w:t>
      </w:r>
    </w:p>
    <w:p>
      <w:pPr>
        <w:spacing w:line="240" w:lineRule="auto" w:before="10"/>
        <w:rPr>
          <w:rFonts w:ascii="宋体" w:hAnsi="宋体" w:cs="宋体" w:eastAsia="宋体" w:hint="default"/>
          <w:sz w:val="20"/>
          <w:szCs w:val="20"/>
        </w:rPr>
      </w:pPr>
    </w:p>
    <w:p>
      <w:pPr>
        <w:pStyle w:val="BodyText"/>
        <w:spacing w:line="240" w:lineRule="auto"/>
        <w:ind w:left="594" w:right="0"/>
        <w:jc w:val="left"/>
      </w:pPr>
      <w:r>
        <w:rPr/>
        <w:t>（</w:t>
      </w:r>
      <w:r>
        <w:rPr>
          <w:rFonts w:ascii="宋体" w:hAnsi="宋体" w:cs="宋体" w:eastAsia="宋体" w:hint="default"/>
        </w:rPr>
        <w:t>1</w:t>
      </w:r>
      <w:r>
        <w:rPr/>
        <w:t>）报表日至审计报告日，逾期银行借款情况：</w:t>
      </w:r>
    </w:p>
    <w:p>
      <w:pPr>
        <w:spacing w:line="240" w:lineRule="auto" w:before="12"/>
        <w:rPr>
          <w:rFonts w:ascii="宋体" w:hAnsi="宋体" w:cs="宋体" w:eastAsia="宋体" w:hint="default"/>
          <w:sz w:val="22"/>
          <w:szCs w:val="22"/>
        </w:rPr>
      </w:pPr>
    </w:p>
    <w:tbl>
      <w:tblPr>
        <w:tblW w:w="0" w:type="auto"/>
        <w:jc w:val="left"/>
        <w:tblInd w:w="126" w:type="dxa"/>
        <w:tblLayout w:type="fixed"/>
        <w:tblCellMar>
          <w:top w:w="0" w:type="dxa"/>
          <w:left w:w="0" w:type="dxa"/>
          <w:bottom w:w="0" w:type="dxa"/>
          <w:right w:w="0" w:type="dxa"/>
        </w:tblCellMar>
        <w:tblLook w:val="01E0"/>
      </w:tblPr>
      <w:tblGrid>
        <w:gridCol w:w="1954"/>
        <w:gridCol w:w="1531"/>
        <w:gridCol w:w="1391"/>
        <w:gridCol w:w="1112"/>
        <w:gridCol w:w="1113"/>
        <w:gridCol w:w="823"/>
        <w:gridCol w:w="1284"/>
      </w:tblGrid>
      <w:tr>
        <w:trPr>
          <w:trHeight w:val="733" w:hRule="exact"/>
        </w:trPr>
        <w:tc>
          <w:tcPr>
            <w:tcW w:w="195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53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139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借款日</w:t>
            </w:r>
            <w:r>
              <w:rPr>
                <w:rFonts w:ascii="宋体" w:hAnsi="宋体" w:cs="宋体" w:eastAsia="宋体" w:hint="default"/>
                <w:sz w:val="18"/>
                <w:szCs w:val="18"/>
              </w:rPr>
            </w:r>
          </w:p>
        </w:tc>
        <w:tc>
          <w:tcPr>
            <w:tcW w:w="111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113" w:type="dxa"/>
            <w:tcBorders>
              <w:top w:val="single" w:sz="12" w:space="0" w:color="000000"/>
              <w:left w:val="single" w:sz="4" w:space="0" w:color="000000"/>
              <w:bottom w:val="single" w:sz="12" w:space="0" w:color="000000"/>
              <w:right w:val="single" w:sz="4" w:space="0" w:color="000000"/>
            </w:tcBorders>
          </w:tcPr>
          <w:p>
            <w:pPr>
              <w:pStyle w:val="TableParagraph"/>
              <w:spacing w:line="316" w:lineRule="auto" w:before="51"/>
              <w:ind w:left="279" w:right="189" w:hanging="90"/>
              <w:jc w:val="left"/>
              <w:rPr>
                <w:rFonts w:ascii="宋体" w:hAnsi="宋体" w:cs="宋体" w:eastAsia="宋体" w:hint="default"/>
                <w:sz w:val="18"/>
                <w:szCs w:val="18"/>
              </w:rPr>
            </w:pPr>
            <w:r>
              <w:rPr>
                <w:rFonts w:ascii="宋体" w:hAnsi="宋体" w:cs="宋体" w:eastAsia="宋体" w:hint="default"/>
                <w:b/>
                <w:bCs/>
                <w:sz w:val="18"/>
                <w:szCs w:val="18"/>
              </w:rPr>
              <w:t>实际还清</w:t>
            </w:r>
            <w:r>
              <w:rPr>
                <w:rFonts w:ascii="宋体" w:hAnsi="宋体" w:cs="宋体" w:eastAsia="宋体" w:hint="default"/>
                <w:b/>
                <w:bCs/>
                <w:w w:val="99"/>
                <w:sz w:val="18"/>
                <w:szCs w:val="18"/>
              </w:rPr>
              <w:t> </w:t>
            </w:r>
            <w:r>
              <w:rPr>
                <w:rFonts w:ascii="宋体" w:hAnsi="宋体" w:cs="宋体" w:eastAsia="宋体" w:hint="default"/>
                <w:b/>
                <w:bCs/>
                <w:sz w:val="18"/>
                <w:szCs w:val="18"/>
              </w:rPr>
              <w:t>借款日</w:t>
            </w:r>
            <w:r>
              <w:rPr>
                <w:rFonts w:ascii="宋体" w:hAnsi="宋体" w:cs="宋体" w:eastAsia="宋体" w:hint="default"/>
                <w:sz w:val="18"/>
                <w:szCs w:val="18"/>
              </w:rPr>
            </w:r>
          </w:p>
        </w:tc>
        <w:tc>
          <w:tcPr>
            <w:tcW w:w="823" w:type="dxa"/>
            <w:tcBorders>
              <w:top w:val="single" w:sz="12" w:space="0" w:color="000000"/>
              <w:left w:val="single" w:sz="4" w:space="0" w:color="000000"/>
              <w:bottom w:val="single" w:sz="12" w:space="0" w:color="000000"/>
              <w:right w:val="single" w:sz="4" w:space="0" w:color="000000"/>
            </w:tcBorders>
          </w:tcPr>
          <w:p>
            <w:pPr>
              <w:pStyle w:val="TableParagraph"/>
              <w:spacing w:line="316" w:lineRule="auto" w:before="51"/>
              <w:ind w:left="135" w:right="132"/>
              <w:jc w:val="left"/>
              <w:rPr>
                <w:rFonts w:ascii="宋体" w:hAnsi="宋体" w:cs="宋体" w:eastAsia="宋体" w:hint="default"/>
                <w:sz w:val="18"/>
                <w:szCs w:val="18"/>
              </w:rPr>
            </w:pPr>
            <w:r>
              <w:rPr>
                <w:rFonts w:ascii="宋体" w:hAnsi="宋体" w:cs="宋体" w:eastAsia="宋体" w:hint="default"/>
                <w:b/>
                <w:bCs/>
                <w:sz w:val="18"/>
                <w:szCs w:val="18"/>
              </w:rPr>
              <w:t>逾期还</w:t>
            </w:r>
            <w:r>
              <w:rPr>
                <w:rFonts w:ascii="宋体" w:hAnsi="宋体" w:cs="宋体" w:eastAsia="宋体" w:hint="default"/>
                <w:b/>
                <w:bCs/>
                <w:spacing w:val="1"/>
                <w:w w:val="99"/>
                <w:sz w:val="18"/>
                <w:szCs w:val="18"/>
              </w:rPr>
              <w:t> </w:t>
            </w:r>
            <w:r>
              <w:rPr>
                <w:rFonts w:ascii="宋体" w:hAnsi="宋体" w:cs="宋体" w:eastAsia="宋体" w:hint="default"/>
                <w:b/>
                <w:bCs/>
                <w:sz w:val="18"/>
                <w:szCs w:val="18"/>
              </w:rPr>
              <w:t>款原因</w:t>
            </w:r>
            <w:r>
              <w:rPr>
                <w:rFonts w:ascii="宋体" w:hAnsi="宋体" w:cs="宋体" w:eastAsia="宋体" w:hint="default"/>
                <w:sz w:val="18"/>
                <w:szCs w:val="18"/>
              </w:rPr>
            </w:r>
          </w:p>
        </w:tc>
        <w:tc>
          <w:tcPr>
            <w:tcW w:w="1284" w:type="dxa"/>
            <w:tcBorders>
              <w:top w:val="single" w:sz="12" w:space="0" w:color="000000"/>
              <w:left w:val="single" w:sz="4" w:space="0" w:color="000000"/>
              <w:bottom w:val="single" w:sz="12" w:space="0" w:color="000000"/>
              <w:right w:val="nil" w:sz="6" w:space="0" w:color="auto"/>
            </w:tcBorders>
          </w:tcPr>
          <w:p>
            <w:pPr>
              <w:pStyle w:val="TableParagraph"/>
              <w:spacing w:line="316" w:lineRule="auto" w:before="51"/>
              <w:ind w:left="184" w:right="189"/>
              <w:jc w:val="left"/>
              <w:rPr>
                <w:rFonts w:ascii="宋体" w:hAnsi="宋体" w:cs="宋体" w:eastAsia="宋体" w:hint="default"/>
                <w:sz w:val="18"/>
                <w:szCs w:val="18"/>
              </w:rPr>
            </w:pPr>
            <w:r>
              <w:rPr>
                <w:rFonts w:ascii="宋体" w:hAnsi="宋体" w:cs="宋体" w:eastAsia="宋体" w:hint="default"/>
                <w:b/>
                <w:bCs/>
                <w:sz w:val="18"/>
                <w:szCs w:val="18"/>
              </w:rPr>
              <w:t>截至报告日</w:t>
            </w:r>
            <w:r>
              <w:rPr>
                <w:rFonts w:ascii="宋体" w:hAnsi="宋体" w:cs="宋体" w:eastAsia="宋体" w:hint="default"/>
                <w:b/>
                <w:bCs/>
                <w:w w:val="99"/>
                <w:sz w:val="18"/>
                <w:szCs w:val="18"/>
              </w:rPr>
              <w:t> </w:t>
            </w:r>
            <w:r>
              <w:rPr>
                <w:rFonts w:ascii="宋体" w:hAnsi="宋体" w:cs="宋体" w:eastAsia="宋体" w:hint="default"/>
                <w:b/>
                <w:bCs/>
                <w:sz w:val="18"/>
                <w:szCs w:val="18"/>
              </w:rPr>
              <w:t>是否已还清</w:t>
            </w:r>
            <w:r>
              <w:rPr>
                <w:rFonts w:ascii="宋体" w:hAnsi="宋体" w:cs="宋体" w:eastAsia="宋体" w:hint="default"/>
                <w:sz w:val="18"/>
                <w:szCs w:val="18"/>
              </w:rPr>
            </w:r>
          </w:p>
        </w:tc>
      </w:tr>
      <w:tr>
        <w:trPr>
          <w:trHeight w:val="724" w:hRule="exact"/>
        </w:trPr>
        <w:tc>
          <w:tcPr>
            <w:tcW w:w="1954" w:type="dxa"/>
            <w:tcBorders>
              <w:top w:val="single" w:sz="12" w:space="0" w:color="000000"/>
              <w:left w:val="nil" w:sz="6" w:space="0" w:color="auto"/>
              <w:bottom w:val="single" w:sz="4" w:space="0" w:color="000000"/>
              <w:right w:val="single" w:sz="4" w:space="0" w:color="000000"/>
            </w:tcBorders>
          </w:tcPr>
          <w:p>
            <w:pPr>
              <w:pStyle w:val="TableParagraph"/>
              <w:spacing w:line="319" w:lineRule="auto" w:before="51"/>
              <w:ind w:left="108" w:right="102"/>
              <w:jc w:val="left"/>
              <w:rPr>
                <w:rFonts w:ascii="宋体" w:hAnsi="宋体" w:cs="宋体" w:eastAsia="宋体" w:hint="default"/>
                <w:sz w:val="18"/>
                <w:szCs w:val="18"/>
              </w:rPr>
            </w:pPr>
            <w:r>
              <w:rPr>
                <w:rFonts w:ascii="宋体" w:hAnsi="宋体" w:cs="宋体" w:eastAsia="宋体" w:hint="default"/>
                <w:spacing w:val="12"/>
                <w:sz w:val="18"/>
                <w:szCs w:val="18"/>
              </w:rPr>
              <w:t>中信银行股份有限公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司烟台牟平支行</w:t>
            </w:r>
          </w:p>
        </w:tc>
        <w:tc>
          <w:tcPr>
            <w:tcW w:w="15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z w:val="18"/>
              </w:rPr>
              <w:t>30,000,000.00</w:t>
            </w:r>
          </w:p>
        </w:tc>
        <w:tc>
          <w:tcPr>
            <w:tcW w:w="13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2018-2-5</w:t>
            </w:r>
          </w:p>
        </w:tc>
        <w:tc>
          <w:tcPr>
            <w:tcW w:w="11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2019-2-4</w:t>
            </w:r>
          </w:p>
        </w:tc>
        <w:tc>
          <w:tcPr>
            <w:tcW w:w="1113" w:type="dxa"/>
            <w:tcBorders>
              <w:top w:val="single" w:sz="12" w:space="0" w:color="000000"/>
              <w:left w:val="single" w:sz="4" w:space="0" w:color="000000"/>
              <w:bottom w:val="single" w:sz="4" w:space="0" w:color="000000"/>
              <w:right w:val="single" w:sz="4" w:space="0" w:color="000000"/>
            </w:tcBorders>
          </w:tcPr>
          <w:p>
            <w:pPr/>
          </w:p>
        </w:tc>
        <w:tc>
          <w:tcPr>
            <w:tcW w:w="823"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51"/>
              <w:ind w:left="136" w:right="134"/>
              <w:jc w:val="left"/>
              <w:rPr>
                <w:rFonts w:ascii="宋体" w:hAnsi="宋体" w:cs="宋体" w:eastAsia="宋体" w:hint="default"/>
                <w:sz w:val="18"/>
                <w:szCs w:val="18"/>
              </w:rPr>
            </w:pPr>
            <w:r>
              <w:rPr>
                <w:rFonts w:ascii="宋体" w:hAnsi="宋体" w:cs="宋体" w:eastAsia="宋体" w:hint="default"/>
                <w:sz w:val="18"/>
                <w:szCs w:val="18"/>
              </w:rPr>
              <w:t>资金周 转困难</w:t>
            </w:r>
          </w:p>
        </w:tc>
        <w:tc>
          <w:tcPr>
            <w:tcW w:w="1284"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8" w:right="102"/>
              <w:jc w:val="left"/>
              <w:rPr>
                <w:rFonts w:ascii="宋体" w:hAnsi="宋体" w:cs="宋体" w:eastAsia="宋体" w:hint="default"/>
                <w:sz w:val="18"/>
                <w:szCs w:val="18"/>
              </w:rPr>
            </w:pPr>
            <w:r>
              <w:rPr>
                <w:rFonts w:ascii="宋体" w:hAnsi="宋体" w:cs="宋体" w:eastAsia="宋体" w:hint="default"/>
                <w:spacing w:val="12"/>
                <w:sz w:val="18"/>
                <w:szCs w:val="18"/>
              </w:rPr>
              <w:t>上海浦东发展银行股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份有限公司烟台分行</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z w:val="18"/>
              </w:rPr>
              <w:t>30,000,000.00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2018-2-2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2019-2-1</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2019-2-26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6" w:right="134"/>
              <w:jc w:val="left"/>
              <w:rPr>
                <w:rFonts w:ascii="宋体" w:hAnsi="宋体" w:cs="宋体" w:eastAsia="宋体" w:hint="default"/>
                <w:sz w:val="18"/>
                <w:szCs w:val="18"/>
              </w:rPr>
            </w:pPr>
            <w:r>
              <w:rPr>
                <w:rFonts w:ascii="宋体" w:hAnsi="宋体" w:cs="宋体" w:eastAsia="宋体" w:hint="default"/>
                <w:sz w:val="18"/>
                <w:szCs w:val="18"/>
              </w:rPr>
              <w:t>资金周 转困难</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8" w:right="102"/>
              <w:jc w:val="left"/>
              <w:rPr>
                <w:rFonts w:ascii="宋体" w:hAnsi="宋体" w:cs="宋体" w:eastAsia="宋体" w:hint="default"/>
                <w:sz w:val="18"/>
                <w:szCs w:val="18"/>
              </w:rPr>
            </w:pPr>
            <w:r>
              <w:rPr>
                <w:rFonts w:ascii="宋体" w:hAnsi="宋体" w:cs="宋体" w:eastAsia="宋体" w:hint="default"/>
                <w:spacing w:val="12"/>
                <w:sz w:val="18"/>
                <w:szCs w:val="18"/>
              </w:rPr>
              <w:t>中国光大银行股份有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限烟台分行营业部</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z w:val="18"/>
              </w:rPr>
              <w:t>13,000,000.00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2018-2-2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2019-2-1</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2019-3-19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6" w:right="134"/>
              <w:jc w:val="left"/>
              <w:rPr>
                <w:rFonts w:ascii="宋体" w:hAnsi="宋体" w:cs="宋体" w:eastAsia="宋体" w:hint="default"/>
                <w:sz w:val="18"/>
                <w:szCs w:val="18"/>
              </w:rPr>
            </w:pPr>
            <w:r>
              <w:rPr>
                <w:rFonts w:ascii="宋体" w:hAnsi="宋体" w:cs="宋体" w:eastAsia="宋体" w:hint="default"/>
                <w:sz w:val="18"/>
                <w:szCs w:val="18"/>
              </w:rPr>
              <w:t>资金周 转困难</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8" w:right="102"/>
              <w:jc w:val="left"/>
              <w:rPr>
                <w:rFonts w:ascii="宋体" w:hAnsi="宋体" w:cs="宋体" w:eastAsia="宋体" w:hint="default"/>
                <w:sz w:val="18"/>
                <w:szCs w:val="18"/>
              </w:rPr>
            </w:pPr>
            <w:r>
              <w:rPr>
                <w:rFonts w:ascii="宋体" w:hAnsi="宋体" w:cs="宋体" w:eastAsia="宋体" w:hint="default"/>
                <w:spacing w:val="12"/>
                <w:sz w:val="18"/>
                <w:szCs w:val="18"/>
              </w:rPr>
              <w:t>平安银行股份有限公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司烟台分行</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z w:val="18"/>
              </w:rPr>
              <w:t>14,629,737.06</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2018-4-28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2019-2-8</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2019-3-27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6" w:right="134"/>
              <w:jc w:val="left"/>
              <w:rPr>
                <w:rFonts w:ascii="宋体" w:hAnsi="宋体" w:cs="宋体" w:eastAsia="宋体" w:hint="default"/>
                <w:sz w:val="18"/>
                <w:szCs w:val="18"/>
              </w:rPr>
            </w:pPr>
            <w:r>
              <w:rPr>
                <w:rFonts w:ascii="宋体" w:hAnsi="宋体" w:cs="宋体" w:eastAsia="宋体" w:hint="default"/>
                <w:sz w:val="18"/>
                <w:szCs w:val="18"/>
              </w:rPr>
              <w:t>资金周 转困难</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08" w:right="102"/>
              <w:jc w:val="left"/>
              <w:rPr>
                <w:rFonts w:ascii="宋体" w:hAnsi="宋体" w:cs="宋体" w:eastAsia="宋体" w:hint="default"/>
                <w:sz w:val="18"/>
                <w:szCs w:val="18"/>
              </w:rPr>
            </w:pPr>
            <w:r>
              <w:rPr>
                <w:rFonts w:ascii="宋体" w:hAnsi="宋体" w:cs="宋体" w:eastAsia="宋体" w:hint="default"/>
                <w:spacing w:val="12"/>
                <w:sz w:val="18"/>
                <w:szCs w:val="18"/>
              </w:rPr>
              <w:t>平安银行股份有限公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司烟台分行</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z w:val="18"/>
              </w:rPr>
              <w:t>30,000,000.00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2018-3-13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2019-3-13</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2019-3-29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6" w:right="134"/>
              <w:jc w:val="left"/>
              <w:rPr>
                <w:rFonts w:ascii="宋体" w:hAnsi="宋体" w:cs="宋体" w:eastAsia="宋体" w:hint="default"/>
                <w:sz w:val="18"/>
                <w:szCs w:val="18"/>
              </w:rPr>
            </w:pPr>
            <w:r>
              <w:rPr>
                <w:rFonts w:ascii="宋体" w:hAnsi="宋体" w:cs="宋体" w:eastAsia="宋体" w:hint="default"/>
                <w:sz w:val="18"/>
                <w:szCs w:val="18"/>
              </w:rPr>
              <w:t>资金周 转困难</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24" w:hRule="exact"/>
        </w:trPr>
        <w:tc>
          <w:tcPr>
            <w:tcW w:w="1954" w:type="dxa"/>
            <w:tcBorders>
              <w:top w:val="single" w:sz="4" w:space="0" w:color="000000"/>
              <w:left w:val="nil" w:sz="6" w:space="0" w:color="auto"/>
              <w:bottom w:val="single" w:sz="12" w:space="0" w:color="000000"/>
              <w:right w:val="single" w:sz="4" w:space="0" w:color="000000"/>
            </w:tcBorders>
          </w:tcPr>
          <w:p>
            <w:pPr>
              <w:pStyle w:val="TableParagraph"/>
              <w:spacing w:line="319" w:lineRule="auto" w:before="51"/>
              <w:ind w:left="108" w:right="102"/>
              <w:jc w:val="left"/>
              <w:rPr>
                <w:rFonts w:ascii="宋体" w:hAnsi="宋体" w:cs="宋体" w:eastAsia="宋体" w:hint="default"/>
                <w:sz w:val="18"/>
                <w:szCs w:val="18"/>
              </w:rPr>
            </w:pPr>
            <w:r>
              <w:rPr>
                <w:rFonts w:ascii="宋体" w:hAnsi="宋体" w:cs="宋体" w:eastAsia="宋体" w:hint="default"/>
                <w:spacing w:val="12"/>
                <w:sz w:val="18"/>
                <w:szCs w:val="18"/>
              </w:rPr>
              <w:t>华夏银行股份有限公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司烟台南大街支行</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z w:val="18"/>
              </w:rPr>
              <w:t>50,000,000.00</w:t>
            </w:r>
          </w:p>
        </w:tc>
        <w:tc>
          <w:tcPr>
            <w:tcW w:w="1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2018-3-15</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2019-3-15</w:t>
            </w:r>
          </w:p>
        </w:tc>
        <w:tc>
          <w:tcPr>
            <w:tcW w:w="11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2019-3-29</w:t>
            </w:r>
          </w:p>
        </w:tc>
        <w:tc>
          <w:tcPr>
            <w:tcW w:w="823"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1"/>
              <w:ind w:left="136" w:right="134"/>
              <w:jc w:val="left"/>
              <w:rPr>
                <w:rFonts w:ascii="宋体" w:hAnsi="宋体" w:cs="宋体" w:eastAsia="宋体" w:hint="default"/>
                <w:sz w:val="18"/>
                <w:szCs w:val="18"/>
              </w:rPr>
            </w:pPr>
            <w:r>
              <w:rPr>
                <w:rFonts w:ascii="宋体" w:hAnsi="宋体" w:cs="宋体" w:eastAsia="宋体" w:hint="default"/>
                <w:sz w:val="18"/>
                <w:szCs w:val="18"/>
              </w:rPr>
              <w:t>资金周 转困难</w:t>
            </w:r>
          </w:p>
        </w:tc>
        <w:tc>
          <w:tcPr>
            <w:tcW w:w="128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4"/>
          <w:szCs w:val="14"/>
        </w:rPr>
      </w:pPr>
    </w:p>
    <w:p>
      <w:pPr>
        <w:pStyle w:val="Heading5"/>
        <w:spacing w:line="240" w:lineRule="auto" w:before="35"/>
        <w:ind w:left="654" w:right="0"/>
        <w:jc w:val="left"/>
      </w:pPr>
      <w:r>
        <w:rPr/>
        <w:t>（</w:t>
      </w:r>
      <w:r>
        <w:rPr>
          <w:rFonts w:ascii="宋体" w:hAnsi="宋体" w:cs="宋体" w:eastAsia="宋体" w:hint="default"/>
        </w:rPr>
        <w:t>2</w:t>
      </w:r>
      <w:r>
        <w:rPr/>
        <w:t>）报表日至审计报告日，逾期银行承兑汇票情况：</w:t>
      </w:r>
    </w:p>
    <w:p>
      <w:pPr>
        <w:spacing w:line="240" w:lineRule="auto" w:before="11"/>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128"/>
        <w:gridCol w:w="1392"/>
        <w:gridCol w:w="1253"/>
        <w:gridCol w:w="1118"/>
        <w:gridCol w:w="1112"/>
        <w:gridCol w:w="834"/>
        <w:gridCol w:w="1390"/>
        <w:gridCol w:w="996"/>
      </w:tblGrid>
      <w:tr>
        <w:trPr>
          <w:trHeight w:val="1046" w:hRule="exact"/>
        </w:trPr>
        <w:tc>
          <w:tcPr>
            <w:tcW w:w="1128"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0" w:right="0"/>
              <w:jc w:val="left"/>
              <w:rPr>
                <w:rFonts w:ascii="宋体" w:hAnsi="宋体" w:cs="宋体" w:eastAsia="宋体" w:hint="default"/>
                <w:sz w:val="18"/>
                <w:szCs w:val="18"/>
              </w:rPr>
            </w:pPr>
            <w:r>
              <w:rPr>
                <w:rFonts w:ascii="宋体" w:hAnsi="宋体" w:cs="宋体" w:eastAsia="宋体" w:hint="default"/>
                <w:b/>
                <w:bCs/>
                <w:sz w:val="18"/>
                <w:szCs w:val="18"/>
              </w:rPr>
              <w:t>银行名称</w:t>
            </w:r>
            <w:r>
              <w:rPr>
                <w:rFonts w:ascii="宋体" w:hAnsi="宋体" w:cs="宋体" w:eastAsia="宋体" w:hint="default"/>
                <w:sz w:val="18"/>
                <w:szCs w:val="18"/>
              </w:rPr>
            </w:r>
          </w:p>
        </w:tc>
        <w:tc>
          <w:tcPr>
            <w:tcW w:w="139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8" w:right="0"/>
              <w:jc w:val="left"/>
              <w:rPr>
                <w:rFonts w:ascii="宋体" w:hAnsi="宋体" w:cs="宋体" w:eastAsia="宋体" w:hint="default"/>
                <w:sz w:val="18"/>
                <w:szCs w:val="18"/>
              </w:rPr>
            </w:pPr>
            <w:r>
              <w:rPr>
                <w:rFonts w:ascii="宋体" w:hAnsi="宋体" w:cs="宋体" w:eastAsia="宋体" w:hint="default"/>
                <w:b/>
                <w:bCs/>
                <w:sz w:val="18"/>
                <w:szCs w:val="18"/>
              </w:rPr>
              <w:t>承兑汇票金额</w:t>
            </w:r>
            <w:r>
              <w:rPr>
                <w:rFonts w:ascii="宋体" w:hAnsi="宋体" w:cs="宋体" w:eastAsia="宋体" w:hint="default"/>
                <w:sz w:val="18"/>
                <w:szCs w:val="18"/>
              </w:rPr>
            </w:r>
          </w:p>
        </w:tc>
        <w:tc>
          <w:tcPr>
            <w:tcW w:w="125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b/>
                <w:bCs/>
                <w:sz w:val="18"/>
                <w:szCs w:val="18"/>
              </w:rPr>
              <w:t>票据出票日</w:t>
            </w:r>
            <w:r>
              <w:rPr>
                <w:rFonts w:ascii="宋体" w:hAnsi="宋体" w:cs="宋体" w:eastAsia="宋体" w:hint="default"/>
                <w:sz w:val="18"/>
                <w:szCs w:val="18"/>
              </w:rPr>
            </w:r>
          </w:p>
        </w:tc>
        <w:tc>
          <w:tcPr>
            <w:tcW w:w="11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3" w:right="190" w:hanging="270"/>
              <w:jc w:val="left"/>
              <w:rPr>
                <w:rFonts w:ascii="宋体" w:hAnsi="宋体" w:cs="宋体" w:eastAsia="宋体" w:hint="default"/>
                <w:sz w:val="18"/>
                <w:szCs w:val="18"/>
              </w:rPr>
            </w:pPr>
            <w:r>
              <w:rPr>
                <w:rFonts w:ascii="宋体" w:hAnsi="宋体" w:cs="宋体" w:eastAsia="宋体" w:hint="default"/>
                <w:b/>
                <w:bCs/>
                <w:sz w:val="18"/>
                <w:szCs w:val="18"/>
              </w:rPr>
              <w:t>票据到期</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11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9" w:right="189" w:hanging="90"/>
              <w:jc w:val="left"/>
              <w:rPr>
                <w:rFonts w:ascii="宋体" w:hAnsi="宋体" w:cs="宋体" w:eastAsia="宋体" w:hint="default"/>
                <w:sz w:val="18"/>
                <w:szCs w:val="18"/>
              </w:rPr>
            </w:pPr>
            <w:r>
              <w:rPr>
                <w:rFonts w:ascii="宋体" w:hAnsi="宋体" w:cs="宋体" w:eastAsia="宋体" w:hint="default"/>
                <w:b/>
                <w:bCs/>
                <w:sz w:val="18"/>
                <w:szCs w:val="18"/>
              </w:rPr>
              <w:t>实际还情</w:t>
            </w:r>
            <w:r>
              <w:rPr>
                <w:rFonts w:ascii="宋体" w:hAnsi="宋体" w:cs="宋体" w:eastAsia="宋体" w:hint="default"/>
                <w:b/>
                <w:bCs/>
                <w:w w:val="99"/>
                <w:sz w:val="18"/>
                <w:szCs w:val="18"/>
              </w:rPr>
              <w:t> </w:t>
            </w:r>
            <w:r>
              <w:rPr>
                <w:rFonts w:ascii="宋体" w:hAnsi="宋体" w:cs="宋体" w:eastAsia="宋体" w:hint="default"/>
                <w:b/>
                <w:bCs/>
                <w:sz w:val="18"/>
                <w:szCs w:val="18"/>
              </w:rPr>
              <w:t>款项日</w:t>
            </w:r>
            <w:r>
              <w:rPr>
                <w:rFonts w:ascii="宋体" w:hAnsi="宋体" w:cs="宋体" w:eastAsia="宋体" w:hint="default"/>
                <w:sz w:val="18"/>
                <w:szCs w:val="18"/>
              </w:rPr>
            </w:r>
          </w:p>
        </w:tc>
        <w:tc>
          <w:tcPr>
            <w:tcW w:w="83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0" w:right="138"/>
              <w:jc w:val="left"/>
              <w:rPr>
                <w:rFonts w:ascii="宋体" w:hAnsi="宋体" w:cs="宋体" w:eastAsia="宋体" w:hint="default"/>
                <w:sz w:val="18"/>
                <w:szCs w:val="18"/>
              </w:rPr>
            </w:pPr>
            <w:r>
              <w:rPr>
                <w:rFonts w:ascii="宋体" w:hAnsi="宋体" w:cs="宋体" w:eastAsia="宋体" w:hint="default"/>
                <w:b/>
                <w:bCs/>
                <w:sz w:val="18"/>
                <w:szCs w:val="18"/>
              </w:rPr>
              <w:t>逾期还</w:t>
            </w:r>
            <w:r>
              <w:rPr>
                <w:rFonts w:ascii="宋体" w:hAnsi="宋体" w:cs="宋体" w:eastAsia="宋体" w:hint="default"/>
                <w:b/>
                <w:bCs/>
                <w:spacing w:val="1"/>
                <w:w w:val="99"/>
                <w:sz w:val="18"/>
                <w:szCs w:val="18"/>
              </w:rPr>
              <w:t> </w:t>
            </w:r>
            <w:r>
              <w:rPr>
                <w:rFonts w:ascii="宋体" w:hAnsi="宋体" w:cs="宋体" w:eastAsia="宋体" w:hint="default"/>
                <w:b/>
                <w:bCs/>
                <w:sz w:val="18"/>
                <w:szCs w:val="18"/>
              </w:rPr>
              <w:t>款原因</w:t>
            </w:r>
            <w:r>
              <w:rPr>
                <w:rFonts w:ascii="宋体" w:hAnsi="宋体" w:cs="宋体" w:eastAsia="宋体" w:hint="default"/>
                <w:sz w:val="18"/>
                <w:szCs w:val="18"/>
              </w:rPr>
            </w:r>
          </w:p>
        </w:tc>
        <w:tc>
          <w:tcPr>
            <w:tcW w:w="139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7" w:right="0"/>
              <w:jc w:val="left"/>
              <w:rPr>
                <w:rFonts w:ascii="宋体" w:hAnsi="宋体" w:cs="宋体" w:eastAsia="宋体" w:hint="default"/>
                <w:sz w:val="18"/>
                <w:szCs w:val="18"/>
              </w:rPr>
            </w:pPr>
            <w:r>
              <w:rPr>
                <w:rFonts w:ascii="宋体" w:hAnsi="宋体" w:cs="宋体" w:eastAsia="宋体" w:hint="default"/>
                <w:b/>
                <w:bCs/>
                <w:sz w:val="18"/>
                <w:szCs w:val="18"/>
              </w:rPr>
              <w:t>保证金金额</w:t>
            </w:r>
            <w:r>
              <w:rPr>
                <w:rFonts w:ascii="宋体" w:hAnsi="宋体" w:cs="宋体" w:eastAsia="宋体" w:hint="default"/>
                <w:sz w:val="18"/>
                <w:szCs w:val="18"/>
              </w:rPr>
            </w:r>
          </w:p>
        </w:tc>
        <w:tc>
          <w:tcPr>
            <w:tcW w:w="996" w:type="dxa"/>
            <w:tcBorders>
              <w:top w:val="single" w:sz="12" w:space="0" w:color="000000"/>
              <w:left w:val="single" w:sz="4" w:space="0" w:color="000000"/>
              <w:bottom w:val="single" w:sz="12" w:space="0" w:color="000000"/>
              <w:right w:val="nil" w:sz="6" w:space="0" w:color="auto"/>
            </w:tcBorders>
          </w:tcPr>
          <w:p>
            <w:pPr>
              <w:pStyle w:val="TableParagraph"/>
              <w:spacing w:line="316" w:lineRule="auto" w:before="51"/>
              <w:ind w:left="131" w:right="134" w:hanging="1"/>
              <w:jc w:val="center"/>
              <w:rPr>
                <w:rFonts w:ascii="宋体" w:hAnsi="宋体" w:cs="宋体" w:eastAsia="宋体" w:hint="default"/>
                <w:sz w:val="18"/>
                <w:szCs w:val="18"/>
              </w:rPr>
            </w:pPr>
            <w:r>
              <w:rPr>
                <w:rFonts w:ascii="宋体" w:hAnsi="宋体" w:cs="宋体" w:eastAsia="宋体" w:hint="default"/>
                <w:b/>
                <w:bCs/>
                <w:sz w:val="18"/>
                <w:szCs w:val="18"/>
              </w:rPr>
              <w:t>截至报告</w:t>
            </w:r>
            <w:r>
              <w:rPr>
                <w:rFonts w:ascii="宋体" w:hAnsi="宋体" w:cs="宋体" w:eastAsia="宋体" w:hint="default"/>
                <w:b/>
                <w:bCs/>
                <w:w w:val="99"/>
                <w:sz w:val="18"/>
                <w:szCs w:val="18"/>
              </w:rPr>
              <w:t> </w:t>
            </w:r>
            <w:r>
              <w:rPr>
                <w:rFonts w:ascii="宋体" w:hAnsi="宋体" w:cs="宋体" w:eastAsia="宋体" w:hint="default"/>
                <w:b/>
                <w:bCs/>
                <w:sz w:val="18"/>
                <w:szCs w:val="18"/>
              </w:rPr>
              <w:t>日是否已</w:t>
            </w:r>
            <w:r>
              <w:rPr>
                <w:rFonts w:ascii="宋体" w:hAnsi="宋体" w:cs="宋体" w:eastAsia="宋体" w:hint="default"/>
                <w:b/>
                <w:bCs/>
                <w:w w:val="99"/>
                <w:sz w:val="18"/>
                <w:szCs w:val="18"/>
              </w:rPr>
              <w:t> </w:t>
            </w:r>
            <w:r>
              <w:rPr>
                <w:rFonts w:ascii="宋体" w:hAnsi="宋体" w:cs="宋体" w:eastAsia="宋体" w:hint="default"/>
                <w:b/>
                <w:bCs/>
                <w:sz w:val="18"/>
                <w:szCs w:val="18"/>
              </w:rPr>
              <w:t>还清</w:t>
            </w:r>
            <w:r>
              <w:rPr>
                <w:rFonts w:ascii="宋体" w:hAnsi="宋体" w:cs="宋体" w:eastAsia="宋体" w:hint="default"/>
                <w:sz w:val="18"/>
                <w:szCs w:val="18"/>
              </w:rPr>
            </w:r>
          </w:p>
        </w:tc>
      </w:tr>
      <w:tr>
        <w:trPr>
          <w:trHeight w:val="1358" w:hRule="exact"/>
        </w:trPr>
        <w:tc>
          <w:tcPr>
            <w:tcW w:w="1128" w:type="dxa"/>
            <w:tcBorders>
              <w:top w:val="single" w:sz="12" w:space="0" w:color="000000"/>
              <w:left w:val="nil" w:sz="6" w:space="0" w:color="auto"/>
              <w:bottom w:val="single" w:sz="12" w:space="0" w:color="000000"/>
              <w:right w:val="single" w:sz="4" w:space="0" w:color="000000"/>
            </w:tcBorders>
          </w:tcPr>
          <w:p>
            <w:pPr>
              <w:pStyle w:val="TableParagraph"/>
              <w:spacing w:line="316" w:lineRule="auto" w:before="51"/>
              <w:ind w:left="122" w:right="45"/>
              <w:jc w:val="both"/>
              <w:rPr>
                <w:rFonts w:ascii="宋体" w:hAnsi="宋体" w:cs="宋体" w:eastAsia="宋体" w:hint="default"/>
                <w:sz w:val="18"/>
                <w:szCs w:val="18"/>
              </w:rPr>
            </w:pPr>
            <w:r>
              <w:rPr>
                <w:rFonts w:ascii="宋体" w:hAnsi="宋体" w:cs="宋体" w:eastAsia="宋体" w:hint="default"/>
                <w:spacing w:val="43"/>
                <w:sz w:val="18"/>
                <w:szCs w:val="18"/>
              </w:rPr>
              <w:t>青岛银行</w:t>
            </w:r>
            <w:r>
              <w:rPr>
                <w:rFonts w:ascii="宋体" w:hAnsi="宋体" w:cs="宋体" w:eastAsia="宋体" w:hint="default"/>
                <w:spacing w:val="-32"/>
                <w:sz w:val="18"/>
                <w:szCs w:val="18"/>
              </w:rPr>
              <w:t> </w:t>
            </w:r>
            <w:r>
              <w:rPr>
                <w:rFonts w:ascii="宋体" w:hAnsi="宋体" w:cs="宋体" w:eastAsia="宋体" w:hint="default"/>
                <w:spacing w:val="43"/>
                <w:sz w:val="18"/>
                <w:szCs w:val="18"/>
              </w:rPr>
              <w:t>股份有限</w:t>
            </w:r>
            <w:r>
              <w:rPr>
                <w:rFonts w:ascii="宋体" w:hAnsi="宋体" w:cs="宋体" w:eastAsia="宋体" w:hint="default"/>
                <w:spacing w:val="-32"/>
                <w:sz w:val="18"/>
                <w:szCs w:val="18"/>
              </w:rPr>
              <w:t> </w:t>
            </w:r>
            <w:r>
              <w:rPr>
                <w:rFonts w:ascii="宋体" w:hAnsi="宋体" w:cs="宋体" w:eastAsia="宋体" w:hint="default"/>
                <w:spacing w:val="43"/>
                <w:sz w:val="18"/>
                <w:szCs w:val="18"/>
              </w:rPr>
              <w:t>公司威海</w:t>
            </w:r>
            <w:r>
              <w:rPr>
                <w:rFonts w:ascii="宋体" w:hAnsi="宋体" w:cs="宋体" w:eastAsia="宋体" w:hint="default"/>
                <w:spacing w:val="-32"/>
                <w:sz w:val="18"/>
                <w:szCs w:val="18"/>
              </w:rPr>
              <w:t> </w:t>
            </w:r>
            <w:r>
              <w:rPr>
                <w:rFonts w:ascii="宋体" w:hAnsi="宋体" w:cs="宋体" w:eastAsia="宋体" w:hint="default"/>
                <w:sz w:val="18"/>
                <w:szCs w:val="18"/>
              </w:rPr>
              <w:t>分行</w:t>
            </w:r>
          </w:p>
        </w:tc>
        <w:tc>
          <w:tcPr>
            <w:tcW w:w="139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7" w:right="0"/>
              <w:jc w:val="left"/>
              <w:rPr>
                <w:rFonts w:ascii="宋体" w:hAnsi="宋体" w:cs="宋体" w:eastAsia="宋体" w:hint="default"/>
                <w:sz w:val="18"/>
                <w:szCs w:val="18"/>
              </w:rPr>
            </w:pPr>
            <w:r>
              <w:rPr>
                <w:rFonts w:ascii="宋体"/>
                <w:sz w:val="18"/>
              </w:rPr>
              <w:t>6,000,000.00</w:t>
            </w:r>
          </w:p>
        </w:tc>
        <w:tc>
          <w:tcPr>
            <w:tcW w:w="125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sz w:val="18"/>
              </w:rPr>
              <w:t>2018-8-15</w:t>
            </w:r>
          </w:p>
        </w:tc>
        <w:tc>
          <w:tcPr>
            <w:tcW w:w="11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9" w:right="0"/>
              <w:jc w:val="left"/>
              <w:rPr>
                <w:rFonts w:ascii="宋体" w:hAnsi="宋体" w:cs="宋体" w:eastAsia="宋体" w:hint="default"/>
                <w:sz w:val="18"/>
                <w:szCs w:val="18"/>
              </w:rPr>
            </w:pPr>
            <w:r>
              <w:rPr>
                <w:rFonts w:ascii="宋体"/>
                <w:sz w:val="18"/>
              </w:rPr>
              <w:t>2019-2-15</w:t>
            </w:r>
          </w:p>
        </w:tc>
        <w:tc>
          <w:tcPr>
            <w:tcW w:w="111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18"/>
                <w:szCs w:val="18"/>
              </w:rPr>
            </w:pPr>
            <w:r>
              <w:rPr>
                <w:rFonts w:ascii="宋体"/>
                <w:sz w:val="18"/>
              </w:rPr>
              <w:t>2019-3-15</w:t>
            </w:r>
          </w:p>
        </w:tc>
        <w:tc>
          <w:tcPr>
            <w:tcW w:w="83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41" w:right="140"/>
              <w:jc w:val="left"/>
              <w:rPr>
                <w:rFonts w:ascii="宋体" w:hAnsi="宋体" w:cs="宋体" w:eastAsia="宋体" w:hint="default"/>
                <w:sz w:val="18"/>
                <w:szCs w:val="18"/>
              </w:rPr>
            </w:pPr>
            <w:r>
              <w:rPr>
                <w:rFonts w:ascii="宋体" w:hAnsi="宋体" w:cs="宋体" w:eastAsia="宋体" w:hint="default"/>
                <w:sz w:val="18"/>
                <w:szCs w:val="18"/>
              </w:rPr>
              <w:t>资金周 转困难</w:t>
            </w:r>
          </w:p>
        </w:tc>
        <w:tc>
          <w:tcPr>
            <w:tcW w:w="139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sz w:val="18"/>
              </w:rPr>
              <w:t>3,000,000.00</w:t>
            </w:r>
          </w:p>
        </w:tc>
        <w:tc>
          <w:tcPr>
            <w:tcW w:w="996"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907" w:footer="1019" w:top="1100" w:bottom="120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2"/>
        <w:spacing w:line="240" w:lineRule="auto" w:before="26"/>
        <w:ind w:left="1230" w:right="2250"/>
        <w:jc w:val="center"/>
        <w:rPr>
          <w:b w:val="0"/>
          <w:bCs w:val="0"/>
        </w:rPr>
      </w:pPr>
      <w:bookmarkStart w:name="十五、其他重要事项" w:id="400"/>
      <w:bookmarkEnd w:id="400"/>
      <w:r>
        <w:rPr>
          <w:b w:val="0"/>
          <w:bCs w:val="0"/>
        </w:rPr>
      </w:r>
      <w:r>
        <w:rPr/>
        <w:t>十五、其他重要事项</w:t>
      </w:r>
      <w:r>
        <w:rPr>
          <w:b w:val="0"/>
          <w:bCs w:val="0"/>
        </w:rPr>
      </w:r>
    </w:p>
    <w:p>
      <w:pPr>
        <w:spacing w:line="240" w:lineRule="auto" w:before="1"/>
        <w:rPr>
          <w:rFonts w:ascii="宋体" w:hAnsi="宋体" w:cs="宋体" w:eastAsia="宋体" w:hint="default"/>
          <w:b/>
          <w:bCs/>
          <w:sz w:val="22"/>
          <w:szCs w:val="22"/>
        </w:rPr>
      </w:pPr>
    </w:p>
    <w:p>
      <w:pPr>
        <w:pStyle w:val="Heading4"/>
        <w:spacing w:line="240" w:lineRule="auto" w:before="35"/>
        <w:ind w:right="982"/>
        <w:jc w:val="left"/>
        <w:rPr>
          <w:b w:val="0"/>
          <w:bCs w:val="0"/>
        </w:rPr>
      </w:pPr>
      <w:bookmarkStart w:name="1、分部信息" w:id="401"/>
      <w:bookmarkEnd w:id="401"/>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报告分部的确定依据与会计政策" w:id="402"/>
      <w:bookmarkEnd w:id="40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jc w:val="left"/>
      </w:pPr>
      <w:r>
        <w:rPr>
          <w:spacing w:val="-2"/>
        </w:rPr>
        <w:t>公司以内部组织结构、管理要求、内部报告制度等为依据确定了两个报告分部，分别是瓶盖包装及园林景观。各个报告分部</w:t>
      </w:r>
      <w:r>
        <w:rPr>
          <w:spacing w:val="-66"/>
        </w:rPr>
        <w:t> </w:t>
      </w:r>
      <w:r>
        <w:rPr>
          <w:spacing w:val="-66"/>
        </w:rPr>
      </w:r>
      <w:r>
        <w:rPr/>
        <w:t>分别提供不同的产品或服务。</w:t>
      </w:r>
    </w:p>
    <w:p>
      <w:pPr>
        <w:pStyle w:val="BodyText"/>
        <w:spacing w:line="240" w:lineRule="auto" w:before="19"/>
        <w:ind w:right="982"/>
        <w:jc w:val="left"/>
      </w:pPr>
      <w:r>
        <w:rPr/>
        <w:t>公司的经营分部是指同时满足下列条件的组成部分：</w:t>
      </w:r>
    </w:p>
    <w:p>
      <w:pPr>
        <w:pStyle w:val="BodyText"/>
        <w:spacing w:line="240" w:lineRule="auto" w:before="76"/>
        <w:ind w:right="982"/>
        <w:jc w:val="left"/>
      </w:pPr>
      <w:r>
        <w:rPr/>
        <w:t>① 该组成部分能够在日常活动中产生收入、发生费用；</w:t>
      </w:r>
    </w:p>
    <w:p>
      <w:pPr>
        <w:pStyle w:val="BodyText"/>
        <w:spacing w:line="240" w:lineRule="auto" w:before="76"/>
        <w:ind w:right="982"/>
        <w:jc w:val="left"/>
      </w:pPr>
      <w:r>
        <w:rPr/>
        <w:t>② 管理层能够定期评价该组成部分的经营成果，以决定向其配置资源、评价其业绩；</w:t>
      </w:r>
    </w:p>
    <w:p>
      <w:pPr>
        <w:pStyle w:val="BodyText"/>
        <w:spacing w:line="316" w:lineRule="auto" w:before="76"/>
        <w:ind w:right="982"/>
        <w:jc w:val="left"/>
      </w:pPr>
      <w:r>
        <w:rPr/>
        <w:t>③ 能够通过分析取得该组成部分的财务状况、经营成果和现金流量等有关会计信息。 </w:t>
      </w:r>
      <w:r>
        <w:rPr>
          <w:spacing w:val="-2"/>
        </w:rPr>
        <w:t>本公司以产品分部为基础确定报告分部，分部间转移价格按照实际交易价格为基础确定，间接归属于各分部的费用按照收入</w:t>
      </w:r>
      <w:r>
        <w:rPr>
          <w:spacing w:val="-64"/>
        </w:rPr>
        <w:t> </w:t>
      </w:r>
      <w:r>
        <w:rPr>
          <w:spacing w:val="-64"/>
        </w:rPr>
      </w:r>
      <w:r>
        <w:rPr>
          <w:spacing w:val="-2"/>
        </w:rPr>
        <w:t>比例在分部之间进行分配。资产根据分部的经营以及资产的所在位置进行分配，分部负债包括分部经营活动形成的可归属于</w:t>
      </w:r>
      <w:r>
        <w:rPr>
          <w:spacing w:val="-64"/>
        </w:rPr>
        <w:t> </w:t>
      </w:r>
      <w:r>
        <w:rPr>
          <w:spacing w:val="-64"/>
        </w:rPr>
      </w:r>
      <w:r>
        <w:rPr/>
        <w:t>该分部的负债。与各分部共同使用的资产、负债按照规模比例在不同的分部之间分配。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982"/>
        <w:jc w:val="left"/>
        <w:rPr>
          <w:b w:val="0"/>
          <w:bCs w:val="0"/>
        </w:rPr>
      </w:pPr>
      <w:bookmarkStart w:name="（2）报告分部的财务信息" w:id="403"/>
      <w:bookmarkEnd w:id="4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瓶盖包装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园林景观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637,592,329.37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610,297,021.04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1,247,889,350.41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569,122,861.03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546,275,509.49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1,115,398,370.52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三、对联营和合营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-893,099.28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-234,234.03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-1,127,333.31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184,904,373.29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315,814,432.54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248,861,461.01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749,580,266.84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五、折旧费和摊销费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101,729,369.49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4,067,130.88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105,796,500.37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-259,091,160.79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-274,387,227.80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-248,861,461.01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-782,339,849.60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38,734,144.70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-33,450,889.78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5,283,254.92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-297,825,305.49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-240,936,338.02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-248,861,461.01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-787,623,104.52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3,896,694,293.33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4,440,920,458.88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-2,701,878,581.97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5,635,736,170.24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1,431,131,709.58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2,713,182,176.28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-1,030,695,683.23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3,113,618,202.63</w:t>
            </w:r>
          </w:p>
        </w:tc>
      </w:tr>
    </w:tbl>
    <w:p>
      <w:pPr>
        <w:spacing w:line="240" w:lineRule="auto" w:before="2"/>
        <w:rPr>
          <w:rFonts w:ascii="宋体" w:hAnsi="宋体" w:cs="宋体" w:eastAsia="宋体" w:hint="default"/>
          <w:sz w:val="19"/>
          <w:szCs w:val="19"/>
        </w:rPr>
      </w:pPr>
    </w:p>
    <w:p>
      <w:pPr>
        <w:spacing w:line="506" w:lineRule="auto" w:before="35"/>
        <w:ind w:left="114" w:right="5502" w:firstLine="0"/>
        <w:jc w:val="left"/>
        <w:rPr>
          <w:rFonts w:ascii="宋体" w:hAnsi="宋体" w:cs="宋体" w:eastAsia="宋体" w:hint="default"/>
          <w:sz w:val="21"/>
          <w:szCs w:val="21"/>
        </w:rPr>
      </w:pPr>
      <w:bookmarkStart w:name="2、其他对投资者决策有影响的重要交易和事项" w:id="404"/>
      <w:bookmarkEnd w:id="40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z w:val="21"/>
          <w:szCs w:val="21"/>
        </w:rPr>
        <w:t>公司无其他对投资者决策有重大影响的重要交易和事项。</w:t>
      </w:r>
    </w:p>
    <w:p>
      <w:pPr>
        <w:spacing w:after="0" w:line="506" w:lineRule="auto"/>
        <w:jc w:val="left"/>
        <w:rPr>
          <w:rFonts w:ascii="宋体" w:hAnsi="宋体" w:cs="宋体" w:eastAsia="宋体" w:hint="default"/>
          <w:sz w:val="21"/>
          <w:szCs w:val="21"/>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spacing w:line="487" w:lineRule="auto" w:before="35"/>
        <w:ind w:left="114" w:right="6792" w:firstLine="0"/>
        <w:jc w:val="left"/>
        <w:rPr>
          <w:rFonts w:ascii="宋体" w:hAnsi="宋体" w:cs="宋体" w:eastAsia="宋体" w:hint="default"/>
          <w:sz w:val="21"/>
          <w:szCs w:val="21"/>
        </w:rPr>
      </w:pPr>
      <w:bookmarkStart w:name="3、其他" w:id="405"/>
      <w:bookmarkEnd w:id="40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六、母公司财务报表主要项目注释" w:id="406"/>
      <w:bookmarkEnd w:id="40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十六、母公司财务报表主要项目注释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07"/>
      <w:bookmarkEnd w:id="407"/>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3,743,434.30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7,539,080.53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184,435,358.46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206,059,094.38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188,178,792.76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213,598,174.91</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应收票据" w:id="408"/>
      <w:bookmarkEnd w:id="40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3,743,434.30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7,539,080.53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3,743,434.30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7,539,080.53</w:t>
            </w:r>
          </w:p>
        </w:tc>
      </w:tr>
    </w:tbl>
    <w:p>
      <w:pPr>
        <w:pStyle w:val="BodyText"/>
        <w:spacing w:line="240" w:lineRule="auto" w:before="51"/>
        <w:ind w:right="982"/>
        <w:jc w:val="left"/>
      </w:pPr>
      <w:r>
        <w:rPr>
          <w:rFonts w:ascii="Times New Roman" w:hAnsi="Times New Roman" w:cs="Times New Roman" w:eastAsia="Times New Roman" w:hint="default"/>
        </w:rPr>
        <w:t>2)</w:t>
      </w:r>
      <w:r>
        <w:rPr/>
        <w:t>期末公司已质押的应收票据</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22,059,486.77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22,059,486.77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4)期末公司因出票人未履约而将其转应收账款的票据" w:id="409"/>
      <w:bookmarkEnd w:id="409"/>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2"/>
        <w:jc w:val="left"/>
      </w:pPr>
      <w:r>
        <w:rPr/>
        <w:t>其他说明</w:t>
      </w:r>
    </w:p>
    <w:p>
      <w:pPr>
        <w:pStyle w:val="BodyText"/>
        <w:spacing w:line="240" w:lineRule="auto" w:before="116"/>
        <w:ind w:right="982"/>
        <w:jc w:val="left"/>
      </w:pPr>
      <w:r>
        <w:rPr>
          <w:rFonts w:ascii="Times New Roman" w:hAnsi="Times New Roman" w:cs="Times New Roman" w:eastAsia="Times New Roman" w:hint="default"/>
        </w:rPr>
        <w:t>1</w:t>
      </w:r>
      <w:r>
        <w:rPr/>
        <w:t>、期末公司无已质押的应收票据。</w:t>
      </w:r>
    </w:p>
    <w:p>
      <w:pPr>
        <w:pStyle w:val="BodyText"/>
        <w:spacing w:line="240" w:lineRule="auto" w:before="63"/>
        <w:ind w:right="982"/>
        <w:jc w:val="left"/>
      </w:pPr>
      <w:r>
        <w:rPr>
          <w:rFonts w:ascii="Times New Roman" w:hAnsi="Times New Roman" w:cs="Times New Roman" w:eastAsia="Times New Roman" w:hint="default"/>
        </w:rPr>
        <w:t>2</w:t>
      </w:r>
      <w:r>
        <w:rPr/>
        <w:t>、报告期内公司无因出票人无力履约而将票据转为应收账款的应收票据。</w:t>
      </w:r>
    </w:p>
    <w:p>
      <w:pPr>
        <w:pStyle w:val="BodyText"/>
        <w:spacing w:line="240" w:lineRule="auto" w:before="63"/>
        <w:ind w:right="982"/>
        <w:jc w:val="left"/>
      </w:pPr>
      <w:r>
        <w:rPr>
          <w:rFonts w:ascii="Times New Roman" w:hAnsi="Times New Roman" w:cs="Times New Roman" w:eastAsia="Times New Roman" w:hint="default"/>
        </w:rPr>
        <w:t>3</w:t>
      </w:r>
      <w:r>
        <w:rPr/>
        <w:t>、应收票据中无应收持公司</w:t>
      </w:r>
      <w:r>
        <w:rPr>
          <w:spacing w:val="-46"/>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）以上表决权股份的股东单位款项。</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982"/>
        <w:jc w:val="left"/>
        <w:rPr>
          <w:b w:val="0"/>
          <w:bCs w:val="0"/>
        </w:rPr>
      </w:pPr>
      <w:bookmarkStart w:name="（2）应收账款" w:id="410"/>
      <w:bookmarkEnd w:id="41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202,56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5,348.4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93.51</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18,129,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989.94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8.95%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184,43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5,358.4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229,4</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88,99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23,429,</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898.53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206,059,</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094.38</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14,057,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605.69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14,057,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605.69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216,62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2,954.0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32,187,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595.63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14.86</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184,43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5,358.4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229,4</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88,99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23,429,</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898.53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206,059,</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094.38</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190,088,502.45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9,504,425.12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2,776,090.18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277,609.02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1,042,982.00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208,596.40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397,205.06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119,161.52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480,741.66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240,370.83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7,779,827.05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7,779,827.05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202,565,348.40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18,129,989.94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确定该组合依据的说明：</w:t>
      </w:r>
    </w:p>
    <w:p>
      <w:pPr>
        <w:pStyle w:val="Heading5"/>
        <w:spacing w:line="240" w:lineRule="auto" w:before="90"/>
        <w:ind w:left="549" w:right="982"/>
        <w:jc w:val="left"/>
      </w:pPr>
      <w:r>
        <w:rPr/>
        <w:t>本公司的应收款项以账龄为风险特征划分信用风险组合，确定计提比例如下：</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070"/>
        <w:gridCol w:w="3069"/>
        <w:gridCol w:w="3070"/>
      </w:tblGrid>
      <w:tr>
        <w:trPr>
          <w:trHeight w:val="355" w:hRule="exact"/>
        </w:trPr>
        <w:tc>
          <w:tcPr>
            <w:tcW w:w="3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68"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sz w:val="18"/>
                <w:szCs w:val="18"/>
              </w:rPr>
            </w:r>
          </w:p>
        </w:tc>
        <w:tc>
          <w:tcPr>
            <w:tcW w:w="30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78" w:right="0"/>
              <w:jc w:val="left"/>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2" w:right="0"/>
              <w:jc w:val="center"/>
              <w:rPr>
                <w:rFonts w:ascii="宋体" w:hAnsi="宋体" w:cs="宋体" w:eastAsia="宋体" w:hint="default"/>
                <w:sz w:val="18"/>
                <w:szCs w:val="18"/>
              </w:rPr>
            </w:pPr>
            <w:r>
              <w:rPr>
                <w:rFonts w:ascii="宋体"/>
                <w:sz w:val="18"/>
              </w:rPr>
              <w:t>5.00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84" w:right="0"/>
              <w:jc w:val="center"/>
              <w:rPr>
                <w:rFonts w:ascii="宋体" w:hAnsi="宋体" w:cs="宋体" w:eastAsia="宋体" w:hint="default"/>
                <w:sz w:val="18"/>
                <w:szCs w:val="18"/>
              </w:rPr>
            </w:pPr>
            <w:r>
              <w:rPr>
                <w:rFonts w:ascii="宋体"/>
                <w:sz w:val="18"/>
              </w:rPr>
              <w:t>5.00</w:t>
            </w:r>
          </w:p>
        </w:tc>
      </w:tr>
      <w:tr>
        <w:trPr>
          <w:trHeight w:val="353"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center"/>
              <w:rPr>
                <w:rFonts w:ascii="宋体" w:hAnsi="宋体" w:cs="宋体" w:eastAsia="宋体" w:hint="default"/>
                <w:sz w:val="18"/>
                <w:szCs w:val="18"/>
              </w:rPr>
            </w:pPr>
            <w:r>
              <w:rPr>
                <w:rFonts w:ascii="宋体"/>
                <w:sz w:val="18"/>
              </w:rPr>
              <w:t>10.00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85" w:right="0"/>
              <w:jc w:val="center"/>
              <w:rPr>
                <w:rFonts w:ascii="宋体" w:hAnsi="宋体" w:cs="宋体" w:eastAsia="宋体" w:hint="default"/>
                <w:sz w:val="18"/>
                <w:szCs w:val="18"/>
              </w:rPr>
            </w:pPr>
            <w:r>
              <w:rPr>
                <w:rFonts w:ascii="宋体"/>
                <w:sz w:val="18"/>
              </w:rPr>
              <w:t>10.00</w:t>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3"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center"/>
              <w:rPr>
                <w:rFonts w:ascii="宋体" w:hAnsi="宋体" w:cs="宋体" w:eastAsia="宋体" w:hint="default"/>
                <w:sz w:val="18"/>
                <w:szCs w:val="18"/>
              </w:rPr>
            </w:pPr>
            <w:r>
              <w:rPr>
                <w:rFonts w:ascii="宋体"/>
                <w:sz w:val="18"/>
              </w:rPr>
              <w:t>20.00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85" w:right="0"/>
              <w:jc w:val="center"/>
              <w:rPr>
                <w:rFonts w:ascii="宋体" w:hAnsi="宋体" w:cs="宋体" w:eastAsia="宋体" w:hint="default"/>
                <w:sz w:val="18"/>
                <w:szCs w:val="18"/>
              </w:rPr>
            </w:pPr>
            <w:r>
              <w:rPr>
                <w:rFonts w:ascii="宋体"/>
                <w:sz w:val="18"/>
              </w:rPr>
              <w:t>20.00</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070"/>
        <w:gridCol w:w="3069"/>
        <w:gridCol w:w="3070"/>
      </w:tblGrid>
      <w:tr>
        <w:trPr>
          <w:trHeight w:val="355" w:hRule="exact"/>
        </w:trPr>
        <w:tc>
          <w:tcPr>
            <w:tcW w:w="3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年（含</w:t>
            </w:r>
            <w:r>
              <w:rPr>
                <w:rFonts w:ascii="宋体" w:hAnsi="宋体" w:cs="宋体" w:eastAsia="宋体" w:hint="default"/>
                <w:sz w:val="18"/>
                <w:szCs w:val="18"/>
              </w:rPr>
              <w:t>4</w:t>
            </w:r>
            <w:r>
              <w:rPr>
                <w:rFonts w:ascii="宋体" w:hAnsi="宋体" w:cs="宋体" w:eastAsia="宋体" w:hint="default"/>
                <w:sz w:val="18"/>
                <w:szCs w:val="18"/>
              </w:rPr>
              <w:t>年）</w:t>
            </w:r>
          </w:p>
        </w:tc>
        <w:tc>
          <w:tcPr>
            <w:tcW w:w="3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104"/>
              <w:jc w:val="right"/>
              <w:rPr>
                <w:rFonts w:ascii="宋体" w:hAnsi="宋体" w:cs="宋体" w:eastAsia="宋体" w:hint="default"/>
                <w:sz w:val="18"/>
                <w:szCs w:val="18"/>
              </w:rPr>
            </w:pPr>
            <w:r>
              <w:rPr>
                <w:rFonts w:ascii="宋体"/>
                <w:sz w:val="18"/>
              </w:rPr>
              <w:t>30.00</w:t>
            </w:r>
          </w:p>
        </w:tc>
        <w:tc>
          <w:tcPr>
            <w:tcW w:w="30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111"/>
              <w:jc w:val="right"/>
              <w:rPr>
                <w:rFonts w:ascii="宋体" w:hAnsi="宋体" w:cs="宋体" w:eastAsia="宋体" w:hint="default"/>
                <w:sz w:val="18"/>
                <w:szCs w:val="18"/>
              </w:rPr>
            </w:pPr>
            <w:r>
              <w:rPr>
                <w:rFonts w:ascii="宋体"/>
                <w:sz w:val="18"/>
              </w:rPr>
              <w:t>30.00</w:t>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3"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年（含</w:t>
            </w:r>
            <w:r>
              <w:rPr>
                <w:rFonts w:ascii="宋体" w:hAnsi="宋体" w:cs="宋体" w:eastAsia="宋体" w:hint="default"/>
                <w:sz w:val="18"/>
                <w:szCs w:val="18"/>
              </w:rPr>
              <w:t>5</w:t>
            </w:r>
            <w:r>
              <w:rPr>
                <w:rFonts w:ascii="宋体" w:hAnsi="宋体" w:cs="宋体" w:eastAsia="宋体" w:hint="default"/>
                <w:sz w:val="18"/>
                <w:szCs w:val="18"/>
              </w:rPr>
              <w:t>年）</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104"/>
              <w:jc w:val="right"/>
              <w:rPr>
                <w:rFonts w:ascii="宋体" w:hAnsi="宋体" w:cs="宋体" w:eastAsia="宋体" w:hint="default"/>
                <w:sz w:val="18"/>
                <w:szCs w:val="18"/>
              </w:rPr>
            </w:pPr>
            <w:r>
              <w:rPr>
                <w:rFonts w:ascii="宋体"/>
                <w:sz w:val="18"/>
              </w:rPr>
              <w:t>50.00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1111"/>
              <w:jc w:val="right"/>
              <w:rPr>
                <w:rFonts w:ascii="宋体" w:hAnsi="宋体" w:cs="宋体" w:eastAsia="宋体" w:hint="default"/>
                <w:sz w:val="18"/>
                <w:szCs w:val="18"/>
              </w:rPr>
            </w:pPr>
            <w:r>
              <w:rPr>
                <w:rFonts w:ascii="宋体"/>
                <w:sz w:val="18"/>
              </w:rPr>
              <w:t>50.00</w:t>
            </w:r>
          </w:p>
        </w:tc>
      </w:tr>
      <w:tr>
        <w:trPr>
          <w:trHeight w:val="353"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3"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58"/>
              <w:jc w:val="right"/>
              <w:rPr>
                <w:rFonts w:ascii="宋体" w:hAnsi="宋体" w:cs="宋体" w:eastAsia="宋体" w:hint="default"/>
                <w:sz w:val="18"/>
                <w:szCs w:val="18"/>
              </w:rPr>
            </w:pPr>
            <w:r>
              <w:rPr>
                <w:rFonts w:ascii="宋体"/>
                <w:sz w:val="18"/>
              </w:rPr>
              <w:t>100.00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1067"/>
              <w:jc w:val="right"/>
              <w:rPr>
                <w:rFonts w:ascii="宋体" w:hAnsi="宋体" w:cs="宋体" w:eastAsia="宋体" w:hint="default"/>
                <w:sz w:val="18"/>
                <w:szCs w:val="18"/>
              </w:rPr>
            </w:pPr>
            <w:r>
              <w:rPr>
                <w:rFonts w:ascii="宋体"/>
                <w:sz w:val="18"/>
              </w:rPr>
              <w:t>100.00</w:t>
            </w:r>
          </w:p>
        </w:tc>
      </w:tr>
    </w:tbl>
    <w:p>
      <w:pPr>
        <w:spacing w:line="240" w:lineRule="auto" w:before="5"/>
        <w:rPr>
          <w:rFonts w:ascii="宋体" w:hAnsi="宋体" w:cs="宋体" w:eastAsia="宋体" w:hint="default"/>
          <w:sz w:val="24"/>
          <w:szCs w:val="24"/>
        </w:rPr>
      </w:pPr>
    </w:p>
    <w:p>
      <w:pPr>
        <w:pStyle w:val="BodyText"/>
        <w:spacing w:line="240" w:lineRule="auto" w:before="44"/>
        <w:ind w:right="982"/>
        <w:jc w:val="left"/>
      </w:pPr>
      <w:r>
        <w:rPr/>
        <w:t>组合中，采用余额百分比法计提坏账准备的应收账款：</w:t>
      </w:r>
    </w:p>
    <w:p>
      <w:pPr>
        <w:pStyle w:val="BodyText"/>
        <w:spacing w:line="360" w:lineRule="auto" w:before="116"/>
        <w:ind w:right="6792"/>
        <w:jc w:val="left"/>
      </w:pPr>
      <w:r>
        <w:rPr/>
        <w:t>□ 适用 √ 不适用 组合中，采用其他方法计提坏账准备的应收账款：</w:t>
      </w:r>
    </w:p>
    <w:p>
      <w:pPr>
        <w:pStyle w:val="Heading5"/>
        <w:spacing w:line="240" w:lineRule="auto" w:before="110"/>
        <w:ind w:left="549" w:right="982"/>
        <w:jc w:val="left"/>
      </w:pPr>
      <w:r>
        <w:rPr/>
        <w:t>单项金额不重大但单独计提坏账准备的应收款项：</w:t>
      </w:r>
    </w:p>
    <w:p>
      <w:pPr>
        <w:spacing w:line="240" w:lineRule="auto" w:before="6"/>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028"/>
        <w:gridCol w:w="1583"/>
        <w:gridCol w:w="1448"/>
        <w:gridCol w:w="1439"/>
        <w:gridCol w:w="1602"/>
      </w:tblGrid>
      <w:tr>
        <w:trPr>
          <w:trHeight w:val="361" w:hRule="exact"/>
        </w:trPr>
        <w:tc>
          <w:tcPr>
            <w:tcW w:w="3028" w:type="dxa"/>
            <w:vMerge w:val="restart"/>
            <w:tcBorders>
              <w:top w:val="single" w:sz="12"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073" w:type="dxa"/>
            <w:gridSpan w:val="4"/>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62" w:hRule="exact"/>
        </w:trPr>
        <w:tc>
          <w:tcPr>
            <w:tcW w:w="3028" w:type="dxa"/>
            <w:vMerge/>
            <w:tcBorders>
              <w:left w:val="single" w:sz="6" w:space="0" w:color="000000"/>
              <w:bottom w:val="single" w:sz="12" w:space="0" w:color="000000"/>
              <w:right w:val="single" w:sz="6" w:space="0" w:color="000000"/>
            </w:tcBorders>
          </w:tcPr>
          <w:p>
            <w:pP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2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俄罗斯得力</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4,439,063.56</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4,439,063.56</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1"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安徽程虎</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2,354,575.13</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2,354,575.13</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黑龙江酒业有限责任公司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1,874,749.00</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1,874,749.00</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烟台华冠制盖有限公司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1,486,253.75</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1,486,253.75</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1"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安徽金种子集团</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1,083,037.14</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1,083,037.14</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安徽金种子酒业股份有限公司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936,770.30</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936,770.30</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凭祥市鑫保进出口有限公司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922,473.20</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922,473.20</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1"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山西梨花春酿酒集团有限公司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411,489.29</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411,489.29</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3"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南美皮特公司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329,030.04</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329,030.04</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安徽省金瑞包装有限公司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65,937.46</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65,937.46</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威海市万泉新能源科技有限公司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59,253.00</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59,253.00</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1"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安徽广宇包装科技有限公司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45,604.92</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45,604.92</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宜宾醉不倒酒业有限公司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24,226.60</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24,226.60</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上海欧木贸易有限公司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20,000.00</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20,000.00</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1"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上海洪悦彩印包装有限公司</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3,814.30</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3,814.30</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青岛顺东铝制品厂</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1,328.00</w:t>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1,328.00</w:t>
            </w:r>
          </w:p>
        </w:tc>
        <w:tc>
          <w:tcPr>
            <w:tcW w:w="1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b/>
                <w:w w:val="95"/>
                <w:sz w:val="18"/>
              </w:rPr>
              <w:t>14,057,605.69</w:t>
            </w:r>
            <w:r>
              <w:rPr>
                <w:rFonts w:ascii="宋体"/>
                <w:sz w:val="18"/>
              </w:rPr>
            </w:r>
          </w:p>
        </w:tc>
        <w:tc>
          <w:tcPr>
            <w:tcW w:w="14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b/>
                <w:w w:val="95"/>
                <w:sz w:val="18"/>
              </w:rPr>
              <w:t>14,057,605.69</w:t>
            </w:r>
            <w:r>
              <w:rPr>
                <w:rFonts w:ascii="宋体"/>
                <w:sz w:val="18"/>
              </w:rPr>
            </w:r>
          </w:p>
        </w:tc>
        <w:tc>
          <w:tcPr>
            <w:tcW w:w="1439" w:type="dxa"/>
            <w:tcBorders>
              <w:top w:val="single" w:sz="12" w:space="0" w:color="000000"/>
              <w:left w:val="single" w:sz="6" w:space="0" w:color="000000"/>
              <w:bottom w:val="single" w:sz="12" w:space="0" w:color="000000"/>
              <w:right w:val="single" w:sz="6" w:space="0" w:color="000000"/>
            </w:tcBorders>
          </w:tcPr>
          <w:p>
            <w:pPr/>
          </w:p>
        </w:tc>
        <w:tc>
          <w:tcPr>
            <w:tcW w:w="160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right="98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982"/>
        <w:jc w:val="left"/>
      </w:pPr>
      <w:r>
        <w:rPr/>
        <w:t>本期计提坏账准备金额</w:t>
      </w:r>
      <w:r>
        <w:rPr>
          <w:spacing w:val="-47"/>
        </w:rPr>
        <w:t> </w:t>
      </w:r>
      <w:r>
        <w:rPr>
          <w:rFonts w:ascii="Times New Roman" w:hAnsi="Times New Roman" w:cs="Times New Roman" w:eastAsia="Times New Roman" w:hint="default"/>
        </w:rPr>
        <w:t>8,757,697.10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38" w:lineRule="auto" w:before="103"/>
        <w:ind w:right="7512"/>
        <w:jc w:val="left"/>
      </w:pPr>
      <w:r>
        <w:rPr>
          <w:rFonts w:ascii="Times New Roman" w:hAnsi="Times New Roman" w:cs="Times New Roman" w:eastAsia="Times New Roman" w:hint="default"/>
        </w:rPr>
        <w:t>3)</w:t>
      </w:r>
      <w:r>
        <w:rPr/>
        <w:t>本期实际核销的应收账款情况</w:t>
      </w:r>
      <w:r>
        <w:rPr>
          <w:w w:val="99"/>
        </w:rPr>
        <w:t> </w:t>
      </w:r>
      <w:r>
        <w:rPr/>
        <w:t>本报告期公司无实际核销坏账准备情况。</w:t>
      </w:r>
    </w:p>
    <w:p>
      <w:pPr>
        <w:pStyle w:val="BodyText"/>
        <w:spacing w:line="240" w:lineRule="auto" w:before="121"/>
        <w:ind w:left="474" w:right="98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12"/>
          <w:szCs w:val="12"/>
        </w:rPr>
      </w:pPr>
    </w:p>
    <w:tbl>
      <w:tblPr>
        <w:tblW w:w="0" w:type="auto"/>
        <w:jc w:val="left"/>
        <w:tblInd w:w="508" w:type="dxa"/>
        <w:tblLayout w:type="fixed"/>
        <w:tblCellMar>
          <w:top w:w="0" w:type="dxa"/>
          <w:left w:w="0" w:type="dxa"/>
          <w:bottom w:w="0" w:type="dxa"/>
          <w:right w:w="0" w:type="dxa"/>
        </w:tblCellMar>
        <w:tblLook w:val="01E0"/>
      </w:tblPr>
      <w:tblGrid>
        <w:gridCol w:w="3560"/>
        <w:gridCol w:w="1984"/>
        <w:gridCol w:w="1560"/>
        <w:gridCol w:w="1702"/>
      </w:tblGrid>
      <w:tr>
        <w:trPr>
          <w:trHeight w:val="735" w:hRule="exact"/>
        </w:trPr>
        <w:tc>
          <w:tcPr>
            <w:tcW w:w="356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8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60" w:type="dxa"/>
            <w:tcBorders>
              <w:top w:val="single" w:sz="12" w:space="0" w:color="000000"/>
              <w:left w:val="single" w:sz="4" w:space="0" w:color="000000"/>
              <w:bottom w:val="single" w:sz="12" w:space="0" w:color="000000"/>
              <w:right w:val="single" w:sz="4" w:space="0" w:color="000000"/>
            </w:tcBorders>
          </w:tcPr>
          <w:p>
            <w:pPr>
              <w:pStyle w:val="TableParagraph"/>
              <w:spacing w:line="319" w:lineRule="auto" w:before="51"/>
              <w:ind w:left="278" w:right="142" w:hanging="136"/>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0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3" w:hRule="exact"/>
        </w:trPr>
        <w:tc>
          <w:tcPr>
            <w:tcW w:w="35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大冶市劲鹏制盖有限公司</w:t>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109,144,846.88</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50.38</w:t>
            </w:r>
          </w:p>
        </w:tc>
        <w:tc>
          <w:tcPr>
            <w:tcW w:w="1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3"/>
              <w:ind w:left="508" w:right="0"/>
              <w:jc w:val="left"/>
              <w:rPr>
                <w:rFonts w:ascii="宋体" w:hAnsi="宋体" w:cs="宋体" w:eastAsia="宋体" w:hint="default"/>
                <w:sz w:val="18"/>
                <w:szCs w:val="18"/>
              </w:rPr>
            </w:pPr>
            <w:r>
              <w:rPr>
                <w:rFonts w:ascii="宋体"/>
                <w:sz w:val="18"/>
              </w:rPr>
              <w:t>5,457,242.34</w:t>
            </w:r>
          </w:p>
        </w:tc>
      </w:tr>
      <w:tr>
        <w:trPr>
          <w:trHeight w:val="46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27,113,146.10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12.52</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508" w:right="0"/>
              <w:jc w:val="left"/>
              <w:rPr>
                <w:rFonts w:ascii="宋体" w:hAnsi="宋体" w:cs="宋体" w:eastAsia="宋体" w:hint="default"/>
                <w:sz w:val="18"/>
                <w:szCs w:val="18"/>
              </w:rPr>
            </w:pPr>
            <w:r>
              <w:rPr>
                <w:rFonts w:ascii="宋体"/>
                <w:sz w:val="18"/>
              </w:rPr>
              <w:t>1,355,657.31</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508" w:type="dxa"/>
        <w:tblLayout w:type="fixed"/>
        <w:tblCellMar>
          <w:top w:w="0" w:type="dxa"/>
          <w:left w:w="0" w:type="dxa"/>
          <w:bottom w:w="0" w:type="dxa"/>
          <w:right w:w="0" w:type="dxa"/>
        </w:tblCellMar>
        <w:tblLook w:val="01E0"/>
      </w:tblPr>
      <w:tblGrid>
        <w:gridCol w:w="3560"/>
        <w:gridCol w:w="1984"/>
        <w:gridCol w:w="1560"/>
        <w:gridCol w:w="1702"/>
      </w:tblGrid>
      <w:tr>
        <w:trPr>
          <w:trHeight w:val="46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菲律宾马龙酒厂</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10,331,634.66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4.77</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6"/>
              <w:jc w:val="right"/>
              <w:rPr>
                <w:rFonts w:ascii="宋体" w:hAnsi="宋体" w:cs="宋体" w:eastAsia="宋体" w:hint="default"/>
                <w:sz w:val="18"/>
                <w:szCs w:val="18"/>
              </w:rPr>
            </w:pPr>
            <w:r>
              <w:rPr>
                <w:rFonts w:ascii="宋体"/>
                <w:sz w:val="18"/>
              </w:rPr>
              <w:t>516,581.73</w:t>
            </w:r>
          </w:p>
        </w:tc>
      </w:tr>
      <w:tr>
        <w:trPr>
          <w:trHeight w:val="463"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乌兹别克普罗姆斯特公司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4,713,734.29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2.18</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6"/>
              <w:jc w:val="right"/>
              <w:rPr>
                <w:rFonts w:ascii="宋体" w:hAnsi="宋体" w:cs="宋体" w:eastAsia="宋体" w:hint="default"/>
                <w:sz w:val="18"/>
                <w:szCs w:val="18"/>
              </w:rPr>
            </w:pPr>
            <w:r>
              <w:rPr>
                <w:rFonts w:ascii="宋体"/>
                <w:sz w:val="18"/>
              </w:rPr>
              <w:t>224,184.97</w:t>
            </w:r>
          </w:p>
        </w:tc>
      </w:tr>
      <w:tr>
        <w:trPr>
          <w:trHeight w:val="475" w:hRule="exact"/>
        </w:trPr>
        <w:tc>
          <w:tcPr>
            <w:tcW w:w="35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俄罗斯哈吉斯酒厂</w:t>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4,668,339.10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sz w:val="18"/>
              </w:rPr>
              <w:t>2.16</w:t>
            </w:r>
          </w:p>
        </w:tc>
        <w:tc>
          <w:tcPr>
            <w:tcW w:w="17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3"/>
              <w:ind w:right="106"/>
              <w:jc w:val="right"/>
              <w:rPr>
                <w:rFonts w:ascii="宋体" w:hAnsi="宋体" w:cs="宋体" w:eastAsia="宋体" w:hint="default"/>
                <w:sz w:val="18"/>
                <w:szCs w:val="18"/>
              </w:rPr>
            </w:pPr>
            <w:r>
              <w:rPr>
                <w:rFonts w:ascii="宋体"/>
                <w:sz w:val="18"/>
              </w:rPr>
              <w:t>4,668,339.10</w:t>
            </w:r>
          </w:p>
        </w:tc>
      </w:tr>
      <w:tr>
        <w:trPr>
          <w:trHeight w:val="484" w:hRule="exact"/>
        </w:trPr>
        <w:tc>
          <w:tcPr>
            <w:tcW w:w="356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8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b/>
                <w:w w:val="95"/>
                <w:sz w:val="18"/>
              </w:rPr>
              <w:t>155,971,701.03</w:t>
            </w:r>
            <w:r>
              <w:rPr>
                <w:rFonts w:ascii="宋体"/>
                <w:sz w:val="18"/>
              </w:rPr>
            </w:r>
          </w:p>
        </w:tc>
        <w:tc>
          <w:tcPr>
            <w:tcW w:w="15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3"/>
              <w:ind w:right="100"/>
              <w:jc w:val="right"/>
              <w:rPr>
                <w:rFonts w:ascii="宋体" w:hAnsi="宋体" w:cs="宋体" w:eastAsia="宋体" w:hint="default"/>
                <w:sz w:val="18"/>
                <w:szCs w:val="18"/>
              </w:rPr>
            </w:pPr>
            <w:r>
              <w:rPr>
                <w:rFonts w:ascii="宋体"/>
                <w:b/>
                <w:w w:val="95"/>
                <w:sz w:val="18"/>
              </w:rPr>
              <w:t>72.01</w:t>
            </w:r>
            <w:r>
              <w:rPr>
                <w:rFonts w:ascii="宋体"/>
                <w:sz w:val="18"/>
              </w:rPr>
            </w:r>
          </w:p>
        </w:tc>
        <w:tc>
          <w:tcPr>
            <w:tcW w:w="170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3"/>
              <w:ind w:right="107"/>
              <w:jc w:val="right"/>
              <w:rPr>
                <w:rFonts w:ascii="宋体" w:hAnsi="宋体" w:cs="宋体" w:eastAsia="宋体" w:hint="default"/>
                <w:sz w:val="18"/>
                <w:szCs w:val="18"/>
              </w:rPr>
            </w:pPr>
            <w:r>
              <w:rPr>
                <w:rFonts w:ascii="宋体"/>
                <w:b/>
                <w:w w:val="95"/>
                <w:sz w:val="18"/>
              </w:rPr>
              <w:t>12,222,005.45</w:t>
            </w:r>
            <w:r>
              <w:rPr>
                <w:rFonts w:ascii="宋体"/>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其他应收款" w:id="411"/>
      <w:bookmarkEnd w:id="41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44,659,734.51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6,174,900.51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27,699,661.20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33,699,661.20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31,993,203.32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21,486,382.60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104,352,599.03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61,360,944.31</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应收利息" w:id="412"/>
      <w:bookmarkEnd w:id="41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44,659,734.51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6,174,900.51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44,659,734.51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6,174,900.51</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应收股利" w:id="413"/>
      <w:bookmarkEnd w:id="41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大冶市劲鹏制盖有限公司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10,088,470.27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10,088,470.27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17,611,190.93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23,611,190.93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27,699,661.20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33,699,661.20</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其他应收款" w:id="414"/>
      <w:bookmarkEnd w:id="41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1)</w:t>
      </w:r>
      <w:r>
        <w:rPr/>
        <w:t>其他应收款分类披露</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8" w:right="0"/>
              <w:jc w:val="left"/>
              <w:rPr>
                <w:rFonts w:ascii="宋体" w:hAnsi="宋体" w:cs="宋体" w:eastAsia="宋体" w:hint="default"/>
                <w:sz w:val="18"/>
                <w:szCs w:val="18"/>
              </w:rPr>
            </w:pPr>
            <w:r>
              <w:rPr>
                <w:rFonts w:ascii="宋体" w:hAnsi="宋体" w:cs="宋体" w:eastAsia="宋体" w:hint="default"/>
                <w:sz w:val="18"/>
                <w:szCs w:val="18"/>
              </w:rPr>
              <w:t>账面价</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90" w:right="0"/>
              <w:jc w:val="left"/>
              <w:rPr>
                <w:rFonts w:ascii="宋体" w:hAnsi="宋体" w:cs="宋体" w:eastAsia="宋体" w:hint="default"/>
                <w:sz w:val="18"/>
                <w:szCs w:val="18"/>
              </w:rPr>
            </w:pPr>
            <w:r>
              <w:rPr>
                <w:rFonts w:ascii="宋体" w:hAnsi="宋体" w:cs="宋体" w:eastAsia="宋体" w:hint="default"/>
                <w:sz w:val="18"/>
                <w:szCs w:val="18"/>
              </w:rPr>
              <w:t>账面价</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值</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36,259,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429.94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4,266,2</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26.62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11.77</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31,993,</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203.32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23,35</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7,282</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1,870,9</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00.31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21,486,3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82.60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36,259,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429.94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4,266,2</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26.62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11.77</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31,993,</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203.32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23,35</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7,282</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1,870,9</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00.31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21,486,3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82.60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435" w:space="439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13,103,177.75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655,158.89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10,869,197.60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1,086,919.76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12,136,998.01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2,427,399.60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6,399.58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1,919.87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97,657.00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48,828.50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46,000.00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36,259,429.94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4,266,226.62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4632"/>
        <w:jc w:val="left"/>
      </w:pPr>
      <w:r>
        <w:rPr/>
        <w:pict>
          <v:shape style="position:absolute;margin-left:56.34pt;margin-top:35.141701pt;width:462.3pt;height:124.4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0"/>
                    <w:gridCol w:w="3069"/>
                    <w:gridCol w:w="3070"/>
                  </w:tblGrid>
                  <w:tr>
                    <w:trPr>
                      <w:trHeight w:val="355" w:hRule="exact"/>
                    </w:trPr>
                    <w:tc>
                      <w:tcPr>
                        <w:tcW w:w="3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68"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sz w:val="18"/>
                            <w:szCs w:val="18"/>
                          </w:rPr>
                        </w:r>
                      </w:p>
                    </w:tc>
                    <w:tc>
                      <w:tcPr>
                        <w:tcW w:w="30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78" w:right="0"/>
                          <w:jc w:val="left"/>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3"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2" w:right="0"/>
                          <w:jc w:val="center"/>
                          <w:rPr>
                            <w:rFonts w:ascii="宋体" w:hAnsi="宋体" w:cs="宋体" w:eastAsia="宋体" w:hint="default"/>
                            <w:sz w:val="18"/>
                            <w:szCs w:val="18"/>
                          </w:rPr>
                        </w:pPr>
                        <w:r>
                          <w:rPr>
                            <w:rFonts w:ascii="宋体"/>
                            <w:sz w:val="18"/>
                          </w:rPr>
                          <w:t>5.00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84" w:right="0"/>
                          <w:jc w:val="center"/>
                          <w:rPr>
                            <w:rFonts w:ascii="宋体" w:hAnsi="宋体" w:cs="宋体" w:eastAsia="宋体" w:hint="default"/>
                            <w:sz w:val="18"/>
                            <w:szCs w:val="18"/>
                          </w:rPr>
                        </w:pPr>
                        <w:r>
                          <w:rPr>
                            <w:rFonts w:ascii="宋体"/>
                            <w:sz w:val="18"/>
                          </w:rPr>
                          <w:t>5.00</w:t>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center"/>
                          <w:rPr>
                            <w:rFonts w:ascii="宋体" w:hAnsi="宋体" w:cs="宋体" w:eastAsia="宋体" w:hint="default"/>
                            <w:sz w:val="18"/>
                            <w:szCs w:val="18"/>
                          </w:rPr>
                        </w:pPr>
                        <w:r>
                          <w:rPr>
                            <w:rFonts w:ascii="宋体"/>
                            <w:sz w:val="18"/>
                          </w:rPr>
                          <w:t>10.00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85" w:right="0"/>
                          <w:jc w:val="center"/>
                          <w:rPr>
                            <w:rFonts w:ascii="宋体" w:hAnsi="宋体" w:cs="宋体" w:eastAsia="宋体" w:hint="default"/>
                            <w:sz w:val="18"/>
                            <w:szCs w:val="18"/>
                          </w:rPr>
                        </w:pPr>
                        <w:r>
                          <w:rPr>
                            <w:rFonts w:ascii="宋体"/>
                            <w:sz w:val="18"/>
                          </w:rPr>
                          <w:t>10.00</w:t>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3"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center"/>
                          <w:rPr>
                            <w:rFonts w:ascii="宋体" w:hAnsi="宋体" w:cs="宋体" w:eastAsia="宋体" w:hint="default"/>
                            <w:sz w:val="18"/>
                            <w:szCs w:val="18"/>
                          </w:rPr>
                        </w:pPr>
                        <w:r>
                          <w:rPr>
                            <w:rFonts w:ascii="宋体"/>
                            <w:sz w:val="18"/>
                          </w:rPr>
                          <w:t>20.00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85" w:right="0"/>
                          <w:jc w:val="center"/>
                          <w:rPr>
                            <w:rFonts w:ascii="宋体" w:hAnsi="宋体" w:cs="宋体" w:eastAsia="宋体" w:hint="default"/>
                            <w:sz w:val="18"/>
                            <w:szCs w:val="18"/>
                          </w:rPr>
                        </w:pPr>
                        <w:r>
                          <w:rPr>
                            <w:rFonts w:ascii="宋体"/>
                            <w:sz w:val="18"/>
                          </w:rPr>
                          <w:t>20.00</w:t>
                        </w:r>
                      </w:p>
                    </w:tc>
                  </w:tr>
                  <w:tr>
                    <w:trPr>
                      <w:trHeight w:val="353"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年（含</w:t>
                        </w:r>
                        <w:r>
                          <w:rPr>
                            <w:rFonts w:ascii="宋体" w:hAnsi="宋体" w:cs="宋体" w:eastAsia="宋体" w:hint="default"/>
                            <w:sz w:val="18"/>
                            <w:szCs w:val="18"/>
                          </w:rPr>
                          <w:t>4</w:t>
                        </w:r>
                        <w:r>
                          <w:rPr>
                            <w:rFonts w:ascii="宋体" w:hAnsi="宋体" w:cs="宋体" w:eastAsia="宋体" w:hint="default"/>
                            <w:sz w:val="18"/>
                            <w:szCs w:val="18"/>
                          </w:rPr>
                          <w:t>年）</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center"/>
                          <w:rPr>
                            <w:rFonts w:ascii="宋体" w:hAnsi="宋体" w:cs="宋体" w:eastAsia="宋体" w:hint="default"/>
                            <w:sz w:val="18"/>
                            <w:szCs w:val="18"/>
                          </w:rPr>
                        </w:pPr>
                        <w:r>
                          <w:rPr>
                            <w:rFonts w:ascii="宋体"/>
                            <w:sz w:val="18"/>
                          </w:rPr>
                          <w:t>30.00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85" w:right="0"/>
                          <w:jc w:val="center"/>
                          <w:rPr>
                            <w:rFonts w:ascii="宋体" w:hAnsi="宋体" w:cs="宋体" w:eastAsia="宋体" w:hint="default"/>
                            <w:sz w:val="18"/>
                            <w:szCs w:val="18"/>
                          </w:rPr>
                        </w:pPr>
                        <w:r>
                          <w:rPr>
                            <w:rFonts w:ascii="宋体"/>
                            <w:sz w:val="18"/>
                          </w:rPr>
                          <w:t>30.00</w:t>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3"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年（含</w:t>
                        </w:r>
                        <w:r>
                          <w:rPr>
                            <w:rFonts w:ascii="宋体" w:hAnsi="宋体" w:cs="宋体" w:eastAsia="宋体" w:hint="default"/>
                            <w:sz w:val="18"/>
                            <w:szCs w:val="18"/>
                          </w:rPr>
                          <w:t>5</w:t>
                        </w:r>
                        <w:r>
                          <w:rPr>
                            <w:rFonts w:ascii="宋体" w:hAnsi="宋体" w:cs="宋体" w:eastAsia="宋体" w:hint="default"/>
                            <w:sz w:val="18"/>
                            <w:szCs w:val="18"/>
                          </w:rPr>
                          <w:t>年）</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center"/>
                          <w:rPr>
                            <w:rFonts w:ascii="宋体" w:hAnsi="宋体" w:cs="宋体" w:eastAsia="宋体" w:hint="default"/>
                            <w:sz w:val="18"/>
                            <w:szCs w:val="18"/>
                          </w:rPr>
                        </w:pPr>
                        <w:r>
                          <w:rPr>
                            <w:rFonts w:ascii="宋体"/>
                            <w:sz w:val="18"/>
                          </w:rPr>
                          <w:t>50.00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85" w:right="0"/>
                          <w:jc w:val="center"/>
                          <w:rPr>
                            <w:rFonts w:ascii="宋体" w:hAnsi="宋体" w:cs="宋体" w:eastAsia="宋体" w:hint="default"/>
                            <w:sz w:val="18"/>
                            <w:szCs w:val="18"/>
                          </w:rPr>
                        </w:pPr>
                        <w:r>
                          <w:rPr>
                            <w:rFonts w:ascii="宋体"/>
                            <w:sz w:val="18"/>
                          </w:rPr>
                          <w:t>50.00</w:t>
                        </w:r>
                      </w:p>
                    </w:tc>
                  </w:tr>
                  <w:tr>
                    <w:trPr>
                      <w:trHeight w:val="352" w:hRule="exact"/>
                    </w:trPr>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73"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3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2" w:right="0"/>
                          <w:jc w:val="center"/>
                          <w:rPr>
                            <w:rFonts w:ascii="宋体" w:hAnsi="宋体" w:cs="宋体" w:eastAsia="宋体" w:hint="default"/>
                            <w:sz w:val="18"/>
                            <w:szCs w:val="18"/>
                          </w:rPr>
                        </w:pPr>
                        <w:r>
                          <w:rPr>
                            <w:rFonts w:ascii="宋体"/>
                            <w:sz w:val="18"/>
                          </w:rPr>
                          <w:t>100.00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84" w:right="0"/>
                          <w:jc w:val="center"/>
                          <w:rPr>
                            <w:rFonts w:ascii="宋体" w:hAnsi="宋体" w:cs="宋体" w:eastAsia="宋体" w:hint="default"/>
                            <w:sz w:val="18"/>
                            <w:szCs w:val="18"/>
                          </w:rPr>
                        </w:pPr>
                        <w:r>
                          <w:rPr>
                            <w:rFonts w:ascii="宋体"/>
                            <w:sz w:val="18"/>
                          </w:rPr>
                          <w:t>100.00</w:t>
                        </w:r>
                      </w:p>
                    </w:tc>
                  </w:tr>
                </w:tbl>
                <w:p>
                  <w:pPr/>
                </w:p>
              </w:txbxContent>
            </v:textbox>
            <w10:wrap type="none"/>
          </v:shape>
        </w:pict>
      </w:r>
      <w:r>
        <w:rPr/>
        <w:t>确定该组合依据的说明： 本公司的应收款项以账龄为风险特征划分信用风险组合，确定计提比例如下：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44"/>
        <w:ind w:right="982"/>
        <w:jc w:val="left"/>
      </w:pPr>
      <w:r>
        <w:rPr/>
        <w:t>组合中，采用余额百分比法计提坏账准备的其他应收款：</w:t>
      </w:r>
    </w:p>
    <w:p>
      <w:pPr>
        <w:pStyle w:val="BodyText"/>
        <w:spacing w:line="357" w:lineRule="auto" w:before="117"/>
        <w:ind w:right="6612"/>
        <w:jc w:val="left"/>
      </w:pPr>
      <w:r>
        <w:rPr/>
        <w:t>□ 适用 √ 不适用 组合中，采用其他方法计提坏账准备的其他应收款：</w:t>
      </w:r>
    </w:p>
    <w:p>
      <w:pPr>
        <w:pStyle w:val="BodyText"/>
        <w:spacing w:line="240" w:lineRule="auto" w:before="29"/>
        <w:ind w:right="982"/>
        <w:jc w:val="left"/>
      </w:pPr>
      <w:r>
        <w:rPr/>
        <w:t>□ 适用 √ 不适用</w:t>
      </w:r>
    </w:p>
    <w:p>
      <w:pPr>
        <w:pStyle w:val="BodyText"/>
        <w:spacing w:line="240" w:lineRule="auto" w:before="116"/>
        <w:ind w:right="98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982"/>
        <w:jc w:val="left"/>
      </w:pPr>
      <w:r>
        <w:rPr/>
        <w:t>本期计提坏账准备金额</w:t>
      </w:r>
      <w:r>
        <w:rPr>
          <w:spacing w:val="-47"/>
        </w:rPr>
        <w:t> </w:t>
      </w:r>
      <w:r>
        <w:rPr>
          <w:rFonts w:ascii="Times New Roman" w:hAnsi="Times New Roman" w:cs="Times New Roman" w:eastAsia="Times New Roman" w:hint="default"/>
        </w:rPr>
        <w:t>2,395,326.31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1020" w:right="0"/>
        </w:sectPr>
      </w:pPr>
    </w:p>
    <w:p>
      <w:pPr>
        <w:pStyle w:val="BodyText"/>
        <w:spacing w:line="240" w:lineRule="auto" w:before="44"/>
        <w:ind w:right="-2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2785" w:space="604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35,154,655.01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23,032,657.00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1,074,774.93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131,415.70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193,210.21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36,259,429.94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23,357,282.91</w:t>
            </w:r>
          </w:p>
        </w:tc>
      </w:tr>
    </w:tbl>
    <w:p>
      <w:pPr>
        <w:pStyle w:val="BodyText"/>
        <w:spacing w:line="240" w:lineRule="auto" w:before="51"/>
        <w:ind w:right="98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久实融资租赁（上 海）有限公司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北京红星股份有限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贺延立</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256,401.13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12,820.06</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燕京啤酒（桂林漓 泉）股份有限公司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35,056,401.13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4,087,820.06</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3、长期股权投资" w:id="415"/>
      <w:bookmarkEnd w:id="41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73,252,272.88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1,938,430,003.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133,099.28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133,099.28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73,252,272.88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1,938,430,003.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2,011,815,375.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2,011,815,375.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84</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1）对子公司投资" w:id="416"/>
      <w:bookmarkEnd w:id="41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成都海川制盖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29,886,223.64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29,886,223.64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北京鹏和祥包 装制品有限公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2,258,634.60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2,258,634.60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大冶劲鹏制盖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40,528,418.32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40,528,418.32</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28,846,777.83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28,846,777.83</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新疆军鹏制盖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11,293,900.00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11,293,900.00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亳州丽鹏制盖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136,560,000.0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136,560,000.0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44,405,495.05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44,405,495.05</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四川泸州丽鹏 制盖有限公司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山东丽鹏国际 贸易有限公司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1,718,600,000.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1,718,600,000.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烟台丽鹏投资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2,555,100.00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2,555,100.00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2,011,682,276.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73,252,272.88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73,252,272.88</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2）对联营、合营企业投资" w:id="417"/>
      <w:bookmarkEnd w:id="41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深圳在 乎传媒 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133,09</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760,00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-893,09</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133,09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8" w:right="0"/>
              <w:jc w:val="left"/>
              <w:rPr>
                <w:rFonts w:ascii="Times New Roman" w:hAnsi="Times New Roman" w:cs="Times New Roman" w:eastAsia="Times New Roman" w:hint="default"/>
                <w:sz w:val="18"/>
                <w:szCs w:val="18"/>
              </w:rPr>
            </w:pPr>
            <w:r>
              <w:rPr>
                <w:rFonts w:ascii="Times New Roman"/>
                <w:sz w:val="18"/>
              </w:rPr>
              <w:t>760,00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0" w:right="0"/>
              <w:jc w:val="left"/>
              <w:rPr>
                <w:rFonts w:ascii="Times New Roman" w:hAnsi="Times New Roman" w:cs="Times New Roman" w:eastAsia="Times New Roman" w:hint="default"/>
                <w:sz w:val="18"/>
                <w:szCs w:val="18"/>
              </w:rPr>
            </w:pPr>
            <w:r>
              <w:rPr>
                <w:rFonts w:ascii="Times New Roman"/>
                <w:sz w:val="18"/>
              </w:rPr>
              <w:t>-893,09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9" w:right="0"/>
              <w:jc w:val="left"/>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0" w:right="0"/>
              <w:jc w:val="left"/>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133,09</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760,00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-893,09</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9.28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982"/>
        <w:jc w:val="left"/>
        <w:rPr>
          <w:b w:val="0"/>
          <w:bCs w:val="0"/>
        </w:rPr>
      </w:pPr>
      <w:bookmarkStart w:name="（3）其他说明" w:id="418"/>
      <w:bookmarkEnd w:id="41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4、营业收入和营业成本" w:id="419"/>
      <w:bookmarkEnd w:id="41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314,800,203.28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297,938,679.59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331,816,998.44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298,430,006.66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20,223,752.85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16,509,244.62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21,543,066.88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19,495,121.71</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335,023,956.13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314,447,924.21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353,360,065.32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317,925,128.37</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5、投资收益" w:id="420"/>
      <w:bookmarkEnd w:id="42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20,317,661.33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-893,099.28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-3,111,409.70</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-893,099.28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19,206,251.63</w:t>
            </w:r>
          </w:p>
        </w:tc>
      </w:tr>
    </w:tbl>
    <w:p>
      <w:pPr>
        <w:spacing w:line="240" w:lineRule="auto" w:before="2"/>
        <w:rPr>
          <w:rFonts w:ascii="宋体" w:hAnsi="宋体" w:cs="宋体" w:eastAsia="宋体" w:hint="default"/>
          <w:sz w:val="19"/>
          <w:szCs w:val="19"/>
        </w:rPr>
      </w:pPr>
    </w:p>
    <w:p>
      <w:pPr>
        <w:pStyle w:val="Heading4"/>
        <w:spacing w:line="240" w:lineRule="auto" w:before="35"/>
        <w:ind w:right="982"/>
        <w:jc w:val="left"/>
        <w:rPr>
          <w:b w:val="0"/>
          <w:bCs w:val="0"/>
        </w:rPr>
      </w:pPr>
      <w:bookmarkStart w:name="6、其他" w:id="421"/>
      <w:bookmarkEnd w:id="42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982"/>
        <w:jc w:val="left"/>
        <w:rPr>
          <w:b w:val="0"/>
          <w:bCs w:val="0"/>
        </w:rPr>
      </w:pPr>
      <w:bookmarkStart w:name="十七、补充资料" w:id="422"/>
      <w:bookmarkEnd w:id="422"/>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当期非经常性损益明细表" w:id="423"/>
      <w:bookmarkEnd w:id="42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2"/>
        <w:jc w:val="left"/>
      </w:pPr>
      <w:r>
        <w:rPr/>
        <w:t>√ 适用 □ 不适用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-88,796.13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5,258,846.69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-1,127,333.31</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149"/>
              <w:jc w:val="left"/>
              <w:rPr>
                <w:rFonts w:ascii="宋体" w:hAnsi="宋体" w:cs="宋体" w:eastAsia="宋体" w:hint="default"/>
                <w:sz w:val="18"/>
                <w:szCs w:val="18"/>
              </w:rPr>
            </w:pPr>
            <w:r>
              <w:rPr>
                <w:rFonts w:ascii="宋体" w:hAnsi="宋体" w:cs="宋体" w:eastAsia="宋体" w:hint="default"/>
                <w:sz w:val="18"/>
                <w:szCs w:val="18"/>
              </w:rPr>
              <w:t>资单位可辨认净资产公允价值产生的收 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-956.47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-661,781.05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660,772.58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19,101.57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2,700,105.58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70"/>
        <w:ind w:right="982"/>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82"/>
        <w:jc w:val="left"/>
        <w:rPr>
          <w:b w:val="0"/>
          <w:bCs w:val="0"/>
        </w:rPr>
      </w:pPr>
      <w:bookmarkStart w:name="2、净资产收益率及每股收益" w:id="424"/>
      <w:bookmarkEnd w:id="42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-0.90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-0.90</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982"/>
        <w:jc w:val="left"/>
        <w:rPr>
          <w:b w:val="0"/>
          <w:bCs w:val="0"/>
        </w:rPr>
      </w:pPr>
      <w:bookmarkStart w:name="3、境内外会计准则下会计数据差异" w:id="425"/>
      <w:bookmarkEnd w:id="42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1）同时按照国际会计准则与按中国会计准则披露的财务报告中净利润和净资产差异情况" w:id="426"/>
      <w:bookmarkEnd w:id="42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bookmarkStart w:name="（2）同时按照境外会计准则与按中国会计准则披露的财务报告中净利润和净资产差异情况" w:id="427"/>
      <w:bookmarkEnd w:id="42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2"/>
        <w:jc w:val="left"/>
      </w:pPr>
      <w:r>
        <w:rPr/>
        <w:t>□ 适用 √ 不适用</w:t>
      </w:r>
    </w:p>
    <w:p>
      <w:pPr>
        <w:spacing w:line="240" w:lineRule="auto" w:before="11"/>
        <w:rPr>
          <w:rFonts w:ascii="宋体" w:hAnsi="宋体" w:cs="宋体" w:eastAsia="宋体" w:hint="default"/>
          <w:sz w:val="26"/>
          <w:szCs w:val="26"/>
        </w:rPr>
      </w:pPr>
    </w:p>
    <w:p>
      <w:pPr>
        <w:pStyle w:val="Heading4"/>
        <w:spacing w:line="259" w:lineRule="auto"/>
        <w:ind w:right="982"/>
        <w:jc w:val="left"/>
        <w:rPr>
          <w:b w:val="0"/>
          <w:bCs w:val="0"/>
        </w:rPr>
      </w:pPr>
      <w:bookmarkStart w:name="（3）境内外会计准则下会计数据差异原因说明，对已经境外审计机构审计的数据进行差异" w:id="428"/>
      <w:bookmarkEnd w:id="42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bookmarkStart w:name="4、其他" w:id="429"/>
      <w:bookmarkEnd w:id="429"/>
      <w:r>
        <w:rPr>
          <w:b w:val="0"/>
          <w:bCs w:val="0"/>
        </w:rPr>
      </w:r>
      <w:r>
        <w:rPr>
          <w:rFonts w:ascii="Times New Roman" w:hAnsi="Times New Roman" w:cs="Times New Roman" w:eastAsia="Times New Roman" w:hint="default"/>
        </w:rPr>
        <w:t>4</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2"/>
        <w:jc w:val="left"/>
      </w:pPr>
      <w:r>
        <w:rPr/>
        <w:t>无</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46" w:right="982"/>
        <w:jc w:val="left"/>
        <w:rPr>
          <w:b w:val="0"/>
          <w:bCs w:val="0"/>
        </w:rPr>
      </w:pPr>
      <w:bookmarkStart w:name="第十二节 备查文件目录" w:id="430"/>
      <w:bookmarkEnd w:id="430"/>
      <w:r>
        <w:rPr>
          <w:b w:val="0"/>
          <w:bCs w:val="0"/>
        </w:rPr>
      </w:r>
      <w:bookmarkStart w:name="_bookmark11" w:id="431"/>
      <w:bookmarkEnd w:id="431"/>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5"/>
        <w:spacing w:line="273" w:lineRule="auto" w:before="0"/>
        <w:ind w:right="1512"/>
        <w:jc w:val="left"/>
      </w:pPr>
      <w:r>
        <w:rPr/>
        <w:t>一、载有公司负责人、主管会计工作负责人、会计机构负责人签名并盖章的财务报表 二、载有会计师事务所盖章、注册会计师签名并盖章的审计报告原件 三、报告期内在中国证监会指定信息披露媒体上公开披露过的所有公司文件的正本及公告的原稿 四、载有公司法定代表人孙鲲鹏先生签名的</w:t>
      </w:r>
      <w:r>
        <w:rPr>
          <w:rFonts w:ascii="宋体" w:hAnsi="宋体" w:cs="宋体" w:eastAsia="宋体" w:hint="default"/>
        </w:rPr>
        <w:t>2018</w:t>
      </w:r>
      <w:r>
        <w:rPr/>
        <w:t>年度报告原件</w:t>
      </w:r>
    </w:p>
    <w:p>
      <w:pPr>
        <w:pStyle w:val="Heading5"/>
        <w:spacing w:line="240" w:lineRule="auto" w:before="7"/>
        <w:ind w:right="982"/>
        <w:jc w:val="left"/>
      </w:pPr>
      <w:r>
        <w:rPr/>
        <w:t>以上文件置备地点：公司证券部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5"/>
        <w:spacing w:line="273" w:lineRule="auto" w:before="0"/>
        <w:ind w:left="6534" w:right="2250"/>
        <w:jc w:val="center"/>
      </w:pPr>
      <w:r>
        <w:rPr/>
        <w:t>山东丽鹏股份有限公司 法定代表人：孙鲲鹏 </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26</w:t>
      </w:r>
      <w:r>
        <w:rPr/>
        <w:t>日</w:t>
      </w:r>
    </w:p>
    <w:sectPr>
      <w:pgSz w:w="11910" w:h="16840"/>
      <w:pgMar w:header="907" w:footer="1019"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0640" type="#_x0000_t75" stroked="false">
          <v:imagedata r:id="rId1" o:title=""/>
        </v:shape>
      </w:pict>
    </w:r>
    <w:r>
      <w:rPr/>
      <w:pict>
        <v:shape style="position:absolute;margin-left:55.700001pt;margin-top:793.5979pt;width:6.5pt;height:11pt;mso-position-horizontal-relative:page;mso-position-vertical-relative:page;z-index:-10506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0592" type="#_x0000_t75" stroked="false">
          <v:imagedata r:id="rId1" o:title=""/>
        </v:shape>
      </w:pict>
    </w:r>
    <w:r>
      <w:rPr/>
      <w:pict>
        <v:shape style="position:absolute;margin-left:54.700001pt;margin-top:779.977905pt;width:13pt;height:11pt;mso-position-horizontal-relative:page;mso-position-vertical-relative:page;z-index:-1050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0496" type="#_x0000_t75" stroked="false">
          <v:imagedata r:id="rId1" o:title=""/>
        </v:shape>
      </w:pict>
    </w:r>
    <w:r>
      <w:rPr/>
      <w:pict>
        <v:shape style="position:absolute;margin-left:54.700001pt;margin-top:779.977905pt;width:13pt;height:11pt;mso-position-horizontal-relative:page;mso-position-vertical-relative:page;z-index:-1050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0448" type="#_x0000_t75" stroked="false">
          <v:imagedata r:id="rId1" o:title=""/>
        </v:shape>
      </w:pict>
    </w:r>
    <w:r>
      <w:rPr/>
      <w:pict>
        <v:shape style="position:absolute;margin-left:55.700001pt;margin-top:779.977905pt;width:15.5pt;height:11pt;mso-position-horizontal-relative:page;mso-position-vertical-relative:page;z-index:-10504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0400" type="#_x0000_t75" stroked="false">
          <v:imagedata r:id="rId1" o:title=""/>
        </v:shape>
      </w:pict>
    </w:r>
    <w:r>
      <w:rPr/>
      <w:pict>
        <v:shape style="position:absolute;margin-left:54.700001pt;margin-top:779.977905pt;width:17.5pt;height:11pt;mso-position-horizontal-relative:page;mso-position-vertical-relative:page;z-index:-1050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177.55pt;height:11.5pt;mso-position-horizontal-relative:page;mso-position-vertical-relative:page;z-index:-1050664" type="#_x0000_t202" filled="false" stroked="false">
          <v:textbox inset="0,0,0,0">
            <w:txbxContent>
              <w:p>
                <w:pPr>
                  <w:pStyle w:val="BodyText"/>
                  <w:spacing w:line="214" w:lineRule="exact"/>
                  <w:ind w:left="20" w:right="0"/>
                  <w:jc w:val="left"/>
                </w:pPr>
                <w:r>
                  <w:rPr/>
                  <w:t>山东丽鹏股份有限公司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77.55pt;height:11.5pt;mso-position-horizontal-relative:page;mso-position-vertical-relative:page;z-index:-1050544" type="#_x0000_t202" filled="false" stroked="false">
          <v:textbox inset="0,0,0,0">
            <w:txbxContent>
              <w:p>
                <w:pPr>
                  <w:pStyle w:val="BodyText"/>
                  <w:spacing w:line="214" w:lineRule="exact"/>
                  <w:ind w:left="20" w:right="0"/>
                  <w:jc w:val="left"/>
                </w:pPr>
                <w:r>
                  <w:rPr/>
                  <w:t>山东丽鹏股份有限公司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77.55pt;height:11.5pt;mso-position-horizontal-relative:page;mso-position-vertical-relative:page;z-index:-1050520" type="#_x0000_t202" filled="false" stroked="false">
          <v:textbox inset="0,0,0,0">
            <w:txbxContent>
              <w:p>
                <w:pPr>
                  <w:pStyle w:val="BodyText"/>
                  <w:spacing w:line="214" w:lineRule="exact"/>
                  <w:ind w:left="20" w:right="0"/>
                  <w:jc w:val="left"/>
                </w:pPr>
                <w:r>
                  <w:rPr/>
                  <w:t>山东丽鹏股份有限公司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1"/>
      <w:ind w:left="114"/>
    </w:pPr>
    <w:rPr>
      <w:rFonts w:ascii="宋体" w:hAnsi="宋体" w:eastAsia="宋体"/>
      <w:sz w:val="30"/>
      <w:szCs w:val="30"/>
    </w:rPr>
  </w:style>
  <w:style w:styleId="BodyText" w:type="paragraph">
    <w:name w:val="Body Text"/>
    <w:basedOn w:val="Normal"/>
    <w:uiPriority w:val="1"/>
    <w:qFormat/>
    <w:pPr>
      <w:ind w:left="114"/>
    </w:pPr>
    <w:rPr>
      <w:rFonts w:ascii="宋体" w:hAnsi="宋体" w:eastAsia="宋体"/>
      <w:sz w:val="18"/>
      <w:szCs w:val="18"/>
    </w:rPr>
  </w:style>
  <w:style w:styleId="Heading1" w:type="paragraph">
    <w:name w:val="Heading 1"/>
    <w:basedOn w:val="Normal"/>
    <w:uiPriority w:val="1"/>
    <w:qFormat/>
    <w:pPr>
      <w:spacing w:before="1"/>
      <w:ind w:left="1232"/>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sz w:val="24"/>
      <w:szCs w:val="24"/>
    </w:rPr>
  </w:style>
  <w:style w:styleId="Heading4" w:type="paragraph">
    <w:name w:val="Heading 4"/>
    <w:basedOn w:val="Normal"/>
    <w:uiPriority w:val="1"/>
    <w:qFormat/>
    <w:pPr>
      <w:ind w:left="114"/>
      <w:outlineLvl w:val="4"/>
    </w:pPr>
    <w:rPr>
      <w:rFonts w:ascii="宋体" w:hAnsi="宋体" w:eastAsia="宋体"/>
      <w:b/>
      <w:bCs/>
      <w:sz w:val="21"/>
      <w:szCs w:val="21"/>
    </w:rPr>
  </w:style>
  <w:style w:styleId="Heading5" w:type="paragraph">
    <w:name w:val="Heading 5"/>
    <w:basedOn w:val="Normal"/>
    <w:uiPriority w:val="1"/>
    <w:qFormat/>
    <w:pPr>
      <w:spacing w:before="37"/>
      <w:ind w:left="534"/>
      <w:outlineLvl w:val="5"/>
    </w:pPr>
    <w:rPr>
      <w:rFonts w:ascii="宋体" w:hAnsi="宋体" w:eastAsia="宋体"/>
      <w:sz w:val="21"/>
      <w:szCs w:val="21"/>
    </w:rPr>
  </w:style>
  <w:style w:styleId="Heading6" w:type="paragraph">
    <w:name w:val="Heading 6"/>
    <w:basedOn w:val="Normal"/>
    <w:uiPriority w:val="1"/>
    <w:qFormat/>
    <w:pPr>
      <w:ind w:left="47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lp.com.cn/" TargetMode="External"/><Relationship Id="rId10" Type="http://schemas.openxmlformats.org/officeDocument/2006/relationships/hyperlink" Target="mailto:lp@lp.com.cn" TargetMode="External"/><Relationship Id="rId11" Type="http://schemas.openxmlformats.org/officeDocument/2006/relationships/hyperlink" Target="mailto:haixia5229@sina.com" TargetMode="External"/><Relationship Id="rId12" Type="http://schemas.openxmlformats.org/officeDocument/2006/relationships/hyperlink" Target="mailto:zyh8769@126.com"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yperlink" Target="http://www.cninfo.com.c/" TargetMode="External"/><Relationship Id="rId18" Type="http://schemas.openxmlformats.org/officeDocument/2006/relationships/footer" Target="footer4.xml"/><Relationship Id="rId19"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2020-05-05T03:49:15Z</dcterms:created>
  <dcterms:modified xsi:type="dcterms:W3CDTF">2020-05-05T03:49:15Z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