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780" w:after="1200" w:line="240" w:lineRule="auto"/>
        <w:ind w:left="1060" w:right="0" w:firstLine="0"/>
        <w:jc w:val="left"/>
        <w:rPr>
          <w:sz w:val="96"/>
          <w:szCs w:val="96"/>
        </w:rPr>
      </w:pPr>
      <w:r>
        <w:rPr>
          <w:rFonts w:ascii="Arial" w:eastAsia="Arial" w:hAnsi="Arial" w:cs="Arial"/>
          <w:i/>
          <w:iCs/>
          <w:color w:val="BC0315"/>
          <w:spacing w:val="0"/>
          <w:w w:val="100"/>
          <w:position w:val="0"/>
          <w:sz w:val="128"/>
          <w:szCs w:val="128"/>
        </w:rPr>
        <w:t>GIMC</w:t>
      </w:r>
      <w:r>
        <w:rPr>
          <w:rFonts w:ascii="SimHei" w:eastAsia="SimHei" w:hAnsi="SimHei" w:cs="SimHei"/>
          <w:color w:val="BC0315"/>
          <w:spacing w:val="0"/>
          <w:w w:val="100"/>
          <w:position w:val="0"/>
          <w:sz w:val="96"/>
          <w:szCs w:val="96"/>
        </w:rPr>
        <w:t>省广集</w:t>
      </w:r>
    </w:p>
    <w:p>
      <w:pPr>
        <w:pStyle w:val="Style2"/>
        <w:keepNext w:val="0"/>
        <w:keepLines w:val="0"/>
        <w:widowControl w:val="0"/>
        <w:shd w:val="clear" w:color="auto" w:fill="auto"/>
        <w:bidi w:val="0"/>
        <w:spacing w:before="0" w:after="440" w:line="240" w:lineRule="auto"/>
        <w:ind w:left="0" w:right="0" w:firstLine="0"/>
        <w:jc w:val="center"/>
        <w:rPr>
          <w:sz w:val="52"/>
          <w:szCs w:val="52"/>
        </w:rPr>
      </w:pPr>
      <w:r>
        <w:rPr>
          <w:rFonts w:ascii="SimSun" w:eastAsia="SimSun" w:hAnsi="SimSun" w:cs="SimSun"/>
          <w:b/>
          <w:bCs/>
          <w:color w:val="000000"/>
          <w:spacing w:val="0"/>
          <w:w w:val="100"/>
          <w:position w:val="0"/>
          <w:sz w:val="52"/>
          <w:szCs w:val="52"/>
        </w:rPr>
        <w:t>广东省广告集团股份有限公司</w:t>
      </w:r>
    </w:p>
    <w:p>
      <w:pPr>
        <w:pStyle w:val="Style2"/>
        <w:keepNext w:val="0"/>
        <w:keepLines w:val="0"/>
        <w:widowControl w:val="0"/>
        <w:shd w:val="clear" w:color="auto" w:fill="auto"/>
        <w:bidi w:val="0"/>
        <w:spacing w:before="0" w:after="6060" w:line="240" w:lineRule="auto"/>
        <w:ind w:left="0" w:right="0" w:firstLine="0"/>
        <w:jc w:val="center"/>
        <w:rPr>
          <w:sz w:val="52"/>
          <w:szCs w:val="52"/>
        </w:rPr>
      </w:pPr>
      <w:r>
        <w:rPr>
          <w:b/>
          <w:bCs/>
          <w:color w:val="000000"/>
          <w:spacing w:val="0"/>
          <w:w w:val="100"/>
          <w:position w:val="0"/>
          <w:sz w:val="50"/>
          <w:szCs w:val="50"/>
        </w:rPr>
        <w:t>2021</w:t>
      </w:r>
      <w:r>
        <w:rPr>
          <w:rFonts w:ascii="SimSun" w:eastAsia="SimSun" w:hAnsi="SimSun" w:cs="SimSun"/>
          <w:b/>
          <w:bCs/>
          <w:color w:val="000000"/>
          <w:spacing w:val="0"/>
          <w:w w:val="100"/>
          <w:position w:val="0"/>
          <w:sz w:val="52"/>
          <w:szCs w:val="5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ind w:left="0" w:right="0"/>
        <w:jc w:val="both"/>
      </w:pPr>
      <w:r>
        <w:rPr>
          <w:color w:val="000000"/>
          <w:spacing w:val="0"/>
          <w:w w:val="100"/>
          <w:position w:val="0"/>
        </w:rPr>
        <w:t>公司负责人陈钿隆、主管会计工作负责人周旭及会计机构负责人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吴俊生声明：保证本年度报告中财务报告的真实、准确、完整。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本报告中涉及的未来发展陈述，属于计划性事项，不构成公司对投资者的 实质承诺，敬请广大投资者注意投资风险。</w:t>
      </w:r>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公司存在行业竞争风险、人才流失风险、资产减值风险。敬请广大投资者 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第三节【十一</w:t>
      </w:r>
      <w:r>
        <w:rPr>
          <w:rFonts w:ascii="Times New Roman" w:eastAsia="Times New Roman" w:hAnsi="Times New Roman" w:cs="Times New Roman"/>
          <w:color w:val="000000"/>
          <w:spacing w:val="0"/>
          <w:w w:val="100"/>
          <w:position w:val="0"/>
        </w:rPr>
        <w:t>.</w:t>
      </w: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810" w:right="970" w:bottom="3466"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1,743,337,128.00</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0.16</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6"/>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10"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58"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238"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26</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369"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385"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531"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598"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pPr>
      <w:hyperlink w:anchor="bookmark60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6"/>
        <w:keepNext w:val="0"/>
        <w:keepLines w:val="0"/>
        <w:widowControl w:val="0"/>
        <w:shd w:val="clear" w:color="auto" w:fill="auto"/>
        <w:tabs>
          <w:tab w:leader="dot" w:pos="9613" w:val="right"/>
        </w:tabs>
        <w:bidi w:val="0"/>
        <w:spacing w:before="0" w:line="240" w:lineRule="auto"/>
        <w:ind w:left="0" w:right="0" w:firstLine="0"/>
        <w:jc w:val="left"/>
        <w:sectPr>
          <w:footnotePr>
            <w:pos w:val="pageBottom"/>
            <w:numFmt w:val="decimal"/>
            <w:numRestart w:val="continuous"/>
          </w:footnotePr>
          <w:pgSz w:w="11900" w:h="16840"/>
          <w:pgMar w:top="2862" w:right="1118" w:bottom="2862" w:left="1104" w:header="0" w:footer="3" w:gutter="0"/>
          <w:cols w:space="720"/>
          <w:noEndnote/>
          <w:rtlGutter w:val="0"/>
          <w:docGrid w:linePitch="360"/>
        </w:sectPr>
      </w:pPr>
      <w:hyperlink w:anchor="bookmark606"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58</w:t>
        </w:r>
      </w:hyperlink>
      <w:r>
        <w:fldChar w:fldCharType="end"/>
      </w:r>
    </w:p>
    <w:p>
      <w:pPr>
        <w:pStyle w:val="Style2"/>
        <w:keepNext w:val="0"/>
        <w:keepLines w:val="0"/>
        <w:widowControl w:val="0"/>
        <w:shd w:val="clear" w:color="auto" w:fill="auto"/>
        <w:bidi w:val="0"/>
        <w:spacing w:before="0" w:after="880" w:line="240" w:lineRule="auto"/>
        <w:ind w:left="0" w:right="0" w:firstLine="0"/>
        <w:jc w:val="center"/>
        <w:rPr>
          <w:sz w:val="32"/>
          <w:szCs w:val="32"/>
        </w:rPr>
      </w:pPr>
      <w:r>
        <w:rPr>
          <w:rFonts w:ascii="SimSun" w:eastAsia="SimSun" w:hAnsi="SimSun" w:cs="SimSun"/>
          <w:b/>
          <w:bCs/>
          <w:color w:val="000000"/>
          <w:spacing w:val="0"/>
          <w:w w:val="100"/>
          <w:position w:val="0"/>
          <w:sz w:val="32"/>
          <w:szCs w:val="32"/>
        </w:rPr>
        <w:t>备查文件目录</w:t>
      </w:r>
    </w:p>
    <w:p>
      <w:pPr>
        <w:pStyle w:val="Style19"/>
        <w:keepNext w:val="0"/>
        <w:keepLines w:val="0"/>
        <w:widowControl w:val="0"/>
        <w:shd w:val="clear" w:color="auto" w:fill="auto"/>
        <w:tabs>
          <w:tab w:pos="531" w:val="left"/>
        </w:tabs>
        <w:bidi w:val="0"/>
        <w:spacing w:before="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载有公司负责人、主管会计工作负责人、会计机构负责人（会计主管人员）签名并盖章的财务报表;</w:t>
      </w:r>
    </w:p>
    <w:p>
      <w:pPr>
        <w:pStyle w:val="Style19"/>
        <w:keepNext w:val="0"/>
        <w:keepLines w:val="0"/>
        <w:widowControl w:val="0"/>
        <w:shd w:val="clear" w:color="auto" w:fill="auto"/>
        <w:tabs>
          <w:tab w:pos="531" w:val="left"/>
        </w:tabs>
        <w:bidi w:val="0"/>
        <w:spacing w:before="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载有中审众环会计所事务所（特殊普通合伙）盖章、注册会计师签名并盖章的审计报告原件；</w:t>
      </w:r>
    </w:p>
    <w:p>
      <w:pPr>
        <w:pStyle w:val="Style19"/>
        <w:keepNext w:val="0"/>
        <w:keepLines w:val="0"/>
        <w:widowControl w:val="0"/>
        <w:shd w:val="clear" w:color="auto" w:fill="auto"/>
        <w:tabs>
          <w:tab w:pos="531" w:val="left"/>
        </w:tabs>
        <w:bidi w:val="0"/>
        <w:spacing w:before="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报告期内公开披露过的所有公司文件的正本及公告的原稿；</w:t>
      </w:r>
    </w:p>
    <w:p>
      <w:pPr>
        <w:pStyle w:val="Style19"/>
        <w:keepNext w:val="0"/>
        <w:keepLines w:val="0"/>
        <w:widowControl w:val="0"/>
        <w:shd w:val="clear" w:color="auto" w:fill="auto"/>
        <w:tabs>
          <w:tab w:pos="531" w:val="left"/>
        </w:tabs>
        <w:bidi w:val="0"/>
        <w:spacing w:before="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其他有关资料；</w:t>
      </w:r>
    </w:p>
    <w:p>
      <w:pPr>
        <w:pStyle w:val="Style19"/>
        <w:keepNext w:val="0"/>
        <w:keepLines w:val="0"/>
        <w:widowControl w:val="0"/>
        <w:shd w:val="clear" w:color="auto" w:fill="auto"/>
        <w:tabs>
          <w:tab w:pos="531" w:val="left"/>
        </w:tabs>
        <w:bidi w:val="0"/>
        <w:spacing w:before="0" w:line="240" w:lineRule="auto"/>
        <w:ind w:left="0" w:right="0" w:firstLine="0"/>
        <w:jc w:val="left"/>
        <w:sectPr>
          <w:footnotePr>
            <w:pos w:val="pageBottom"/>
            <w:numFmt w:val="decimal"/>
            <w:numRestart w:val="continuous"/>
          </w:footnotePr>
          <w:pgSz w:w="11900" w:h="16840"/>
          <w:pgMar w:top="2228" w:right="1118" w:bottom="2228" w:left="1104" w:header="0" w:footer="3" w:gutter="0"/>
          <w:cols w:space="720"/>
          <w:noEndnote/>
          <w:rtlGutter w:val="0"/>
          <w:docGrid w:linePitch="360"/>
        </w:sectPr>
      </w:pPr>
      <w:bookmarkStart w:id="8" w:name="bookmark8"/>
      <w:r>
        <w:rPr>
          <w:color w:val="000000"/>
          <w:spacing w:val="0"/>
          <w:w w:val="100"/>
          <w:position w:val="0"/>
        </w:rPr>
        <w:t>（</w:t>
      </w:r>
      <w:bookmarkEnd w:id="8"/>
      <w:r>
        <w:rPr>
          <w:color w:val="000000"/>
          <w:spacing w:val="0"/>
          <w:w w:val="100"/>
          <w:position w:val="0"/>
        </w:rPr>
        <w:t>五）</w:t>
        <w:tab/>
        <w:t>以上备查文件的备置地点：公司董事会办公室。</w:t>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省广集团、本公司、公司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广东省广告集团股份有限公司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广新集团</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r>
    </w:tbl>
    <w:p>
      <w:pPr>
        <w:sectPr>
          <w:footnotePr>
            <w:pos w:val="pageBottom"/>
            <w:numFmt w:val="decimal"/>
            <w:numRestart w:val="continuous"/>
          </w:footnotePr>
          <w:pgSz w:w="11900" w:h="16840"/>
          <w:pgMar w:top="2228" w:right="1196" w:bottom="2228" w:left="1119" w:header="0" w:footer="3" w:gutter="0"/>
          <w:cols w:space="720"/>
          <w:noEndnote/>
          <w:rtlGutter w:val="0"/>
          <w:docGrid w:linePitch="360"/>
        </w:sectPr>
      </w:pPr>
    </w:p>
    <w:p>
      <w:pPr>
        <w:pStyle w:val="Style10"/>
        <w:keepNext/>
        <w:keepLines/>
        <w:widowControl w:val="0"/>
        <w:shd w:val="clear" w:color="auto" w:fill="auto"/>
        <w:bidi w:val="0"/>
        <w:spacing w:before="64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2"/>
        <w:keepNext/>
        <w:keepLines/>
        <w:widowControl w:val="0"/>
        <w:shd w:val="clear" w:color="auto" w:fill="auto"/>
        <w:bidi w:val="0"/>
        <w:spacing w:before="0" w:after="32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rPr>
        <w:t>一</w:t>
      </w:r>
      <w:bookmarkEnd w:id="15"/>
      <w:r>
        <w:rPr>
          <w:color w:val="000000"/>
          <w:spacing w:val="0"/>
          <w:w w:val="100"/>
          <w:position w:val="0"/>
        </w:rPr>
        <w:t>、公司信息</w:t>
      </w:r>
      <w:bookmarkEnd w:id="13"/>
      <w:bookmarkEnd w:id="14"/>
      <w:bookmarkEnd w:id="16"/>
      <w:bookmarkEnd w:id="12"/>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30" w:val="left"/>
                <w:tab w:pos="4781" w:val="left"/>
              </w:tabs>
              <w:bidi w:val="0"/>
              <w:spacing w:before="0" w:after="0" w:line="240" w:lineRule="auto"/>
              <w:ind w:left="0" w:right="0" w:firstLine="0"/>
              <w:jc w:val="center"/>
            </w:pPr>
            <w:r>
              <w:rPr>
                <w:rFonts w:ascii="SimSun" w:eastAsia="SimSun" w:hAnsi="SimSun" w:cs="SimSun"/>
                <w:color w:val="000000"/>
                <w:spacing w:val="0"/>
                <w:w w:val="100"/>
                <w:position w:val="0"/>
                <w:sz w:val="17"/>
                <w:szCs w:val="17"/>
              </w:rPr>
              <w:t>省广集团</w:t>
              <w:tab/>
              <w:t>股票代码</w:t>
              <w:tab/>
            </w:r>
            <w:r>
              <w:rPr>
                <w:color w:val="000000"/>
                <w:spacing w:val="0"/>
                <w:w w:val="100"/>
                <w:position w:val="0"/>
              </w:rPr>
              <w:t>002400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广东省广告集团股份有限公司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省广集团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GUANGDONG ADVERTISING GROUP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GIMC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陈钿隆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广州市海珠区新港东路</w:t>
            </w:r>
            <w:r>
              <w:rPr>
                <w:color w:val="000000"/>
                <w:spacing w:val="0"/>
                <w:w w:val="100"/>
                <w:position w:val="0"/>
                <w:sz w:val="18"/>
                <w:szCs w:val="18"/>
              </w:rPr>
              <w:t>996</w:t>
            </w:r>
            <w:r>
              <w:rPr>
                <w:rFonts w:ascii="SimSun" w:eastAsia="SimSun" w:hAnsi="SimSun" w:cs="SimSun"/>
                <w:color w:val="000000"/>
                <w:spacing w:val="0"/>
                <w:w w:val="100"/>
                <w:position w:val="0"/>
                <w:sz w:val="17"/>
                <w:szCs w:val="17"/>
              </w:rPr>
              <w:t>号保利世界贸易中心</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510220</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月，公司注册地址由广州市越秀区东风东路</w:t>
            </w:r>
            <w:r>
              <w:rPr>
                <w:color w:val="000000"/>
                <w:spacing w:val="0"/>
                <w:w w:val="100"/>
                <w:position w:val="0"/>
                <w:sz w:val="18"/>
                <w:szCs w:val="18"/>
              </w:rPr>
              <w:t>745</w:t>
            </w:r>
            <w:r>
              <w:rPr>
                <w:rFonts w:ascii="SimSun" w:eastAsia="SimSun" w:hAnsi="SimSun" w:cs="SimSun"/>
                <w:color w:val="000000"/>
                <w:spacing w:val="0"/>
                <w:w w:val="100"/>
                <w:position w:val="0"/>
                <w:sz w:val="17"/>
                <w:szCs w:val="17"/>
              </w:rPr>
              <w:t>号之二变更为 广州市海珠区新港东路</w:t>
            </w:r>
            <w:r>
              <w:rPr>
                <w:color w:val="000000"/>
                <w:spacing w:val="0"/>
                <w:w w:val="100"/>
                <w:position w:val="0"/>
                <w:sz w:val="18"/>
                <w:szCs w:val="18"/>
              </w:rPr>
              <w:t>996</w:t>
            </w:r>
            <w:r>
              <w:rPr>
                <w:rFonts w:ascii="SimSun" w:eastAsia="SimSun" w:hAnsi="SimSun" w:cs="SimSun"/>
                <w:color w:val="000000"/>
                <w:spacing w:val="0"/>
                <w:w w:val="100"/>
                <w:position w:val="0"/>
                <w:sz w:val="17"/>
                <w:szCs w:val="17"/>
              </w:rPr>
              <w:t>号保利世界贸易中心</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广州市海珠区新港东路</w:t>
            </w:r>
            <w:r>
              <w:rPr>
                <w:color w:val="000000"/>
                <w:spacing w:val="0"/>
                <w:w w:val="100"/>
                <w:position w:val="0"/>
                <w:sz w:val="18"/>
                <w:szCs w:val="18"/>
              </w:rPr>
              <w:t>996</w:t>
            </w:r>
            <w:r>
              <w:rPr>
                <w:rFonts w:ascii="SimSun" w:eastAsia="SimSun" w:hAnsi="SimSun" w:cs="SimSun"/>
                <w:color w:val="000000"/>
                <w:spacing w:val="0"/>
                <w:w w:val="100"/>
                <w:position w:val="0"/>
                <w:sz w:val="17"/>
                <w:szCs w:val="17"/>
              </w:rPr>
              <w:t>号保利世界贸易中心</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"http://www.gimc.cn" </w:instrText>
            </w:r>
            <w:r>
              <w:fldChar w:fldCharType="separate"/>
            </w:r>
            <w:r>
              <w:rPr>
                <w:color w:val="000000"/>
                <w:spacing w:val="0"/>
                <w:w w:val="100"/>
                <w:position w:val="0"/>
              </w:rPr>
              <w:t>www.gimc.cn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"mailto:db@gimc.cn" </w:instrText>
            </w:r>
            <w:r>
              <w:fldChar w:fldCharType="separate"/>
            </w:r>
            <w:r>
              <w:rPr>
                <w:color w:val="000000"/>
                <w:spacing w:val="0"/>
                <w:w w:val="100"/>
                <w:position w:val="0"/>
              </w:rPr>
              <w:t>db@gimc.cn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二</w:t>
      </w:r>
      <w:bookmarkEnd w:id="19"/>
      <w:r>
        <w:rPr>
          <w:color w:val="000000"/>
          <w:spacing w:val="0"/>
          <w:w w:val="100"/>
          <w:position w:val="0"/>
        </w:rPr>
        <w:t>、联系人和联系方式</w:t>
      </w:r>
      <w:bookmarkEnd w:id="17"/>
      <w:bookmarkEnd w:id="18"/>
      <w:bookmarkEnd w:id="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李佳霖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广州市海珠区新港东路</w:t>
            </w:r>
            <w:r>
              <w:rPr>
                <w:color w:val="000000"/>
                <w:spacing w:val="0"/>
                <w:w w:val="100"/>
                <w:position w:val="0"/>
                <w:sz w:val="18"/>
                <w:szCs w:val="18"/>
              </w:rPr>
              <w:t>996</w:t>
            </w:r>
            <w:r>
              <w:rPr>
                <w:rFonts w:ascii="SimSun" w:eastAsia="SimSun" w:hAnsi="SimSun" w:cs="SimSun"/>
                <w:color w:val="000000"/>
                <w:spacing w:val="0"/>
                <w:w w:val="100"/>
                <w:position w:val="0"/>
                <w:sz w:val="17"/>
                <w:szCs w:val="17"/>
              </w:rPr>
              <w:t>号保利世 界贸易中心</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广州市海珠区新港东路</w:t>
            </w:r>
            <w:r>
              <w:rPr>
                <w:color w:val="000000"/>
                <w:spacing w:val="0"/>
                <w:w w:val="100"/>
                <w:position w:val="0"/>
                <w:sz w:val="18"/>
                <w:szCs w:val="18"/>
              </w:rPr>
              <w:t>996</w:t>
            </w:r>
            <w:r>
              <w:rPr>
                <w:rFonts w:ascii="SimSun" w:eastAsia="SimSun" w:hAnsi="SimSun" w:cs="SimSun"/>
                <w:color w:val="000000"/>
                <w:spacing w:val="0"/>
                <w:w w:val="100"/>
                <w:position w:val="0"/>
                <w:sz w:val="17"/>
                <w:szCs w:val="17"/>
              </w:rPr>
              <w:t>号保利世 界贸易中心</w:t>
            </w:r>
            <w:r>
              <w:rPr>
                <w:color w:val="000000"/>
                <w:spacing w:val="0"/>
                <w:w w:val="100"/>
                <w:position w:val="0"/>
                <w:sz w:val="18"/>
                <w:szCs w:val="18"/>
              </w:rPr>
              <w:t>G</w:t>
            </w:r>
            <w:r>
              <w:rPr>
                <w:rFonts w:ascii="SimSun" w:eastAsia="SimSun" w:hAnsi="SimSun" w:cs="SimSun"/>
                <w:color w:val="000000"/>
                <w:spacing w:val="0"/>
                <w:w w:val="100"/>
                <w:position w:val="0"/>
                <w:sz w:val="17"/>
                <w:szCs w:val="17"/>
              </w:rPr>
              <w:t>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020-87600168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020-87617378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020-87614601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020-87614601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"mailto:db@gimc.cn" </w:instrText>
            </w:r>
            <w:r>
              <w:fldChar w:fldCharType="separate"/>
            </w:r>
            <w:r>
              <w:rPr>
                <w:color w:val="000000"/>
                <w:spacing w:val="0"/>
                <w:w w:val="100"/>
                <w:position w:val="0"/>
              </w:rPr>
              <w:t>db@gimc.cn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fldChar w:fldCharType="begin"/>
            </w:r>
            <w:r>
              <w:rPr/>
              <w:instrText> HYPERLINK "mailto:db@gimc.cn" </w:instrText>
            </w:r>
            <w:r>
              <w:fldChar w:fldCharType="separate"/>
            </w:r>
            <w:r>
              <w:rPr>
                <w:color w:val="000000"/>
                <w:spacing w:val="0"/>
                <w:w w:val="100"/>
                <w:position w:val="0"/>
              </w:rPr>
              <w:t>db@gimc.cn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三</w:t>
      </w:r>
      <w:bookmarkEnd w:id="23"/>
      <w:r>
        <w:rPr>
          <w:color w:val="000000"/>
          <w:spacing w:val="0"/>
          <w:w w:val="100"/>
          <w:position w:val="0"/>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深圳证券交易所(</w:t>
            </w:r>
            <w:r>
              <w:fldChar w:fldCharType="begin"/>
            </w:r>
            <w:r>
              <w:rPr/>
              <w:instrText> HYPERLINK "http://www.szse.cn/" </w:instrText>
            </w:r>
            <w:r>
              <w:fldChar w:fldCharType="separate"/>
            </w:r>
            <w:r>
              <w:rPr>
                <w:color w:val="000000"/>
                <w:spacing w:val="0"/>
                <w:w w:val="100"/>
                <w:position w:val="0"/>
                <w:sz w:val="18"/>
                <w:szCs w:val="18"/>
              </w:rPr>
              <w:t>http://www.szse.cn/</w:t>
            </w:r>
            <w:r>
              <w:fldChar w:fldCharType="end"/>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证券时报、巨潮资讯网(</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2"/>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四</w:t>
      </w:r>
      <w:bookmarkEnd w:id="27"/>
      <w:r>
        <w:rPr>
          <w:color w:val="000000"/>
          <w:spacing w:val="0"/>
          <w:w w:val="100"/>
          <w:position w:val="0"/>
        </w:rPr>
        <w:t>、注册变更情况</w:t>
      </w:r>
      <w:bookmarkEnd w:id="25"/>
      <w:bookmarkEnd w:id="26"/>
      <w:bookmarkEnd w:id="28"/>
    </w:p>
    <w:tbl>
      <w:tblPr>
        <w:tblOverlap w:val="never"/>
        <w:jc w:val="center"/>
        <w:tblLayout w:type="fixed"/>
      </w:tblPr>
      <w:tblGrid>
        <w:gridCol w:w="3552"/>
        <w:gridCol w:w="60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91440000190333809T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五</w:t>
      </w:r>
      <w:bookmarkEnd w:id="31"/>
      <w:r>
        <w:rPr>
          <w:color w:val="000000"/>
          <w:spacing w:val="0"/>
          <w:w w:val="100"/>
          <w:position w:val="0"/>
        </w:rPr>
        <w:t>、其他有关资料</w:t>
      </w:r>
      <w:bookmarkEnd w:id="29"/>
      <w:bookmarkEnd w:id="30"/>
      <w:bookmarkEnd w:id="32"/>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武汉市武昌区东湖路</w:t>
            </w:r>
            <w:r>
              <w:rPr>
                <w:color w:val="000000"/>
                <w:spacing w:val="0"/>
                <w:w w:val="100"/>
                <w:position w:val="0"/>
                <w:sz w:val="18"/>
                <w:szCs w:val="18"/>
              </w:rPr>
              <w:t>169</w:t>
            </w:r>
            <w:r>
              <w:rPr>
                <w:rFonts w:ascii="SimSun" w:eastAsia="SimSun" w:hAnsi="SimSun" w:cs="SimSun"/>
                <w:color w:val="000000"/>
                <w:spacing w:val="0"/>
                <w:w w:val="100"/>
                <w:position w:val="0"/>
                <w:sz w:val="17"/>
                <w:szCs w:val="17"/>
              </w:rPr>
              <w:t>号</w:t>
            </w:r>
            <w:r>
              <w:rPr>
                <w:color w:val="000000"/>
                <w:spacing w:val="0"/>
                <w:w w:val="100"/>
                <w:position w:val="0"/>
                <w:sz w:val="18"/>
                <w:szCs w:val="18"/>
              </w:rPr>
              <w:t>2-9</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胡海林姚月仙</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东兴证券股份有限公司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北京市西城区金融大街</w:t>
            </w:r>
            <w:r>
              <w:rPr>
                <w:color w:val="000000"/>
                <w:spacing w:val="0"/>
                <w:w w:val="100"/>
                <w:position w:val="0"/>
                <w:sz w:val="18"/>
                <w:szCs w:val="18"/>
              </w:rPr>
              <w:t>5</w:t>
            </w:r>
            <w:r>
              <w:rPr>
                <w:rFonts w:ascii="SimSun" w:eastAsia="SimSun" w:hAnsi="SimSun" w:cs="SimSun"/>
                <w:color w:val="000000"/>
                <w:spacing w:val="0"/>
                <w:w w:val="100"/>
                <w:position w:val="0"/>
                <w:sz w:val="17"/>
                <w:szCs w:val="17"/>
              </w:rPr>
              <w:t>号新 盛大厦</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12</w:t>
            </w:r>
            <w:r>
              <w:rPr>
                <w:rFonts w:ascii="SimSun" w:eastAsia="SimSun" w:hAnsi="SimSun" w:cs="SimSun"/>
                <w:color w:val="000000"/>
                <w:spacing w:val="0"/>
                <w:w w:val="100"/>
                <w:position w:val="0"/>
                <w:sz w:val="17"/>
                <w:szCs w:val="17"/>
              </w:rPr>
              <w:t>层、</w:t>
            </w:r>
            <w:r>
              <w:rPr>
                <w:color w:val="000000"/>
                <w:spacing w:val="0"/>
                <w:w w:val="100"/>
                <w:position w:val="0"/>
                <w:sz w:val="18"/>
                <w:szCs w:val="18"/>
              </w:rPr>
              <w:t>15</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张广新、汤云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六</w:t>
      </w:r>
      <w:bookmarkEnd w:id="35"/>
      <w:r>
        <w:rPr>
          <w:color w:val="000000"/>
          <w:spacing w:val="0"/>
          <w:w w:val="100"/>
          <w:position w:val="0"/>
        </w:rPr>
        <w:t>、主要会计数据和财务指标</w:t>
      </w:r>
      <w:bookmarkEnd w:id="33"/>
      <w:bookmarkEnd w:id="34"/>
      <w:bookmarkEnd w:id="36"/>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追溯调整或重述原因</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根据财政部《企业会计准则第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号），对会计政策相关内容进行调整所致。</w:t>
      </w:r>
    </w:p>
    <w:tbl>
      <w:tblPr>
        <w:tblOverlap w:val="never"/>
        <w:jc w:val="center"/>
        <w:tblLayout w:type="fixed"/>
      </w:tblPr>
      <w:tblGrid>
        <w:gridCol w:w="1872"/>
        <w:gridCol w:w="1406"/>
        <w:gridCol w:w="1402"/>
        <w:gridCol w:w="1406"/>
        <w:gridCol w:w="816"/>
        <w:gridCol w:w="1402"/>
        <w:gridCol w:w="1411"/>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本年比上 年增减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13,003,000,295.03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13,291,267,668.33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13,291,267,668.33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11,535,693,013.64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11,535,693,013.64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归属于上市公司股东的 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183,865,233.91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-932,266,939.80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-932,266,939.80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149,487,578.92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149,487,578.92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归属于上市公司股东的 扣除非经常性损益的净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68,846,797.37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-968,983,155.69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-968,983,155.69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98,171,081.84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98,171,081.84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经营活动产生的现金流 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595,355,745.07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372,687,841.91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372,687,841.91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544,841,376.04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544,841,376.04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r>
    </w:tbl>
    <w:tbl>
      <w:tblPr>
        <w:tblOverlap w:val="never"/>
        <w:jc w:val="center"/>
        <w:tblLayout w:type="fixed"/>
      </w:tblPr>
      <w:tblGrid>
        <w:gridCol w:w="1872"/>
        <w:gridCol w:w="1406"/>
        <w:gridCol w:w="1402"/>
        <w:gridCol w:w="1406"/>
        <w:gridCol w:w="816"/>
        <w:gridCol w:w="1402"/>
        <w:gridCol w:w="141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增加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w:t>
            </w:r>
          </w:p>
        </w:tc>
      </w:tr>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本年末比</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上年末增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7,920,868,326.75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8,134,722,153.89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8,157,456,786.10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8,760,427,109.27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8,760,427,109.27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归属于上市公司股东的 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4,630,471,884.25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4,420,919,099.55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4,420,919,099.55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5,378,965,382.46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5,378,965,382.46</w:t>
            </w:r>
          </w:p>
        </w:tc>
      </w:tr>
    </w:tbl>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after="38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rPr>
        <w:t>七</w:t>
      </w:r>
      <w:bookmarkEnd w:id="39"/>
      <w:r>
        <w:rPr>
          <w:color w:val="000000"/>
          <w:spacing w:val="0"/>
          <w:w w:val="100"/>
          <w:position w:val="0"/>
        </w:rPr>
        <w:t>、</w:t>
        <w:tab/>
        <w:t>境内外会计准则下会计数据差异</w:t>
      </w:r>
      <w:bookmarkEnd w:id="37"/>
      <w:bookmarkEnd w:id="38"/>
      <w:bookmarkEnd w:id="40"/>
    </w:p>
    <w:p>
      <w:pPr>
        <w:pStyle w:val="Style28"/>
        <w:keepNext/>
        <w:keepLines/>
        <w:widowControl w:val="0"/>
        <w:shd w:val="clear" w:color="auto" w:fill="auto"/>
        <w:tabs>
          <w:tab w:pos="403"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八</w:t>
      </w:r>
      <w:bookmarkEnd w:id="51"/>
      <w:r>
        <w:rPr>
          <w:color w:val="000000"/>
          <w:spacing w:val="0"/>
          <w:w w:val="100"/>
          <w:position w:val="0"/>
        </w:rPr>
        <w:t>、</w:t>
        <w:tab/>
        <w:t>分季度主要财务指标</w:t>
      </w:r>
      <w:bookmarkEnd w:id="49"/>
      <w:bookmarkEnd w:id="50"/>
      <w:bookmarkEnd w:id="5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2,691,553,131.74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2,840,031,811.66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3,464,536,705.57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4,006,878,646.06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44,876,587.31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36,498,444.58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22,866,564.15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79,623,637.87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30,885,306.32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-1,385,575.64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18,970,781.34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20,376,285.35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-265,159,699.55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87,242,298.10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148,838,744.10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624,434,402.42</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2"/>
        <w:keepNext/>
        <w:keepLines/>
        <w:widowControl w:val="0"/>
        <w:shd w:val="clear" w:color="auto" w:fill="auto"/>
        <w:bidi w:val="0"/>
        <w:spacing w:before="0" w:after="38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rPr>
        <w:t>九</w:t>
      </w:r>
      <w:bookmarkEnd w:id="55"/>
      <w:r>
        <w:rPr>
          <w:color w:val="000000"/>
          <w:spacing w:val="0"/>
          <w:w w:val="100"/>
          <w:position w:val="0"/>
        </w:rPr>
        <w:t>、非经常性损益项目及金额</w:t>
      </w:r>
      <w:bookmarkEnd w:id="53"/>
      <w:bookmarkEnd w:id="54"/>
      <w:bookmarkEnd w:id="56"/>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-885,710.48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-716,405.48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10,239,381.95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32,274,081.32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18,129,299.68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66,804.89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8,058,488.81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12,873,639.41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38,790,890.73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-439,599.30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1,761,665.03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-4,195,174.07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12,974,637.90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-2,774,853.60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1,752,637.20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97,075,941.11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3,641,872.41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8,576,455.41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3,304,356.53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8,240,637.55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11,027,612.07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532,758.74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3,021,924.22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4,188,768.39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115,018,436.54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36,716,215.89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51,316,497.08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line="317" w:lineRule="exact"/>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317" w:lineRule="exact"/>
        <w:ind w:left="0" w:right="0" w:firstLine="0"/>
        <w:jc w:val="both"/>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10"/>
        <w:keepNext/>
        <w:keepLines/>
        <w:widowControl w:val="0"/>
        <w:shd w:val="clear" w:color="auto" w:fill="auto"/>
        <w:bidi w:val="0"/>
        <w:spacing w:before="0" w:after="560"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22"/>
        <w:keepNext/>
        <w:keepLines/>
        <w:widowControl w:val="0"/>
        <w:shd w:val="clear" w:color="auto" w:fill="auto"/>
        <w:tabs>
          <w:tab w:pos="567" w:val="left"/>
        </w:tabs>
        <w:bidi w:val="0"/>
        <w:spacing w:before="0" w:after="18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rPr>
        <w:t>一</w:t>
      </w:r>
      <w:bookmarkEnd w:id="63"/>
      <w:r>
        <w:rPr>
          <w:color w:val="000000"/>
          <w:spacing w:val="0"/>
          <w:w w:val="100"/>
          <w:position w:val="0"/>
        </w:rPr>
        <w:t>、</w:t>
        <w:tab/>
        <w:t>报告期内公司所处的行业情况</w:t>
      </w:r>
      <w:bookmarkEnd w:id="61"/>
      <w:bookmarkEnd w:id="62"/>
      <w:bookmarkEnd w:id="64"/>
      <w:bookmarkEnd w:id="60"/>
    </w:p>
    <w:p>
      <w:pPr>
        <w:pStyle w:val="Style19"/>
        <w:keepNext w:val="0"/>
        <w:keepLines w:val="0"/>
        <w:widowControl w:val="0"/>
        <w:shd w:val="clear" w:color="auto" w:fill="auto"/>
        <w:bidi w:val="0"/>
        <w:spacing w:before="0" w:after="460" w:line="469" w:lineRule="exact"/>
        <w:ind w:left="0" w:right="0" w:firstLine="380"/>
        <w:jc w:val="both"/>
      </w:pPr>
      <w:r>
        <w:rPr>
          <w:color w:val="000000"/>
          <w:spacing w:val="0"/>
          <w:w w:val="100"/>
          <w:position w:val="0"/>
          <w:sz w:val="18"/>
          <w:szCs w:val="18"/>
        </w:rPr>
        <w:t>2021</w:t>
      </w:r>
      <w:r>
        <w:rPr>
          <w:color w:val="000000"/>
          <w:spacing w:val="0"/>
          <w:w w:val="100"/>
          <w:position w:val="0"/>
        </w:rPr>
        <w:t>年度，随着国内疫情防控和经济形势的好转，各行各业的发展得到逐步恢复，广告营销行业市场信心和商业活跃度 亦有所增强。伴随数字化浪潮的推动，广告营销行业市场竞争加剧，业务细分程度加深，广告主越来越偏好新媒体、电商直 播等营销新方式，广告营销公司须加强规范化运营，推动广告营销技术数字化升级，才能把握市场赢得主动，推动广告产业 和数字经济实现高质量发展。</w:t>
      </w:r>
    </w:p>
    <w:p>
      <w:pPr>
        <w:pStyle w:val="Style22"/>
        <w:keepNext/>
        <w:keepLines/>
        <w:widowControl w:val="0"/>
        <w:shd w:val="clear" w:color="auto" w:fill="auto"/>
        <w:tabs>
          <w:tab w:pos="567" w:val="left"/>
        </w:tabs>
        <w:bidi w:val="0"/>
        <w:spacing w:before="0" w:after="18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w:t>
        <w:tab/>
        <w:t>报告期内公司从事的主要业务</w:t>
      </w:r>
      <w:bookmarkEnd w:id="65"/>
      <w:bookmarkEnd w:id="66"/>
      <w:bookmarkEnd w:id="68"/>
    </w:p>
    <w:p>
      <w:pPr>
        <w:pStyle w:val="Style19"/>
        <w:keepNext w:val="0"/>
        <w:keepLines w:val="0"/>
        <w:widowControl w:val="0"/>
        <w:shd w:val="clear" w:color="auto" w:fill="auto"/>
        <w:bidi w:val="0"/>
        <w:spacing w:before="0" w:after="460" w:line="473" w:lineRule="exact"/>
        <w:ind w:left="0" w:right="0" w:firstLine="380"/>
        <w:jc w:val="both"/>
      </w:pPr>
      <w:r>
        <w:rPr>
          <w:color w:val="000000"/>
          <w:spacing w:val="0"/>
          <w:w w:val="100"/>
          <w:position w:val="0"/>
          <w:sz w:val="18"/>
          <w:szCs w:val="18"/>
        </w:rPr>
        <w:t>2021</w:t>
      </w:r>
      <w:r>
        <w:rPr>
          <w:color w:val="000000"/>
          <w:spacing w:val="0"/>
          <w:w w:val="100"/>
          <w:position w:val="0"/>
        </w:rPr>
        <w:t>年度，公司按照年度经营计划，紧密围绕各项战略部署，实现了内生业务稳步增长。通过科学的政策手段、高效的 管理工具，提升客户和资产质量，降低企业管理成本，全面迈向健康发展道路。通过实施平台战略，深化改革创新，推动数 字化建设，数字化业务占比不断提升，成功扩大了营销生态纵深布局，转型升级迈上新的台阶，达成了公司预期的经营目标。</w:t>
      </w:r>
    </w:p>
    <w:p>
      <w:pPr>
        <w:pStyle w:val="Style22"/>
        <w:keepNext/>
        <w:keepLines/>
        <w:widowControl w:val="0"/>
        <w:shd w:val="clear" w:color="auto" w:fill="auto"/>
        <w:tabs>
          <w:tab w:pos="567" w:val="left"/>
        </w:tabs>
        <w:bidi w:val="0"/>
        <w:spacing w:before="0" w:after="180" w:line="240" w:lineRule="auto"/>
        <w:ind w:left="0" w:right="0" w:firstLine="0"/>
        <w:jc w:val="both"/>
      </w:pPr>
      <w:bookmarkStart w:id="69" w:name="bookmark69"/>
      <w:bookmarkStart w:id="70" w:name="bookmark70"/>
      <w:bookmarkStart w:id="71" w:name="bookmark71"/>
      <w:bookmarkStart w:id="72" w:name="bookmark72"/>
      <w:r>
        <w:rPr>
          <w:color w:val="000000"/>
          <w:spacing w:val="0"/>
          <w:w w:val="100"/>
          <w:position w:val="0"/>
        </w:rPr>
        <w:t>三</w:t>
      </w:r>
      <w:bookmarkEnd w:id="71"/>
      <w:r>
        <w:rPr>
          <w:color w:val="000000"/>
          <w:spacing w:val="0"/>
          <w:w w:val="100"/>
          <w:position w:val="0"/>
        </w:rPr>
        <w:t>、</w:t>
        <w:tab/>
        <w:t>核心竞争力分析</w:t>
      </w:r>
      <w:bookmarkEnd w:id="69"/>
      <w:bookmarkEnd w:id="70"/>
      <w:bookmarkEnd w:id="72"/>
    </w:p>
    <w:p>
      <w:pPr>
        <w:pStyle w:val="Style19"/>
        <w:keepNext w:val="0"/>
        <w:keepLines w:val="0"/>
        <w:widowControl w:val="0"/>
        <w:shd w:val="clear" w:color="auto" w:fill="auto"/>
        <w:bidi w:val="0"/>
        <w:spacing w:before="0" w:after="0" w:line="471" w:lineRule="exact"/>
        <w:ind w:left="0" w:right="0" w:firstLine="380"/>
        <w:jc w:val="both"/>
      </w:pPr>
      <w:r>
        <w:rPr>
          <w:color w:val="000000"/>
          <w:spacing w:val="0"/>
          <w:w w:val="100"/>
          <w:position w:val="0"/>
        </w:rPr>
        <w:t>报告期内，公司的核心竞争力未发生重大变化。公司核心竞争力主要体现在以下几个方面：</w:t>
      </w:r>
    </w:p>
    <w:p>
      <w:pPr>
        <w:pStyle w:val="Style19"/>
        <w:keepNext w:val="0"/>
        <w:keepLines w:val="0"/>
        <w:widowControl w:val="0"/>
        <w:shd w:val="clear" w:color="auto" w:fill="auto"/>
        <w:tabs>
          <w:tab w:pos="675" w:val="left"/>
        </w:tabs>
        <w:bidi w:val="0"/>
        <w:spacing w:before="0" w:after="0" w:line="471" w:lineRule="exact"/>
        <w:ind w:left="0" w:right="0" w:firstLine="380"/>
        <w:jc w:val="both"/>
      </w:pPr>
      <w:bookmarkStart w:id="73" w:name="bookmark73"/>
      <w:r>
        <w:rPr>
          <w:color w:val="000000"/>
          <w:spacing w:val="0"/>
          <w:w w:val="100"/>
          <w:position w:val="0"/>
          <w:sz w:val="18"/>
          <w:szCs w:val="18"/>
        </w:rPr>
        <w:t>1</w:t>
      </w:r>
      <w:bookmarkEnd w:id="73"/>
      <w:r>
        <w:rPr>
          <w:color w:val="000000"/>
          <w:spacing w:val="0"/>
          <w:w w:val="100"/>
          <w:position w:val="0"/>
        </w:rPr>
        <w:t>、</w:t>
        <w:tab/>
        <w:t>人才优势：公司秉承“人才是核心竞争力”的理念，拥有完整的引进、培养、使用、激励专业人才的管理机制，加 强人才获取与吸引力度，不断引进市场高端人才；同时以具有市场竞争力的量化激励机制，充分肯定员工贡献，让员工切实 享受公司发展成果；以“公司发展与员工成长相连，员工回报与公司盈利挂钩”为目标，培养员工的责任心以及对共同事业 的认同感，促进公司健康持续发展。</w:t>
      </w:r>
    </w:p>
    <w:p>
      <w:pPr>
        <w:pStyle w:val="Style19"/>
        <w:keepNext w:val="0"/>
        <w:keepLines w:val="0"/>
        <w:widowControl w:val="0"/>
        <w:shd w:val="clear" w:color="auto" w:fill="auto"/>
        <w:tabs>
          <w:tab w:pos="680" w:val="left"/>
        </w:tabs>
        <w:bidi w:val="0"/>
        <w:spacing w:before="0" w:after="0" w:line="471" w:lineRule="exact"/>
        <w:ind w:left="0" w:right="0" w:firstLine="380"/>
        <w:jc w:val="both"/>
      </w:pPr>
      <w:bookmarkStart w:id="74" w:name="bookmark74"/>
      <w:r>
        <w:rPr>
          <w:color w:val="000000"/>
          <w:spacing w:val="0"/>
          <w:w w:val="100"/>
          <w:position w:val="0"/>
          <w:sz w:val="18"/>
          <w:szCs w:val="18"/>
        </w:rPr>
        <w:t>2</w:t>
      </w:r>
      <w:bookmarkEnd w:id="74"/>
      <w:r>
        <w:rPr>
          <w:color w:val="000000"/>
          <w:spacing w:val="0"/>
          <w:w w:val="100"/>
          <w:position w:val="0"/>
        </w:rPr>
        <w:t>、</w:t>
        <w:tab/>
        <w:t>营销优势：公司通过着力打造大数据技术驱动的全产业链全营销平台，使公司营销服务能力得到不断提升，能够满 足日益多样化的客户需求，为客户提供全方位营销服务。</w:t>
      </w:r>
    </w:p>
    <w:p>
      <w:pPr>
        <w:pStyle w:val="Style19"/>
        <w:keepNext w:val="0"/>
        <w:keepLines w:val="0"/>
        <w:widowControl w:val="0"/>
        <w:shd w:val="clear" w:color="auto" w:fill="auto"/>
        <w:tabs>
          <w:tab w:pos="680" w:val="left"/>
        </w:tabs>
        <w:bidi w:val="0"/>
        <w:spacing w:before="0" w:after="0" w:line="471" w:lineRule="exact"/>
        <w:ind w:left="0" w:right="0" w:firstLine="380"/>
        <w:jc w:val="both"/>
      </w:pPr>
      <w:bookmarkStart w:id="75" w:name="bookmark75"/>
      <w:r>
        <w:rPr>
          <w:color w:val="000000"/>
          <w:spacing w:val="0"/>
          <w:w w:val="100"/>
          <w:position w:val="0"/>
          <w:sz w:val="18"/>
          <w:szCs w:val="18"/>
        </w:rPr>
        <w:t>3</w:t>
      </w:r>
      <w:bookmarkEnd w:id="75"/>
      <w:r>
        <w:rPr>
          <w:color w:val="000000"/>
          <w:spacing w:val="0"/>
          <w:w w:val="100"/>
          <w:position w:val="0"/>
        </w:rPr>
        <w:t>、</w:t>
        <w:tab/>
        <w:t>管理优势：公司管理层团队合作多年，具备高度的稳定性、凝聚力和执行力，对市场前景、发展趋势及核心技术有 着深刻的理解，能很好把握公司的战略方向，并保障公司稳定地发展。公司运营团队高效、专业，充满竞争意识，可以及时 准确把握瞬息万变的市场需求，并加以快速实施。</w:t>
      </w:r>
    </w:p>
    <w:p>
      <w:pPr>
        <w:pStyle w:val="Style19"/>
        <w:keepNext w:val="0"/>
        <w:keepLines w:val="0"/>
        <w:widowControl w:val="0"/>
        <w:shd w:val="clear" w:color="auto" w:fill="auto"/>
        <w:tabs>
          <w:tab w:pos="680" w:val="left"/>
        </w:tabs>
        <w:bidi w:val="0"/>
        <w:spacing w:before="0" w:after="320" w:line="471" w:lineRule="exact"/>
        <w:ind w:left="0" w:right="0" w:firstLine="380"/>
        <w:jc w:val="both"/>
      </w:pPr>
      <w:bookmarkStart w:id="76" w:name="bookmark76"/>
      <w:r>
        <w:rPr>
          <w:color w:val="000000"/>
          <w:spacing w:val="0"/>
          <w:w w:val="100"/>
          <w:position w:val="0"/>
          <w:sz w:val="18"/>
          <w:szCs w:val="18"/>
        </w:rPr>
        <w:t>4</w:t>
      </w:r>
      <w:bookmarkEnd w:id="76"/>
      <w:r>
        <w:rPr>
          <w:color w:val="000000"/>
          <w:spacing w:val="0"/>
          <w:w w:val="100"/>
          <w:position w:val="0"/>
        </w:rPr>
        <w:t>、</w:t>
        <w:tab/>
        <w:t>客户优势：经过多年发展，公司确立了以中型客户为支撑基础、大品牌客户为核心突破点的客户开发战略，并取得 显著成果。在巩固既有核心客户合作基础上，不断实现增量核心客户的开发，实现客户波动风险的最小化。随着公司营销服 务能力的提升，客户黏性不断增强，形成公司持续稳定发展的雄厚客户基础。</w:t>
      </w:r>
    </w:p>
    <w:p>
      <w:pPr>
        <w:pStyle w:val="Style22"/>
        <w:keepNext/>
        <w:keepLines/>
        <w:widowControl w:val="0"/>
        <w:shd w:val="clear" w:color="auto" w:fill="auto"/>
        <w:bidi w:val="0"/>
        <w:spacing w:before="0" w:after="3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四</w:t>
      </w:r>
      <w:bookmarkEnd w:id="79"/>
      <w:r>
        <w:rPr>
          <w:color w:val="000000"/>
          <w:spacing w:val="0"/>
          <w:w w:val="100"/>
          <w:position w:val="0"/>
        </w:rPr>
        <w:t>、主营业务分析</w:t>
      </w:r>
      <w:bookmarkEnd w:id="77"/>
      <w:bookmarkEnd w:id="78"/>
      <w:bookmarkEnd w:id="80"/>
    </w:p>
    <w:p>
      <w:pPr>
        <w:pStyle w:val="Style28"/>
        <w:keepNext/>
        <w:keepLines/>
        <w:widowControl w:val="0"/>
        <w:shd w:val="clear" w:color="auto" w:fill="auto"/>
        <w:tabs>
          <w:tab w:pos="341" w:val="left"/>
        </w:tabs>
        <w:bidi w:val="0"/>
        <w:spacing w:before="0" w:after="14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概述</w:t>
      </w:r>
      <w:bookmarkEnd w:id="81"/>
      <w:bookmarkEnd w:id="82"/>
      <w:bookmarkEnd w:id="84"/>
    </w:p>
    <w:p>
      <w:pPr>
        <w:pStyle w:val="Style19"/>
        <w:keepNext w:val="0"/>
        <w:keepLines w:val="0"/>
        <w:widowControl w:val="0"/>
        <w:shd w:val="clear" w:color="auto" w:fill="auto"/>
        <w:bidi w:val="0"/>
        <w:spacing w:before="0" w:after="0" w:line="485" w:lineRule="exact"/>
        <w:ind w:left="0" w:right="0" w:firstLine="380"/>
        <w:jc w:val="both"/>
      </w:pPr>
      <w:r>
        <w:rPr>
          <w:color w:val="000000"/>
          <w:spacing w:val="0"/>
          <w:w w:val="100"/>
          <w:position w:val="0"/>
          <w:sz w:val="18"/>
          <w:szCs w:val="18"/>
        </w:rPr>
        <w:t>2021</w:t>
      </w:r>
      <w:r>
        <w:rPr>
          <w:color w:val="000000"/>
          <w:spacing w:val="0"/>
          <w:w w:val="100"/>
          <w:position w:val="0"/>
        </w:rPr>
        <w:t>年度，公司实现营业收入</w:t>
      </w:r>
      <w:r>
        <w:rPr>
          <w:color w:val="000000"/>
          <w:spacing w:val="0"/>
          <w:w w:val="100"/>
          <w:position w:val="0"/>
          <w:sz w:val="18"/>
          <w:szCs w:val="18"/>
        </w:rPr>
        <w:t>130.03</w:t>
      </w:r>
      <w:r>
        <w:rPr>
          <w:color w:val="000000"/>
          <w:spacing w:val="0"/>
          <w:w w:val="100"/>
          <w:position w:val="0"/>
        </w:rPr>
        <w:t>亿元，实现营业利润</w:t>
      </w:r>
      <w:r>
        <w:rPr>
          <w:color w:val="000000"/>
          <w:spacing w:val="0"/>
          <w:w w:val="100"/>
          <w:position w:val="0"/>
          <w:sz w:val="18"/>
          <w:szCs w:val="18"/>
        </w:rPr>
        <w:t>1</w:t>
      </w:r>
      <w:r>
        <w:rPr>
          <w:color w:val="000000"/>
          <w:spacing w:val="0"/>
          <w:w w:val="100"/>
          <w:position w:val="0"/>
          <w:sz w:val="18"/>
          <w:szCs w:val="18"/>
        </w:rPr>
        <w:t>.36</w:t>
      </w:r>
      <w:r>
        <w:rPr>
          <w:color w:val="000000"/>
          <w:spacing w:val="0"/>
          <w:w w:val="100"/>
          <w:position w:val="0"/>
        </w:rPr>
        <w:t>亿元，归属母公司的净利润</w:t>
      </w:r>
      <w:r>
        <w:rPr>
          <w:color w:val="000000"/>
          <w:spacing w:val="0"/>
          <w:w w:val="100"/>
          <w:position w:val="0"/>
          <w:sz w:val="18"/>
          <w:szCs w:val="18"/>
        </w:rPr>
        <w:t>1</w:t>
      </w:r>
      <w:r>
        <w:rPr>
          <w:color w:val="000000"/>
          <w:spacing w:val="0"/>
          <w:w w:val="100"/>
          <w:position w:val="0"/>
          <w:sz w:val="18"/>
          <w:szCs w:val="18"/>
        </w:rPr>
        <w:t>.84</w:t>
      </w:r>
      <w:r>
        <w:rPr>
          <w:color w:val="000000"/>
          <w:spacing w:val="0"/>
          <w:w w:val="100"/>
          <w:position w:val="0"/>
        </w:rPr>
        <w:t>亿元。报告期内，公司按 照董事会制定的年度经营计划，全面推进和认真落实各项工作任务。</w:t>
      </w:r>
    </w:p>
    <w:p>
      <w:pPr>
        <w:pStyle w:val="Style19"/>
        <w:keepNext w:val="0"/>
        <w:keepLines w:val="0"/>
        <w:widowControl w:val="0"/>
        <w:shd w:val="clear" w:color="auto" w:fill="auto"/>
        <w:tabs>
          <w:tab w:pos="688" w:val="left"/>
        </w:tabs>
        <w:bidi w:val="0"/>
        <w:spacing w:before="0" w:after="0" w:line="485" w:lineRule="exact"/>
        <w:ind w:left="0" w:right="0" w:firstLine="380"/>
        <w:jc w:val="both"/>
      </w:pPr>
      <w:bookmarkStart w:id="85" w:name="bookmark85"/>
      <w:r>
        <w:rPr>
          <w:color w:val="000000"/>
          <w:spacing w:val="0"/>
          <w:w w:val="100"/>
          <w:position w:val="0"/>
          <w:sz w:val="18"/>
          <w:szCs w:val="18"/>
        </w:rPr>
        <w:t>1</w:t>
      </w:r>
      <w:bookmarkEnd w:id="85"/>
      <w:r>
        <w:rPr>
          <w:color w:val="000000"/>
          <w:spacing w:val="0"/>
          <w:w w:val="100"/>
          <w:position w:val="0"/>
        </w:rPr>
        <w:t>、</w:t>
        <w:tab/>
        <w:t>加速媒体布局，提升核心竞争力</w:t>
      </w:r>
    </w:p>
    <w:p>
      <w:pPr>
        <w:pStyle w:val="Style19"/>
        <w:keepNext w:val="0"/>
        <w:keepLines w:val="0"/>
        <w:widowControl w:val="0"/>
        <w:shd w:val="clear" w:color="auto" w:fill="auto"/>
        <w:bidi w:val="0"/>
        <w:spacing w:before="0" w:after="0" w:line="470" w:lineRule="exact"/>
        <w:ind w:left="0" w:right="0" w:firstLine="380"/>
        <w:jc w:val="both"/>
      </w:pPr>
      <w:r>
        <w:rPr>
          <w:color w:val="000000"/>
          <w:spacing w:val="0"/>
          <w:w w:val="100"/>
          <w:position w:val="0"/>
          <w:sz w:val="18"/>
          <w:szCs w:val="18"/>
        </w:rPr>
        <w:t>2021</w:t>
      </w:r>
      <w:r>
        <w:rPr>
          <w:color w:val="000000"/>
          <w:spacing w:val="0"/>
          <w:w w:val="100"/>
          <w:position w:val="0"/>
        </w:rPr>
        <w:t>年度，公司持续加大在高增长性媒体上的布局，经过一年的深耕，已经形成了以腾讯、字节为核心，百度、快手以 及汽车垂直（汽车之家、易车）为双翼的媒体矩阵。同时公司持续加强与各大媒体的互动，先后中标了易车效易达核心服务 商，以及快手汽车行业效果核心代理商，并获得了巨量千川汽车和非车电商双牌照，以及快手磁力金牛全行业电商牌照，能 够为公司的品效业务开拓提供强有力的支持。</w:t>
      </w:r>
    </w:p>
    <w:p>
      <w:pPr>
        <w:pStyle w:val="Style19"/>
        <w:keepNext w:val="0"/>
        <w:keepLines w:val="0"/>
        <w:widowControl w:val="0"/>
        <w:shd w:val="clear" w:color="auto" w:fill="auto"/>
        <w:tabs>
          <w:tab w:pos="697" w:val="left"/>
        </w:tabs>
        <w:bidi w:val="0"/>
        <w:spacing w:before="0" w:after="0" w:line="470" w:lineRule="exact"/>
        <w:ind w:left="0" w:right="0" w:firstLine="380"/>
        <w:jc w:val="both"/>
      </w:pPr>
      <w:bookmarkStart w:id="86" w:name="bookmark86"/>
      <w:r>
        <w:rPr>
          <w:color w:val="000000"/>
          <w:spacing w:val="0"/>
          <w:w w:val="100"/>
          <w:position w:val="0"/>
          <w:sz w:val="18"/>
          <w:szCs w:val="18"/>
        </w:rPr>
        <w:t>2</w:t>
      </w:r>
      <w:bookmarkEnd w:id="86"/>
      <w:r>
        <w:rPr>
          <w:color w:val="000000"/>
          <w:spacing w:val="0"/>
          <w:w w:val="100"/>
          <w:position w:val="0"/>
        </w:rPr>
        <w:t>、</w:t>
        <w:tab/>
        <w:t>加深媒体合作维度，提升市场竞争力</w:t>
      </w:r>
    </w:p>
    <w:p>
      <w:pPr>
        <w:pStyle w:val="Style19"/>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公司高度重视与媒体的合作深度，在媒介业务合作之外，进一步绑定优势媒体，从而提升市场竞争力和行业认可度。</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月，公司联合腾讯成立了 “公私域实验室”，以汽车行业为起点，开展公私域营销领域专业研究和应用，助力品牌实现 全域增长。</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月，公司正式成为快手首个“超级合作伙伴”，标志着双方共同聚合服务、资源、技术、客户等优势， 不断深化全领域合作，共同提升品牌价值，实现客户、快手和省广“品效销”的共赢。</w:t>
      </w:r>
    </w:p>
    <w:p>
      <w:pPr>
        <w:pStyle w:val="Style19"/>
        <w:keepNext w:val="0"/>
        <w:keepLines w:val="0"/>
        <w:widowControl w:val="0"/>
        <w:shd w:val="clear" w:color="auto" w:fill="auto"/>
        <w:tabs>
          <w:tab w:pos="697" w:val="left"/>
        </w:tabs>
        <w:bidi w:val="0"/>
        <w:spacing w:before="0" w:after="0" w:line="470" w:lineRule="exact"/>
        <w:ind w:left="0" w:right="0" w:firstLine="380"/>
        <w:jc w:val="both"/>
      </w:pPr>
      <w:bookmarkStart w:id="87" w:name="bookmark87"/>
      <w:r>
        <w:rPr>
          <w:color w:val="000000"/>
          <w:spacing w:val="0"/>
          <w:w w:val="100"/>
          <w:position w:val="0"/>
          <w:sz w:val="18"/>
          <w:szCs w:val="18"/>
        </w:rPr>
        <w:t>3</w:t>
      </w:r>
      <w:bookmarkEnd w:id="87"/>
      <w:r>
        <w:rPr>
          <w:color w:val="000000"/>
          <w:spacing w:val="0"/>
          <w:w w:val="100"/>
          <w:position w:val="0"/>
        </w:rPr>
        <w:t>、</w:t>
        <w:tab/>
        <w:t>持续构建</w:t>
      </w:r>
      <w:r>
        <w:rPr>
          <w:color w:val="000000"/>
          <w:spacing w:val="0"/>
          <w:w w:val="100"/>
          <w:position w:val="0"/>
          <w:sz w:val="18"/>
          <w:szCs w:val="18"/>
        </w:rPr>
        <w:t>G-IN</w:t>
      </w:r>
      <w:r>
        <w:rPr>
          <w:color w:val="000000"/>
          <w:spacing w:val="0"/>
          <w:w w:val="100"/>
          <w:position w:val="0"/>
        </w:rPr>
        <w:t>平台，助力公司战略创新</w:t>
      </w:r>
    </w:p>
    <w:p>
      <w:pPr>
        <w:pStyle w:val="Style19"/>
        <w:keepNext w:val="0"/>
        <w:keepLines w:val="0"/>
        <w:widowControl w:val="0"/>
        <w:shd w:val="clear" w:color="auto" w:fill="auto"/>
        <w:bidi w:val="0"/>
        <w:spacing w:before="0" w:after="0" w:line="470" w:lineRule="exact"/>
        <w:ind w:left="0" w:right="0" w:firstLine="380"/>
        <w:jc w:val="both"/>
      </w:pPr>
      <w:r>
        <w:rPr>
          <w:color w:val="000000"/>
          <w:spacing w:val="0"/>
          <w:w w:val="100"/>
          <w:position w:val="0"/>
        </w:rPr>
        <w:t>随着</w:t>
      </w:r>
      <w:r>
        <w:rPr>
          <w:color w:val="000000"/>
          <w:spacing w:val="0"/>
          <w:w w:val="100"/>
          <w:position w:val="0"/>
          <w:sz w:val="18"/>
          <w:szCs w:val="18"/>
        </w:rPr>
        <w:t>G-IN</w:t>
      </w:r>
      <w:r>
        <w:rPr>
          <w:color w:val="000000"/>
          <w:spacing w:val="0"/>
          <w:w w:val="100"/>
          <w:position w:val="0"/>
        </w:rPr>
        <w:t>平台于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月正式上线，公司的平台化转型全面启动。</w:t>
      </w:r>
      <w:r>
        <w:rPr>
          <w:color w:val="000000"/>
          <w:spacing w:val="0"/>
          <w:w w:val="100"/>
          <w:position w:val="0"/>
          <w:sz w:val="18"/>
          <w:szCs w:val="18"/>
        </w:rPr>
        <w:t>2021</w:t>
      </w:r>
      <w:r>
        <w:rPr>
          <w:color w:val="000000"/>
          <w:spacing w:val="0"/>
          <w:w w:val="100"/>
          <w:position w:val="0"/>
        </w:rPr>
        <w:t>年度，公司通过对</w:t>
      </w:r>
      <w:r>
        <w:rPr>
          <w:color w:val="000000"/>
          <w:spacing w:val="0"/>
          <w:w w:val="100"/>
          <w:position w:val="0"/>
          <w:sz w:val="18"/>
          <w:szCs w:val="18"/>
        </w:rPr>
        <w:t>G-IN</w:t>
      </w:r>
      <w:r>
        <w:rPr>
          <w:color w:val="000000"/>
          <w:spacing w:val="0"/>
          <w:w w:val="100"/>
          <w:position w:val="0"/>
        </w:rPr>
        <w:t>平台进行架构调整，进 一步助力公司创新战略的落地实施。经过一年的发展，</w:t>
      </w:r>
      <w:r>
        <w:rPr>
          <w:color w:val="000000"/>
          <w:spacing w:val="0"/>
          <w:w w:val="100"/>
          <w:position w:val="0"/>
          <w:sz w:val="18"/>
          <w:szCs w:val="18"/>
        </w:rPr>
        <w:t>2021</w:t>
      </w:r>
      <w:r>
        <w:rPr>
          <w:color w:val="000000"/>
          <w:spacing w:val="0"/>
          <w:w w:val="100"/>
          <w:position w:val="0"/>
        </w:rPr>
        <w:t>全年公司社会化媒体业务总规模近</w:t>
      </w:r>
      <w:r>
        <w:rPr>
          <w:color w:val="000000"/>
          <w:spacing w:val="0"/>
          <w:w w:val="100"/>
          <w:position w:val="0"/>
          <w:sz w:val="18"/>
          <w:szCs w:val="18"/>
        </w:rPr>
        <w:t>2.9</w:t>
      </w:r>
      <w:r>
        <w:rPr>
          <w:color w:val="000000"/>
          <w:spacing w:val="0"/>
          <w:w w:val="100"/>
          <w:position w:val="0"/>
        </w:rPr>
        <w:t>亿，达到</w:t>
      </w:r>
      <w:r>
        <w:rPr>
          <w:color w:val="000000"/>
          <w:spacing w:val="0"/>
          <w:w w:val="100"/>
          <w:position w:val="0"/>
          <w:sz w:val="18"/>
          <w:szCs w:val="18"/>
        </w:rPr>
        <w:t>2020</w:t>
      </w:r>
      <w:r>
        <w:rPr>
          <w:color w:val="000000"/>
          <w:spacing w:val="0"/>
          <w:w w:val="100"/>
          <w:position w:val="0"/>
        </w:rPr>
        <w:t>年全年同类 项目总额的</w:t>
      </w:r>
      <w:r>
        <w:rPr>
          <w:color w:val="000000"/>
          <w:spacing w:val="0"/>
          <w:w w:val="100"/>
          <w:position w:val="0"/>
          <w:sz w:val="18"/>
          <w:szCs w:val="18"/>
        </w:rPr>
        <w:t>5</w:t>
      </w:r>
      <w:r>
        <w:rPr>
          <w:color w:val="000000"/>
          <w:spacing w:val="0"/>
          <w:w w:val="100"/>
          <w:position w:val="0"/>
        </w:rPr>
        <w:t>倍</w:t>
      </w:r>
      <w:r>
        <w:rPr>
          <w:color w:val="000000"/>
          <w:spacing w:val="0"/>
          <w:w w:val="100"/>
          <w:position w:val="0"/>
          <w:sz w:val="18"/>
          <w:szCs w:val="18"/>
        </w:rPr>
        <w:t>，</w:t>
      </w:r>
      <w:r>
        <w:rPr>
          <w:color w:val="000000"/>
          <w:spacing w:val="0"/>
          <w:w w:val="100"/>
          <w:position w:val="0"/>
          <w:sz w:val="18"/>
          <w:szCs w:val="18"/>
        </w:rPr>
        <w:t>MCN</w:t>
      </w:r>
      <w:r>
        <w:rPr>
          <w:color w:val="000000"/>
          <w:spacing w:val="0"/>
          <w:w w:val="100"/>
          <w:position w:val="0"/>
        </w:rPr>
        <w:t>达人项目金额近</w:t>
      </w:r>
      <w:r>
        <w:rPr>
          <w:color w:val="000000"/>
          <w:spacing w:val="0"/>
          <w:w w:val="100"/>
          <w:position w:val="0"/>
          <w:sz w:val="18"/>
          <w:szCs w:val="18"/>
        </w:rPr>
        <w:t>1.5</w:t>
      </w:r>
      <w:r>
        <w:rPr>
          <w:color w:val="000000"/>
          <w:spacing w:val="0"/>
          <w:w w:val="100"/>
          <w:position w:val="0"/>
        </w:rPr>
        <w:t>亿。目前</w:t>
      </w:r>
      <w:r>
        <w:rPr>
          <w:color w:val="000000"/>
          <w:spacing w:val="0"/>
          <w:w w:val="100"/>
          <w:position w:val="0"/>
          <w:sz w:val="18"/>
          <w:szCs w:val="18"/>
        </w:rPr>
        <w:t>G-IN</w:t>
      </w:r>
      <w:r>
        <w:rPr>
          <w:color w:val="000000"/>
          <w:spacing w:val="0"/>
          <w:w w:val="100"/>
          <w:position w:val="0"/>
        </w:rPr>
        <w:t>平台已接入</w:t>
      </w:r>
      <w:r>
        <w:rPr>
          <w:color w:val="000000"/>
          <w:spacing w:val="0"/>
          <w:w w:val="100"/>
          <w:position w:val="0"/>
          <w:sz w:val="18"/>
          <w:szCs w:val="18"/>
        </w:rPr>
        <w:t>374</w:t>
      </w:r>
      <w:r>
        <w:rPr>
          <w:color w:val="000000"/>
          <w:spacing w:val="0"/>
          <w:w w:val="100"/>
          <w:position w:val="0"/>
        </w:rPr>
        <w:t>家</w:t>
      </w:r>
      <w:r>
        <w:rPr>
          <w:color w:val="000000"/>
          <w:spacing w:val="0"/>
          <w:w w:val="100"/>
          <w:position w:val="0"/>
          <w:sz w:val="18"/>
          <w:szCs w:val="18"/>
        </w:rPr>
        <w:t>MCN</w:t>
      </w:r>
      <w:r>
        <w:rPr>
          <w:color w:val="000000"/>
          <w:spacing w:val="0"/>
          <w:w w:val="100"/>
          <w:position w:val="0"/>
        </w:rPr>
        <w:t>机构，录入</w:t>
      </w:r>
      <w:r>
        <w:rPr>
          <w:color w:val="000000"/>
          <w:spacing w:val="0"/>
          <w:w w:val="100"/>
          <w:position w:val="0"/>
          <w:sz w:val="18"/>
          <w:szCs w:val="18"/>
        </w:rPr>
        <w:t>20000+</w:t>
      </w:r>
      <w:r>
        <w:rPr>
          <w:color w:val="000000"/>
          <w:spacing w:val="0"/>
          <w:w w:val="100"/>
          <w:position w:val="0"/>
        </w:rPr>
        <w:t>达人账号资源，入驻</w:t>
      </w:r>
      <w:r>
        <w:rPr>
          <w:color w:val="000000"/>
          <w:spacing w:val="0"/>
          <w:w w:val="100"/>
          <w:position w:val="0"/>
          <w:sz w:val="18"/>
          <w:szCs w:val="18"/>
        </w:rPr>
        <w:t>IP</w:t>
      </w:r>
      <w:r>
        <w:rPr>
          <w:color w:val="000000"/>
          <w:spacing w:val="0"/>
          <w:w w:val="100"/>
          <w:position w:val="0"/>
        </w:rPr>
        <w:t>机构</w:t>
      </w:r>
      <w:r>
        <w:rPr>
          <w:color w:val="000000"/>
          <w:spacing w:val="0"/>
          <w:w w:val="100"/>
          <w:position w:val="0"/>
          <w:sz w:val="18"/>
          <w:szCs w:val="18"/>
        </w:rPr>
        <w:t xml:space="preserve">192 </w:t>
      </w:r>
      <w:r>
        <w:rPr>
          <w:color w:val="000000"/>
          <w:spacing w:val="0"/>
          <w:w w:val="100"/>
          <w:position w:val="0"/>
        </w:rPr>
        <w:t>家，录入</w:t>
      </w:r>
      <w:r>
        <w:rPr>
          <w:color w:val="000000"/>
          <w:spacing w:val="0"/>
          <w:w w:val="100"/>
          <w:position w:val="0"/>
          <w:sz w:val="18"/>
          <w:szCs w:val="18"/>
        </w:rPr>
        <w:t>IP</w:t>
      </w:r>
      <w:r>
        <w:rPr>
          <w:color w:val="000000"/>
          <w:spacing w:val="0"/>
          <w:w w:val="100"/>
          <w:position w:val="0"/>
        </w:rPr>
        <w:t>资源</w:t>
      </w:r>
      <w:r>
        <w:rPr>
          <w:color w:val="000000"/>
          <w:spacing w:val="0"/>
          <w:w w:val="100"/>
          <w:position w:val="0"/>
          <w:sz w:val="18"/>
          <w:szCs w:val="18"/>
        </w:rPr>
        <w:t>1333</w:t>
      </w:r>
      <w:r>
        <w:rPr>
          <w:color w:val="000000"/>
          <w:spacing w:val="0"/>
          <w:w w:val="100"/>
          <w:position w:val="0"/>
        </w:rPr>
        <w:t>个，为公司客户的</w:t>
      </w:r>
      <w:r>
        <w:rPr>
          <w:color w:val="000000"/>
          <w:spacing w:val="0"/>
          <w:w w:val="100"/>
          <w:position w:val="0"/>
          <w:sz w:val="18"/>
          <w:szCs w:val="18"/>
        </w:rPr>
        <w:t>IP</w:t>
      </w:r>
      <w:r>
        <w:rPr>
          <w:color w:val="000000"/>
          <w:spacing w:val="0"/>
          <w:w w:val="100"/>
          <w:position w:val="0"/>
        </w:rPr>
        <w:t>营销需求提供了充足的资源储备。</w:t>
      </w:r>
    </w:p>
    <w:p>
      <w:pPr>
        <w:pStyle w:val="Style19"/>
        <w:keepNext w:val="0"/>
        <w:keepLines w:val="0"/>
        <w:widowControl w:val="0"/>
        <w:shd w:val="clear" w:color="auto" w:fill="auto"/>
        <w:tabs>
          <w:tab w:pos="702" w:val="left"/>
        </w:tabs>
        <w:bidi w:val="0"/>
        <w:spacing w:before="0" w:after="0" w:line="470" w:lineRule="exact"/>
        <w:ind w:left="0" w:right="0" w:firstLine="380"/>
        <w:jc w:val="both"/>
      </w:pPr>
      <w:bookmarkStart w:id="88" w:name="bookmark88"/>
      <w:r>
        <w:rPr>
          <w:color w:val="000000"/>
          <w:spacing w:val="0"/>
          <w:w w:val="100"/>
          <w:position w:val="0"/>
          <w:sz w:val="18"/>
          <w:szCs w:val="18"/>
        </w:rPr>
        <w:t>4</w:t>
      </w:r>
      <w:bookmarkEnd w:id="88"/>
      <w:r>
        <w:rPr>
          <w:color w:val="000000"/>
          <w:spacing w:val="0"/>
          <w:w w:val="100"/>
          <w:position w:val="0"/>
        </w:rPr>
        <w:t>、</w:t>
        <w:tab/>
        <w:t>围绕产业互联网，持续推动转型升级</w:t>
      </w:r>
    </w:p>
    <w:p>
      <w:pPr>
        <w:pStyle w:val="Style19"/>
        <w:keepNext w:val="0"/>
        <w:keepLines w:val="0"/>
        <w:widowControl w:val="0"/>
        <w:shd w:val="clear" w:color="auto" w:fill="auto"/>
        <w:bidi w:val="0"/>
        <w:spacing w:before="0" w:after="800" w:line="470" w:lineRule="exact"/>
        <w:ind w:left="0" w:right="0" w:firstLine="380"/>
        <w:jc w:val="both"/>
      </w:pPr>
      <w:r>
        <w:rPr>
          <w:color w:val="000000"/>
          <w:spacing w:val="0"/>
          <w:w w:val="100"/>
          <w:position w:val="0"/>
          <w:sz w:val="18"/>
          <w:szCs w:val="18"/>
        </w:rPr>
        <w:t>2021</w:t>
      </w:r>
      <w:r>
        <w:rPr>
          <w:color w:val="000000"/>
          <w:spacing w:val="0"/>
          <w:w w:val="100"/>
          <w:position w:val="0"/>
        </w:rPr>
        <w:t xml:space="preserve">年度，公司按照年度经营计划，围绕产业互联网持续推动转型升级。通过不断聚合社会化营销新力量，围绕 </w:t>
      </w:r>
      <w:r>
        <w:rPr>
          <w:color w:val="000000"/>
          <w:spacing w:val="0"/>
          <w:w w:val="100"/>
          <w:position w:val="0"/>
          <w:sz w:val="18"/>
          <w:szCs w:val="18"/>
        </w:rPr>
        <w:t>“IP+MCN+AI”</w:t>
      </w:r>
      <w:r>
        <w:rPr>
          <w:color w:val="000000"/>
          <w:spacing w:val="0"/>
          <w:w w:val="100"/>
          <w:position w:val="0"/>
        </w:rPr>
        <w:t>的全新产业发展范式，构建多方共赢的生态系统；通过“供应链+品牌链+营销链”的创新发展方式，不断整 合产业链上下游资源，形成具有公司发展特色的资源库；通过全面升级与客户的合作关系，与客户构建“共生发展、双向赋 能”的产业互联网生态，确保公司经营业绩的稳定性。</w:t>
      </w:r>
    </w:p>
    <w:p>
      <w:pPr>
        <w:pStyle w:val="Style28"/>
        <w:keepNext/>
        <w:keepLines/>
        <w:widowControl w:val="0"/>
        <w:shd w:val="clear" w:color="auto" w:fill="auto"/>
        <w:tabs>
          <w:tab w:pos="351" w:val="left"/>
        </w:tabs>
        <w:bidi w:val="0"/>
        <w:spacing w:before="0" w:after="36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2</w:t>
      </w:r>
      <w:bookmarkEnd w:id="91"/>
      <w:r>
        <w:rPr>
          <w:color w:val="000000"/>
          <w:spacing w:val="0"/>
          <w:w w:val="100"/>
          <w:position w:val="0"/>
        </w:rPr>
        <w:t>、</w:t>
        <w:tab/>
        <w:t>收入与成本</w:t>
      </w:r>
      <w:bookmarkEnd w:id="89"/>
      <w:bookmarkEnd w:id="90"/>
      <w:bookmarkEnd w:id="92"/>
    </w:p>
    <w:p>
      <w:pPr>
        <w:pStyle w:val="Style32"/>
        <w:keepNext/>
        <w:keepLines/>
        <w:widowControl w:val="0"/>
        <w:shd w:val="clear" w:color="auto" w:fill="auto"/>
        <w:bidi w:val="0"/>
        <w:spacing w:before="0" w:after="36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w:t>
      </w:r>
      <w:bookmarkEnd w:id="9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3"/>
      <w:bookmarkEnd w:id="94"/>
      <w:bookmarkEnd w:id="96"/>
      <w:r>
        <w:br w:type="page"/>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13,003,000,295.03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13,291,267,668.33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广告行业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12,991,088,077.80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13,284,449,286.38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11,912,217.23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6,818,381.95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品牌管理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203,820,421.32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187,408,097.55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自有媒体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117,854,934.28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199,630,582.07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9,203,718,437.86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9,357,708,369.91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媒介代理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3,213,609,403.31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3,307,671,591.89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公关活动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252,084,881.03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232,030,644.96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11,912,217.23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6,818,381.95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5,734,940,099.31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6,407,848,413.27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3,141,338,656.38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2,586,451,118.68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227,726,178.92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305,516,557.53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2,401,626,950.85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2,401,038,795.25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639,019,267.40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788,290,689.55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809,864,784.69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764,011,586.35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48,484,357.48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38,110,507.70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0.08%</w:t>
            </w:r>
          </w:p>
        </w:tc>
      </w:tr>
    </w:tbl>
    <w:p>
      <w:pPr>
        <w:widowControl w:val="0"/>
        <w:spacing w:after="319" w:line="1" w:lineRule="exact"/>
      </w:pPr>
    </w:p>
    <w:p>
      <w:pPr>
        <w:pStyle w:val="Style32"/>
        <w:keepNext/>
        <w:keepLines/>
        <w:widowControl w:val="0"/>
        <w:numPr>
          <w:ilvl w:val="0"/>
          <w:numId w:val="1"/>
        </w:numPr>
        <w:shd w:val="clear" w:color="auto" w:fill="auto"/>
        <w:bidi w:val="0"/>
        <w:spacing w:before="0" w:after="360" w:line="240" w:lineRule="auto"/>
        <w:ind w:left="0" w:right="0" w:firstLine="0"/>
        <w:jc w:val="left"/>
      </w:pPr>
      <w:bookmarkStart w:id="100" w:name="bookmark100"/>
      <w:bookmarkStart w:id="97" w:name="bookmark97"/>
      <w:bookmarkStart w:id="98" w:name="bookmark98"/>
      <w:bookmarkStart w:id="99" w:name="bookmark99"/>
      <w:bookmarkEnd w:id="9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0"/>
      <w:bookmarkEnd w:id="97"/>
      <w:bookmarkEnd w:id="9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965"/>
        <w:gridCol w:w="1584"/>
        <w:gridCol w:w="1584"/>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12,991,088,077.80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11,684,221,125.20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-0.27%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9,203,718,437.86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8,427,442,519.63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-0.56%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媒介代理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3,213,609,403.31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2,875,559,225.74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分地区</w:t>
            </w:r>
          </w:p>
        </w:tc>
      </w:tr>
    </w:tbl>
    <w:p>
      <w:pPr>
        <w:spacing w:lineRule="exact" w:line="1"/>
        <w:rPr>
          <w:sz w:val="2"/>
          <w:szCs w:val="2"/>
        </w:rPr>
      </w:pPr>
      <w:r>
        <w:br w:type="page"/>
      </w:r>
    </w:p>
    <w:tbl>
      <w:tblPr>
        <w:tblOverlap w:val="never"/>
        <w:jc w:val="center"/>
        <w:tblLayout w:type="fixed"/>
      </w:tblPr>
      <w:tblGrid>
        <w:gridCol w:w="965"/>
        <w:gridCol w:w="1584"/>
        <w:gridCol w:w="1584"/>
        <w:gridCol w:w="1363"/>
        <w:gridCol w:w="1368"/>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5,734,940,099.31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4,957,624,093.24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3,141,338,656.38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2,973,878,028.25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2,401,626,950.85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2,310,794,461.55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1"/>
      <w:bookmarkEnd w:id="102"/>
      <w:bookmarkEnd w:id="10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tabs>
          <w:tab w:pos="493"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5"/>
      <w:bookmarkEnd w:id="106"/>
      <w:bookmarkEnd w:id="108"/>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9"/>
      <w:bookmarkEnd w:id="110"/>
      <w:bookmarkEnd w:id="112"/>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776"/>
        <w:gridCol w:w="1536"/>
        <w:gridCol w:w="1776"/>
        <w:gridCol w:w="1536"/>
        <w:gridCol w:w="154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广告行业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11,684,221,125.20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11,912,357,729.32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3,230,885.38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861,806.46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274.90%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7"/>
        <w:gridCol w:w="1618"/>
        <w:gridCol w:w="1613"/>
        <w:gridCol w:w="1618"/>
        <w:gridCol w:w="1613"/>
        <w:gridCol w:w="162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产品分类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品牌管理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38,304,217.71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21,976,985.04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自有媒体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106,837,612.21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139,202,252.98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数字营销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8,427,442,519.63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8,516,357,495.08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媒介代理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2,875,559,225.74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3,038,271,627.03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公关活动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236,077,549.91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196,549,369.19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3,230,885.38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861,806.46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274.90%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3"/>
      <w:bookmarkEnd w:id="114"/>
      <w:bookmarkEnd w:id="116"/>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）本年新增子公司情况</w:t>
      </w:r>
    </w:p>
    <w:tbl>
      <w:tblPr>
        <w:tblOverlap w:val="never"/>
        <w:jc w:val="center"/>
        <w:tblLayout w:type="fixed"/>
      </w:tblPr>
      <w:tblGrid>
        <w:gridCol w:w="3806"/>
        <w:gridCol w:w="1954"/>
        <w:gridCol w:w="1949"/>
        <w:gridCol w:w="1968"/>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子公司名称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设立日期</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持股比例（</w:t>
            </w:r>
            <w:r>
              <w:rPr>
                <w:rFonts w:ascii="SimSun" w:eastAsia="SimSun" w:hAnsi="SimSun" w:cs="SimSun"/>
                <w:color w:val="0C0C0C"/>
                <w:spacing w:val="0"/>
                <w:w w:val="100"/>
                <w:position w:val="0"/>
                <w:sz w:val="18"/>
                <w:szCs w:val="18"/>
              </w:rPr>
              <w:t>％</w:t>
            </w:r>
            <w:r>
              <w:rPr>
                <w:rFonts w:ascii="SimSun" w:eastAsia="SimSun" w:hAnsi="SimSun" w:cs="SimSun"/>
                <w:color w:val="0C0C0C"/>
                <w:spacing w:val="0"/>
                <w:w w:val="100"/>
                <w:position w:val="0"/>
                <w:sz w:val="17"/>
                <w:szCs w:val="17"/>
              </w:rPr>
              <w:t>）</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取得方式</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上海极漾数字科技有限公司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2021/6/15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投资设立</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）本年因工商注销或移交清算而减少的子公司情况</w:t>
      </w:r>
    </w:p>
    <w:tbl>
      <w:tblPr>
        <w:tblOverlap w:val="never"/>
        <w:jc w:val="center"/>
        <w:tblLayout w:type="fixed"/>
      </w:tblPr>
      <w:tblGrid>
        <w:gridCol w:w="5558"/>
        <w:gridCol w:w="2054"/>
        <w:gridCol w:w="2064"/>
      </w:tblGrid>
      <w:tr>
        <w:trPr>
          <w:trHeight w:val="34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子公司名称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处置日期</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原持股比例（</w:t>
            </w:r>
            <w:r>
              <w:rPr>
                <w:rFonts w:ascii="SimSun" w:eastAsia="SimSun" w:hAnsi="SimSun" w:cs="SimSun"/>
                <w:color w:val="0C0C0C"/>
                <w:spacing w:val="0"/>
                <w:w w:val="100"/>
                <w:position w:val="0"/>
                <w:sz w:val="18"/>
                <w:szCs w:val="18"/>
              </w:rPr>
              <w:t>％</w:t>
            </w:r>
            <w:r>
              <w:rPr>
                <w:rFonts w:ascii="SimSun" w:eastAsia="SimSun" w:hAnsi="SimSun" w:cs="SimSun"/>
                <w:color w:val="0C0C0C"/>
                <w:spacing w:val="0"/>
                <w:w w:val="100"/>
                <w:position w:val="0"/>
                <w:sz w:val="17"/>
                <w:szCs w:val="17"/>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烟台经典视线广告传媒有限公司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海口中行天策传媒有限公司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北京领先世广广告有限公司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98.00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上海省广韵翔广告有限公司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安徽沃达网络技术有限公司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珠海意合未来文化传播有限公司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广州指标品牌管理咨询有限公司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北京拓畅信息技术有限公司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北京合力唯胜体育发展有限公司（本期已移交清算）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69.38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省广诺时（广东）信息服务有限公司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75.00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17"/>
      <w:bookmarkEnd w:id="118"/>
      <w:bookmarkEnd w:id="12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1"/>
      <w:bookmarkEnd w:id="122"/>
      <w:bookmarkEnd w:id="124"/>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3,105,447,627.00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广汽传祺汽车销售有限公司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822,504,097.90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省广博报堂整合营销有限公司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765,627,518.61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内蒙古蒙牛乳业（集团）股份有限公司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524,636,180.60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东风日产汽车销售有限公司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501,196,146.20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Whatech Mobile Co.,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492,280,924.80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3,106,244,868.11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23.89%</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4,785,748,322.68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40.95%</w:t>
            </w:r>
          </w:p>
        </w:tc>
      </w:tr>
    </w:tbl>
    <w:p>
      <w:pPr>
        <w:spacing w:lineRule="exact" w:line="1"/>
        <w:rPr>
          <w:sz w:val="2"/>
          <w:szCs w:val="2"/>
        </w:rPr>
      </w:pPr>
      <w:r>
        <w:br w:type="page"/>
      </w:r>
    </w:p>
    <w:tbl>
      <w:tblPr>
        <w:tblOverlap w:val="never"/>
        <w:jc w:val="center"/>
        <w:tblLayout w:type="fixed"/>
      </w:tblPr>
      <w:tblGrid>
        <w:gridCol w:w="4267"/>
        <w:gridCol w:w="531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北京腾讯文化传媒有限公司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1,287,203,802.66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Google.Inc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1,223,852,120.00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北京快手广告有限公司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1,143,915,159.79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福建字节跳动科技有限公司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722,349,398.08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北京微梦创科网络技术有限公司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408,427,842.15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4,785,748,322.68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40.95%</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3</w:t>
      </w:r>
      <w:bookmarkEnd w:id="127"/>
      <w:r>
        <w:rPr>
          <w:color w:val="000000"/>
          <w:spacing w:val="0"/>
          <w:w w:val="100"/>
          <w:position w:val="0"/>
        </w:rPr>
        <w:t>、费用</w:t>
      </w:r>
      <w:bookmarkEnd w:id="125"/>
      <w:bookmarkEnd w:id="126"/>
      <w:bookmarkEnd w:id="12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539,792,950.85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515,271,982.23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219,514,554.02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230,356,972.33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4,465,582.79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7,086,355.08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流动贷款减少所致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304,725,866.43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264,270,091.46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4</w:t>
      </w:r>
      <w:bookmarkEnd w:id="131"/>
      <w:r>
        <w:rPr>
          <w:color w:val="000000"/>
          <w:spacing w:val="0"/>
          <w:w w:val="100"/>
          <w:position w:val="0"/>
        </w:rPr>
        <w:t>、研发投入</w:t>
      </w:r>
      <w:bookmarkEnd w:id="129"/>
      <w:bookmarkEnd w:id="130"/>
      <w:bookmarkEnd w:id="132"/>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2021"/>
        <w:gridCol w:w="1517"/>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预计对公司未来发展的影响</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GIMC</w:t>
            </w:r>
            <w:r>
              <w:rPr>
                <w:rFonts w:ascii="SimSun" w:eastAsia="SimSun" w:hAnsi="SimSun" w:cs="SimSun"/>
                <w:color w:val="000000"/>
                <w:spacing w:val="0"/>
                <w:w w:val="100"/>
                <w:position w:val="0"/>
                <w:sz w:val="17"/>
                <w:szCs w:val="17"/>
              </w:rPr>
              <w:t>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聚焦营销领域，打造安 全、可靠的专属级云服务 平台</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为客户提供一站式 全营销解决方案，帮助广 告主解决营销痛点和从 容应对各个环节的业务 难题，真正实现营销数字 化、智能化。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持续投入中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平台渗透到营销领域的方方 面面，发挥自身的技术实力 和整合业界各方资源及技术 力量，打造营销界的企业级 营销服务私有化</w:t>
            </w:r>
            <w:r>
              <w:rPr>
                <w:color w:val="000000"/>
                <w:spacing w:val="0"/>
                <w:w w:val="100"/>
                <w:position w:val="0"/>
                <w:sz w:val="18"/>
                <w:szCs w:val="18"/>
              </w:rPr>
              <w:t>PaaS</w:t>
            </w:r>
            <w:r>
              <w:rPr>
                <w:rFonts w:ascii="SimSun" w:eastAsia="SimSun" w:hAnsi="SimSun" w:cs="SimSun"/>
                <w:color w:val="000000"/>
                <w:spacing w:val="0"/>
                <w:w w:val="100"/>
                <w:position w:val="0"/>
                <w:sz w:val="17"/>
                <w:szCs w:val="17"/>
              </w:rPr>
              <w:t>平台， 形成对全域营销链条的有力 把控，收集、整合、沉淀各 渠道数据，帮助客户实现数 据资产的最大效益化。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真正实现营销数字化、智能 化</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提升公司数字营销实力。</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G-IN</w:t>
            </w:r>
            <w:r>
              <w:rPr>
                <w:rFonts w:ascii="SimSun" w:eastAsia="SimSun" w:hAnsi="SimSun" w:cs="SimSun"/>
                <w:color w:val="000000"/>
                <w:spacing w:val="0"/>
                <w:w w:val="100"/>
                <w:position w:val="0"/>
                <w:sz w:val="17"/>
                <w:szCs w:val="17"/>
              </w:rPr>
              <w:t>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依托</w:t>
            </w:r>
            <w:r>
              <w:rPr>
                <w:rFonts w:ascii="SimSun" w:eastAsia="SimSun" w:hAnsi="SimSun" w:cs="SimSun"/>
                <w:color w:val="000000"/>
                <w:spacing w:val="0"/>
                <w:w w:val="100"/>
                <w:position w:val="0"/>
                <w:sz w:val="17"/>
                <w:szCs w:val="17"/>
              </w:rPr>
              <w:t>“</w:t>
            </w:r>
            <w:r>
              <w:rPr>
                <w:color w:val="000000"/>
                <w:spacing w:val="0"/>
                <w:w w:val="100"/>
                <w:position w:val="0"/>
                <w:sz w:val="18"/>
                <w:szCs w:val="18"/>
              </w:rPr>
              <w:t>IP+MCN+</w:t>
            </w:r>
            <w:r>
              <w:rPr>
                <w:rFonts w:ascii="SimSun" w:eastAsia="SimSun" w:hAnsi="SimSun" w:cs="SimSun"/>
                <w:color w:val="000000"/>
                <w:spacing w:val="0"/>
                <w:w w:val="100"/>
                <w:position w:val="0"/>
                <w:sz w:val="17"/>
                <w:szCs w:val="17"/>
              </w:rPr>
              <w:t>云技术” 的新营销范式，通过整合 海量头部主流</w:t>
            </w:r>
            <w:r>
              <w:rPr>
                <w:color w:val="000000"/>
                <w:spacing w:val="0"/>
                <w:w w:val="100"/>
                <w:position w:val="0"/>
                <w:sz w:val="18"/>
                <w:szCs w:val="18"/>
              </w:rPr>
              <w:t>IP</w:t>
            </w:r>
            <w:r>
              <w:rPr>
                <w:rFonts w:ascii="SimSun" w:eastAsia="SimSun" w:hAnsi="SimSun" w:cs="SimSun"/>
                <w:color w:val="000000"/>
                <w:spacing w:val="0"/>
                <w:w w:val="100"/>
                <w:position w:val="0"/>
                <w:sz w:val="17"/>
                <w:szCs w:val="17"/>
              </w:rPr>
              <w:t>与</w:t>
            </w:r>
            <w:r>
              <w:rPr>
                <w:color w:val="000000"/>
                <w:spacing w:val="0"/>
                <w:w w:val="100"/>
                <w:position w:val="0"/>
                <w:sz w:val="18"/>
                <w:szCs w:val="18"/>
              </w:rPr>
              <w:t xml:space="preserve">MCN </w:t>
            </w:r>
            <w:r>
              <w:rPr>
                <w:rFonts w:ascii="SimSun" w:eastAsia="SimSun" w:hAnsi="SimSun" w:cs="SimSun"/>
                <w:color w:val="000000"/>
                <w:spacing w:val="0"/>
                <w:w w:val="100"/>
                <w:position w:val="0"/>
                <w:sz w:val="17"/>
                <w:szCs w:val="17"/>
              </w:rPr>
              <w:t>机构，发挥省广专业的数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持续投入中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通过链接内容营销产业链上 下游，以''智慧营销生态平 台运营商”的角色整合价值 链，部署多种业务探索，包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为传统企业提供向新兴产业 转型升级的融合发展，帮助 更多中国企业讲好品牌故 事，提升营销效能，实现经</w:t>
            </w:r>
          </w:p>
        </w:tc>
      </w:tr>
    </w:tbl>
    <w:p>
      <w:pPr>
        <w:spacing w:lineRule="exact" w:line="1"/>
        <w:rPr>
          <w:sz w:val="2"/>
          <w:szCs w:val="2"/>
        </w:rPr>
      </w:pPr>
      <w:r>
        <w:br w:type="page"/>
      </w:r>
    </w:p>
    <w:tbl>
      <w:tblPr>
        <w:tblOverlap w:val="never"/>
        <w:jc w:val="center"/>
        <w:tblLayout w:type="fixed"/>
      </w:tblPr>
      <w:tblGrid>
        <w:gridCol w:w="1531"/>
        <w:gridCol w:w="2021"/>
        <w:gridCol w:w="1517"/>
        <w:gridCol w:w="2256"/>
        <w:gridCol w:w="2261"/>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字化营销能力，为企业提 供''品效合一”的智慧营 销一站式解决方案。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括：产业联盟、销售模式创 新、专业赛道搭建、产品众 创等方向，以创新开拓实际 可见的第二增长曲线。</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济双循环时代的高质量发 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30~40 </w:t>
            </w:r>
            <w:r>
              <w:rPr>
                <w:rFonts w:ascii="SimSun" w:eastAsia="SimSun" w:hAnsi="SimSun" w:cs="SimSun"/>
                <w:color w:val="000000"/>
                <w:spacing w:val="0"/>
                <w:w w:val="100"/>
                <w:position w:val="0"/>
                <w:sz w:val="17"/>
                <w:szCs w:val="17"/>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304,725,866.43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264,270,091.46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84,527,662.59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14,523,097.30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482.02%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22.24%</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33" w:name="bookmark133"/>
      <w:bookmarkStart w:id="134" w:name="bookmark134"/>
      <w:bookmarkStart w:id="135" w:name="bookmark135"/>
      <w:bookmarkStart w:id="136" w:name="bookmark136"/>
      <w:r>
        <w:rPr>
          <w:rFonts w:ascii="Times New Roman" w:eastAsia="Times New Roman" w:hAnsi="Times New Roman" w:cs="Times New Roman"/>
          <w:color w:val="000000"/>
          <w:spacing w:val="0"/>
          <w:w w:val="100"/>
          <w:position w:val="0"/>
        </w:rPr>
        <w:t>5</w:t>
      </w:r>
      <w:bookmarkEnd w:id="135"/>
      <w:r>
        <w:rPr>
          <w:color w:val="000000"/>
          <w:spacing w:val="0"/>
          <w:w w:val="100"/>
          <w:position w:val="0"/>
        </w:rPr>
        <w:t>、现金流</w:t>
      </w:r>
      <w:bookmarkEnd w:id="133"/>
      <w:bookmarkEnd w:id="134"/>
      <w:bookmarkEnd w:id="1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390"/>
        <w:gridCol w:w="2390"/>
        <w:gridCol w:w="24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15,776,279,501.43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15,384,607,066.12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15,180,923,756.36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15,011,919,224.21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595,355,745.07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372,687,841.91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692,254,608.04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2,493,973,933.23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-72.24%</w:t>
            </w:r>
          </w:p>
        </w:tc>
      </w:tr>
    </w:tbl>
    <w:p>
      <w:pPr>
        <w:spacing w:lineRule="exact" w:line="1"/>
        <w:rPr>
          <w:sz w:val="2"/>
          <w:szCs w:val="2"/>
        </w:rPr>
      </w:pPr>
      <w:r>
        <w:br w:type="page"/>
      </w:r>
    </w:p>
    <w:tbl>
      <w:tblPr>
        <w:tblOverlap w:val="never"/>
        <w:jc w:val="center"/>
        <w:tblLayout w:type="fixed"/>
      </w:tblPr>
      <w:tblGrid>
        <w:gridCol w:w="2501"/>
        <w:gridCol w:w="2390"/>
        <w:gridCol w:w="2390"/>
        <w:gridCol w:w="24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178,040,108.57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2,978,892,152.69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514,214,499.47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-484,918,219.46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339,773,660.04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1,008,245,261.59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708,258,646.87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1,577,341,491.65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-368,484,986.83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-569,096,230.06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740,362,417.13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-681,401,985.40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-208.65%</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投资活动产生的现金流量净额同比增加，主要是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年的理财</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亿元，在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年度到期赎回。</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主要是计提资产减值准备和信用减损损失约</w:t>
      </w:r>
      <w:r>
        <w:rPr>
          <w:rFonts w:ascii="Times New Roman" w:eastAsia="Times New Roman" w:hAnsi="Times New Roman" w:cs="Times New Roman"/>
          <w:color w:val="000000"/>
          <w:spacing w:val="0"/>
          <w:w w:val="100"/>
          <w:position w:val="0"/>
          <w:sz w:val="18"/>
          <w:szCs w:val="18"/>
        </w:rPr>
        <w:t>2.35</w:t>
      </w:r>
      <w:r>
        <w:rPr>
          <w:color w:val="000000"/>
          <w:spacing w:val="0"/>
          <w:w w:val="100"/>
          <w:position w:val="0"/>
        </w:rPr>
        <w:t>亿元，折旧摊销约</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p>
    <w:p>
      <w:pPr>
        <w:pStyle w:val="Style22"/>
        <w:keepNext/>
        <w:keepLines/>
        <w:widowControl w:val="0"/>
        <w:shd w:val="clear" w:color="auto" w:fill="auto"/>
        <w:bidi w:val="0"/>
        <w:spacing w:before="0" w:after="3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五</w:t>
      </w:r>
      <w:bookmarkEnd w:id="139"/>
      <w:r>
        <w:rPr>
          <w:color w:val="000000"/>
          <w:spacing w:val="0"/>
          <w:w w:val="100"/>
          <w:position w:val="0"/>
        </w:rPr>
        <w:t>、非主营业务分析</w:t>
      </w:r>
      <w:bookmarkEnd w:id="137"/>
      <w:bookmarkEnd w:id="138"/>
      <w:bookmarkEnd w:id="140"/>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43,645,302.41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主要系对合营企业和联营 企业的权益法核算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-98,506,683.44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主要系计提商誉减值准备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106,611,554.70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主要系业绩补偿款增加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9,976,759.71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108,235,192.11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主要系减税降费政策影响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六</w:t>
      </w:r>
      <w:bookmarkEnd w:id="143"/>
      <w:r>
        <w:rPr>
          <w:color w:val="000000"/>
          <w:spacing w:val="0"/>
          <w:w w:val="100"/>
          <w:position w:val="0"/>
        </w:rPr>
        <w:t>、资产及负债状况分析</w:t>
      </w:r>
      <w:bookmarkEnd w:id="141"/>
      <w:bookmarkEnd w:id="142"/>
      <w:bookmarkEnd w:id="144"/>
    </w:p>
    <w:p>
      <w:pPr>
        <w:pStyle w:val="Style28"/>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1</w:t>
      </w:r>
      <w:bookmarkEnd w:id="147"/>
      <w:r>
        <w:rPr>
          <w:color w:val="000000"/>
          <w:spacing w:val="0"/>
          <w:w w:val="100"/>
          <w:position w:val="0"/>
        </w:rPr>
        <w:t>、资产构成重大变动情况</w:t>
      </w:r>
      <w:bookmarkEnd w:id="145"/>
      <w:bookmarkEnd w:id="146"/>
      <w:bookmarkEnd w:id="148"/>
    </w:p>
    <w:p>
      <w:pPr>
        <w:pStyle w:val="Style24"/>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358"/>
        <w:gridCol w:w="1406"/>
        <w:gridCol w:w="1051"/>
        <w:gridCol w:w="1330"/>
        <w:gridCol w:w="1046"/>
        <w:gridCol w:w="787"/>
        <w:gridCol w:w="273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1,438,166,027.44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707,167,789.26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募集资金余额补流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2,942,118,635.05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3,150,776,058.74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客户回款所致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1,755,372.10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4,323,752.14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869,707.97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电商业务增加存货</w:t>
            </w:r>
            <w:r>
              <w:rPr>
                <w:color w:val="000000"/>
                <w:spacing w:val="0"/>
                <w:w w:val="100"/>
                <w:position w:val="0"/>
                <w:sz w:val="18"/>
                <w:szCs w:val="18"/>
              </w:rPr>
              <w:t>316</w:t>
            </w:r>
            <w:r>
              <w:rPr>
                <w:rFonts w:ascii="SimSun" w:eastAsia="SimSun" w:hAnsi="SimSun" w:cs="SimSun"/>
                <w:color w:val="000000"/>
                <w:spacing w:val="0"/>
                <w:w w:val="100"/>
                <w:position w:val="0"/>
                <w:sz w:val="17"/>
                <w:szCs w:val="17"/>
              </w:rPr>
              <w:t>万元</w:t>
            </w:r>
          </w:p>
        </w:tc>
      </w:tr>
    </w:tbl>
    <w:p>
      <w:pPr>
        <w:spacing w:lineRule="exact" w:line="1"/>
        <w:rPr>
          <w:sz w:val="2"/>
          <w:szCs w:val="2"/>
        </w:rPr>
      </w:pPr>
      <w:r>
        <w:br w:type="page"/>
      </w:r>
    </w:p>
    <w:tbl>
      <w:tblPr>
        <w:tblOverlap w:val="never"/>
        <w:jc w:val="center"/>
        <w:tblLayout w:type="fixed"/>
      </w:tblPr>
      <w:tblGrid>
        <w:gridCol w:w="1358"/>
        <w:gridCol w:w="1406"/>
        <w:gridCol w:w="1051"/>
        <w:gridCol w:w="1330"/>
        <w:gridCol w:w="1046"/>
        <w:gridCol w:w="787"/>
        <w:gridCol w:w="27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257,488,242.56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261,527,461.56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624,400,758.46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616,989,993.34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669,241,767.11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664,585,144.03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24,832,022.14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22,734,632.21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337,882,370.42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公司本年度归还银行流动贷款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248,800,532.45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182,620,512.02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9,595,067.26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12,846,815.19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2</w:t>
      </w:r>
      <w:bookmarkEnd w:id="151"/>
      <w:r>
        <w:rPr>
          <w:color w:val="000000"/>
          <w:spacing w:val="0"/>
          <w:w w:val="100"/>
          <w:position w:val="0"/>
        </w:rPr>
        <w:t>、以公允价值计量的资产和负债</w:t>
      </w:r>
      <w:bookmarkEnd w:id="149"/>
      <w:bookmarkEnd w:id="150"/>
      <w:bookmarkEnd w:id="152"/>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6"/>
        <w:gridCol w:w="1181"/>
        <w:gridCol w:w="1085"/>
        <w:gridCol w:w="1085"/>
        <w:gridCol w:w="1085"/>
        <w:gridCol w:w="1085"/>
        <w:gridCol w:w="1080"/>
        <w:gridCol w:w="691"/>
        <w:gridCol w:w="124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261,527,461.56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-4,039,219.00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257,488,242.56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261,527,461.56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-4,039,219.00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257,488,242.56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2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3</w:t>
      </w:r>
      <w:bookmarkEnd w:id="155"/>
      <w:r>
        <w:rPr>
          <w:color w:val="000000"/>
          <w:spacing w:val="0"/>
          <w:w w:val="100"/>
          <w:position w:val="0"/>
        </w:rPr>
        <w:t>、截至报告期末的资产权利受限情况</w:t>
      </w:r>
      <w:bookmarkEnd w:id="153"/>
      <w:bookmarkEnd w:id="154"/>
      <w:bookmarkEnd w:id="156"/>
    </w:p>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本公司之子公司广州蓝门数字营销顾问有限公司为开具银行承兑汇票存放在银行的保证金</w:t>
      </w:r>
      <w:r>
        <w:rPr>
          <w:rFonts w:ascii="Times New Roman" w:eastAsia="Times New Roman" w:hAnsi="Times New Roman" w:cs="Times New Roman"/>
          <w:color w:val="000000"/>
          <w:spacing w:val="0"/>
          <w:w w:val="100"/>
          <w:position w:val="0"/>
          <w:sz w:val="18"/>
          <w:szCs w:val="18"/>
        </w:rPr>
        <w:t>1,603,189.76</w:t>
      </w:r>
      <w:r>
        <w:rPr>
          <w:color w:val="000000"/>
          <w:spacing w:val="0"/>
          <w:w w:val="100"/>
          <w:position w:val="0"/>
        </w:rPr>
        <w:t>元。子公司深圳经典 视线文化传播有限公司因诉讼冻结货币资金</w:t>
      </w:r>
      <w:r>
        <w:rPr>
          <w:rFonts w:ascii="Times New Roman" w:eastAsia="Times New Roman" w:hAnsi="Times New Roman" w:cs="Times New Roman"/>
          <w:color w:val="000000"/>
          <w:spacing w:val="0"/>
          <w:w w:val="100"/>
          <w:position w:val="0"/>
          <w:sz w:val="18"/>
          <w:szCs w:val="18"/>
        </w:rPr>
        <w:t>388,212.00</w:t>
      </w:r>
      <w:r>
        <w:rPr>
          <w:color w:val="000000"/>
          <w:spacing w:val="0"/>
          <w:w w:val="100"/>
          <w:position w:val="0"/>
        </w:rPr>
        <w:t xml:space="preserve">元。子公司广东赛铂互动传媒广告有限公司因开具履约保函支付保证 金 </w:t>
      </w:r>
      <w:r>
        <w:rPr>
          <w:rFonts w:ascii="Times New Roman" w:eastAsia="Times New Roman" w:hAnsi="Times New Roman" w:cs="Times New Roman"/>
          <w:color w:val="000000"/>
          <w:spacing w:val="0"/>
          <w:w w:val="100"/>
          <w:position w:val="0"/>
          <w:sz w:val="18"/>
          <w:szCs w:val="18"/>
        </w:rPr>
        <w:t xml:space="preserve">100,000.00 </w:t>
      </w:r>
      <w:r>
        <w:rPr>
          <w:color w:val="000000"/>
          <w:spacing w:val="0"/>
          <w:w w:val="100"/>
          <w:position w:val="0"/>
        </w:rPr>
        <w:t>元。</w:t>
      </w:r>
    </w:p>
    <w:p>
      <w:pPr>
        <w:pStyle w:val="Style19"/>
        <w:keepNext w:val="0"/>
        <w:keepLines w:val="0"/>
        <w:widowControl w:val="0"/>
        <w:shd w:val="clear" w:color="auto" w:fill="auto"/>
        <w:bidi w:val="0"/>
        <w:spacing w:before="0" w:after="120" w:line="310" w:lineRule="exact"/>
        <w:ind w:left="0" w:right="0" w:firstLine="0"/>
        <w:jc w:val="left"/>
      </w:pPr>
      <w:r>
        <w:rPr>
          <w:color w:val="000000"/>
          <w:spacing w:val="0"/>
          <w:w w:val="100"/>
          <w:position w:val="0"/>
        </w:rPr>
        <w:t>除上述货币资金使用受限以外，年末公司资产不存在其他使用受限制或被冻结或存在潜在回收风险的情况。</w:t>
      </w:r>
    </w:p>
    <w:p>
      <w:pPr>
        <w:pStyle w:val="Style22"/>
        <w:keepNext/>
        <w:keepLines/>
        <w:widowControl w:val="0"/>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七</w:t>
      </w:r>
      <w:bookmarkEnd w:id="159"/>
      <w:r>
        <w:rPr>
          <w:color w:val="000000"/>
          <w:spacing w:val="0"/>
          <w:w w:val="100"/>
          <w:position w:val="0"/>
        </w:rPr>
        <w:t>、投资状况分析</w:t>
      </w:r>
      <w:bookmarkEnd w:id="157"/>
      <w:bookmarkEnd w:id="158"/>
      <w:bookmarkEnd w:id="160"/>
    </w:p>
    <w:p>
      <w:pPr>
        <w:pStyle w:val="Style28"/>
        <w:keepNext/>
        <w:keepLines/>
        <w:widowControl w:val="0"/>
        <w:shd w:val="clear" w:color="auto" w:fill="auto"/>
        <w:tabs>
          <w:tab w:pos="368" w:val="left"/>
        </w:tabs>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w:t>
        <w:tab/>
        <w:t>总体情况</w:t>
      </w:r>
      <w:bookmarkEnd w:id="161"/>
      <w:bookmarkEnd w:id="162"/>
      <w:bookmarkEnd w:id="16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w:t>
        <w:tab/>
        <w:t>报告期内获取的重大的股权投资情况</w:t>
      </w:r>
      <w:bookmarkEnd w:id="165"/>
      <w:bookmarkEnd w:id="166"/>
      <w:bookmarkEnd w:id="168"/>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t>报告期内正在进行的重大的非股权投资情况</w:t>
      </w:r>
      <w:bookmarkEnd w:id="169"/>
      <w:bookmarkEnd w:id="170"/>
      <w:bookmarkEnd w:id="17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4</w:t>
      </w:r>
      <w:bookmarkEnd w:id="175"/>
      <w:r>
        <w:rPr>
          <w:color w:val="000000"/>
          <w:spacing w:val="0"/>
          <w:w w:val="100"/>
          <w:position w:val="0"/>
        </w:rPr>
        <w:t>、</w:t>
        <w:tab/>
        <w:t>金融资产投资</w:t>
      </w:r>
      <w:bookmarkEnd w:id="173"/>
      <w:bookmarkEnd w:id="174"/>
      <w:bookmarkEnd w:id="176"/>
    </w:p>
    <w:p>
      <w:pPr>
        <w:pStyle w:val="Style32"/>
        <w:keepNext/>
        <w:keepLines/>
        <w:widowControl w:val="0"/>
        <w:shd w:val="clear" w:color="auto" w:fill="auto"/>
        <w:tabs>
          <w:tab w:pos="493"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77"/>
      <w:bookmarkEnd w:id="178"/>
      <w:bookmarkEnd w:id="180"/>
    </w:p>
    <w:p>
      <w:pPr>
        <w:pStyle w:val="Style19"/>
        <w:keepNext w:val="0"/>
        <w:keepLines w:val="0"/>
        <w:widowControl w:val="0"/>
        <w:numPr>
          <w:ilvl w:val="0"/>
          <w:numId w:val="3"/>
        </w:numPr>
        <w:shd w:val="clear" w:color="auto" w:fill="auto"/>
        <w:tabs>
          <w:tab w:pos="290" w:val="left"/>
        </w:tabs>
        <w:bidi w:val="0"/>
        <w:spacing w:before="0" w:line="240" w:lineRule="auto"/>
        <w:ind w:left="0" w:right="0" w:firstLine="0"/>
        <w:jc w:val="left"/>
      </w:pPr>
      <w:bookmarkStart w:id="181" w:name="bookmark181"/>
      <w:bookmarkEnd w:id="18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2"/>
        <w:keepNext/>
        <w:keepLines/>
        <w:widowControl w:val="0"/>
        <w:shd w:val="clear" w:color="auto" w:fill="auto"/>
        <w:tabs>
          <w:tab w:pos="493"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2"/>
      <w:bookmarkEnd w:id="183"/>
      <w:bookmarkEnd w:id="185"/>
    </w:p>
    <w:p>
      <w:pPr>
        <w:pStyle w:val="Style19"/>
        <w:keepNext w:val="0"/>
        <w:keepLines w:val="0"/>
        <w:widowControl w:val="0"/>
        <w:numPr>
          <w:ilvl w:val="0"/>
          <w:numId w:val="3"/>
        </w:numPr>
        <w:shd w:val="clear" w:color="auto" w:fill="auto"/>
        <w:tabs>
          <w:tab w:pos="290" w:val="left"/>
        </w:tabs>
        <w:bidi w:val="0"/>
        <w:spacing w:before="0" w:line="240" w:lineRule="auto"/>
        <w:ind w:left="0" w:right="0" w:firstLine="0"/>
        <w:jc w:val="left"/>
      </w:pPr>
      <w:bookmarkStart w:id="186" w:name="bookmark186"/>
      <w:bookmarkEnd w:id="18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8"/>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w:t>
        <w:tab/>
        <w:t>募集资金使用情况</w:t>
      </w:r>
      <w:bookmarkEnd w:id="187"/>
      <w:bookmarkEnd w:id="188"/>
      <w:bookmarkEnd w:id="190"/>
    </w:p>
    <w:p>
      <w:pPr>
        <w:pStyle w:val="Style19"/>
        <w:keepNext w:val="0"/>
        <w:keepLines w:val="0"/>
        <w:widowControl w:val="0"/>
        <w:numPr>
          <w:ilvl w:val="0"/>
          <w:numId w:val="5"/>
        </w:numPr>
        <w:shd w:val="clear" w:color="auto" w:fill="auto"/>
        <w:tabs>
          <w:tab w:pos="290" w:val="left"/>
          <w:tab w:pos="723" w:val="left"/>
        </w:tabs>
        <w:bidi w:val="0"/>
        <w:spacing w:before="0" w:after="380" w:line="240" w:lineRule="auto"/>
        <w:ind w:left="0" w:right="0" w:firstLine="0"/>
        <w:jc w:val="left"/>
      </w:pPr>
      <w:bookmarkStart w:id="191" w:name="bookmark191"/>
      <w:bookmarkEnd w:id="191"/>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2"/>
      <w:bookmarkEnd w:id="193"/>
      <w:bookmarkEnd w:id="195"/>
    </w:p>
    <w:p>
      <w:pPr>
        <w:pStyle w:val="Style19"/>
        <w:keepNext w:val="0"/>
        <w:keepLines w:val="0"/>
        <w:widowControl w:val="0"/>
        <w:numPr>
          <w:ilvl w:val="0"/>
          <w:numId w:val="5"/>
        </w:numPr>
        <w:shd w:val="clear" w:color="auto" w:fill="auto"/>
        <w:tabs>
          <w:tab w:pos="290" w:val="left"/>
          <w:tab w:pos="723" w:val="left"/>
        </w:tabs>
        <w:bidi w:val="0"/>
        <w:spacing w:before="0" w:line="240" w:lineRule="auto"/>
        <w:ind w:left="0" w:right="0" w:firstLine="0"/>
        <w:jc w:val="left"/>
      </w:pPr>
      <w:bookmarkStart w:id="196" w:name="bookmark196"/>
      <w:bookmarkEnd w:id="196"/>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本期已使</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已累计使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变更用途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的募集资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用途的募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集资金总</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累计变更</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用途的募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集资金总</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尚未使用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非公开发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171,970.76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220,247.11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171,970.76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具体详见《董事会关于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年度募集资金存放与实际使用情况的专项报告》。</w:t>
            </w:r>
          </w:p>
        </w:tc>
      </w:tr>
    </w:tbl>
    <w:p>
      <w:pPr>
        <w:spacing w:lineRule="exact" w:line="1"/>
        <w:rPr>
          <w:sz w:val="2"/>
          <w:szCs w:val="2"/>
        </w:rPr>
      </w:pPr>
      <w:r>
        <w:br w:type="page"/>
      </w:r>
    </w:p>
    <w:p>
      <w:pPr>
        <w:pStyle w:val="Style32"/>
        <w:keepNext/>
        <w:keepLines/>
        <w:widowControl w:val="0"/>
        <w:numPr>
          <w:ilvl w:val="0"/>
          <w:numId w:val="7"/>
        </w:numPr>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bookmarkEnd w:id="199"/>
      <w:r>
        <w:rPr>
          <w:color w:val="000000"/>
          <w:spacing w:val="0"/>
          <w:w w:val="100"/>
          <w:position w:val="0"/>
        </w:rPr>
        <w:t>募集资金承诺项目情况</w:t>
      </w:r>
      <w:bookmarkEnd w:id="197"/>
      <w:bookmarkEnd w:id="198"/>
      <w:bookmarkEnd w:id="200"/>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是否已变</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更项目</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sz w:val="17"/>
                <w:szCs w:val="17"/>
              </w:rPr>
              <w:t xml:space="preserve">截至期末 投资进度 </w:t>
            </w:r>
            <w:r>
              <w:rPr>
                <w:color w:val="000000"/>
                <w:spacing w:val="0"/>
                <w:w w:val="100"/>
                <w:position w:val="0"/>
              </w:rPr>
              <w:t>(3)</w:t>
            </w:r>
            <w:r>
              <w:rPr>
                <w:rFonts w:ascii="SimSun" w:eastAsia="SimSun" w:hAnsi="SimSun" w:cs="SimSun"/>
                <w:color w:val="000000"/>
                <w:spacing w:val="0"/>
                <w:w w:val="100"/>
                <w:position w:val="0"/>
                <w:sz w:val="17"/>
                <w:szCs w:val="17"/>
              </w:rPr>
              <w:t xml:space="preserve">= </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项目达到</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预定可使</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用状态日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实现的效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项目可行</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性是否发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生重大变</w:t>
            </w:r>
          </w:p>
          <w:p>
            <w:pPr>
              <w:pStyle w:val="Style2"/>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、大数据营销系统项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、收购股权项目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其中：通过增资及受让 股权的方式取得蓝门 数字</w:t>
            </w:r>
            <w:r>
              <w:rPr>
                <w:color w:val="000000"/>
                <w:spacing w:val="0"/>
                <w:w w:val="100"/>
                <w:position w:val="0"/>
                <w:sz w:val="18"/>
                <w:szCs w:val="18"/>
              </w:rPr>
              <w:t>51%</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收购省广先锋</w:t>
            </w:r>
            <w:r>
              <w:rPr>
                <w:color w:val="000000"/>
                <w:spacing w:val="0"/>
                <w:w w:val="100"/>
                <w:position w:val="0"/>
                <w:sz w:val="18"/>
                <w:szCs w:val="18"/>
              </w:rPr>
              <w:t>49%</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16,484.58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16,484.58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14,468.83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收购晋拓文化</w:t>
            </w:r>
            <w:r>
              <w:rPr>
                <w:color w:val="000000"/>
                <w:spacing w:val="0"/>
                <w:w w:val="100"/>
                <w:position w:val="0"/>
                <w:sz w:val="18"/>
                <w:szCs w:val="18"/>
              </w:rPr>
              <w:t>80%</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2,957.78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、支付部分剩余股权 转让款项目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其中：广州旗智企业管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省广合众(北京)国际 传媒广告有限公司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中懋</w:t>
            </w:r>
            <w:r>
              <w:rPr>
                <w:rFonts w:ascii="SimSun" w:eastAsia="SimSun" w:hAnsi="SimSun" w:cs="SimSun"/>
                <w:color w:val="0C0C0C"/>
                <w:spacing w:val="0"/>
                <w:w w:val="100"/>
                <w:position w:val="0"/>
                <w:sz w:val="17"/>
                <w:szCs w:val="17"/>
              </w:rPr>
              <w:t>(广州)</w:t>
            </w:r>
            <w:r>
              <w:rPr>
                <w:rFonts w:ascii="SimSun" w:eastAsia="SimSun" w:hAnsi="SimSun" w:cs="SimSun"/>
                <w:color w:val="000000"/>
                <w:spacing w:val="0"/>
                <w:w w:val="100"/>
                <w:position w:val="0"/>
                <w:sz w:val="17"/>
                <w:szCs w:val="17"/>
              </w:rPr>
              <w:t>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上海恺达广告有限公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上海韵翔广告有限公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8,764.22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、补充流动资金项目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171,970.7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219,173.5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171,970.7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2,555.3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未达到计划进度或预</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781"/>
        <w:gridCol w:w="7805"/>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计收益的情况和原因 （分具体项目）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项目可行性发生重大 变化的情况说明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超募资金的金额、用途 及使用进展情况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日召开的第三届董事会第二十八次会议审议通过《关于使用募集资金置 换预先已投入募投项目自筹资金的议案》，置换预先已投入募集资金项目的自筹资金</w:t>
            </w:r>
            <w:r>
              <w:rPr>
                <w:color w:val="000000"/>
                <w:spacing w:val="0"/>
                <w:w w:val="100"/>
                <w:position w:val="0"/>
                <w:sz w:val="18"/>
                <w:szCs w:val="18"/>
              </w:rPr>
              <w:t>66,274.24</w:t>
            </w:r>
            <w:r>
              <w:rPr>
                <w:rFonts w:ascii="SimSun" w:eastAsia="SimSun" w:hAnsi="SimSun" w:cs="SimSun"/>
                <w:color w:val="000000"/>
                <w:spacing w:val="0"/>
                <w:w w:val="100"/>
                <w:position w:val="0"/>
                <w:sz w:val="17"/>
                <w:szCs w:val="17"/>
              </w:rPr>
              <w:t>万， 该事项已经瑞华会计师事务所（特殊普通合伙）进行审计并出具了瑞华核字</w:t>
            </w:r>
            <w:r>
              <w:rPr>
                <w:color w:val="000000"/>
                <w:spacing w:val="0"/>
                <w:w w:val="100"/>
                <w:position w:val="0"/>
                <w:sz w:val="18"/>
                <w:szCs w:val="18"/>
              </w:rPr>
              <w:t>[2016]01030004</w:t>
            </w:r>
            <w:r>
              <w:rPr>
                <w:rFonts w:ascii="SimSun" w:eastAsia="SimSun" w:hAnsi="SimSun" w:cs="SimSun"/>
                <w:color w:val="000000"/>
                <w:spacing w:val="0"/>
                <w:w w:val="100"/>
                <w:position w:val="0"/>
                <w:sz w:val="17"/>
                <w:szCs w:val="17"/>
              </w:rPr>
              <w:t>号《关 于广东省广告集团股份有限公司以自筹资金预先投入募集资金投资项目的情况报告的鉴证报告》，公 司按照有关规定履行了审批程序和信息披露义务，本次置换没有与募集资金投资项目的实施计划相 抵触，不影响募集资金投资项目的正常运行，不存在变相改变募集资金投向和损害股东利益的情况。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日，公司将前期用于暂时补充流动资金的</w:t>
            </w:r>
            <w:r>
              <w:rPr>
                <w:color w:val="000000"/>
                <w:spacing w:val="0"/>
                <w:w w:val="100"/>
                <w:position w:val="0"/>
                <w:sz w:val="18"/>
                <w:szCs w:val="18"/>
              </w:rPr>
              <w:t>8,702</w:t>
            </w:r>
            <w:r>
              <w:rPr>
                <w:rFonts w:ascii="SimSun" w:eastAsia="SimSun" w:hAnsi="SimSun" w:cs="SimSun"/>
                <w:color w:val="000000"/>
                <w:spacing w:val="0"/>
                <w:w w:val="100"/>
                <w:position w:val="0"/>
                <w:sz w:val="17"/>
                <w:szCs w:val="17"/>
              </w:rPr>
              <w:t>万元募集资金全部归还至募集资 金专项账户。</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适用</w:t>
            </w:r>
          </w:p>
        </w:tc>
      </w:tr>
      <w:tr>
        <w:trPr>
          <w:trHeight w:val="414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年年度股东大会审议通过了《关于募集资金投资项目结项并将节余募 集资金永久补充流动资金的议案》，同意公司将</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年度非公开发行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股股票募集资金投资项目结 项并将节余募集资金永久补充流动资金。截至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日，公司已将前期用于暂时补充流动 资金的</w:t>
            </w:r>
            <w:r>
              <w:rPr>
                <w:color w:val="000000"/>
                <w:spacing w:val="0"/>
                <w:w w:val="100"/>
                <w:position w:val="0"/>
                <w:sz w:val="18"/>
                <w:szCs w:val="18"/>
              </w:rPr>
              <w:t>8,702</w:t>
            </w:r>
            <w:r>
              <w:rPr>
                <w:rFonts w:ascii="SimSun" w:eastAsia="SimSun" w:hAnsi="SimSun" w:cs="SimSun"/>
                <w:color w:val="000000"/>
                <w:spacing w:val="0"/>
                <w:w w:val="100"/>
                <w:position w:val="0"/>
                <w:sz w:val="17"/>
                <w:szCs w:val="17"/>
              </w:rPr>
              <w:t>万元及购买银行理财产品的</w:t>
            </w:r>
            <w:r>
              <w:rPr>
                <w:color w:val="000000"/>
                <w:spacing w:val="0"/>
                <w:w w:val="100"/>
                <w:position w:val="0"/>
                <w:sz w:val="18"/>
                <w:szCs w:val="18"/>
              </w:rPr>
              <w:t>47,249.3</w:t>
            </w:r>
            <w:r>
              <w:rPr>
                <w:rFonts w:ascii="SimSun" w:eastAsia="SimSun" w:hAnsi="SimSun" w:cs="SimSun"/>
                <w:color w:val="000000"/>
                <w:spacing w:val="0"/>
                <w:w w:val="100"/>
                <w:position w:val="0"/>
                <w:sz w:val="17"/>
                <w:szCs w:val="17"/>
              </w:rPr>
              <w:t>万元（含理财收益）募集资金全部归还及赎回（具 体内容详见公司于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日披露的《关于将节余募集资金永久补充流动资金并注销募集资 金专用账户的公告》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2021-027）</w:t>
            </w:r>
            <w:r>
              <w:rPr>
                <w:rFonts w:ascii="SimSun" w:eastAsia="SimSun" w:hAnsi="SimSun" w:cs="SimSun"/>
                <w:color w:val="000000"/>
                <w:spacing w:val="0"/>
                <w:w w:val="100"/>
                <w:position w:val="0"/>
                <w:sz w:val="17"/>
                <w:szCs w:val="17"/>
              </w:rPr>
              <w:t>及</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日披露的《关于公司拟使用部分闲置募 集资金和闲置自有资金购买银行理财产品的公告》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公告编号：</w:t>
            </w:r>
            <w:r>
              <w:rPr>
                <w:color w:val="000000"/>
                <w:spacing w:val="0"/>
                <w:w w:val="100"/>
                <w:position w:val="0"/>
                <w:sz w:val="18"/>
                <w:szCs w:val="18"/>
              </w:rPr>
              <w:t>2020-042）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并将全部节余募集资金 人民币</w:t>
            </w:r>
            <w:r>
              <w:rPr>
                <w:color w:val="000000"/>
                <w:spacing w:val="0"/>
                <w:w w:val="100"/>
                <w:position w:val="0"/>
                <w:sz w:val="18"/>
                <w:szCs w:val="18"/>
              </w:rPr>
              <w:t>60,598.64</w:t>
            </w:r>
            <w:r>
              <w:rPr>
                <w:rFonts w:ascii="SimSun" w:eastAsia="SimSun" w:hAnsi="SimSun" w:cs="SimSun"/>
                <w:color w:val="000000"/>
                <w:spacing w:val="0"/>
                <w:w w:val="100"/>
                <w:position w:val="0"/>
                <w:sz w:val="17"/>
                <w:szCs w:val="17"/>
              </w:rPr>
              <w:t>万元永久补充流动资金。募集资金节余原因如下：</w:t>
            </w:r>
            <w:r>
              <w:rPr>
                <w:color w:val="000000"/>
                <w:spacing w:val="0"/>
                <w:w w:val="100"/>
                <w:position w:val="0"/>
                <w:sz w:val="18"/>
                <w:szCs w:val="18"/>
              </w:rPr>
              <w:t>1</w:t>
            </w:r>
            <w:r>
              <w:rPr>
                <w:rFonts w:ascii="SimSun" w:eastAsia="SimSun" w:hAnsi="SimSun" w:cs="SimSun"/>
                <w:color w:val="000000"/>
                <w:spacing w:val="0"/>
                <w:w w:val="100"/>
                <w:position w:val="0"/>
                <w:sz w:val="17"/>
                <w:szCs w:val="17"/>
              </w:rPr>
              <w:t>、在实施募投项目过程中，公 司严格按照募集资金使用的有关规定，谨慎使用募集资金，在保证募投项目质量的前提下，加强项 目建设环节费用的控制、监督和管理，合理的降低项目费用等投资金额，节约了募集资金支出；</w:t>
            </w:r>
            <w:r>
              <w:rPr>
                <w:color w:val="000000"/>
                <w:spacing w:val="0"/>
                <w:w w:val="100"/>
                <w:position w:val="0"/>
                <w:sz w:val="18"/>
                <w:szCs w:val="18"/>
              </w:rPr>
              <w:t>2</w:t>
            </w:r>
            <w:r>
              <w:rPr>
                <w:rFonts w:ascii="SimSun" w:eastAsia="SimSun" w:hAnsi="SimSun" w:cs="SimSun"/>
                <w:color w:val="000000"/>
                <w:spacing w:val="0"/>
                <w:w w:val="100"/>
                <w:position w:val="0"/>
                <w:sz w:val="17"/>
                <w:szCs w:val="17"/>
              </w:rPr>
              <w:t>、 本着股东利益最大化原则，为提高闲置资金使用效率，在确保不影响募集资金投资项目建设和募集 资金使用的前提下，公司利用闲置募集资金进行现金管理，取得了一定的投资收益，同时募集资金 存放期间也产生了一定的存款利息收入。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尚未使用的募集资金 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pStyle w:val="Style32"/>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1"/>
      <w:bookmarkEnd w:id="202"/>
      <w:bookmarkEnd w:id="204"/>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八</w:t>
      </w:r>
      <w:bookmarkEnd w:id="207"/>
      <w:r>
        <w:rPr>
          <w:color w:val="000000"/>
          <w:spacing w:val="0"/>
          <w:w w:val="100"/>
          <w:position w:val="0"/>
        </w:rPr>
        <w:t>、重大资产和股权出售</w:t>
      </w:r>
      <w:bookmarkEnd w:id="205"/>
      <w:bookmarkEnd w:id="206"/>
      <w:bookmarkEnd w:id="208"/>
    </w:p>
    <w:p>
      <w:pPr>
        <w:pStyle w:val="Style28"/>
        <w:keepNext/>
        <w:keepLines/>
        <w:widowControl w:val="0"/>
        <w:shd w:val="clear" w:color="auto" w:fill="auto"/>
        <w:tabs>
          <w:tab w:pos="368" w:val="left"/>
        </w:tabs>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w:t>
        <w:tab/>
        <w:t>出售重大资产情况</w:t>
      </w:r>
      <w:bookmarkEnd w:id="209"/>
      <w:bookmarkEnd w:id="210"/>
      <w:bookmarkEnd w:id="212"/>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w:t>
        <w:tab/>
        <w:t>出售重大股权情况</w:t>
      </w:r>
      <w:bookmarkEnd w:id="213"/>
      <w:bookmarkEnd w:id="214"/>
      <w:bookmarkEnd w:id="21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出售对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湖南梦 洁家纺 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广州梦 洁宝贝 蓝门数 字商业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结合公 司投资 战略需 要，有 利于公 司资源 优化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按资产 基础价 值法进 行估值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九</w:t>
      </w:r>
      <w:bookmarkEnd w:id="219"/>
      <w:r>
        <w:rPr>
          <w:color w:val="000000"/>
          <w:spacing w:val="0"/>
          <w:w w:val="100"/>
          <w:position w:val="0"/>
        </w:rPr>
        <w:t>、主要控股参股公司分析</w:t>
      </w:r>
      <w:bookmarkEnd w:id="217"/>
      <w:bookmarkEnd w:id="218"/>
      <w:bookmarkEnd w:id="220"/>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广东广旭整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合营销传播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制作、代理、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70,143,351.4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7,503,401.94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263,389,562.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1,206,268.45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402,150.77</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广州旗智企</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业管理咨询</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0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171,728,207.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109,089,477.</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219,807,626.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10,967,350.1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8,160,476.48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深圳经典视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线文化传播</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2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44,200,455.8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13,192,247.4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59,825,722.9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478,712.12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132,094.52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海南经典视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线广告传媒</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2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19,532,094.7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11,743,394.5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22,582,271.2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1,158,553.82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1,107,396.22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上海韵翔广</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0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406,214,602.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69,956,408.0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517,171,230.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3,548,478.23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3,597,268.16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广资本管理</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0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37,836,312.5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37,020,893.7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8,486,724.49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437,204.63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377,665.68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国际整合营 销传播集团 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0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111,776.92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290,095,101.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107,536,620.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436,757,355.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1,267,504.81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1,065,083.93</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省广合众（北 京）国际传媒 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2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273,738,921.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61,832,544.1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605,681,370.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7,321,302.54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3,994,179.73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省广先锋（青 岛）广告有限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2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113,786,156.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81,449,451.9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146,556,309.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7,738,791.52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6,075,804.67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成都经典视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线广告传媒</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2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271,800,024.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113,329,663.</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351,142,816.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-41,072,466.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-45,335,204.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省广博报堂</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整合营销公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2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335,165,838.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124,520,611.</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1,152,844,10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58,872,916.5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44,921,496.1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广东省广代</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思博报堂广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告有限公司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广告设计、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制作、代理、</w:t>
            </w:r>
          </w:p>
          <w:p>
            <w:pPr>
              <w:pStyle w:val="Style2"/>
              <w:keepNext w:val="0"/>
              <w:keepLines w:val="0"/>
              <w:widowControl w:val="0"/>
              <w:shd w:val="clear" w:color="auto" w:fill="auto"/>
              <w:bidi w:val="0"/>
              <w:spacing w:before="0" w:after="120" w:line="240" w:lineRule="auto"/>
              <w:ind w:left="0" w:right="0" w:firstLine="340"/>
              <w:jc w:val="both"/>
              <w:rPr>
                <w:sz w:val="17"/>
                <w:szCs w:val="17"/>
              </w:rPr>
            </w:pPr>
            <w:r>
              <w:rPr>
                <w:rFonts w:ascii="SimSun" w:eastAsia="SimSun" w:hAnsi="SimSun" w:cs="SimSun"/>
                <w:color w:val="000000"/>
                <w:spacing w:val="0"/>
                <w:w w:val="100"/>
                <w:position w:val="0"/>
                <w:sz w:val="17"/>
                <w:szCs w:val="17"/>
              </w:rPr>
              <w:t>发布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205,032,294.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71,002,133.5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614,813,022.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6,984,425.17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5,028,814.43</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省广诺时（广东）信息服务有限公司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未对公司经营和业绩产生重大影响</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广州指标品牌管理咨询有限公司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海口中行天策传媒有限公司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烟台经典视线广告传媒有限公司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北京领先世广广告有限公司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北京拓畅信息技术有限公司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安徽沃达网络技术有限公司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珠海意合未来文化传播有限公司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上海省广韵翔广告有限公司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工商注销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北京合力唯胜体育发展有限公司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移交破产清算组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未对公司经营和业绩产生重大影响</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221" w:name="bookmark221"/>
      <w:bookmarkStart w:id="222" w:name="bookmark222"/>
      <w:bookmarkStart w:id="223" w:name="bookmark223"/>
      <w:r>
        <w:rPr>
          <w:color w:val="000000"/>
          <w:spacing w:val="0"/>
          <w:w w:val="100"/>
          <w:position w:val="0"/>
        </w:rPr>
        <w:t>十、公司控制的结构化主体情况</w:t>
      </w:r>
      <w:bookmarkEnd w:id="221"/>
      <w:bookmarkEnd w:id="222"/>
      <w:bookmarkEnd w:id="223"/>
    </w:p>
    <w:p>
      <w:pPr>
        <w:pStyle w:val="Style19"/>
        <w:keepNext w:val="0"/>
        <w:keepLines w:val="0"/>
        <w:widowControl w:val="0"/>
        <w:shd w:val="clear" w:color="auto" w:fill="auto"/>
        <w:bidi w:val="0"/>
        <w:spacing w:before="0" w:after="10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180" w:line="240" w:lineRule="auto"/>
        <w:ind w:left="0" w:right="0" w:firstLine="0"/>
        <w:jc w:val="left"/>
      </w:pPr>
      <w:bookmarkStart w:id="224" w:name="bookmark224"/>
      <w:bookmarkStart w:id="225" w:name="bookmark225"/>
      <w:bookmarkStart w:id="226" w:name="bookmark226"/>
      <w:r>
        <w:rPr>
          <w:color w:val="000000"/>
          <w:spacing w:val="0"/>
          <w:w w:val="100"/>
          <w:position w:val="0"/>
        </w:rPr>
        <w:t>十一、公司未来发展的展望</w:t>
      </w:r>
      <w:bookmarkEnd w:id="224"/>
      <w:bookmarkEnd w:id="225"/>
      <w:bookmarkEnd w:id="226"/>
    </w:p>
    <w:p>
      <w:pPr>
        <w:pStyle w:val="Style19"/>
        <w:keepNext w:val="0"/>
        <w:keepLines w:val="0"/>
        <w:widowControl w:val="0"/>
        <w:shd w:val="clear" w:color="auto" w:fill="auto"/>
        <w:tabs>
          <w:tab w:pos="790" w:val="left"/>
        </w:tabs>
        <w:bidi w:val="0"/>
        <w:spacing w:before="0" w:after="0" w:line="470" w:lineRule="exact"/>
        <w:ind w:left="0" w:right="0" w:firstLine="360"/>
        <w:jc w:val="both"/>
      </w:pPr>
      <w:bookmarkStart w:id="227" w:name="bookmark227"/>
      <w:r>
        <w:rPr>
          <w:color w:val="000000"/>
          <w:spacing w:val="0"/>
          <w:w w:val="100"/>
          <w:position w:val="0"/>
        </w:rPr>
        <w:t>一</w:t>
      </w:r>
      <w:bookmarkEnd w:id="227"/>
      <w:r>
        <w:rPr>
          <w:color w:val="000000"/>
          <w:spacing w:val="0"/>
          <w:w w:val="100"/>
          <w:position w:val="0"/>
        </w:rPr>
        <w:t>、</w:t>
        <w:tab/>
        <w:t>公司未来发展战略及</w:t>
      </w:r>
      <w:r>
        <w:rPr>
          <w:color w:val="000000"/>
          <w:spacing w:val="0"/>
          <w:w w:val="100"/>
          <w:position w:val="0"/>
          <w:sz w:val="18"/>
          <w:szCs w:val="18"/>
        </w:rPr>
        <w:t>2022</w:t>
      </w:r>
      <w:r>
        <w:rPr>
          <w:color w:val="000000"/>
          <w:spacing w:val="0"/>
          <w:w w:val="100"/>
          <w:position w:val="0"/>
        </w:rPr>
        <w:t>年度的经营计划</w:t>
      </w:r>
    </w:p>
    <w:p>
      <w:pPr>
        <w:pStyle w:val="Style19"/>
        <w:keepNext w:val="0"/>
        <w:keepLines w:val="0"/>
        <w:widowControl w:val="0"/>
        <w:shd w:val="clear" w:color="auto" w:fill="auto"/>
        <w:tabs>
          <w:tab w:pos="694" w:val="left"/>
        </w:tabs>
        <w:bidi w:val="0"/>
        <w:spacing w:before="0" w:after="0" w:line="470" w:lineRule="exact"/>
        <w:ind w:left="0" w:right="0" w:firstLine="360"/>
        <w:jc w:val="both"/>
      </w:pPr>
      <w:bookmarkStart w:id="228" w:name="bookmark228"/>
      <w:r>
        <w:rPr>
          <w:color w:val="000000"/>
          <w:spacing w:val="0"/>
          <w:w w:val="100"/>
          <w:position w:val="0"/>
          <w:sz w:val="18"/>
          <w:szCs w:val="18"/>
        </w:rPr>
        <w:t>1</w:t>
      </w:r>
      <w:bookmarkEnd w:id="228"/>
      <w:r>
        <w:rPr>
          <w:color w:val="000000"/>
          <w:spacing w:val="0"/>
          <w:w w:val="100"/>
          <w:position w:val="0"/>
        </w:rPr>
        <w:t>、</w:t>
        <w:tab/>
        <w:t>公司未来发展战略</w:t>
      </w:r>
    </w:p>
    <w:p>
      <w:pPr>
        <w:pStyle w:val="Style1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公司将以加强基盘守护、资金管理、风险控制为核心要务，以专业之心、贴身服务、聚焦客户价值创造，稳住基本面， 控制风险，做好客户与消费者洞察的拓新，构建并强化对客户创新的服务结构，以数字论英雄，推动各项业务持续发展。</w:t>
      </w:r>
    </w:p>
    <w:p>
      <w:pPr>
        <w:pStyle w:val="Style19"/>
        <w:keepNext w:val="0"/>
        <w:keepLines w:val="0"/>
        <w:widowControl w:val="0"/>
        <w:shd w:val="clear" w:color="auto" w:fill="auto"/>
        <w:tabs>
          <w:tab w:pos="704" w:val="left"/>
        </w:tabs>
        <w:bidi w:val="0"/>
        <w:spacing w:before="0" w:after="0" w:line="470" w:lineRule="exact"/>
        <w:ind w:left="0" w:right="0" w:firstLine="360"/>
        <w:jc w:val="both"/>
      </w:pPr>
      <w:bookmarkStart w:id="229" w:name="bookmark229"/>
      <w:r>
        <w:rPr>
          <w:color w:val="000000"/>
          <w:spacing w:val="0"/>
          <w:w w:val="100"/>
          <w:position w:val="0"/>
          <w:sz w:val="18"/>
          <w:szCs w:val="18"/>
        </w:rPr>
        <w:t>2</w:t>
      </w:r>
      <w:bookmarkEnd w:id="229"/>
      <w:r>
        <w:rPr>
          <w:color w:val="000000"/>
          <w:spacing w:val="0"/>
          <w:w w:val="100"/>
          <w:position w:val="0"/>
        </w:rPr>
        <w:t>、</w:t>
        <w:tab/>
      </w:r>
      <w:r>
        <w:rPr>
          <w:color w:val="000000"/>
          <w:spacing w:val="0"/>
          <w:w w:val="100"/>
          <w:position w:val="0"/>
          <w:sz w:val="18"/>
          <w:szCs w:val="18"/>
        </w:rPr>
        <w:t>2022</w:t>
      </w:r>
      <w:r>
        <w:rPr>
          <w:color w:val="000000"/>
          <w:spacing w:val="0"/>
          <w:w w:val="100"/>
          <w:position w:val="0"/>
        </w:rPr>
        <w:t>年度的经营计划</w:t>
      </w:r>
    </w:p>
    <w:p>
      <w:pPr>
        <w:pStyle w:val="Style19"/>
        <w:keepNext w:val="0"/>
        <w:keepLines w:val="0"/>
        <w:widowControl w:val="0"/>
        <w:shd w:val="clear" w:color="auto" w:fill="auto"/>
        <w:bidi w:val="0"/>
        <w:spacing w:before="0" w:after="0" w:line="470" w:lineRule="exact"/>
        <w:ind w:left="0" w:right="0" w:firstLine="360"/>
        <w:jc w:val="both"/>
      </w:pPr>
      <w:r>
        <w:rPr>
          <w:color w:val="000000"/>
          <w:spacing w:val="0"/>
          <w:w w:val="100"/>
          <w:position w:val="0"/>
          <w:sz w:val="18"/>
          <w:szCs w:val="18"/>
        </w:rPr>
        <w:t>2022</w:t>
      </w:r>
      <w:r>
        <w:rPr>
          <w:color w:val="000000"/>
          <w:spacing w:val="0"/>
          <w:w w:val="100"/>
          <w:position w:val="0"/>
        </w:rPr>
        <w:t>年度，公司将围绕“行稳致远、合力向前”的经营工作总基调，构建健康、持续，具备发展韧性的业务和管理体系， 坚持以业绩为导向，通过四维赋能稳存量、多措并举促增量，全力以赴完成年度经营目标，不断开拓公司创新发展的新局面。</w:t>
      </w:r>
    </w:p>
    <w:p>
      <w:pPr>
        <w:pStyle w:val="Style19"/>
        <w:keepNext w:val="0"/>
        <w:keepLines w:val="0"/>
        <w:widowControl w:val="0"/>
        <w:shd w:val="clear" w:color="auto" w:fill="auto"/>
        <w:tabs>
          <w:tab w:pos="790" w:val="left"/>
        </w:tabs>
        <w:bidi w:val="0"/>
        <w:spacing w:before="0" w:after="0" w:line="470" w:lineRule="exact"/>
        <w:ind w:left="0" w:right="0" w:firstLine="360"/>
        <w:jc w:val="both"/>
      </w:pPr>
      <w:bookmarkStart w:id="230" w:name="bookmark230"/>
      <w:r>
        <w:rPr>
          <w:color w:val="000000"/>
          <w:spacing w:val="0"/>
          <w:w w:val="100"/>
          <w:position w:val="0"/>
        </w:rPr>
        <w:t>二</w:t>
      </w:r>
      <w:bookmarkEnd w:id="230"/>
      <w:r>
        <w:rPr>
          <w:color w:val="000000"/>
          <w:spacing w:val="0"/>
          <w:w w:val="100"/>
          <w:position w:val="0"/>
        </w:rPr>
        <w:t>、</w:t>
        <w:tab/>
        <w:t>公司可能面对的风险</w:t>
      </w:r>
    </w:p>
    <w:p>
      <w:pPr>
        <w:pStyle w:val="Style1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公司所属的广告营销行业，具有轻资产、人才密集、行业集中度较低等特点。基于行业发展现状并结合公司实际情况， 公司在发展中面临如下风险：</w:t>
      </w:r>
    </w:p>
    <w:p>
      <w:pPr>
        <w:pStyle w:val="Style19"/>
        <w:keepNext w:val="0"/>
        <w:keepLines w:val="0"/>
        <w:widowControl w:val="0"/>
        <w:shd w:val="clear" w:color="auto" w:fill="auto"/>
        <w:tabs>
          <w:tab w:pos="694" w:val="left"/>
        </w:tabs>
        <w:bidi w:val="0"/>
        <w:spacing w:before="0" w:after="0" w:line="470" w:lineRule="exact"/>
        <w:ind w:left="0" w:right="0" w:firstLine="360"/>
        <w:jc w:val="both"/>
      </w:pPr>
      <w:bookmarkStart w:id="231" w:name="bookmark231"/>
      <w:r>
        <w:rPr>
          <w:color w:val="000000"/>
          <w:spacing w:val="0"/>
          <w:w w:val="100"/>
          <w:position w:val="0"/>
          <w:sz w:val="18"/>
          <w:szCs w:val="18"/>
        </w:rPr>
        <w:t>1</w:t>
      </w:r>
      <w:bookmarkEnd w:id="231"/>
      <w:r>
        <w:rPr>
          <w:color w:val="000000"/>
          <w:spacing w:val="0"/>
          <w:w w:val="100"/>
          <w:position w:val="0"/>
        </w:rPr>
        <w:t>、</w:t>
        <w:tab/>
        <w:t>行业竞争风险</w:t>
      </w:r>
    </w:p>
    <w:p>
      <w:pPr>
        <w:pStyle w:val="Style1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广告行业是充分竞争的行业。近年来伴随着行业高速发展，业内企业规模逐渐扩大、数量逐步增加，行业竞争不断加剧。 此外，随着移动互联网的不断发展，对营销内容与形式都带来了变革，广告营销行业特别是中小广告企业的竞争将更加激烈；</w:t>
      </w:r>
    </w:p>
    <w:p>
      <w:pPr>
        <w:pStyle w:val="Style19"/>
        <w:keepNext w:val="0"/>
        <w:keepLines w:val="0"/>
        <w:widowControl w:val="0"/>
        <w:shd w:val="clear" w:color="auto" w:fill="auto"/>
        <w:tabs>
          <w:tab w:pos="704" w:val="left"/>
        </w:tabs>
        <w:bidi w:val="0"/>
        <w:spacing w:before="0" w:after="0" w:line="470" w:lineRule="exact"/>
        <w:ind w:left="0" w:right="0" w:firstLine="360"/>
        <w:jc w:val="both"/>
      </w:pPr>
      <w:bookmarkStart w:id="232" w:name="bookmark232"/>
      <w:r>
        <w:rPr>
          <w:color w:val="000000"/>
          <w:spacing w:val="0"/>
          <w:w w:val="100"/>
          <w:position w:val="0"/>
          <w:sz w:val="18"/>
          <w:szCs w:val="18"/>
        </w:rPr>
        <w:t>2</w:t>
      </w:r>
      <w:bookmarkEnd w:id="232"/>
      <w:r>
        <w:rPr>
          <w:color w:val="000000"/>
          <w:spacing w:val="0"/>
          <w:w w:val="100"/>
          <w:position w:val="0"/>
        </w:rPr>
        <w:t>、</w:t>
        <w:tab/>
        <w:t>人才流失风险</w:t>
      </w:r>
    </w:p>
    <w:p>
      <w:pPr>
        <w:pStyle w:val="Style19"/>
        <w:keepNext w:val="0"/>
        <w:keepLines w:val="0"/>
        <w:widowControl w:val="0"/>
        <w:shd w:val="clear" w:color="auto" w:fill="auto"/>
        <w:bidi w:val="0"/>
        <w:spacing w:before="0" w:after="0" w:line="470" w:lineRule="exact"/>
        <w:ind w:left="0" w:right="0" w:firstLine="360"/>
        <w:jc w:val="both"/>
      </w:pPr>
      <w:r>
        <w:rPr>
          <w:color w:val="000000"/>
          <w:spacing w:val="0"/>
          <w:w w:val="100"/>
          <w:position w:val="0"/>
        </w:rPr>
        <w:t xml:space="preserve">广告行业属于人才密集型行业，对于广告公司而言，专业的广告人才是企业的核心资源，是保持和提升公司核心竞争力 的关键要素，随着企业业务规模的扩大，对专业广告人才和管理人才的需求日益增强。由于专业广告人才的需求旺盛，广告 </w:t>
      </w:r>
      <w:r>
        <w:rPr>
          <w:color w:val="000000"/>
          <w:spacing w:val="0"/>
          <w:w w:val="100"/>
          <w:position w:val="0"/>
        </w:rPr>
        <w:t>行业的人才流动性相对较高；</w:t>
      </w:r>
    </w:p>
    <w:p>
      <w:pPr>
        <w:pStyle w:val="Style19"/>
        <w:keepNext w:val="0"/>
        <w:keepLines w:val="0"/>
        <w:widowControl w:val="0"/>
        <w:shd w:val="clear" w:color="auto" w:fill="auto"/>
        <w:bidi w:val="0"/>
        <w:spacing w:before="0" w:after="0" w:line="470" w:lineRule="exact"/>
        <w:ind w:left="0" w:right="0" w:firstLine="380"/>
        <w:jc w:val="left"/>
      </w:pPr>
      <w:bookmarkStart w:id="233" w:name="bookmark233"/>
      <w:r>
        <w:rPr>
          <w:color w:val="000000"/>
          <w:spacing w:val="0"/>
          <w:w w:val="100"/>
          <w:position w:val="0"/>
          <w:sz w:val="18"/>
          <w:szCs w:val="18"/>
        </w:rPr>
        <w:t>3</w:t>
      </w:r>
      <w:bookmarkEnd w:id="233"/>
      <w:r>
        <w:rPr>
          <w:color w:val="000000"/>
          <w:spacing w:val="0"/>
          <w:w w:val="100"/>
          <w:position w:val="0"/>
        </w:rPr>
        <w:t>、资产减值风险</w:t>
      </w:r>
    </w:p>
    <w:p>
      <w:pPr>
        <w:pStyle w:val="Style19"/>
        <w:keepNext w:val="0"/>
        <w:keepLines w:val="0"/>
        <w:widowControl w:val="0"/>
        <w:shd w:val="clear" w:color="auto" w:fill="auto"/>
        <w:bidi w:val="0"/>
        <w:spacing w:before="0" w:after="460" w:line="470" w:lineRule="exact"/>
        <w:ind w:left="0" w:right="0" w:firstLine="380"/>
        <w:jc w:val="left"/>
      </w:pPr>
      <w:r>
        <w:rPr>
          <w:color w:val="000000"/>
          <w:spacing w:val="0"/>
          <w:w w:val="100"/>
          <w:position w:val="0"/>
        </w:rPr>
        <w:t>广告行业作为轻资产行业，产业链上下游收购标的企业均为轻资产公司，商誉减值对业绩的敏感性较大。广告行业存 在普遍的垫资现象，因此行业应收款项普遍较高。受宏观经济增速放缓影响，中小广告主资金压力加大，部分业务的结算周 期延长使得公司的回款周期变长进而造成相应的资产减值风险。</w:t>
      </w:r>
    </w:p>
    <w:p>
      <w:pPr>
        <w:pStyle w:val="Style22"/>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r>
        <w:rPr>
          <w:color w:val="000000"/>
          <w:spacing w:val="0"/>
          <w:w w:val="100"/>
          <w:position w:val="0"/>
        </w:rPr>
        <w:t>十二、报告期内接待调研、沟通、采访等活动</w:t>
      </w:r>
      <w:bookmarkEnd w:id="234"/>
      <w:bookmarkEnd w:id="235"/>
      <w:bookmarkEnd w:id="236"/>
    </w:p>
    <w:p>
      <w:pPr>
        <w:pStyle w:val="Style24"/>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50"/>
        <w:gridCol w:w="1042"/>
        <w:gridCol w:w="1435"/>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谈论的主要内容及提供的资料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公司经营情况、行业发展情况、未提供书面文件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公司经营情况、行业发展情况、未提供书面文件</w:t>
            </w:r>
          </w:p>
        </w:tc>
      </w:tr>
    </w:tbl>
    <w:p>
      <w:pPr>
        <w:sectPr>
          <w:footnotePr>
            <w:pos w:val="pageBottom"/>
            <w:numFmt w:val="decimal"/>
            <w:numRestart w:val="continuous"/>
          </w:footnotePr>
          <w:pgSz w:w="11900" w:h="16840"/>
          <w:pgMar w:top="1275" w:right="1068" w:bottom="1467" w:left="1059" w:header="0" w:footer="3" w:gutter="0"/>
          <w:cols w:space="720"/>
          <w:noEndnote/>
          <w:rtlGutter w:val="0"/>
          <w:docGrid w:linePitch="360"/>
        </w:sectPr>
      </w:pPr>
    </w:p>
    <w:p>
      <w:pPr>
        <w:pStyle w:val="Style10"/>
        <w:keepNext/>
        <w:keepLines/>
        <w:widowControl w:val="0"/>
        <w:shd w:val="clear" w:color="auto" w:fill="auto"/>
        <w:bidi w:val="0"/>
        <w:spacing w:before="640" w:after="500" w:line="240" w:lineRule="auto"/>
        <w:ind w:left="0" w:right="0" w:firstLine="0"/>
        <w:jc w:val="center"/>
      </w:pPr>
      <w:bookmarkStart w:id="237" w:name="bookmark237"/>
      <w:bookmarkStart w:id="238" w:name="bookmark238"/>
      <w:bookmarkStart w:id="239" w:name="bookmark239"/>
      <w:r>
        <w:rPr>
          <w:color w:val="000000"/>
          <w:spacing w:val="0"/>
          <w:w w:val="100"/>
          <w:position w:val="0"/>
        </w:rPr>
        <w:t>第四节公司治理</w:t>
      </w:r>
      <w:bookmarkEnd w:id="237"/>
      <w:bookmarkEnd w:id="238"/>
      <w:bookmarkEnd w:id="239"/>
    </w:p>
    <w:p>
      <w:pPr>
        <w:pStyle w:val="Style22"/>
        <w:keepNext/>
        <w:keepLines/>
        <w:widowControl w:val="0"/>
        <w:shd w:val="clear" w:color="auto" w:fill="auto"/>
        <w:tabs>
          <w:tab w:pos="487" w:val="left"/>
        </w:tabs>
        <w:bidi w:val="0"/>
        <w:spacing w:before="0" w:after="160" w:line="312" w:lineRule="exact"/>
        <w:ind w:left="0" w:right="0" w:firstLine="0"/>
        <w:jc w:val="left"/>
      </w:pPr>
      <w:bookmarkStart w:id="240" w:name="bookmark240"/>
      <w:bookmarkStart w:id="241" w:name="bookmark241"/>
      <w:bookmarkStart w:id="242" w:name="bookmark242"/>
      <w:bookmarkStart w:id="243" w:name="bookmark243"/>
      <w:bookmarkStart w:id="244" w:name="bookmark244"/>
      <w:r>
        <w:rPr>
          <w:color w:val="000000"/>
          <w:spacing w:val="0"/>
          <w:w w:val="100"/>
          <w:position w:val="0"/>
        </w:rPr>
        <w:t>一</w:t>
      </w:r>
      <w:bookmarkEnd w:id="243"/>
      <w:r>
        <w:rPr>
          <w:color w:val="000000"/>
          <w:spacing w:val="0"/>
          <w:w w:val="100"/>
          <w:position w:val="0"/>
        </w:rPr>
        <w:t>、</w:t>
        <w:tab/>
        <w:t>公司治理的基本状况</w:t>
      </w:r>
      <w:bookmarkEnd w:id="241"/>
      <w:bookmarkEnd w:id="242"/>
      <w:bookmarkEnd w:id="244"/>
      <w:bookmarkEnd w:id="240"/>
    </w:p>
    <w:p>
      <w:pPr>
        <w:pStyle w:val="Style1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报告期内，公司根据《公司法》、《证券法》、《上市公司治理准则》、《深圳证券交易所股票上市规则》及中国证 监会有关法律法规的要求，不断完善公司法人治理结构、规范公司运作、不断加强信息披露工作，积极开展投资者关系管理 工作。</w:t>
      </w: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tabs>
          <w:tab w:pos="487" w:val="left"/>
        </w:tabs>
        <w:bidi w:val="0"/>
        <w:spacing w:before="0" w:after="160" w:line="312" w:lineRule="exact"/>
        <w:ind w:left="0" w:right="0" w:firstLine="0"/>
        <w:jc w:val="both"/>
      </w:pPr>
      <w:bookmarkStart w:id="245" w:name="bookmark245"/>
      <w:bookmarkStart w:id="246" w:name="bookmark246"/>
      <w:bookmarkStart w:id="247" w:name="bookmark247"/>
      <w:bookmarkStart w:id="248" w:name="bookmark248"/>
      <w:r>
        <w:rPr>
          <w:color w:val="000000"/>
          <w:spacing w:val="0"/>
          <w:w w:val="100"/>
          <w:position w:val="0"/>
        </w:rPr>
        <w:t>二</w:t>
      </w:r>
      <w:bookmarkEnd w:id="247"/>
      <w:r>
        <w:rPr>
          <w:color w:val="000000"/>
          <w:spacing w:val="0"/>
          <w:w w:val="100"/>
          <w:position w:val="0"/>
        </w:rPr>
        <w:t>、</w:t>
        <w:tab/>
        <w:t>公司相对于控股股东、实际控制人在保证公司资产、人员、财务、机构、业务等方面的 独立情况</w:t>
      </w:r>
      <w:bookmarkEnd w:id="245"/>
      <w:bookmarkEnd w:id="246"/>
      <w:bookmarkEnd w:id="248"/>
    </w:p>
    <w:p>
      <w:pPr>
        <w:pStyle w:val="Style19"/>
        <w:keepNext w:val="0"/>
        <w:keepLines w:val="0"/>
        <w:widowControl w:val="0"/>
        <w:shd w:val="clear" w:color="auto" w:fill="auto"/>
        <w:tabs>
          <w:tab w:pos="732" w:val="left"/>
        </w:tabs>
        <w:bidi w:val="0"/>
        <w:spacing w:before="0" w:after="0" w:line="470" w:lineRule="exact"/>
        <w:ind w:left="0" w:right="0" w:firstLine="440"/>
        <w:jc w:val="both"/>
      </w:pPr>
      <w:bookmarkStart w:id="249" w:name="bookmark249"/>
      <w:r>
        <w:rPr>
          <w:color w:val="000000"/>
          <w:spacing w:val="0"/>
          <w:w w:val="100"/>
          <w:position w:val="0"/>
          <w:sz w:val="18"/>
          <w:szCs w:val="18"/>
        </w:rPr>
        <w:t>1</w:t>
      </w:r>
      <w:bookmarkEnd w:id="249"/>
      <w:r>
        <w:rPr>
          <w:color w:val="000000"/>
          <w:spacing w:val="0"/>
          <w:w w:val="100"/>
          <w:position w:val="0"/>
        </w:rPr>
        <w:t>、</w:t>
        <w:tab/>
        <w:t>业务独立情况：公司具备独立、完整的运营管理团队和服务系统，面向市场独立经营，具有独立完整的业务体系。 与控股股东、实际控制人及其控制的其他企业间不存在同业竞争，目前公司主营业务与各股东单位之间均无重叠，公司与控 股股东及其控股、参股单位不存在同业竞争或显失公平的关联交易。</w:t>
      </w:r>
    </w:p>
    <w:p>
      <w:pPr>
        <w:pStyle w:val="Style19"/>
        <w:keepNext w:val="0"/>
        <w:keepLines w:val="0"/>
        <w:widowControl w:val="0"/>
        <w:shd w:val="clear" w:color="auto" w:fill="auto"/>
        <w:tabs>
          <w:tab w:pos="732" w:val="left"/>
        </w:tabs>
        <w:bidi w:val="0"/>
        <w:spacing w:before="0" w:after="0" w:line="470" w:lineRule="exact"/>
        <w:ind w:left="0" w:right="0" w:firstLine="440"/>
        <w:jc w:val="both"/>
      </w:pPr>
      <w:bookmarkStart w:id="250" w:name="bookmark250"/>
      <w:r>
        <w:rPr>
          <w:color w:val="000000"/>
          <w:spacing w:val="0"/>
          <w:w w:val="100"/>
          <w:position w:val="0"/>
          <w:sz w:val="18"/>
          <w:szCs w:val="18"/>
        </w:rPr>
        <w:t>2</w:t>
      </w:r>
      <w:bookmarkEnd w:id="250"/>
      <w:r>
        <w:rPr>
          <w:color w:val="000000"/>
          <w:spacing w:val="0"/>
          <w:w w:val="100"/>
          <w:position w:val="0"/>
        </w:rPr>
        <w:t>、</w:t>
        <w:tab/>
        <w:t>资产独立情况：公司资产独立、完整，与股东拥有的资产产权界定明确。公司设立过程中，股东投入的资产均已足 额到位，相关资产过户手续已办理完毕。公司具备与经营有关的经营管理系统和配套设施，合法拥有与经营有关的房屋、设 备等固定资产，也独立拥有注册商标等无形资产。报告期内公司不存在股东违规占用公司资产或资金的情况，亦不存在公司 为各股东及其下属单位提供担保的情况。</w:t>
      </w:r>
    </w:p>
    <w:p>
      <w:pPr>
        <w:pStyle w:val="Style19"/>
        <w:keepNext w:val="0"/>
        <w:keepLines w:val="0"/>
        <w:widowControl w:val="0"/>
        <w:shd w:val="clear" w:color="auto" w:fill="auto"/>
        <w:tabs>
          <w:tab w:pos="732" w:val="left"/>
        </w:tabs>
        <w:bidi w:val="0"/>
        <w:spacing w:before="0" w:after="0" w:line="470" w:lineRule="exact"/>
        <w:ind w:left="0" w:right="0" w:firstLine="440"/>
        <w:jc w:val="both"/>
      </w:pPr>
      <w:bookmarkStart w:id="251" w:name="bookmark251"/>
      <w:r>
        <w:rPr>
          <w:color w:val="000000"/>
          <w:spacing w:val="0"/>
          <w:w w:val="100"/>
          <w:position w:val="0"/>
          <w:sz w:val="18"/>
          <w:szCs w:val="18"/>
        </w:rPr>
        <w:t>3</w:t>
      </w:r>
      <w:bookmarkEnd w:id="251"/>
      <w:r>
        <w:rPr>
          <w:color w:val="000000"/>
          <w:spacing w:val="0"/>
          <w:w w:val="100"/>
          <w:position w:val="0"/>
        </w:rPr>
        <w:t>、</w:t>
        <w:tab/>
        <w:t>人员独立情况：公司的董事、监事和高级管理人员严格按照《公司法》和《公司章程》的有关规定产生，不存在有 关法律、法规禁止的兼职情况；公司拥有独立的劳动、人事、工资管理机构和管理制度，其机构设置和人员管理均与股东单 位及其他关联方分离，独立规范运作；不存在股东或其他关联方指派或干预人员任免的情形；高级管理人员均未在股东及其 控制的其他企业中担任除董事以外的其他职务，也未在股东及其控制的其他企业领薪；公司的财务人员亦未在股东及其控制 的其他企业中兼职。</w:t>
      </w:r>
    </w:p>
    <w:p>
      <w:pPr>
        <w:pStyle w:val="Style19"/>
        <w:keepNext w:val="0"/>
        <w:keepLines w:val="0"/>
        <w:widowControl w:val="0"/>
        <w:shd w:val="clear" w:color="auto" w:fill="auto"/>
        <w:tabs>
          <w:tab w:pos="736" w:val="left"/>
        </w:tabs>
        <w:bidi w:val="0"/>
        <w:spacing w:before="0" w:after="200" w:line="470" w:lineRule="exact"/>
        <w:ind w:left="0" w:right="0" w:firstLine="440"/>
        <w:jc w:val="both"/>
      </w:pPr>
      <w:bookmarkStart w:id="252" w:name="bookmark252"/>
      <w:r>
        <w:rPr>
          <w:color w:val="000000"/>
          <w:spacing w:val="0"/>
          <w:w w:val="100"/>
          <w:position w:val="0"/>
          <w:sz w:val="18"/>
          <w:szCs w:val="18"/>
        </w:rPr>
        <w:t>4</w:t>
      </w:r>
      <w:bookmarkEnd w:id="252"/>
      <w:r>
        <w:rPr>
          <w:color w:val="000000"/>
          <w:spacing w:val="0"/>
          <w:w w:val="100"/>
          <w:position w:val="0"/>
        </w:rPr>
        <w:t>、</w:t>
        <w:tab/>
        <w:t xml:space="preserve">财务独立情况：公司依据《中华人民共和国会计法》、《企业会计准则》和《企业会计制度》的规定，制定了内部 会计控制制度，设立了独立的财务会计机构，建立了独立完善的财务会计核算体系和财务管理制度，拥有专门的财务人员， 且财务人员未在任何关联单位兼职。公司独立在银行开户，没有与控股股东和实际控制人共用银行账户的情况；历年来，公 司独立对外签订合同，依法独立缴纳各种税费；公司根据经营情况独立作出财务决策和资金使用决策，没有发生控股股东和 </w:t>
      </w:r>
      <w:r>
        <w:rPr>
          <w:color w:val="000000"/>
          <w:spacing w:val="0"/>
          <w:w w:val="100"/>
          <w:position w:val="0"/>
        </w:rPr>
        <w:t>实际控制人干预公司资金运用的情况。</w:t>
      </w:r>
    </w:p>
    <w:p>
      <w:pPr>
        <w:pStyle w:val="Style19"/>
        <w:keepNext w:val="0"/>
        <w:keepLines w:val="0"/>
        <w:widowControl w:val="0"/>
        <w:shd w:val="clear" w:color="auto" w:fill="auto"/>
        <w:bidi w:val="0"/>
        <w:spacing w:before="0" w:after="460" w:line="473" w:lineRule="exact"/>
        <w:ind w:left="0" w:right="0" w:firstLine="460"/>
        <w:jc w:val="left"/>
      </w:pPr>
      <w:bookmarkStart w:id="253" w:name="bookmark253"/>
      <w:r>
        <w:rPr>
          <w:color w:val="000000"/>
          <w:spacing w:val="0"/>
          <w:w w:val="100"/>
          <w:position w:val="0"/>
          <w:sz w:val="18"/>
          <w:szCs w:val="18"/>
        </w:rPr>
        <w:t>5</w:t>
      </w:r>
      <w:bookmarkEnd w:id="253"/>
      <w:r>
        <w:rPr>
          <w:color w:val="000000"/>
          <w:spacing w:val="0"/>
          <w:w w:val="100"/>
          <w:position w:val="0"/>
        </w:rPr>
        <w:t>、机构独立情况：公司拥有独立的经营和办公机构场所，不存在与股东单位混合经营、合署办公的情形。公司依据《公 司法》和《公司章程》设立了股东大会、董事会、监事会等机构并制定了相应的议事规则，各机构依照相关规定在各自职责 范围内独立决策、规范运作。公司建立了一套适应自身发展的组织机构，不存在股东单位干预公司机构设置的情况。</w:t>
      </w:r>
    </w:p>
    <w:p>
      <w:pPr>
        <w:pStyle w:val="Style22"/>
        <w:keepNext/>
        <w:keepLines/>
        <w:widowControl w:val="0"/>
        <w:shd w:val="clear" w:color="auto" w:fill="auto"/>
        <w:tabs>
          <w:tab w:pos="522" w:val="left"/>
        </w:tabs>
        <w:bidi w:val="0"/>
        <w:spacing w:before="0" w:after="12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三</w:t>
      </w:r>
      <w:bookmarkEnd w:id="256"/>
      <w:r>
        <w:rPr>
          <w:color w:val="000000"/>
          <w:spacing w:val="0"/>
          <w:w w:val="100"/>
          <w:position w:val="0"/>
        </w:rPr>
        <w:t>、</w:t>
        <w:tab/>
        <w:t>同业竞争情况</w:t>
      </w:r>
      <w:bookmarkEnd w:id="254"/>
      <w:bookmarkEnd w:id="255"/>
      <w:bookmarkEnd w:id="257"/>
    </w:p>
    <w:p>
      <w:pPr>
        <w:pStyle w:val="Style19"/>
        <w:keepNext w:val="0"/>
        <w:keepLines w:val="0"/>
        <w:widowControl w:val="0"/>
        <w:shd w:val="clear" w:color="auto" w:fill="auto"/>
        <w:bidi w:val="0"/>
        <w:spacing w:before="0" w:after="380" w:line="47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4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四</w:t>
      </w:r>
      <w:bookmarkEnd w:id="260"/>
      <w:r>
        <w:rPr>
          <w:color w:val="000000"/>
          <w:spacing w:val="0"/>
          <w:w w:val="100"/>
          <w:position w:val="0"/>
        </w:rPr>
        <w:t>、</w:t>
        <w:tab/>
        <w:t>报告期内召开的年度股东大会和临时股东大会的有关情况</w:t>
      </w:r>
      <w:bookmarkEnd w:id="258"/>
      <w:bookmarkEnd w:id="259"/>
      <w:bookmarkEnd w:id="261"/>
    </w:p>
    <w:p>
      <w:pPr>
        <w:pStyle w:val="Style28"/>
        <w:keepNext/>
        <w:keepLines/>
        <w:widowControl w:val="0"/>
        <w:shd w:val="clear" w:color="auto" w:fill="auto"/>
        <w:bidi w:val="0"/>
        <w:spacing w:before="0" w:after="34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、本报告期股东大会情况</w:t>
      </w:r>
      <w:bookmarkEnd w:id="262"/>
      <w:bookmarkEnd w:id="263"/>
      <w:bookmarkEnd w:id="265"/>
    </w:p>
    <w:tbl>
      <w:tblPr>
        <w:tblOverlap w:val="never"/>
        <w:jc w:val="center"/>
        <w:tblLayout w:type="fixed"/>
      </w:tblPr>
      <w:tblGrid>
        <w:gridCol w:w="1426"/>
        <w:gridCol w:w="1282"/>
        <w:gridCol w:w="850"/>
        <w:gridCol w:w="1661"/>
        <w:gridCol w:w="1718"/>
        <w:gridCol w:w="277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审议通过了《关于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年度担保额 度预计的议案》</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 xml:space="preserve">审议通过了： </w:t>
            </w: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2020</w:t>
            </w:r>
            <w:r>
              <w:rPr>
                <w:rFonts w:ascii="SimSun" w:eastAsia="SimSun" w:hAnsi="SimSun" w:cs="SimSun"/>
                <w:color w:val="000000"/>
                <w:spacing w:val="0"/>
                <w:w w:val="100"/>
                <w:position w:val="0"/>
                <w:sz w:val="17"/>
                <w:szCs w:val="17"/>
              </w:rPr>
              <w:t>年度董事会 工作报告》、</w:t>
            </w:r>
            <w:r>
              <w:rPr>
                <w:color w:val="000000"/>
                <w:spacing w:val="0"/>
                <w:w w:val="100"/>
                <w:position w:val="0"/>
              </w:rPr>
              <w:t>2.</w:t>
            </w:r>
            <w:r>
              <w:rPr>
                <w:rFonts w:ascii="SimSun" w:eastAsia="SimSun" w:hAnsi="SimSun" w:cs="SimSun"/>
                <w:color w:val="000000"/>
                <w:spacing w:val="0"/>
                <w:w w:val="100"/>
                <w:position w:val="0"/>
                <w:sz w:val="17"/>
                <w:szCs w:val="17"/>
              </w:rPr>
              <w:t>《</w:t>
            </w:r>
            <w:r>
              <w:rPr>
                <w:color w:val="000000"/>
                <w:spacing w:val="0"/>
                <w:w w:val="100"/>
                <w:position w:val="0"/>
              </w:rPr>
              <w:t>2020</w:t>
            </w:r>
            <w:r>
              <w:rPr>
                <w:rFonts w:ascii="SimSun" w:eastAsia="SimSun" w:hAnsi="SimSun" w:cs="SimSun"/>
                <w:color w:val="000000"/>
                <w:spacing w:val="0"/>
                <w:w w:val="100"/>
                <w:position w:val="0"/>
                <w:sz w:val="17"/>
                <w:szCs w:val="17"/>
              </w:rPr>
              <w:t>年度监事会工 作报告》、</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2020</w:t>
            </w:r>
            <w:r>
              <w:rPr>
                <w:rFonts w:ascii="SimSun" w:eastAsia="SimSun" w:hAnsi="SimSun" w:cs="SimSun"/>
                <w:color w:val="000000"/>
                <w:spacing w:val="0"/>
                <w:w w:val="100"/>
                <w:position w:val="0"/>
                <w:sz w:val="17"/>
                <w:szCs w:val="17"/>
              </w:rPr>
              <w:t>年年度报告及摘 要、</w:t>
            </w:r>
            <w:r>
              <w:rPr>
                <w:color w:val="000000"/>
                <w:spacing w:val="0"/>
                <w:w w:val="100"/>
                <w:position w:val="0"/>
              </w:rPr>
              <w:t>4.</w:t>
            </w:r>
            <w:r>
              <w:rPr>
                <w:rFonts w:ascii="SimSun" w:eastAsia="SimSun" w:hAnsi="SimSun" w:cs="SimSun"/>
                <w:color w:val="000000"/>
                <w:spacing w:val="0"/>
                <w:w w:val="100"/>
                <w:position w:val="0"/>
                <w:sz w:val="17"/>
                <w:szCs w:val="17"/>
              </w:rPr>
              <w:t>《</w:t>
            </w:r>
            <w:r>
              <w:rPr>
                <w:color w:val="000000"/>
                <w:spacing w:val="0"/>
                <w:w w:val="100"/>
                <w:position w:val="0"/>
              </w:rPr>
              <w:t>2020</w:t>
            </w:r>
            <w:r>
              <w:rPr>
                <w:rFonts w:ascii="SimSun" w:eastAsia="SimSun" w:hAnsi="SimSun" w:cs="SimSun"/>
                <w:color w:val="000000"/>
                <w:spacing w:val="0"/>
                <w:w w:val="100"/>
                <w:position w:val="0"/>
                <w:sz w:val="17"/>
                <w:szCs w:val="17"/>
              </w:rPr>
              <w:t xml:space="preserve">年度财务决算报告》、 </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2020</w:t>
            </w:r>
            <w:r>
              <w:rPr>
                <w:rFonts w:ascii="SimSun" w:eastAsia="SimSun" w:hAnsi="SimSun" w:cs="SimSun"/>
                <w:color w:val="000000"/>
                <w:spacing w:val="0"/>
                <w:w w:val="100"/>
                <w:position w:val="0"/>
                <w:sz w:val="17"/>
                <w:szCs w:val="17"/>
              </w:rPr>
              <w:t>年度利润分配预案》、</w:t>
            </w:r>
            <w:r>
              <w:rPr>
                <w:color w:val="000000"/>
                <w:spacing w:val="0"/>
                <w:w w:val="100"/>
                <w:position w:val="0"/>
              </w:rPr>
              <w:t>6.</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年度募集资金存放与 实际使用情况的专项报告》、</w:t>
            </w:r>
            <w:r>
              <w:rPr>
                <w:color w:val="000000"/>
                <w:spacing w:val="0"/>
                <w:w w:val="100"/>
                <w:position w:val="0"/>
                <w:sz w:val="18"/>
                <w:szCs w:val="18"/>
              </w:rPr>
              <w:t>7.</w:t>
            </w:r>
            <w:r>
              <w:rPr>
                <w:rFonts w:ascii="SimSun" w:eastAsia="SimSun" w:hAnsi="SimSun" w:cs="SimSun"/>
                <w:color w:val="000000"/>
                <w:spacing w:val="0"/>
                <w:w w:val="100"/>
                <w:position w:val="0"/>
                <w:sz w:val="17"/>
                <w:szCs w:val="17"/>
              </w:rPr>
              <w:t>《关 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年度公司董事、监事、高级 管理人员薪酬方案的议案》、</w:t>
            </w:r>
            <w:r>
              <w:rPr>
                <w:color w:val="000000"/>
                <w:spacing w:val="0"/>
                <w:w w:val="100"/>
                <w:position w:val="0"/>
                <w:sz w:val="18"/>
                <w:szCs w:val="18"/>
              </w:rPr>
              <w:t>8.</w:t>
            </w:r>
            <w:r>
              <w:rPr>
                <w:rFonts w:ascii="SimSun" w:eastAsia="SimSun" w:hAnsi="SimSun" w:cs="SimSun"/>
                <w:color w:val="000000"/>
                <w:spacing w:val="0"/>
                <w:w w:val="100"/>
                <w:position w:val="0"/>
                <w:sz w:val="17"/>
                <w:szCs w:val="17"/>
              </w:rPr>
              <w:t>《关 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年度日常关联交易预计的 议案》、</w:t>
            </w:r>
            <w:r>
              <w:rPr>
                <w:color w:val="000000"/>
                <w:spacing w:val="0"/>
                <w:w w:val="100"/>
                <w:position w:val="0"/>
                <w:sz w:val="18"/>
                <w:szCs w:val="18"/>
              </w:rPr>
              <w:t>9.</w:t>
            </w:r>
            <w:r>
              <w:rPr>
                <w:rFonts w:ascii="SimSun" w:eastAsia="SimSun" w:hAnsi="SimSun" w:cs="SimSun"/>
                <w:color w:val="000000"/>
                <w:spacing w:val="0"/>
                <w:w w:val="100"/>
                <w:position w:val="0"/>
                <w:sz w:val="17"/>
                <w:szCs w:val="17"/>
              </w:rPr>
              <w:t>《关于募集资金投资项目 结项并将节余募集资金永久补充流 动资金的议案》、</w:t>
            </w:r>
            <w:r>
              <w:rPr>
                <w:color w:val="000000"/>
                <w:spacing w:val="0"/>
                <w:w w:val="100"/>
                <w:position w:val="0"/>
                <w:sz w:val="18"/>
                <w:szCs w:val="18"/>
              </w:rPr>
              <w:t>10.</w:t>
            </w:r>
            <w:r>
              <w:rPr>
                <w:rFonts w:ascii="SimSun" w:eastAsia="SimSun" w:hAnsi="SimSun" w:cs="SimSun"/>
                <w:color w:val="000000"/>
                <w:spacing w:val="0"/>
                <w:w w:val="100"/>
                <w:position w:val="0"/>
                <w:sz w:val="17"/>
                <w:szCs w:val="17"/>
              </w:rPr>
              <w:t>《关于向银行</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申请综合授信额度的议案》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75" w:val="left"/>
              </w:tabs>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审议通过了：</w:t>
              <w:tab/>
            </w:r>
            <w:r>
              <w:rPr>
                <w:color w:val="000000"/>
                <w:spacing w:val="0"/>
                <w:w w:val="100"/>
                <w:position w:val="0"/>
                <w:sz w:val="18"/>
                <w:szCs w:val="18"/>
              </w:rPr>
              <w:t>1.</w:t>
            </w:r>
            <w:r>
              <w:rPr>
                <w:rFonts w:ascii="SimSun" w:eastAsia="SimSun" w:hAnsi="SimSun" w:cs="SimSun"/>
                <w:color w:val="000000"/>
                <w:spacing w:val="0"/>
                <w:w w:val="100"/>
                <w:position w:val="0"/>
                <w:sz w:val="17"/>
                <w:szCs w:val="17"/>
              </w:rPr>
              <w:t>《关于补选董事的</w:t>
            </w:r>
          </w:p>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议案》、</w:t>
            </w:r>
            <w:r>
              <w:rPr>
                <w:color w:val="000000"/>
                <w:spacing w:val="0"/>
                <w:w w:val="100"/>
                <w:position w:val="0"/>
                <w:sz w:val="18"/>
                <w:szCs w:val="18"/>
              </w:rPr>
              <w:t>2.</w:t>
            </w:r>
            <w:r>
              <w:rPr>
                <w:rFonts w:ascii="SimSun" w:eastAsia="SimSun" w:hAnsi="SimSun" w:cs="SimSun"/>
                <w:color w:val="000000"/>
                <w:spacing w:val="0"/>
                <w:w w:val="100"/>
                <w:position w:val="0"/>
                <w:sz w:val="17"/>
                <w:szCs w:val="17"/>
              </w:rPr>
              <w:t>《关于增加</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年度担 保额度预计的议案》、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《关于续聘 会计师事务所的议案》</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年第三次临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审议通过了《关于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年度担保额 度预计的议案》</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、表决权恢复的优先股股东请求召开临时股东大会</w:t>
      </w:r>
      <w:bookmarkEnd w:id="266"/>
      <w:bookmarkEnd w:id="267"/>
      <w:bookmarkEnd w:id="269"/>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8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五</w:t>
      </w:r>
      <w:bookmarkEnd w:id="272"/>
      <w:r>
        <w:rPr>
          <w:color w:val="000000"/>
          <w:spacing w:val="0"/>
          <w:w w:val="100"/>
          <w:position w:val="0"/>
        </w:rPr>
        <w:t>、董事、监事和高级管理人员情况</w:t>
      </w:r>
      <w:bookmarkEnd w:id="270"/>
      <w:bookmarkEnd w:id="271"/>
      <w:bookmarkEnd w:id="273"/>
    </w:p>
    <w:p>
      <w:pPr>
        <w:pStyle w:val="Style28"/>
        <w:keepNext/>
        <w:keepLines/>
        <w:widowControl w:val="0"/>
        <w:shd w:val="clear" w:color="auto" w:fill="auto"/>
        <w:bidi w:val="0"/>
        <w:spacing w:before="0" w:after="30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、基本情况</w:t>
      </w:r>
      <w:bookmarkEnd w:id="274"/>
      <w:bookmarkEnd w:id="275"/>
      <w:bookmarkEnd w:id="277"/>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任期起</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任期终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其他增</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股份增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35,392,8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35,392,8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副董事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16,574,5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16,574,5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董事、总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董事、董 事会秘 书、副总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高上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周旭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梁彤缨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梁丹妮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监事会 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吕亚飞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袁志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陈小振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向奕帆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许益昊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51,971,8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51,971,8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line="326" w:lineRule="exact"/>
        <w:ind w:left="0" w:right="0" w:firstLine="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月，公司董事、财务总监周旭先生因工作调整原因辞去公司董事职务，辞职后仍然担任公司财务总监。</w:t>
      </w:r>
    </w:p>
    <w:p>
      <w:pPr>
        <w:pStyle w:val="Style1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月，公司副董事长、总经理何滨先生因工作调整原因辞去公司总经理一职，辞职后在公司仍担任副董事长、首席战 略官。</w:t>
      </w:r>
    </w:p>
    <w:p>
      <w:pPr>
        <w:pStyle w:val="Style19"/>
        <w:keepNext w:val="0"/>
        <w:keepLines w:val="0"/>
        <w:widowControl w:val="0"/>
        <w:shd w:val="clear" w:color="auto" w:fill="auto"/>
        <w:bidi w:val="0"/>
        <w:spacing w:before="0" w:line="326" w:lineRule="exact"/>
        <w:ind w:left="0" w:right="0" w:firstLine="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02"/>
        <w:gridCol w:w="1526"/>
        <w:gridCol w:w="1526"/>
        <w:gridCol w:w="1978"/>
        <w:gridCol w:w="37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周旭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工作调整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工作调整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高上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年第二次临时股东大会补选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经公司第五届董事会第十次会议聘任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陈小振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经公司第五届董事会第十次会议聘任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向奕帆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经公司第五届董事会第十次会议聘任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许益昊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经公司第五届董事会第十次会议聘任</w:t>
            </w:r>
          </w:p>
        </w:tc>
      </w:tr>
    </w:tbl>
    <w:p>
      <w:pPr>
        <w:pStyle w:val="Style28"/>
        <w:keepNext/>
        <w:keepLines/>
        <w:widowControl w:val="0"/>
        <w:shd w:val="clear" w:color="auto" w:fill="auto"/>
        <w:bidi w:val="0"/>
        <w:spacing w:before="0" w:after="200" w:line="24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2</w:t>
      </w:r>
      <w:bookmarkEnd w:id="280"/>
      <w:r>
        <w:rPr>
          <w:color w:val="000000"/>
          <w:spacing w:val="0"/>
          <w:w w:val="100"/>
          <w:position w:val="0"/>
        </w:rPr>
        <w:t>、任职情况</w:t>
      </w:r>
      <w:bookmarkEnd w:id="278"/>
      <w:bookmarkEnd w:id="279"/>
      <w:bookmarkEnd w:id="281"/>
    </w:p>
    <w:p>
      <w:pPr>
        <w:pStyle w:val="Style1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陈钿隆先生，中国国籍，无境外永久居留权，</w:t>
      </w:r>
      <w:r>
        <w:rPr>
          <w:color w:val="000000"/>
          <w:spacing w:val="0"/>
          <w:w w:val="100"/>
          <w:position w:val="0"/>
          <w:sz w:val="18"/>
          <w:szCs w:val="18"/>
        </w:rPr>
        <w:t>1961</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w:t>
      </w:r>
      <w:r>
        <w:rPr>
          <w:color w:val="000000"/>
          <w:spacing w:val="0"/>
          <w:w w:val="100"/>
          <w:position w:val="0"/>
          <w:sz w:val="18"/>
          <w:szCs w:val="18"/>
        </w:rPr>
        <w:t>1988</w:t>
      </w:r>
      <w:r>
        <w:rPr>
          <w:color w:val="000000"/>
          <w:spacing w:val="0"/>
          <w:w w:val="100"/>
          <w:position w:val="0"/>
        </w:rPr>
        <w:t>年加入本公司，历任业务员、业务部经理、客户总 监、业务局长、董事副总经理、公司董事总经理。现任省广博报堂整合营销有限公司董事长、广东省广代博广告营销有限公 司董事长、本公司董事长。</w:t>
      </w:r>
    </w:p>
    <w:p>
      <w:pPr>
        <w:pStyle w:val="Style1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何滨先生，中国国籍，无境外永久居留权，</w:t>
      </w:r>
      <w:r>
        <w:rPr>
          <w:color w:val="000000"/>
          <w:spacing w:val="0"/>
          <w:w w:val="100"/>
          <w:position w:val="0"/>
          <w:sz w:val="18"/>
          <w:szCs w:val="18"/>
        </w:rPr>
        <w:t>1972</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w:t>
      </w:r>
      <w:r>
        <w:rPr>
          <w:color w:val="000000"/>
          <w:spacing w:val="0"/>
          <w:w w:val="100"/>
          <w:position w:val="0"/>
          <w:sz w:val="18"/>
          <w:szCs w:val="18"/>
        </w:rPr>
        <w:t>1994</w:t>
      </w:r>
      <w:r>
        <w:rPr>
          <w:color w:val="000000"/>
          <w:spacing w:val="0"/>
          <w:w w:val="100"/>
          <w:position w:val="0"/>
        </w:rPr>
        <w:t>年加入本公司，历任业务员、客户主任、国内广 告三部副经理、业务一局客户经理、策划总监兼业务一局局长、总经理助理、董事、总经理。现任本公司副董事长。</w:t>
      </w:r>
    </w:p>
    <w:p>
      <w:pPr>
        <w:pStyle w:val="Style1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杨远征先生，中国国籍，无境外永久居留权。</w:t>
      </w:r>
      <w:r>
        <w:rPr>
          <w:color w:val="000000"/>
          <w:spacing w:val="0"/>
          <w:w w:val="100"/>
          <w:position w:val="0"/>
          <w:sz w:val="18"/>
          <w:szCs w:val="18"/>
        </w:rPr>
        <w:t>1980</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w:t>
      </w:r>
      <w:r>
        <w:rPr>
          <w:color w:val="000000"/>
          <w:spacing w:val="0"/>
          <w:w w:val="100"/>
          <w:position w:val="0"/>
          <w:sz w:val="18"/>
          <w:szCs w:val="18"/>
        </w:rPr>
        <w:t>2002</w:t>
      </w:r>
      <w:r>
        <w:rPr>
          <w:color w:val="000000"/>
          <w:spacing w:val="0"/>
          <w:w w:val="100"/>
          <w:position w:val="0"/>
        </w:rPr>
        <w:t>年加入公司，曾任媒介策划经理、媒介购买副总监、 媒介经营总监、副总经理。现任本公司董事、总经理。</w:t>
      </w:r>
    </w:p>
    <w:p>
      <w:pPr>
        <w:pStyle w:val="Style1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廖浩先生，中国国籍，无境外永久居留权，</w:t>
      </w: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7</w:t>
      </w:r>
      <w:r>
        <w:rPr>
          <w:color w:val="000000"/>
          <w:spacing w:val="0"/>
          <w:w w:val="100"/>
          <w:position w:val="0"/>
        </w:rPr>
        <w:t>月加入公司，历任客户主任、业务局副局长、 投资发展部总经理、公司总经理助理。现任本公司董事、副总经理、董事会秘书。</w:t>
      </w:r>
    </w:p>
    <w:p>
      <w:pPr>
        <w:pStyle w:val="Style1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周旭先生，中国国籍，无境外永久居留权，</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月出生，会计硕士学位，国际注册内部审计师、会计师、注册税务 师。历任广东省广新控股集团有限公司结算中心副主任、副部长、佛山佛塑科技集团股份有限公司董事、财务总监、本公司 董事。现任本公司财务总监。</w:t>
      </w:r>
    </w:p>
    <w:p>
      <w:pPr>
        <w:pStyle w:val="Style1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谢景云女士，中国国籍，无境外永久居留权，</w:t>
      </w:r>
      <w:r>
        <w:rPr>
          <w:color w:val="000000"/>
          <w:spacing w:val="0"/>
          <w:w w:val="100"/>
          <w:position w:val="0"/>
          <w:sz w:val="18"/>
          <w:szCs w:val="18"/>
        </w:rPr>
        <w:t>1980</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月至今在广东省广新控股集团有限公司历任投 资发展部项目经理、投资发展部主管、资本运营部部长助理、资本运营部副部长、投资与资本运营部部长。现任广东省广新 控股集团有限公司运营管理中心总经理、本公司董事。</w:t>
      </w:r>
    </w:p>
    <w:p>
      <w:pPr>
        <w:pStyle w:val="Style1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高上先生，中国国籍，无境外永久居留权，</w:t>
      </w: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月出生，曾任北大医药股份有限公司董事会秘书兼副总经理、中国 国际海运集装箱（集团）股份有限公司战略研究室主任、海洋工程部总经理、巴西代表处首席代表、中集海洋工程研究院副 总经理、中集海洋工程有限公司战略总监。现任广东省广新控股集团有限公司战略管理总监、战略管理部总经理、科技创新 部总经理、数智中心总经理、广东省广新创新研究院有限公司董事长、本公司董事。</w:t>
      </w:r>
    </w:p>
    <w:p>
      <w:pPr>
        <w:pStyle w:val="Style1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黄昇民先生，中国国籍，无境外永久居留权，</w:t>
      </w:r>
      <w:r>
        <w:rPr>
          <w:color w:val="000000"/>
          <w:spacing w:val="0"/>
          <w:w w:val="100"/>
          <w:position w:val="0"/>
          <w:sz w:val="18"/>
          <w:szCs w:val="18"/>
        </w:rPr>
        <w:t>1955</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月出生，中国传媒大学广告学院教授、博士生导师。兼任中国广 告博物馆馆长、《媒介》杂志总编、中广天择传媒股份有限公司独立董事。现任本公司独立董事。</w:t>
      </w:r>
    </w:p>
    <w:p>
      <w:pPr>
        <w:pStyle w:val="Style1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梁彤缨先生，中国国籍，无境外永久居留权，</w:t>
      </w:r>
      <w:r>
        <w:rPr>
          <w:color w:val="000000"/>
          <w:spacing w:val="0"/>
          <w:w w:val="100"/>
          <w:position w:val="0"/>
          <w:sz w:val="18"/>
          <w:szCs w:val="18"/>
        </w:rPr>
        <w:t>1961</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月出生。华南理工大学工商管理学院教授、博士生导师、资本 市场与公司财务研究中心主任。兼任广州广电计量检测股份有限公司独立董事、广州由我科技股份有限公司独立董事、鸿利 智汇集团股份有限公司独立董事。现任本公司独立董事。</w:t>
      </w:r>
    </w:p>
    <w:p>
      <w:pPr>
        <w:pStyle w:val="Style19"/>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梁丹妮女士，中国国籍，无境外永久居留权，</w:t>
      </w: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月出生。中山大学法学院副教授、博士生导师。兼任中国国际经 济贸易仲裁委员会仲裁员，中国广州、珠海、佛山、肇庆、惠州等仲裁委员会仲裁员，并担任兼职律师。现任本公司独立董 </w:t>
      </w:r>
      <w:r>
        <w:rPr>
          <w:color w:val="000000"/>
          <w:spacing w:val="0"/>
          <w:w w:val="100"/>
          <w:position w:val="0"/>
        </w:rPr>
        <w:t>事。</w:t>
      </w:r>
    </w:p>
    <w:p>
      <w:pPr>
        <w:pStyle w:val="Style19"/>
        <w:keepNext w:val="0"/>
        <w:keepLines w:val="0"/>
        <w:widowControl w:val="0"/>
        <w:shd w:val="clear" w:color="auto" w:fill="auto"/>
        <w:bidi w:val="0"/>
        <w:spacing w:before="0" w:after="0" w:line="490" w:lineRule="exact"/>
        <w:ind w:left="0" w:right="0" w:firstLine="440"/>
        <w:jc w:val="both"/>
      </w:pPr>
      <w:r>
        <w:rPr>
          <w:color w:val="000000"/>
          <w:spacing w:val="0"/>
          <w:w w:val="100"/>
          <w:position w:val="0"/>
        </w:rPr>
        <w:t>胡镇南先生，中国国籍，无境外永久居留权，</w:t>
      </w:r>
      <w:r>
        <w:rPr>
          <w:color w:val="000000"/>
          <w:spacing w:val="0"/>
          <w:w w:val="100"/>
          <w:position w:val="0"/>
          <w:sz w:val="18"/>
          <w:szCs w:val="18"/>
        </w:rPr>
        <w:t>1963</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w:t>
      </w:r>
      <w:r>
        <w:rPr>
          <w:color w:val="000000"/>
          <w:spacing w:val="0"/>
          <w:w w:val="100"/>
          <w:position w:val="0"/>
          <w:sz w:val="18"/>
          <w:szCs w:val="18"/>
        </w:rPr>
        <w:t>1987</w:t>
      </w:r>
      <w:r>
        <w:rPr>
          <w:color w:val="000000"/>
          <w:spacing w:val="0"/>
          <w:w w:val="100"/>
          <w:position w:val="0"/>
        </w:rPr>
        <w:t>年加入本公司，历任业务员、部门经理，业务局 局长、第二事业部总经理。现任本公司监事会主席。</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张磊女士，中国国籍，无境外永久居留权，</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月出生。曾任职于国家审计署驻广州特派办广东广信会计师事务 所、广东省广新外贸集团财审部。历任广东省广新外贸集团监察审计部副部长兼审计室主任、广东省广新控股集团有限公司 财务部副部长、审计与监事管理部部长、本公司董事。现任广东省广新控股集团有限公司总经理助理、审计与监事管理部总 经理、本公司监事。</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吕亚飞先生，中国国籍，无境外永久居留权，</w:t>
      </w:r>
      <w:r>
        <w:rPr>
          <w:color w:val="000000"/>
          <w:spacing w:val="0"/>
          <w:w w:val="100"/>
          <w:position w:val="0"/>
          <w:sz w:val="18"/>
          <w:szCs w:val="18"/>
        </w:rPr>
        <w:t>1983</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月加入公司，现任本公司监事。</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袁志先生，中国国籍，无境外永久居留权，</w:t>
      </w:r>
      <w:r>
        <w:rPr>
          <w:color w:val="000000"/>
          <w:spacing w:val="0"/>
          <w:w w:val="100"/>
          <w:position w:val="0"/>
          <w:sz w:val="18"/>
          <w:szCs w:val="18"/>
        </w:rPr>
        <w:t>1982</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月加入本公司，曾任媒介策划经理、客户总监、 十三事业部总经理。现任本公司副总经理。</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陈小振先生，中国国籍，无境外永久居留权，</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w:t>
      </w:r>
      <w:r>
        <w:rPr>
          <w:color w:val="000000"/>
          <w:spacing w:val="0"/>
          <w:w w:val="100"/>
          <w:position w:val="0"/>
          <w:sz w:val="18"/>
          <w:szCs w:val="18"/>
        </w:rPr>
        <w:t>1999</w:t>
      </w:r>
      <w:r>
        <w:rPr>
          <w:color w:val="000000"/>
          <w:spacing w:val="0"/>
          <w:w w:val="100"/>
          <w:position w:val="0"/>
        </w:rPr>
        <w:t>年加入公司，现任省广博报堂整合营销有限公 司执行副总经理、本公司副总经理。</w:t>
      </w:r>
    </w:p>
    <w:p>
      <w:pPr>
        <w:pStyle w:val="Style1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向奕帆先生，中国国籍，无境外永久居留权，</w:t>
      </w:r>
      <w:r>
        <w:rPr>
          <w:color w:val="000000"/>
          <w:spacing w:val="0"/>
          <w:w w:val="100"/>
          <w:position w:val="0"/>
          <w:sz w:val="18"/>
          <w:szCs w:val="18"/>
        </w:rPr>
        <w:t>1989</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w:t>
      </w:r>
      <w:r>
        <w:rPr>
          <w:color w:val="000000"/>
          <w:spacing w:val="0"/>
          <w:w w:val="100"/>
          <w:position w:val="0"/>
          <w:sz w:val="18"/>
          <w:szCs w:val="18"/>
        </w:rPr>
        <w:t>2014</w:t>
      </w:r>
      <w:r>
        <w:rPr>
          <w:color w:val="000000"/>
          <w:spacing w:val="0"/>
          <w:w w:val="100"/>
          <w:position w:val="0"/>
        </w:rPr>
        <w:t>年加入公司，现任公司第二事业群总经理、本 公司副总经理。</w:t>
      </w:r>
    </w:p>
    <w:p>
      <w:pPr>
        <w:pStyle w:val="Style19"/>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许益昊先生，中国国籍，无境外永久居留权，</w:t>
      </w:r>
      <w:r>
        <w:rPr>
          <w:color w:val="000000"/>
          <w:spacing w:val="0"/>
          <w:w w:val="100"/>
          <w:position w:val="0"/>
          <w:sz w:val="18"/>
          <w:szCs w:val="18"/>
        </w:rPr>
        <w:t>1983</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w:t>
      </w:r>
      <w:r>
        <w:rPr>
          <w:color w:val="000000"/>
          <w:spacing w:val="0"/>
          <w:w w:val="100"/>
          <w:position w:val="0"/>
          <w:sz w:val="18"/>
          <w:szCs w:val="18"/>
        </w:rPr>
        <w:t>2011</w:t>
      </w:r>
      <w:r>
        <w:rPr>
          <w:color w:val="000000"/>
          <w:spacing w:val="0"/>
          <w:w w:val="100"/>
          <w:position w:val="0"/>
        </w:rPr>
        <w:t>年加入公司，现任公司户外数字化事业群总 经理、本公司副总经理。</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在股东单位</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总经理助理、 审计与监事 管理部总经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运营管理中 心总经理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战略管理总 监、战略管理 部总经理、科 技创新部总 经理、数智中 心总经理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张磊女士，历任本公司董事、广东省广新外贸集团监察审计部副部长兼审计室主任、广东省广新控股集团 有限公司财务部副部长、审计与监事管理部部长。现任广东省广新控股集团有限公司总经理助理、审计与 监事管理部总经理、本公司监事。谢景云女士，</w:t>
            </w: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月至今在广东省广新控股集团有限公司历任投 资发展部项目经理、投资发展部主管、资本运营部部长助理、资本运营部副部长、投资与资本运营部部长，</w:t>
            </w:r>
          </w:p>
        </w:tc>
      </w:tr>
    </w:tbl>
    <w:p>
      <w:pPr>
        <w:spacing w:lineRule="exact" w:line="1"/>
        <w:rPr>
          <w:sz w:val="2"/>
          <w:szCs w:val="2"/>
        </w:rPr>
      </w:pPr>
      <w:r>
        <w:br w:type="page"/>
      </w:r>
    </w:p>
    <w:tbl>
      <w:tblPr>
        <w:tblOverlap w:val="never"/>
        <w:jc w:val="center"/>
        <w:tblLayout w:type="fixed"/>
      </w:tblPr>
      <w:tblGrid>
        <w:gridCol w:w="1224"/>
        <w:gridCol w:w="8362"/>
      </w:tblGrid>
      <w:tr>
        <w:trPr>
          <w:trHeight w:val="162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现任广东省广新控股集团有限公司运营管理中心总经理、本公司董事。高上先生，曾任北大医药股份有限 公司董事会秘书兼副总经理、中国国际海运集装箱（集团）股份有限公司战略研究室主任、海洋工程部总 经理、巴西代表处首席代表、中集海洋工程研究院副总经理、中集海洋工程有限公司战略总监。现任广东 省广新控股集团有限公司战略管理总监、战略管理部总经理、科技创新部总经理、数智中心总经理、广东 省广新创新研究院有限公司董事长、本公司董事。</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2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3</w:t>
      </w:r>
      <w:bookmarkEnd w:id="284"/>
      <w:r>
        <w:rPr>
          <w:color w:val="000000"/>
          <w:spacing w:val="0"/>
          <w:w w:val="100"/>
          <w:position w:val="0"/>
        </w:rPr>
        <w:t>、董事、监事、高级管理人员报酬情况</w:t>
      </w:r>
      <w:bookmarkEnd w:id="282"/>
      <w:bookmarkEnd w:id="283"/>
      <w:bookmarkEnd w:id="285"/>
    </w:p>
    <w:p>
      <w:pPr>
        <w:pStyle w:val="Style19"/>
        <w:keepNext w:val="0"/>
        <w:keepLines w:val="0"/>
        <w:widowControl w:val="0"/>
        <w:shd w:val="clear" w:color="auto" w:fill="auto"/>
        <w:bidi w:val="0"/>
        <w:spacing w:before="0" w:after="0" w:line="470" w:lineRule="exact"/>
        <w:ind w:left="0" w:right="0" w:firstLine="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260" w:line="470" w:lineRule="exact"/>
        <w:ind w:left="0" w:right="0" w:firstLine="440"/>
        <w:jc w:val="left"/>
      </w:pPr>
      <w:r>
        <w:rPr>
          <w:color w:val="000000"/>
          <w:spacing w:val="0"/>
          <w:w w:val="100"/>
          <w:position w:val="0"/>
        </w:rPr>
        <w:t>公司董事、监事、高级管理人员报酬符合《公司法》、《公司章程》的规定，符合公司实际情况，有利于发挥董事、 监事及高级管理人员的创造性与积极性，有利于公司长远发展。</w:t>
      </w:r>
    </w:p>
    <w:p>
      <w:pPr>
        <w:pStyle w:val="Style19"/>
        <w:keepNext w:val="0"/>
        <w:keepLines w:val="0"/>
        <w:widowControl w:val="0"/>
        <w:shd w:val="clear" w:color="auto" w:fill="auto"/>
        <w:bidi w:val="0"/>
        <w:spacing w:before="0" w:after="120" w:line="470" w:lineRule="exact"/>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董事、董事会秘 书、副总经理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梁彤缨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梁丹妮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吕亚飞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袁志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陈小振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向奕帆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许益昊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2,193.62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六</w:t>
      </w:r>
      <w:bookmarkEnd w:id="288"/>
      <w:r>
        <w:rPr>
          <w:color w:val="000000"/>
          <w:spacing w:val="0"/>
          <w:w w:val="100"/>
          <w:position w:val="0"/>
        </w:rPr>
        <w:t>、报告期内董事履行职责的情况</w:t>
      </w:r>
      <w:bookmarkEnd w:id="286"/>
      <w:bookmarkEnd w:id="287"/>
      <w:bookmarkEnd w:id="289"/>
    </w:p>
    <w:p>
      <w:pPr>
        <w:pStyle w:val="Style28"/>
        <w:keepNext/>
        <w:keepLines/>
        <w:widowControl w:val="0"/>
        <w:shd w:val="clear" w:color="auto" w:fill="auto"/>
        <w:bidi w:val="0"/>
        <w:spacing w:before="0" w:after="32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、本报告期董事会情况</w:t>
      </w:r>
      <w:bookmarkEnd w:id="290"/>
      <w:bookmarkEnd w:id="291"/>
      <w:bookmarkEnd w:id="293"/>
    </w:p>
    <w:tbl>
      <w:tblPr>
        <w:tblOverlap w:val="never"/>
        <w:jc w:val="center"/>
        <w:tblLayout w:type="fixed"/>
      </w:tblPr>
      <w:tblGrid>
        <w:gridCol w:w="1440"/>
        <w:gridCol w:w="1738"/>
        <w:gridCol w:w="1738"/>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第五届董事会第 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审议通过了： </w:t>
            </w:r>
            <w:r>
              <w:rPr>
                <w:color w:val="000000"/>
                <w:spacing w:val="0"/>
                <w:w w:val="100"/>
                <w:position w:val="0"/>
                <w:sz w:val="18"/>
                <w:szCs w:val="18"/>
              </w:rPr>
              <w:t>1.</w:t>
            </w:r>
            <w:r>
              <w:rPr>
                <w:rFonts w:ascii="SimSun" w:eastAsia="SimSun" w:hAnsi="SimSun" w:cs="SimSun"/>
                <w:color w:val="000000"/>
                <w:spacing w:val="0"/>
                <w:w w:val="100"/>
                <w:position w:val="0"/>
                <w:sz w:val="17"/>
                <w:szCs w:val="17"/>
              </w:rPr>
              <w:t>《关于开展票据池业务的议案》、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《关于修 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董事、监事和高级管理人员持股变动管理制度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的议案》、 </w:t>
            </w:r>
            <w:r>
              <w:rPr>
                <w:color w:val="000000"/>
                <w:spacing w:val="0"/>
                <w:w w:val="100"/>
                <w:position w:val="0"/>
                <w:sz w:val="18"/>
                <w:szCs w:val="18"/>
              </w:rPr>
              <w:t>3.</w:t>
            </w:r>
            <w:r>
              <w:rPr>
                <w:rFonts w:ascii="SimSun" w:eastAsia="SimSun" w:hAnsi="SimSun" w:cs="SimSun"/>
                <w:color w:val="000000"/>
                <w:spacing w:val="0"/>
                <w:w w:val="100"/>
                <w:position w:val="0"/>
                <w:sz w:val="17"/>
                <w:szCs w:val="17"/>
              </w:rPr>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年度担保额度预计的议案》、</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《关于召开公司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年第一次临时股东大会的议案》</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第五届董事会第 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056"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审议通过了：</w:t>
              <w:tab/>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年度董事会工作报告》、</w:t>
            </w: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总经理工作报告》、</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年年度报告及摘要》、</w:t>
            </w: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年度财务决算报告》、</w:t>
            </w: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年度利润分配预案》、</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《关于 </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年度募集资金存放与实际使用情况的专项报告》、</w:t>
            </w:r>
            <w:r>
              <w:rPr>
                <w:color w:val="000000"/>
                <w:spacing w:val="0"/>
                <w:w w:val="100"/>
                <w:position w:val="0"/>
                <w:sz w:val="18"/>
                <w:szCs w:val="18"/>
              </w:rPr>
              <w:t>7.</w:t>
            </w:r>
            <w:r>
              <w:rPr>
                <w:rFonts w:ascii="SimSun" w:eastAsia="SimSun" w:hAnsi="SimSun" w:cs="SimSun"/>
                <w:color w:val="000000"/>
                <w:spacing w:val="0"/>
                <w:w w:val="100"/>
                <w:position w:val="0"/>
                <w:sz w:val="17"/>
                <w:szCs w:val="17"/>
              </w:rPr>
              <w:t>《关 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年度内部控制自我评价报告及内部控制规则落实自查 表的议案》、</w:t>
            </w:r>
            <w:r>
              <w:rPr>
                <w:color w:val="000000"/>
                <w:spacing w:val="0"/>
                <w:w w:val="100"/>
                <w:position w:val="0"/>
                <w:sz w:val="18"/>
                <w:szCs w:val="18"/>
              </w:rPr>
              <w:t>8.</w:t>
            </w:r>
            <w:r>
              <w:rPr>
                <w:rFonts w:ascii="SimSun" w:eastAsia="SimSun" w:hAnsi="SimSun" w:cs="SimSun"/>
                <w:color w:val="000000"/>
                <w:spacing w:val="0"/>
                <w:w w:val="100"/>
                <w:position w:val="0"/>
                <w:sz w:val="17"/>
                <w:szCs w:val="17"/>
              </w:rPr>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年度公司董事、高级管理人员薪酬 方案的议案》、</w:t>
            </w:r>
            <w:r>
              <w:rPr>
                <w:color w:val="000000"/>
                <w:spacing w:val="0"/>
                <w:w w:val="100"/>
                <w:position w:val="0"/>
                <w:sz w:val="18"/>
                <w:szCs w:val="18"/>
              </w:rPr>
              <w:t>9.</w:t>
            </w:r>
            <w:r>
              <w:rPr>
                <w:rFonts w:ascii="SimSun" w:eastAsia="SimSun" w:hAnsi="SimSun" w:cs="SimSun"/>
                <w:color w:val="000000"/>
                <w:spacing w:val="0"/>
                <w:w w:val="100"/>
                <w:position w:val="0"/>
                <w:sz w:val="17"/>
                <w:szCs w:val="17"/>
              </w:rPr>
              <w:t>《关于</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年度日常关联交易预计的议案》、 </w:t>
            </w:r>
            <w:r>
              <w:rPr>
                <w:color w:val="000000"/>
                <w:spacing w:val="0"/>
                <w:w w:val="100"/>
                <w:position w:val="0"/>
                <w:sz w:val="18"/>
                <w:szCs w:val="18"/>
              </w:rPr>
              <w:t>10.</w:t>
            </w:r>
            <w:r>
              <w:rPr>
                <w:rFonts w:ascii="SimSun" w:eastAsia="SimSun" w:hAnsi="SimSun" w:cs="SimSun"/>
                <w:color w:val="000000"/>
                <w:spacing w:val="0"/>
                <w:w w:val="100"/>
                <w:position w:val="0"/>
                <w:sz w:val="17"/>
                <w:szCs w:val="17"/>
              </w:rPr>
              <w:t>《公司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年第一季度报告全文及正文》、</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《关于募集 资金投资项目结项并将节余资金永久补充流动资金的议案》、 </w:t>
            </w:r>
            <w:r>
              <w:rPr>
                <w:color w:val="000000"/>
                <w:spacing w:val="0"/>
                <w:w w:val="100"/>
                <w:position w:val="0"/>
                <w:sz w:val="18"/>
                <w:szCs w:val="18"/>
              </w:rPr>
              <w:t>12.</w:t>
            </w:r>
            <w:r>
              <w:rPr>
                <w:rFonts w:ascii="SimSun" w:eastAsia="SimSun" w:hAnsi="SimSun" w:cs="SimSun"/>
                <w:color w:val="000000"/>
                <w:spacing w:val="0"/>
                <w:w w:val="100"/>
                <w:position w:val="0"/>
                <w:sz w:val="17"/>
                <w:szCs w:val="17"/>
              </w:rPr>
              <w:t>《关于向银行申请综合授信额度的议案》、</w:t>
            </w:r>
            <w:r>
              <w:rPr>
                <w:color w:val="000000"/>
                <w:spacing w:val="0"/>
                <w:w w:val="100"/>
                <w:position w:val="0"/>
                <w:sz w:val="18"/>
                <w:szCs w:val="18"/>
              </w:rPr>
              <w:t>13.</w:t>
            </w:r>
            <w:r>
              <w:rPr>
                <w:rFonts w:ascii="SimSun" w:eastAsia="SimSun" w:hAnsi="SimSun" w:cs="SimSun"/>
                <w:color w:val="000000"/>
                <w:spacing w:val="0"/>
                <w:w w:val="100"/>
                <w:position w:val="0"/>
                <w:sz w:val="17"/>
                <w:szCs w:val="17"/>
              </w:rPr>
              <w:t>《关于拟使 用闲置自有资金购买银行理财产品的议案》、</w:t>
            </w:r>
            <w:r>
              <w:rPr>
                <w:color w:val="000000"/>
                <w:spacing w:val="0"/>
                <w:w w:val="100"/>
                <w:position w:val="0"/>
                <w:sz w:val="18"/>
                <w:szCs w:val="18"/>
              </w:rPr>
              <w:t>14.</w:t>
            </w:r>
            <w:r>
              <w:rPr>
                <w:rFonts w:ascii="SimSun" w:eastAsia="SimSun" w:hAnsi="SimSun" w:cs="SimSun"/>
                <w:color w:val="000000"/>
                <w:spacing w:val="0"/>
                <w:w w:val="100"/>
                <w:position w:val="0"/>
                <w:sz w:val="17"/>
                <w:szCs w:val="17"/>
              </w:rPr>
              <w:t>《关于召开公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年年度股东大会的议案》</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第五届董事会第 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审议通过了： </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年半年度报告及摘要》、</w:t>
            </w:r>
            <w:r>
              <w:rPr>
                <w:color w:val="000000"/>
                <w:spacing w:val="0"/>
                <w:w w:val="100"/>
                <w:position w:val="0"/>
                <w:sz w:val="18"/>
                <w:szCs w:val="18"/>
              </w:rPr>
              <w:t>2.</w:t>
            </w: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 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年半年度募集资金存放与实际使用情况的专项报告</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《关于补选董事的议案》、</w:t>
            </w:r>
            <w:r>
              <w:rPr>
                <w:color w:val="000000"/>
                <w:spacing w:val="0"/>
                <w:w w:val="100"/>
                <w:position w:val="0"/>
                <w:sz w:val="18"/>
                <w:szCs w:val="18"/>
              </w:rPr>
              <w:t>4.</w:t>
            </w:r>
            <w:r>
              <w:rPr>
                <w:rFonts w:ascii="SimSun" w:eastAsia="SimSun" w:hAnsi="SimSun" w:cs="SimSun"/>
                <w:color w:val="000000"/>
                <w:spacing w:val="0"/>
                <w:w w:val="100"/>
                <w:position w:val="0"/>
                <w:sz w:val="17"/>
                <w:szCs w:val="17"/>
              </w:rPr>
              <w:t>《关于增加</w:t>
            </w:r>
            <w:r>
              <w:rPr>
                <w:color w:val="000000"/>
                <w:spacing w:val="0"/>
                <w:w w:val="100"/>
                <w:position w:val="0"/>
                <w:sz w:val="18"/>
                <w:szCs w:val="18"/>
              </w:rPr>
              <w:t>2021</w:t>
            </w:r>
            <w:r>
              <w:rPr>
                <w:rFonts w:ascii="SimSun" w:eastAsia="SimSun" w:hAnsi="SimSun" w:cs="SimSun"/>
                <w:color w:val="000000"/>
                <w:spacing w:val="0"/>
                <w:w w:val="100"/>
                <w:position w:val="0"/>
                <w:sz w:val="17"/>
                <w:szCs w:val="17"/>
              </w:rPr>
              <w:t>年 度担保额度预计的议案》、</w:t>
            </w:r>
            <w:r>
              <w:rPr>
                <w:color w:val="000000"/>
                <w:spacing w:val="0"/>
                <w:w w:val="100"/>
                <w:position w:val="0"/>
                <w:sz w:val="18"/>
                <w:szCs w:val="18"/>
              </w:rPr>
              <w:t>5.</w:t>
            </w:r>
            <w:r>
              <w:rPr>
                <w:rFonts w:ascii="SimSun" w:eastAsia="SimSun" w:hAnsi="SimSun" w:cs="SimSun"/>
                <w:color w:val="000000"/>
                <w:spacing w:val="0"/>
                <w:w w:val="100"/>
                <w:position w:val="0"/>
                <w:sz w:val="17"/>
                <w:szCs w:val="17"/>
              </w:rPr>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银行间债券市场债 务融资工具信息披露管理制度</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r>
              <w:rPr>
                <w:color w:val="000000"/>
                <w:spacing w:val="0"/>
                <w:w w:val="100"/>
                <w:position w:val="0"/>
                <w:sz w:val="18"/>
                <w:szCs w:val="18"/>
              </w:rPr>
              <w:t>6.</w:t>
            </w:r>
            <w:r>
              <w:rPr>
                <w:rFonts w:ascii="SimSun" w:eastAsia="SimSun" w:hAnsi="SimSun" w:cs="SimSun"/>
                <w:color w:val="000000"/>
                <w:spacing w:val="0"/>
                <w:w w:val="100"/>
                <w:position w:val="0"/>
                <w:sz w:val="17"/>
                <w:szCs w:val="17"/>
              </w:rPr>
              <w:t>《关于续聘会计 师事务所的议案》、</w:t>
            </w:r>
            <w:r>
              <w:rPr>
                <w:color w:val="000000"/>
                <w:spacing w:val="0"/>
                <w:w w:val="100"/>
                <w:position w:val="0"/>
                <w:sz w:val="18"/>
                <w:szCs w:val="18"/>
              </w:rPr>
              <w:t>7.</w:t>
            </w:r>
            <w:r>
              <w:rPr>
                <w:rFonts w:ascii="SimSun" w:eastAsia="SimSun" w:hAnsi="SimSun" w:cs="SimSun"/>
                <w:color w:val="000000"/>
                <w:spacing w:val="0"/>
                <w:w w:val="100"/>
                <w:position w:val="0"/>
                <w:sz w:val="17"/>
                <w:szCs w:val="17"/>
              </w:rPr>
              <w:t>《关于召开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 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第五届董事会第 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 xml:space="preserve">审议通过了： </w:t>
            </w:r>
            <w:r>
              <w:rPr>
                <w:color w:val="000000"/>
                <w:spacing w:val="0"/>
                <w:w w:val="100"/>
                <w:position w:val="0"/>
                <w:sz w:val="18"/>
                <w:szCs w:val="18"/>
              </w:rPr>
              <w:t>1.</w:t>
            </w:r>
            <w:r>
              <w:rPr>
                <w:rFonts w:ascii="SimSun" w:eastAsia="SimSun" w:hAnsi="SimSun" w:cs="SimSun"/>
                <w:color w:val="000000"/>
                <w:spacing w:val="0"/>
                <w:w w:val="100"/>
                <w:position w:val="0"/>
                <w:sz w:val="17"/>
                <w:szCs w:val="17"/>
              </w:rPr>
              <w:t>《关于聘任公司总经理的议案》、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《关于聘 任公司副总经理的议案》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第五届董事会第 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审议通过了： </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w:t>
            </w:r>
            <w:r>
              <w:rPr>
                <w:color w:val="000000"/>
                <w:spacing w:val="0"/>
                <w:w w:val="100"/>
                <w:position w:val="0"/>
                <w:sz w:val="18"/>
                <w:szCs w:val="18"/>
              </w:rPr>
              <w:t>2.</w:t>
            </w:r>
            <w:r>
              <w:rPr>
                <w:rFonts w:ascii="SimSun" w:eastAsia="SimSun" w:hAnsi="SimSun" w:cs="SimSun"/>
                <w:color w:val="000000"/>
                <w:spacing w:val="0"/>
                <w:w w:val="100"/>
                <w:position w:val="0"/>
                <w:sz w:val="17"/>
                <w:szCs w:val="17"/>
              </w:rPr>
              <w:t>《关于增加</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年度日常关联交易预计的议案》</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第五届董事会第 十二次会议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7"/>
                <w:szCs w:val="17"/>
              </w:rPr>
              <w:t xml:space="preserve">审议通过了： </w:t>
            </w:r>
            <w:r>
              <w:rPr>
                <w:color w:val="000000"/>
                <w:spacing w:val="0"/>
                <w:w w:val="100"/>
                <w:position w:val="0"/>
              </w:rPr>
              <w:t>1.</w:t>
            </w:r>
            <w:r>
              <w:rPr>
                <w:rFonts w:ascii="SimSun" w:eastAsia="SimSun" w:hAnsi="SimSun" w:cs="SimSun"/>
                <w:color w:val="000000"/>
                <w:spacing w:val="0"/>
                <w:w w:val="100"/>
                <w:position w:val="0"/>
                <w:sz w:val="17"/>
                <w:szCs w:val="17"/>
              </w:rPr>
              <w:t>《关于</w:t>
            </w:r>
            <w:r>
              <w:rPr>
                <w:color w:val="000000"/>
                <w:spacing w:val="0"/>
                <w:w w:val="100"/>
                <w:position w:val="0"/>
              </w:rPr>
              <w:t>2022</w:t>
            </w:r>
            <w:r>
              <w:rPr>
                <w:rFonts w:ascii="SimSun" w:eastAsia="SimSun" w:hAnsi="SimSun" w:cs="SimSun"/>
                <w:color w:val="000000"/>
                <w:spacing w:val="0"/>
                <w:w w:val="100"/>
                <w:position w:val="0"/>
                <w:sz w:val="17"/>
                <w:szCs w:val="17"/>
              </w:rPr>
              <w:t>年度担保额度预计的议案》、</w:t>
            </w:r>
            <w:r>
              <w:rPr>
                <w:color w:val="000000"/>
                <w:spacing w:val="0"/>
                <w:w w:val="100"/>
                <w:position w:val="0"/>
              </w:rPr>
              <w:t>2.</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《关于开展票据池业务的议案》、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《关于公司拟使用闲置自 有资金购买银行理财产品的议案》、</w:t>
            </w:r>
            <w:r>
              <w:rPr>
                <w:color w:val="000000"/>
                <w:spacing w:val="0"/>
                <w:w w:val="100"/>
                <w:position w:val="0"/>
                <w:sz w:val="18"/>
                <w:szCs w:val="18"/>
              </w:rPr>
              <w:t>4.</w:t>
            </w:r>
            <w:r>
              <w:rPr>
                <w:rFonts w:ascii="SimSun" w:eastAsia="SimSun" w:hAnsi="SimSun" w:cs="SimSun"/>
                <w:color w:val="000000"/>
                <w:spacing w:val="0"/>
                <w:w w:val="100"/>
                <w:position w:val="0"/>
                <w:sz w:val="17"/>
                <w:szCs w:val="17"/>
              </w:rPr>
              <w:t>《关于召开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 次临时股东大会的议案》</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、董事出席董事会及股东大会的情况</w:t>
      </w:r>
      <w:bookmarkEnd w:id="294"/>
      <w:bookmarkEnd w:id="295"/>
      <w:bookmarkEnd w:id="297"/>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是否连续两次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未亲自参加董</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谢景云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黄昇民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梁彤缨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梁丹妮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40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3</w:t>
      </w:r>
      <w:bookmarkEnd w:id="300"/>
      <w:r>
        <w:rPr>
          <w:color w:val="000000"/>
          <w:spacing w:val="0"/>
          <w:w w:val="100"/>
          <w:position w:val="0"/>
        </w:rPr>
        <w:t>、</w:t>
        <w:tab/>
        <w:t>董事对公司有关事项提出异议的情况</w:t>
      </w:r>
      <w:bookmarkEnd w:id="298"/>
      <w:bookmarkEnd w:id="299"/>
      <w:bookmarkEnd w:id="301"/>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40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4</w:t>
      </w:r>
      <w:bookmarkEnd w:id="304"/>
      <w:r>
        <w:rPr>
          <w:color w:val="000000"/>
          <w:spacing w:val="0"/>
          <w:w w:val="100"/>
          <w:position w:val="0"/>
        </w:rPr>
        <w:t>、</w:t>
        <w:tab/>
        <w:t>董事履行职责的其他说明</w:t>
      </w:r>
      <w:bookmarkEnd w:id="302"/>
      <w:bookmarkEnd w:id="303"/>
      <w:bookmarkEnd w:id="30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七</w:t>
      </w:r>
      <w:bookmarkEnd w:id="308"/>
      <w:r>
        <w:rPr>
          <w:color w:val="000000"/>
          <w:spacing w:val="0"/>
          <w:w w:val="100"/>
          <w:position w:val="0"/>
        </w:rPr>
        <w:t>、董事会下设专门委员会在报告期内的情况</w:t>
      </w:r>
      <w:bookmarkEnd w:id="306"/>
      <w:bookmarkEnd w:id="307"/>
      <w:bookmarkEnd w:id="309"/>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异议事项具体 情况（如有）</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何滨、梁彤缨、 梁丹妮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关于公司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年度计提资产 减值准备事项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同意提交董事 会审议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02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关于公司</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年年度报告等 相关事项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同意提交董事 会审议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关于公司续聘 会计师事务所 及</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 度报告等相关 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同意提交董事 会审议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3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关于公司</w:t>
            </w:r>
            <w:r>
              <w:rPr>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年第三季度报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告事项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同意提交董事 会审议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八</w:t>
      </w:r>
      <w:bookmarkEnd w:id="312"/>
      <w:r>
        <w:rPr>
          <w:color w:val="000000"/>
          <w:spacing w:val="0"/>
          <w:w w:val="100"/>
          <w:position w:val="0"/>
        </w:rPr>
        <w:t>、监事会工作情况</w:t>
      </w:r>
      <w:bookmarkEnd w:id="310"/>
      <w:bookmarkEnd w:id="311"/>
      <w:bookmarkEnd w:id="313"/>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8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九</w:t>
      </w:r>
      <w:bookmarkEnd w:id="316"/>
      <w:r>
        <w:rPr>
          <w:color w:val="000000"/>
          <w:spacing w:val="0"/>
          <w:w w:val="100"/>
          <w:position w:val="0"/>
        </w:rPr>
        <w:t>、公司员工情况</w:t>
      </w:r>
      <w:bookmarkEnd w:id="314"/>
      <w:bookmarkEnd w:id="315"/>
      <w:bookmarkEnd w:id="317"/>
    </w:p>
    <w:p>
      <w:pPr>
        <w:pStyle w:val="Style28"/>
        <w:keepNext/>
        <w:keepLines/>
        <w:widowControl w:val="0"/>
        <w:shd w:val="clear" w:color="auto" w:fill="auto"/>
        <w:bidi w:val="0"/>
        <w:spacing w:before="0" w:after="32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1</w:t>
      </w:r>
      <w:bookmarkEnd w:id="320"/>
      <w:r>
        <w:rPr>
          <w:color w:val="000000"/>
          <w:spacing w:val="0"/>
          <w:w w:val="100"/>
          <w:position w:val="0"/>
        </w:rPr>
        <w:t>、员工数量、专业构成及教育程度</w:t>
      </w:r>
      <w:bookmarkEnd w:id="318"/>
      <w:bookmarkEnd w:id="319"/>
      <w:bookmarkEnd w:id="32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媒介人员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策划创意人员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行政及其他人员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硕士研究生及以上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235</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3,059</w:t>
            </w:r>
          </w:p>
        </w:tc>
      </w:tr>
    </w:tbl>
    <w:p>
      <w:pPr>
        <w:widowControl w:val="0"/>
        <w:spacing w:after="319" w:line="1" w:lineRule="exact"/>
      </w:pPr>
    </w:p>
    <w:p>
      <w:pPr>
        <w:pStyle w:val="Style28"/>
        <w:keepNext/>
        <w:keepLines/>
        <w:widowControl w:val="0"/>
        <w:shd w:val="clear" w:color="auto" w:fill="auto"/>
        <w:tabs>
          <w:tab w:pos="378" w:val="left"/>
        </w:tabs>
        <w:bidi w:val="0"/>
        <w:spacing w:before="0" w:after="180" w:line="240" w:lineRule="auto"/>
        <w:ind w:left="0" w:right="0" w:firstLine="0"/>
        <w:jc w:val="both"/>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t>薪酬政策</w:t>
      </w:r>
      <w:bookmarkEnd w:id="322"/>
      <w:bookmarkEnd w:id="323"/>
      <w:bookmarkEnd w:id="325"/>
    </w:p>
    <w:p>
      <w:pPr>
        <w:pStyle w:val="Style19"/>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为保留和吸引人才，公司以公平、竞争、激励为原则建立了具备市场竞争力与内部公平性的薪酬体系。通过充分的市 场薪酬调研和内部数据分析，建立了以岗位和职级为基础的薪酬基准线，同时完善了绩效考核管理制度，将绩效考核结果运 用到员工薪酬调整中去。与绩效表现相挂钩的薪酬政策，对留用公司核心人才起到很好的效果，同时透明的薪酬政策也对加 大了对公司外部人才的吸引力。</w:t>
      </w:r>
    </w:p>
    <w:p>
      <w:pPr>
        <w:pStyle w:val="Style28"/>
        <w:keepNext/>
        <w:keepLines/>
        <w:widowControl w:val="0"/>
        <w:shd w:val="clear" w:color="auto" w:fill="auto"/>
        <w:tabs>
          <w:tab w:pos="378" w:val="left"/>
        </w:tabs>
        <w:bidi w:val="0"/>
        <w:spacing w:before="0" w:after="180" w:line="240" w:lineRule="auto"/>
        <w:ind w:left="0" w:right="0" w:firstLine="0"/>
        <w:jc w:val="both"/>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3</w:t>
      </w:r>
      <w:bookmarkEnd w:id="328"/>
      <w:r>
        <w:rPr>
          <w:color w:val="000000"/>
          <w:spacing w:val="0"/>
          <w:w w:val="100"/>
          <w:position w:val="0"/>
        </w:rPr>
        <w:t>、</w:t>
        <w:tab/>
        <w:t>培训计划</w:t>
      </w:r>
      <w:bookmarkEnd w:id="326"/>
      <w:bookmarkEnd w:id="327"/>
      <w:bookmarkEnd w:id="329"/>
    </w:p>
    <w:p>
      <w:pPr>
        <w:pStyle w:val="Style19"/>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为了使员工达成对公司文化、价值观、发展战略的认知和认同，提高公司全体员工的整体素质和专业技术水平，实现 员工与公司的共同发展，公司建立了完善的培训体系，包括新员工入职培训和在职培训两个板块，其中在职培训又细分为基 础类、专业类、管理类和自我开发四个部分，形式也丰富多样，从普通的室内传统培训到户外拓展、线上学习、微博微信课 程等，灵活多变以满足员工的学习要求，进一步促成了全员参与的学习氛围。公司打造了内部讲师制度和课程体系，同时为 员工建立了个人培训档案，与奖励机制充分结合，充分调动了员工参与培训的积极性，也提高了培训效果，促进了员工与公 司的持续发展。</w:t>
      </w:r>
    </w:p>
    <w:p>
      <w:pPr>
        <w:pStyle w:val="Style28"/>
        <w:keepNext/>
        <w:keepLines/>
        <w:widowControl w:val="0"/>
        <w:shd w:val="clear" w:color="auto" w:fill="auto"/>
        <w:tabs>
          <w:tab w:pos="378" w:val="left"/>
        </w:tabs>
        <w:bidi w:val="0"/>
        <w:spacing w:before="0" w:after="120" w:line="240" w:lineRule="auto"/>
        <w:ind w:left="0" w:right="0" w:firstLine="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4</w:t>
      </w:r>
      <w:bookmarkEnd w:id="332"/>
      <w:r>
        <w:rPr>
          <w:color w:val="000000"/>
          <w:spacing w:val="0"/>
          <w:w w:val="100"/>
          <w:position w:val="0"/>
        </w:rPr>
        <w:t>、</w:t>
        <w:tab/>
        <w:t>劳务外包情况</w:t>
      </w:r>
      <w:bookmarkEnd w:id="330"/>
      <w:bookmarkEnd w:id="331"/>
      <w:bookmarkEnd w:id="333"/>
    </w:p>
    <w:p>
      <w:pPr>
        <w:pStyle w:val="Style19"/>
        <w:keepNext w:val="0"/>
        <w:keepLines w:val="0"/>
        <w:widowControl w:val="0"/>
        <w:shd w:val="clear" w:color="auto" w:fill="auto"/>
        <w:bidi w:val="0"/>
        <w:spacing w:before="0" w:after="380" w:line="46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334" w:name="bookmark334"/>
      <w:bookmarkStart w:id="335" w:name="bookmark335"/>
      <w:bookmarkStart w:id="336" w:name="bookmark336"/>
      <w:r>
        <w:rPr>
          <w:color w:val="000000"/>
          <w:spacing w:val="0"/>
          <w:w w:val="100"/>
          <w:position w:val="0"/>
        </w:rPr>
        <w:t>十、公司利润分配及资本公积金转增股本情况</w:t>
      </w:r>
      <w:bookmarkEnd w:id="334"/>
      <w:bookmarkEnd w:id="335"/>
      <w:bookmarkEnd w:id="336"/>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本报告期利润分配及资本公积金转增股本情况</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1743337128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27,893,394.05</w:t>
            </w:r>
          </w:p>
        </w:tc>
      </w:tr>
    </w:tbl>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27,893,394.05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611,134,737.48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27.15%</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依据相关法律法规的规定，并根据公司实际情况，公司拟以当前总股本</w:t>
            </w:r>
            <w:r>
              <w:rPr>
                <w:color w:val="000000"/>
                <w:spacing w:val="0"/>
                <w:w w:val="100"/>
                <w:position w:val="0"/>
                <w:sz w:val="18"/>
                <w:szCs w:val="18"/>
              </w:rPr>
              <w:t>1,743,337,128</w:t>
            </w:r>
            <w:r>
              <w:rPr>
                <w:rFonts w:ascii="SimSun" w:eastAsia="SimSun" w:hAnsi="SimSun" w:cs="SimSun"/>
                <w:color w:val="000000"/>
                <w:spacing w:val="0"/>
                <w:w w:val="100"/>
                <w:position w:val="0"/>
                <w:sz w:val="17"/>
                <w:szCs w:val="17"/>
              </w:rPr>
              <w:t>股为基数，按每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股派发现金股利 人民币</w:t>
            </w:r>
            <w:r>
              <w:rPr>
                <w:color w:val="000000"/>
                <w:spacing w:val="0"/>
                <w:w w:val="100"/>
                <w:position w:val="0"/>
                <w:sz w:val="18"/>
                <w:szCs w:val="18"/>
              </w:rPr>
              <w:t>0.16</w:t>
            </w:r>
            <w:r>
              <w:rPr>
                <w:rFonts w:ascii="SimSun" w:eastAsia="SimSun" w:hAnsi="SimSun" w:cs="SimSun"/>
                <w:color w:val="000000"/>
                <w:spacing w:val="0"/>
                <w:w w:val="100"/>
                <w:position w:val="0"/>
                <w:sz w:val="17"/>
                <w:szCs w:val="17"/>
              </w:rPr>
              <w:t>元（含税），共计人民币</w:t>
            </w:r>
            <w:r>
              <w:rPr>
                <w:color w:val="000000"/>
                <w:spacing w:val="0"/>
                <w:w w:val="100"/>
                <w:position w:val="0"/>
                <w:sz w:val="18"/>
                <w:szCs w:val="18"/>
              </w:rPr>
              <w:t>27,893,394.05</w:t>
            </w:r>
            <w:r>
              <w:rPr>
                <w:rFonts w:ascii="SimSun" w:eastAsia="SimSun" w:hAnsi="SimSun" w:cs="SimSun"/>
                <w:color w:val="000000"/>
                <w:spacing w:val="0"/>
                <w:w w:val="100"/>
                <w:position w:val="0"/>
                <w:sz w:val="17"/>
                <w:szCs w:val="17"/>
              </w:rPr>
              <w:t>元；不送红股，不以资本公积转增股本。</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both"/>
      </w:pPr>
      <w:bookmarkStart w:id="337" w:name="bookmark337"/>
      <w:bookmarkStart w:id="338" w:name="bookmark338"/>
      <w:bookmarkStart w:id="339" w:name="bookmark339"/>
      <w:r>
        <w:rPr>
          <w:color w:val="000000"/>
          <w:spacing w:val="0"/>
          <w:w w:val="100"/>
          <w:position w:val="0"/>
        </w:rPr>
        <w:t>十一、公司股权激励计划、员工持股计划或其他员工激励措施的实施情况</w:t>
      </w:r>
      <w:bookmarkEnd w:id="337"/>
      <w:bookmarkEnd w:id="338"/>
      <w:bookmarkEnd w:id="339"/>
    </w:p>
    <w:p>
      <w:pPr>
        <w:pStyle w:val="Style19"/>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460" w:line="470" w:lineRule="exact"/>
        <w:ind w:left="0" w:right="0" w:firstLine="0"/>
        <w:jc w:val="both"/>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after="380" w:line="240" w:lineRule="auto"/>
        <w:ind w:left="0" w:right="0" w:firstLine="0"/>
        <w:jc w:val="both"/>
      </w:pPr>
      <w:bookmarkStart w:id="340" w:name="bookmark340"/>
      <w:bookmarkStart w:id="341" w:name="bookmark341"/>
      <w:bookmarkStart w:id="342" w:name="bookmark342"/>
      <w:r>
        <w:rPr>
          <w:color w:val="000000"/>
          <w:spacing w:val="0"/>
          <w:w w:val="100"/>
          <w:position w:val="0"/>
        </w:rPr>
        <w:t>十二、报告期内的内部控制制度建设及实施情况</w:t>
      </w:r>
      <w:bookmarkEnd w:id="340"/>
      <w:bookmarkEnd w:id="341"/>
      <w:bookmarkEnd w:id="342"/>
    </w:p>
    <w:p>
      <w:pPr>
        <w:pStyle w:val="Style28"/>
        <w:keepNext/>
        <w:keepLines/>
        <w:widowControl w:val="0"/>
        <w:shd w:val="clear" w:color="auto" w:fill="auto"/>
        <w:tabs>
          <w:tab w:pos="368" w:val="left"/>
        </w:tabs>
        <w:bidi w:val="0"/>
        <w:spacing w:before="0" w:after="180" w:line="240" w:lineRule="auto"/>
        <w:ind w:left="0" w:right="0" w:firstLine="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内部控制建设及实施情况</w:t>
      </w:r>
      <w:bookmarkEnd w:id="343"/>
      <w:bookmarkEnd w:id="344"/>
      <w:bookmarkEnd w:id="346"/>
    </w:p>
    <w:p>
      <w:pPr>
        <w:pStyle w:val="Style19"/>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根据《公司法》、《上市公司治理准则》、《企业内部控制基本规范》等法律法规的相关规定，并结合公司实际情况， 公司内部控制建设完善并得到有效实施。公司《</w:t>
      </w:r>
      <w:r>
        <w:rPr>
          <w:color w:val="000000"/>
          <w:spacing w:val="0"/>
          <w:w w:val="100"/>
          <w:position w:val="0"/>
          <w:sz w:val="18"/>
          <w:szCs w:val="18"/>
        </w:rPr>
        <w:t>2021</w:t>
      </w:r>
      <w:r>
        <w:rPr>
          <w:color w:val="000000"/>
          <w:spacing w:val="0"/>
          <w:w w:val="100"/>
          <w:position w:val="0"/>
        </w:rPr>
        <w:t>年度内部控制自我评价报告》全面、真实、准确地反映了公司内部控制 的实际情况，报告期公司不存在内部控制重大缺陷和重要缺陷。</w:t>
      </w:r>
    </w:p>
    <w:p>
      <w:pPr>
        <w:pStyle w:val="Style28"/>
        <w:keepNext/>
        <w:keepLines/>
        <w:widowControl w:val="0"/>
        <w:shd w:val="clear" w:color="auto" w:fill="auto"/>
        <w:tabs>
          <w:tab w:pos="378" w:val="left"/>
        </w:tabs>
        <w:bidi w:val="0"/>
        <w:spacing w:before="0" w:line="240" w:lineRule="auto"/>
        <w:ind w:left="0" w:right="0" w:firstLine="0"/>
        <w:jc w:val="both"/>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报告期内发现的内部控制重大缺陷的具体情况</w:t>
      </w:r>
      <w:bookmarkEnd w:id="347"/>
      <w:bookmarkEnd w:id="348"/>
      <w:bookmarkEnd w:id="350"/>
    </w:p>
    <w:p>
      <w:pPr>
        <w:pStyle w:val="Style19"/>
        <w:keepNext w:val="0"/>
        <w:keepLines w:val="0"/>
        <w:widowControl w:val="0"/>
        <w:shd w:val="clear" w:color="auto" w:fill="auto"/>
        <w:bidi w:val="0"/>
        <w:spacing w:before="0" w:after="10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180" w:line="240" w:lineRule="auto"/>
        <w:ind w:left="0" w:right="0" w:firstLine="0"/>
        <w:jc w:val="both"/>
      </w:pPr>
      <w:bookmarkStart w:id="351" w:name="bookmark351"/>
      <w:bookmarkStart w:id="352" w:name="bookmark352"/>
      <w:bookmarkStart w:id="353" w:name="bookmark353"/>
      <w:r>
        <w:rPr>
          <w:color w:val="000000"/>
          <w:spacing w:val="0"/>
          <w:w w:val="100"/>
          <w:position w:val="0"/>
        </w:rPr>
        <w:t>十三、公司报告期内对子公司的管理控制情况</w:t>
      </w:r>
      <w:bookmarkEnd w:id="351"/>
      <w:bookmarkEnd w:id="352"/>
      <w:bookmarkEnd w:id="353"/>
    </w:p>
    <w:p>
      <w:pPr>
        <w:pStyle w:val="Style19"/>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无。</w:t>
      </w:r>
    </w:p>
    <w:p>
      <w:pPr>
        <w:pStyle w:val="Style22"/>
        <w:keepNext/>
        <w:keepLines/>
        <w:widowControl w:val="0"/>
        <w:shd w:val="clear" w:color="auto" w:fill="auto"/>
        <w:bidi w:val="0"/>
        <w:spacing w:before="0" w:after="380" w:line="240" w:lineRule="auto"/>
        <w:ind w:left="0" w:right="0" w:firstLine="0"/>
        <w:jc w:val="both"/>
      </w:pPr>
      <w:bookmarkStart w:id="354" w:name="bookmark354"/>
      <w:bookmarkStart w:id="355" w:name="bookmark355"/>
      <w:bookmarkStart w:id="356" w:name="bookmark356"/>
      <w:r>
        <w:rPr>
          <w:color w:val="000000"/>
          <w:spacing w:val="0"/>
          <w:w w:val="100"/>
          <w:position w:val="0"/>
        </w:rPr>
        <w:t>十四、内部控制自我评价报告或内部控制审计报告</w:t>
      </w:r>
      <w:bookmarkEnd w:id="354"/>
      <w:bookmarkEnd w:id="355"/>
      <w:bookmarkEnd w:id="356"/>
    </w:p>
    <w:p>
      <w:pPr>
        <w:pStyle w:val="Style28"/>
        <w:keepNext/>
        <w:keepLines/>
        <w:widowControl w:val="0"/>
        <w:shd w:val="clear" w:color="auto" w:fill="auto"/>
        <w:bidi w:val="0"/>
        <w:spacing w:before="0" w:after="320" w:line="240" w:lineRule="auto"/>
        <w:ind w:left="0" w:right="0" w:firstLine="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、内控自我评价报告</w:t>
      </w:r>
      <w:bookmarkEnd w:id="357"/>
      <w:bookmarkEnd w:id="358"/>
      <w:bookmarkEnd w:id="360"/>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www. cninfo .com. cn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财务报表资产总额的比例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5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）重大缺陷：单独缺陷或连同其他缺陷 导致不能及时防止或发现并纠正财务报告 中的重大错报。出现下列情形的，认定为 重大缺陷：</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控制环境无效；</w:t>
            </w:r>
            <w:r>
              <w:rPr>
                <w:rFonts w:ascii="SimSun" w:eastAsia="SimSun" w:hAnsi="SimSun" w:cs="SimSun"/>
                <w:color w:val="000000"/>
                <w:spacing w:val="0"/>
                <w:w w:val="100"/>
                <w:position w:val="0"/>
                <w:sz w:val="17"/>
                <w:szCs w:val="17"/>
              </w:rPr>
              <w:t>（</w:t>
            </w:r>
            <w:r>
              <w:rPr>
                <w:color w:val="000000"/>
                <w:spacing w:val="0"/>
                <w:w w:val="100"/>
                <w:position w:val="0"/>
                <w:sz w:val="18"/>
                <w:szCs w:val="18"/>
              </w:rPr>
              <w:t>B</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董事、监事和高级管理人员舞弊行为；</w:t>
            </w:r>
            <w:r>
              <w:rPr>
                <w:rFonts w:ascii="SimSun" w:eastAsia="SimSun" w:hAnsi="SimSun" w:cs="SimSun"/>
                <w:color w:val="000000"/>
                <w:spacing w:val="0"/>
                <w:w w:val="100"/>
                <w:position w:val="0"/>
                <w:sz w:val="17"/>
                <w:szCs w:val="17"/>
              </w:rPr>
              <w:t>（</w:t>
            </w:r>
            <w:r>
              <w:rPr>
                <w:color w:val="000000"/>
                <w:spacing w:val="0"/>
                <w:w w:val="100"/>
                <w:position w:val="0"/>
                <w:sz w:val="18"/>
                <w:szCs w:val="18"/>
              </w:rPr>
              <w:t>C</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公司更正已经公布的财务报告；</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外部 审计发现当期财务报告存在重大错报，公 司在运行过程中未能发现该错报；</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已 经发现并报告给管理层的重大缺陷在合理 的时间后未加以改正；</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公司审计委 员会和内部审计机构对内部控制的监督无 效；</w:t>
            </w:r>
            <w:r>
              <w:rPr>
                <w:rFonts w:ascii="SimSun" w:eastAsia="SimSun" w:hAnsi="SimSun" w:cs="SimSun"/>
                <w:color w:val="000000"/>
                <w:spacing w:val="0"/>
                <w:w w:val="100"/>
                <w:position w:val="0"/>
                <w:sz w:val="17"/>
                <w:szCs w:val="17"/>
              </w:rPr>
              <w:t>（</w:t>
            </w:r>
            <w:r>
              <w:rPr>
                <w:color w:val="000000"/>
                <w:spacing w:val="0"/>
                <w:w w:val="100"/>
                <w:position w:val="0"/>
                <w:sz w:val="18"/>
                <w:szCs w:val="18"/>
              </w:rPr>
              <w:t>G</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其他可能影响报表使用者正确 判断的缺陷。（</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）重要缺陷：单独缺陷 或连同其他缺陷导致不能及时防止或发现 并纠正财务报告中虽然未达到和超过重要 性水平，仍应引起管理层重视的错报。（</w:t>
            </w:r>
            <w:r>
              <w:rPr>
                <w:color w:val="000000"/>
                <w:spacing w:val="0"/>
                <w:w w:val="100"/>
                <w:position w:val="0"/>
                <w:sz w:val="18"/>
                <w:szCs w:val="18"/>
              </w:rPr>
              <w:t>3</w:t>
            </w:r>
            <w:r>
              <w:rPr>
                <w:rFonts w:ascii="SimSun" w:eastAsia="SimSun" w:hAnsi="SimSun" w:cs="SimSun"/>
                <w:color w:val="000000"/>
                <w:spacing w:val="0"/>
                <w:w w:val="100"/>
                <w:position w:val="0"/>
                <w:sz w:val="17"/>
                <w:szCs w:val="17"/>
              </w:rPr>
              <w:t>） 一般缺陷：不构成重大缺陷或重要缺陷的 其他内部控制缺陷。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）重大缺陷：对公司造成较大负面 影响并以公告形式对外披露；（</w:t>
            </w:r>
            <w:r>
              <w:rPr>
                <w:color w:val="000000"/>
                <w:spacing w:val="0"/>
                <w:w w:val="100"/>
                <w:position w:val="0"/>
                <w:sz w:val="18"/>
                <w:szCs w:val="18"/>
              </w:rPr>
              <w:t>2</w:t>
            </w:r>
            <w:r>
              <w:rPr>
                <w:rFonts w:ascii="SimSun" w:eastAsia="SimSun" w:hAnsi="SimSun" w:cs="SimSun"/>
                <w:color w:val="000000"/>
                <w:spacing w:val="0"/>
                <w:w w:val="100"/>
                <w:position w:val="0"/>
                <w:sz w:val="17"/>
                <w:szCs w:val="17"/>
              </w:rPr>
              <w:t>）重要 缺陷：受到国家政府部门处罚但未对公 司造成负面影响；（</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）一般缺陷：受到 省级（含省级）以下政府部门处罚但未 对公司造成负面影响。</w:t>
            </w:r>
          </w:p>
        </w:tc>
      </w:tr>
      <w:tr>
        <w:trPr>
          <w:trHeight w:val="50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定量标准以营业收入、资产总额作为衡量 指标。内部控制缺陷可能导致或导致的损 失与利润表相关的，以营业收入指标衡量。 如果该缺陷单独或连同其他缺陷可能导致 的财务报告错报金额小于营业收入的 </w:t>
            </w:r>
            <w:r>
              <w:rPr>
                <w:color w:val="000000"/>
                <w:spacing w:val="0"/>
                <w:w w:val="100"/>
                <w:position w:val="0"/>
                <w:sz w:val="18"/>
                <w:szCs w:val="18"/>
              </w:rPr>
              <w:t>0.15%</w:t>
            </w:r>
            <w:r>
              <w:rPr>
                <w:rFonts w:ascii="SimSun" w:eastAsia="SimSun" w:hAnsi="SimSun" w:cs="SimSun"/>
                <w:color w:val="000000"/>
                <w:spacing w:val="0"/>
                <w:w w:val="100"/>
                <w:position w:val="0"/>
                <w:sz w:val="17"/>
                <w:szCs w:val="17"/>
              </w:rPr>
              <w:t>，则认定为一般缺陷；如果超过营业 收入的</w:t>
            </w:r>
            <w:r>
              <w:rPr>
                <w:color w:val="000000"/>
                <w:spacing w:val="0"/>
                <w:w w:val="100"/>
                <w:position w:val="0"/>
                <w:sz w:val="18"/>
                <w:szCs w:val="18"/>
              </w:rPr>
              <w:t>0.15%</w:t>
            </w:r>
            <w:r>
              <w:rPr>
                <w:rFonts w:ascii="SimSun" w:eastAsia="SimSun" w:hAnsi="SimSun" w:cs="SimSun"/>
                <w:color w:val="000000"/>
                <w:spacing w:val="0"/>
                <w:w w:val="100"/>
                <w:position w:val="0"/>
                <w:sz w:val="17"/>
                <w:szCs w:val="17"/>
              </w:rPr>
              <w:t>但小于</w:t>
            </w:r>
            <w:r>
              <w:rPr>
                <w:color w:val="000000"/>
                <w:spacing w:val="0"/>
                <w:w w:val="100"/>
                <w:position w:val="0"/>
                <w:sz w:val="18"/>
                <w:szCs w:val="18"/>
              </w:rPr>
              <w:t>0.3%</w:t>
            </w:r>
            <w:r>
              <w:rPr>
                <w:rFonts w:ascii="SimSun" w:eastAsia="SimSun" w:hAnsi="SimSun" w:cs="SimSun"/>
                <w:color w:val="000000"/>
                <w:spacing w:val="0"/>
                <w:w w:val="100"/>
                <w:position w:val="0"/>
                <w:sz w:val="17"/>
                <w:szCs w:val="17"/>
              </w:rPr>
              <w:t>，则为重要缺 陷；如果超过营业收入的</w:t>
            </w:r>
            <w:r>
              <w:rPr>
                <w:color w:val="000000"/>
                <w:spacing w:val="0"/>
                <w:w w:val="100"/>
                <w:position w:val="0"/>
                <w:sz w:val="18"/>
                <w:szCs w:val="18"/>
              </w:rPr>
              <w:t>0.3%</w:t>
            </w:r>
            <w:r>
              <w:rPr>
                <w:rFonts w:ascii="SimSun" w:eastAsia="SimSun" w:hAnsi="SimSun" w:cs="SimSun"/>
                <w:color w:val="000000"/>
                <w:spacing w:val="0"/>
                <w:w w:val="100"/>
                <w:position w:val="0"/>
                <w:sz w:val="17"/>
                <w:szCs w:val="17"/>
              </w:rPr>
              <w:t>，则认定为 重大缺陷。内部控制缺陷可能导致或导致 的损失与资产管理相关的，以资产总额指 标衡量。如果该缺陷单独或连同其他缺陷 可能导致的财务报告错报金额小于资产总 额的</w:t>
            </w:r>
            <w:r>
              <w:rPr>
                <w:color w:val="000000"/>
                <w:spacing w:val="0"/>
                <w:w w:val="100"/>
                <w:position w:val="0"/>
                <w:sz w:val="18"/>
                <w:szCs w:val="18"/>
              </w:rPr>
              <w:t>0.3%</w:t>
            </w:r>
            <w:r>
              <w:rPr>
                <w:rFonts w:ascii="SimSun" w:eastAsia="SimSun" w:hAnsi="SimSun" w:cs="SimSun"/>
                <w:color w:val="000000"/>
                <w:spacing w:val="0"/>
                <w:w w:val="100"/>
                <w:position w:val="0"/>
                <w:sz w:val="17"/>
                <w:szCs w:val="17"/>
              </w:rPr>
              <w:t>，则认定为一般缺陷；如果超过 资产总额的</w:t>
            </w:r>
            <w:r>
              <w:rPr>
                <w:color w:val="000000"/>
                <w:spacing w:val="0"/>
                <w:w w:val="100"/>
                <w:position w:val="0"/>
                <w:sz w:val="18"/>
                <w:szCs w:val="18"/>
              </w:rPr>
              <w:t>0.3%</w:t>
            </w:r>
            <w:r>
              <w:rPr>
                <w:rFonts w:ascii="SimSun" w:eastAsia="SimSun" w:hAnsi="SimSun" w:cs="SimSun"/>
                <w:color w:val="000000"/>
                <w:spacing w:val="0"/>
                <w:w w:val="100"/>
                <w:position w:val="0"/>
                <w:sz w:val="17"/>
                <w:szCs w:val="17"/>
              </w:rPr>
              <w:t>但小于</w:t>
            </w:r>
            <w:r>
              <w:rPr>
                <w:color w:val="000000"/>
                <w:spacing w:val="0"/>
                <w:w w:val="100"/>
                <w:position w:val="0"/>
                <w:sz w:val="18"/>
                <w:szCs w:val="18"/>
              </w:rPr>
              <w:t>0.6%</w:t>
            </w:r>
            <w:r>
              <w:rPr>
                <w:rFonts w:ascii="SimSun" w:eastAsia="SimSun" w:hAnsi="SimSun" w:cs="SimSun"/>
                <w:color w:val="000000"/>
                <w:spacing w:val="0"/>
                <w:w w:val="100"/>
                <w:position w:val="0"/>
                <w:sz w:val="17"/>
                <w:szCs w:val="17"/>
              </w:rPr>
              <w:t>认定为重 要缺陷；如果超过资产总额</w:t>
            </w:r>
            <w:r>
              <w:rPr>
                <w:color w:val="000000"/>
                <w:spacing w:val="0"/>
                <w:w w:val="100"/>
                <w:position w:val="0"/>
                <w:sz w:val="18"/>
                <w:szCs w:val="18"/>
              </w:rPr>
              <w:t>0.6%</w:t>
            </w:r>
            <w:r>
              <w:rPr>
                <w:rFonts w:ascii="SimSun" w:eastAsia="SimSun" w:hAnsi="SimSun" w:cs="SimSun"/>
                <w:color w:val="000000"/>
                <w:spacing w:val="0"/>
                <w:w w:val="100"/>
                <w:position w:val="0"/>
                <w:sz w:val="17"/>
                <w:szCs w:val="17"/>
              </w:rPr>
              <w:t>，则认定 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w:t>
            </w:r>
            <w:r>
              <w:rPr>
                <w:color w:val="000000"/>
                <w:spacing w:val="0"/>
                <w:w w:val="100"/>
                <w:position w:val="0"/>
                <w:sz w:val="18"/>
                <w:szCs w:val="18"/>
              </w:rPr>
              <w:t>1000</w:t>
            </w:r>
            <w:r>
              <w:rPr>
                <w:rFonts w:ascii="SimSun" w:eastAsia="SimSun" w:hAnsi="SimSun" w:cs="SimSun"/>
                <w:color w:val="000000"/>
                <w:spacing w:val="0"/>
                <w:w w:val="100"/>
                <w:position w:val="0"/>
                <w:sz w:val="17"/>
                <w:szCs w:val="17"/>
              </w:rPr>
              <w:t xml:space="preserve">万元及以上（含 </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万元），对公司造成较大负面影响 并以公告形式对外披露；（</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）重要缺陷： </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万元（含</w:t>
            </w:r>
            <w:r>
              <w:rPr>
                <w:color w:val="000000"/>
                <w:spacing w:val="0"/>
                <w:w w:val="100"/>
                <w:position w:val="0"/>
                <w:sz w:val="18"/>
                <w:szCs w:val="18"/>
              </w:rPr>
              <w:t>500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1000</w:t>
            </w:r>
            <w:r>
              <w:rPr>
                <w:rFonts w:ascii="SimSun" w:eastAsia="SimSun" w:hAnsi="SimSun" w:cs="SimSun"/>
                <w:color w:val="000000"/>
                <w:spacing w:val="0"/>
                <w:w w:val="100"/>
                <w:position w:val="0"/>
                <w:sz w:val="17"/>
                <w:szCs w:val="17"/>
              </w:rPr>
              <w:t>万 元，受到国家政府部门处罚但未对公司 造成负面影响；（</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w:t>
            </w:r>
            <w:r>
              <w:rPr>
                <w:color w:val="000000"/>
                <w:spacing w:val="0"/>
                <w:w w:val="100"/>
                <w:position w:val="0"/>
                <w:sz w:val="18"/>
                <w:szCs w:val="18"/>
              </w:rPr>
              <w:t>50</w:t>
            </w:r>
            <w:r>
              <w:rPr>
                <w:rFonts w:ascii="SimSun" w:eastAsia="SimSun" w:hAnsi="SimSun" w:cs="SimSun"/>
                <w:color w:val="000000"/>
                <w:spacing w:val="0"/>
                <w:w w:val="100"/>
                <w:position w:val="0"/>
                <w:sz w:val="17"/>
                <w:szCs w:val="17"/>
              </w:rPr>
              <w:t>万 元（含</w:t>
            </w:r>
            <w:r>
              <w:rPr>
                <w:color w:val="000000"/>
                <w:spacing w:val="0"/>
                <w:w w:val="100"/>
                <w:position w:val="0"/>
                <w:sz w:val="18"/>
                <w:szCs w:val="18"/>
              </w:rPr>
              <w:t>50</w:t>
            </w:r>
            <w:r>
              <w:rPr>
                <w:rFonts w:ascii="SimSun" w:eastAsia="SimSun" w:hAnsi="SimSun" w:cs="SimSun"/>
                <w:color w:val="000000"/>
                <w:spacing w:val="0"/>
                <w:w w:val="100"/>
                <w:position w:val="0"/>
                <w:sz w:val="17"/>
                <w:szCs w:val="17"/>
              </w:rPr>
              <w:t>万元）至</w:t>
            </w:r>
            <w:r>
              <w:rPr>
                <w:color w:val="000000"/>
                <w:spacing w:val="0"/>
                <w:w w:val="100"/>
                <w:position w:val="0"/>
                <w:sz w:val="18"/>
                <w:szCs w:val="18"/>
              </w:rPr>
              <w:t>500</w:t>
            </w:r>
            <w:r>
              <w:rPr>
                <w:rFonts w:ascii="SimSun" w:eastAsia="SimSun" w:hAnsi="SimSun" w:cs="SimSun"/>
                <w:color w:val="000000"/>
                <w:spacing w:val="0"/>
                <w:w w:val="100"/>
                <w:position w:val="0"/>
                <w:sz w:val="17"/>
                <w:szCs w:val="17"/>
              </w:rPr>
              <w:t>万元，受到 省级（含省级）以下政府部门处罚但未 对公司造成负面影响。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、内部控制审计报告</w:t>
      </w:r>
      <w:bookmarkEnd w:id="361"/>
      <w:bookmarkEnd w:id="362"/>
      <w:bookmarkEnd w:id="364"/>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我们认为，广东省广告集团股份有限公司于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日在所有重大方面保持了与财务报表相关的有效的内部控 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公告名称：《内部控制鉴证报告》；披露网站：巨潮资讯网(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r>
        <w:rPr>
          <w:color w:val="000000"/>
          <w:spacing w:val="0"/>
          <w:w w:val="100"/>
          <w:position w:val="0"/>
        </w:rPr>
        <w:t>十五、上市公司治理专项行动自查问题整改情况</w:t>
      </w:r>
      <w:bookmarkEnd w:id="365"/>
      <w:bookmarkEnd w:id="366"/>
      <w:bookmarkEnd w:id="367"/>
    </w:p>
    <w:p>
      <w:pPr>
        <w:pStyle w:val="Style19"/>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268" w:right="1070" w:bottom="1513" w:left="1058"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840" w:after="560" w:line="240" w:lineRule="auto"/>
        <w:ind w:left="0" w:right="0" w:firstLine="0"/>
        <w:jc w:val="center"/>
      </w:pPr>
      <w:bookmarkStart w:id="368" w:name="bookmark368"/>
      <w:bookmarkStart w:id="369" w:name="bookmark369"/>
      <w:bookmarkStart w:id="370" w:name="bookmark370"/>
      <w:r>
        <w:rPr>
          <w:color w:val="000000"/>
          <w:spacing w:val="0"/>
          <w:w w:val="100"/>
          <w:position w:val="0"/>
        </w:rPr>
        <w:t>第五节环境和社会责任</w:t>
      </w:r>
      <w:bookmarkEnd w:id="368"/>
      <w:bookmarkEnd w:id="369"/>
      <w:bookmarkEnd w:id="370"/>
    </w:p>
    <w:p>
      <w:pPr>
        <w:pStyle w:val="Style22"/>
        <w:keepNext/>
        <w:keepLines/>
        <w:widowControl w:val="0"/>
        <w:shd w:val="clear" w:color="auto" w:fill="auto"/>
        <w:tabs>
          <w:tab w:pos="517" w:val="left"/>
        </w:tabs>
        <w:bidi w:val="0"/>
        <w:spacing w:before="0" w:after="380" w:line="240" w:lineRule="auto"/>
        <w:ind w:left="0" w:right="0" w:firstLine="0"/>
        <w:jc w:val="left"/>
      </w:pPr>
      <w:bookmarkStart w:id="371" w:name="bookmark371"/>
      <w:bookmarkStart w:id="372" w:name="bookmark372"/>
      <w:bookmarkStart w:id="373" w:name="bookmark373"/>
      <w:bookmarkStart w:id="374" w:name="bookmark374"/>
      <w:bookmarkStart w:id="375" w:name="bookmark375"/>
      <w:r>
        <w:rPr>
          <w:color w:val="000000"/>
          <w:spacing w:val="0"/>
          <w:w w:val="100"/>
          <w:position w:val="0"/>
        </w:rPr>
        <w:t>一</w:t>
      </w:r>
      <w:bookmarkEnd w:id="374"/>
      <w:r>
        <w:rPr>
          <w:color w:val="000000"/>
          <w:spacing w:val="0"/>
          <w:w w:val="100"/>
          <w:position w:val="0"/>
        </w:rPr>
        <w:t>、</w:t>
        <w:tab/>
        <w:t>重大环保问题</w:t>
      </w:r>
      <w:bookmarkEnd w:id="372"/>
      <w:bookmarkEnd w:id="373"/>
      <w:bookmarkEnd w:id="375"/>
      <w:bookmarkEnd w:id="371"/>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报告期内因环境问题受到行政处罚的情况</w:t>
      </w:r>
    </w:p>
    <w:p>
      <w:pPr>
        <w:pStyle w:val="Style1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740" w:line="240" w:lineRule="auto"/>
        <w:ind w:left="0" w:right="0" w:firstLine="0"/>
        <w:jc w:val="left"/>
      </w:pPr>
      <w:r>
        <w:rPr>
          <w:color w:val="000000"/>
          <w:spacing w:val="0"/>
          <w:w w:val="100"/>
          <w:position w:val="0"/>
        </w:rPr>
        <w:t>未披露其他环境信息的原因</w:t>
      </w:r>
    </w:p>
    <w:p>
      <w:pPr>
        <w:pStyle w:val="Style22"/>
        <w:keepNext/>
        <w:keepLines/>
        <w:widowControl w:val="0"/>
        <w:shd w:val="clear" w:color="auto" w:fill="auto"/>
        <w:tabs>
          <w:tab w:pos="517" w:val="left"/>
        </w:tabs>
        <w:bidi w:val="0"/>
        <w:spacing w:before="0" w:after="18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rPr>
        <w:t>二</w:t>
      </w:r>
      <w:bookmarkEnd w:id="378"/>
      <w:r>
        <w:rPr>
          <w:color w:val="000000"/>
          <w:spacing w:val="0"/>
          <w:w w:val="100"/>
          <w:position w:val="0"/>
        </w:rPr>
        <w:t>、</w:t>
        <w:tab/>
        <w:t>社会责任情况</w:t>
      </w:r>
      <w:bookmarkEnd w:id="376"/>
      <w:bookmarkEnd w:id="377"/>
      <w:bookmarkEnd w:id="379"/>
    </w:p>
    <w:p>
      <w:pPr>
        <w:pStyle w:val="Style19"/>
        <w:keepNext w:val="0"/>
        <w:keepLines w:val="0"/>
        <w:widowControl w:val="0"/>
        <w:shd w:val="clear" w:color="auto" w:fill="auto"/>
        <w:bidi w:val="0"/>
        <w:spacing w:before="0" w:after="480" w:line="467" w:lineRule="exact"/>
        <w:ind w:left="0" w:right="0" w:firstLine="440"/>
        <w:jc w:val="both"/>
      </w:pPr>
      <w:r>
        <w:rPr>
          <w:color w:val="000000"/>
          <w:spacing w:val="0"/>
          <w:w w:val="100"/>
          <w:position w:val="0"/>
        </w:rPr>
        <w:t>作为一家具有社会责任的上市公司，公司严格按照相关法律法规的要求，并根据自身的实际情况积极履行社会责任的 工作，以实际行动回报社会，创建和谐的企业发展环境。公司建立健全了法人治理结构，严格按照三会议事规则运作，明确 股东大会为公司最高权力机构并保证所有股东同股同权，能平等享受其合法权益。公司的利润分配重视对投资者的合理投资 回报，在不影响公司正常经营和持续发展的前提下，公司采取积极的利润分配办法。本着“互利双赢”的原则，公司十分重 视与供应商、客户的关系，在经营过程中不断加强与各方的沟通和合作，切实维护供应商、客户的利益。员工是公司最核心 的宝贵财产，公司除了关注员工的工作能力外，还关注员工的身心健康，定期组织员工体检。公司建立了职工代表监事选任 制度，公司监事会</w:t>
      </w:r>
      <w:r>
        <w:rPr>
          <w:color w:val="000000"/>
          <w:spacing w:val="0"/>
          <w:w w:val="100"/>
          <w:position w:val="0"/>
          <w:sz w:val="18"/>
          <w:szCs w:val="18"/>
        </w:rPr>
        <w:t>3</w:t>
      </w:r>
      <w:r>
        <w:rPr>
          <w:color w:val="000000"/>
          <w:spacing w:val="0"/>
          <w:w w:val="100"/>
          <w:position w:val="0"/>
        </w:rPr>
        <w:t>名监事中有</w:t>
      </w:r>
      <w:r>
        <w:rPr>
          <w:color w:val="000000"/>
          <w:spacing w:val="0"/>
          <w:w w:val="100"/>
          <w:position w:val="0"/>
          <w:sz w:val="18"/>
          <w:szCs w:val="18"/>
        </w:rPr>
        <w:t>1</w:t>
      </w:r>
      <w:r>
        <w:rPr>
          <w:color w:val="000000"/>
          <w:spacing w:val="0"/>
          <w:w w:val="100"/>
          <w:position w:val="0"/>
        </w:rPr>
        <w:t>名为职工代表监事，通过监事会的运作实现了对公司的监督，保证了公司职工权益。公司通 过报纸和网络公告、电话咨询、公司网站、投资者管理信箱和网上交流会等多种方式积极与投资者交流。</w:t>
      </w:r>
    </w:p>
    <w:p>
      <w:pPr>
        <w:pStyle w:val="Style22"/>
        <w:keepNext/>
        <w:keepLines/>
        <w:widowControl w:val="0"/>
        <w:shd w:val="clear" w:color="auto" w:fill="auto"/>
        <w:tabs>
          <w:tab w:pos="522" w:val="left"/>
        </w:tabs>
        <w:bidi w:val="0"/>
        <w:spacing w:before="0" w:after="18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三</w:t>
      </w:r>
      <w:bookmarkEnd w:id="382"/>
      <w:r>
        <w:rPr>
          <w:color w:val="000000"/>
          <w:spacing w:val="0"/>
          <w:w w:val="100"/>
          <w:position w:val="0"/>
        </w:rPr>
        <w:t>、</w:t>
        <w:tab/>
        <w:t>巩固拓展脱贫攻坚成果、乡村振兴的情况</w:t>
      </w:r>
      <w:bookmarkEnd w:id="380"/>
      <w:bookmarkEnd w:id="381"/>
      <w:bookmarkEnd w:id="383"/>
    </w:p>
    <w:p>
      <w:pPr>
        <w:pStyle w:val="Style19"/>
        <w:keepNext w:val="0"/>
        <w:keepLines w:val="0"/>
        <w:widowControl w:val="0"/>
        <w:shd w:val="clear" w:color="auto" w:fill="auto"/>
        <w:bidi w:val="0"/>
        <w:spacing w:before="0" w:after="180" w:line="467" w:lineRule="exact"/>
        <w:ind w:left="0" w:right="0" w:firstLine="440"/>
        <w:jc w:val="left"/>
      </w:pPr>
      <w:r>
        <w:rPr>
          <w:color w:val="000000"/>
          <w:spacing w:val="0"/>
          <w:w w:val="100"/>
          <w:position w:val="0"/>
        </w:rPr>
        <w:t>无。</w:t>
      </w:r>
      <w:r>
        <w:br w:type="page"/>
      </w:r>
    </w:p>
    <w:p>
      <w:pPr>
        <w:pStyle w:val="Style10"/>
        <w:keepNext/>
        <w:keepLines/>
        <w:widowControl w:val="0"/>
        <w:shd w:val="clear" w:color="auto" w:fill="auto"/>
        <w:bidi w:val="0"/>
        <w:spacing w:before="0" w:after="580" w:line="240" w:lineRule="auto"/>
        <w:ind w:left="0" w:right="0" w:firstLine="0"/>
        <w:jc w:val="center"/>
      </w:pPr>
      <w:bookmarkStart w:id="384" w:name="bookmark384"/>
      <w:bookmarkStart w:id="385" w:name="bookmark385"/>
      <w:bookmarkStart w:id="386" w:name="bookmark386"/>
      <w:r>
        <w:rPr>
          <w:color w:val="000000"/>
          <w:spacing w:val="0"/>
          <w:w w:val="100"/>
          <w:position w:val="0"/>
        </w:rPr>
        <w:t>第六节重要事项</w:t>
      </w:r>
      <w:bookmarkEnd w:id="384"/>
      <w:bookmarkEnd w:id="385"/>
      <w:bookmarkEnd w:id="386"/>
    </w:p>
    <w:p>
      <w:pPr>
        <w:pStyle w:val="Style22"/>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bookmarkStart w:id="390" w:name="bookmark390"/>
      <w:bookmarkStart w:id="391" w:name="bookmark391"/>
      <w:r>
        <w:rPr>
          <w:color w:val="000000"/>
          <w:spacing w:val="0"/>
          <w:w w:val="100"/>
          <w:position w:val="0"/>
        </w:rPr>
        <w:t>一</w:t>
      </w:r>
      <w:bookmarkEnd w:id="390"/>
      <w:r>
        <w:rPr>
          <w:color w:val="000000"/>
          <w:spacing w:val="0"/>
          <w:w w:val="100"/>
          <w:position w:val="0"/>
        </w:rPr>
        <w:t>、承诺事项履行情况</w:t>
      </w:r>
      <w:bookmarkEnd w:id="388"/>
      <w:bookmarkEnd w:id="389"/>
      <w:bookmarkEnd w:id="391"/>
      <w:bookmarkEnd w:id="387"/>
    </w:p>
    <w:p>
      <w:pPr>
        <w:pStyle w:val="Style28"/>
        <w:keepNext/>
        <w:keepLines/>
        <w:widowControl w:val="0"/>
        <w:shd w:val="clear" w:color="auto" w:fill="auto"/>
        <w:bidi w:val="0"/>
        <w:spacing w:before="0" w:after="340" w:line="326" w:lineRule="exact"/>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、公司实际控制人、股东、关联方、收购人以及公司等承诺相关方在报告期内履行完毕及截至报告期末 尚未履行完毕的承诺事项</w:t>
      </w:r>
      <w:bookmarkEnd w:id="392"/>
      <w:bookmarkEnd w:id="393"/>
      <w:bookmarkEnd w:id="39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1133"/>
        <w:gridCol w:w="1138"/>
        <w:gridCol w:w="2525"/>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益变动报告书中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58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资产重组时所作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sz w:val="17"/>
                <w:szCs w:val="17"/>
              </w:rPr>
              <w:t>自股份发行结束之日起</w:t>
            </w:r>
            <w:r>
              <w:rPr>
                <w:color w:val="000000"/>
                <w:spacing w:val="0"/>
                <w:w w:val="100"/>
                <w:position w:val="0"/>
              </w:rPr>
              <w:t>36</w:t>
            </w:r>
            <w:r>
              <w:rPr>
                <w:rFonts w:ascii="SimSun" w:eastAsia="SimSun" w:hAnsi="SimSun" w:cs="SimSun"/>
                <w:color w:val="000000"/>
                <w:spacing w:val="0"/>
                <w:w w:val="100"/>
                <w:position w:val="0"/>
                <w:sz w:val="17"/>
                <w:szCs w:val="17"/>
              </w:rPr>
              <w:t>个月 内不得转让（按照其与上市公司 签署的《盈利预测补偿协议》进 行回购的股份除外）。若祝卫东 出任上市公司高级管理人员的， 则锁定期满后每年转让所持上 市公司股份不能超过其持股总 数的</w:t>
            </w: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自股份发行 结束之日起 三十六个月 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严格执行中</w:t>
            </w:r>
          </w:p>
        </w:tc>
      </w:tr>
      <w:tr>
        <w:trPr>
          <w:trHeight w:val="59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经本次交易各方一致确认，本次 交易的补偿期为</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2015</w:t>
            </w:r>
            <w:r>
              <w:rPr>
                <w:rFonts w:ascii="SimSun" w:eastAsia="SimSun" w:hAnsi="SimSun" w:cs="SimSun"/>
                <w:color w:val="000000"/>
                <w:spacing w:val="0"/>
                <w:w w:val="100"/>
                <w:position w:val="0"/>
                <w:sz w:val="17"/>
                <w:szCs w:val="17"/>
              </w:rPr>
              <w:t>年，若无法于</w:t>
            </w:r>
            <w:r>
              <w:rPr>
                <w:color w:val="000000"/>
                <w:spacing w:val="0"/>
                <w:w w:val="100"/>
                <w:position w:val="0"/>
                <w:sz w:val="18"/>
                <w:szCs w:val="18"/>
              </w:rPr>
              <w:t>2013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日完成本次交易，则盈 利补偿期相应顺延为</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年。交易对方对 于目标公司归属于母公司股东 的扣除非经常性损益后的净利 润作出如下承诺：目标公司于 </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年实现的归属于母公司股东的 扣除非经常性损益后的净利润 应分别不低于人民币</w:t>
            </w:r>
            <w:r>
              <w:rPr>
                <w:color w:val="000000"/>
                <w:spacing w:val="0"/>
                <w:w w:val="100"/>
                <w:position w:val="0"/>
                <w:sz w:val="18"/>
                <w:szCs w:val="18"/>
              </w:rPr>
              <w:t>5,720</w:t>
            </w:r>
            <w:r>
              <w:rPr>
                <w:rFonts w:ascii="SimSun" w:eastAsia="SimSun" w:hAnsi="SimSun" w:cs="SimSun"/>
                <w:color w:val="000000"/>
                <w:spacing w:val="0"/>
                <w:w w:val="100"/>
                <w:position w:val="0"/>
                <w:sz w:val="17"/>
                <w:szCs w:val="17"/>
              </w:rPr>
              <w:t>万 元、</w:t>
            </w:r>
            <w:r>
              <w:rPr>
                <w:color w:val="000000"/>
                <w:spacing w:val="0"/>
                <w:w w:val="100"/>
                <w:position w:val="0"/>
                <w:sz w:val="18"/>
                <w:szCs w:val="18"/>
              </w:rPr>
              <w:t xml:space="preserve">6,500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7,500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8,400 </w:t>
            </w:r>
            <w:r>
              <w:rPr>
                <w:rFonts w:ascii="SimSun" w:eastAsia="SimSun" w:hAnsi="SimSun" w:cs="SimSun"/>
                <w:color w:val="000000"/>
                <w:spacing w:val="0"/>
                <w:w w:val="100"/>
                <w:position w:val="0"/>
                <w:sz w:val="17"/>
                <w:szCs w:val="17"/>
              </w:rPr>
              <w:t>万元。省广股份在上述四个年度 每年会计年度结束时，聘请具有 相关证券业务资格的会计师事 务所对上市公司和标的公司进 行年度审计的同时，由该会计师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自</w:t>
            </w:r>
            <w:r>
              <w:rPr>
                <w:color w:val="000000"/>
                <w:spacing w:val="0"/>
                <w:w w:val="100"/>
                <w:position w:val="0"/>
              </w:rPr>
              <w:t>2018</w:t>
            </w:r>
            <w:r>
              <w:rPr>
                <w:rFonts w:ascii="SimSun" w:eastAsia="SimSun" w:hAnsi="SimSun" w:cs="SimSun"/>
                <w:color w:val="000000"/>
                <w:spacing w:val="0"/>
                <w:w w:val="100"/>
                <w:position w:val="0"/>
                <w:sz w:val="17"/>
                <w:szCs w:val="17"/>
              </w:rPr>
              <w:t>年</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超期未履行</w:t>
            </w:r>
          </w:p>
        </w:tc>
      </w:tr>
    </w:tbl>
    <w:p>
      <w:pPr>
        <w:spacing w:lineRule="exact" w:line="1"/>
        <w:rPr>
          <w:sz w:val="2"/>
          <w:szCs w:val="2"/>
        </w:rPr>
      </w:pPr>
      <w:r>
        <w:br w:type="page"/>
      </w:r>
    </w:p>
    <w:tbl>
      <w:tblPr>
        <w:tblOverlap w:val="never"/>
        <w:jc w:val="center"/>
        <w:tblLayout w:type="fixed"/>
      </w:tblPr>
      <w:tblGrid>
        <w:gridCol w:w="1426"/>
        <w:gridCol w:w="1133"/>
        <w:gridCol w:w="1138"/>
        <w:gridCol w:w="2525"/>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事务所对标的公司当年实现的 税后净利润数与同期承诺数的 差异情况出具专项审核意见。另 外，根据《祝卫东关于盈利补偿 的承诺函》，若无法于</w:t>
            </w:r>
            <w:r>
              <w:rPr>
                <w:color w:val="000000"/>
                <w:spacing w:val="0"/>
                <w:w w:val="100"/>
                <w:position w:val="0"/>
                <w:sz w:val="18"/>
                <w:szCs w:val="18"/>
              </w:rPr>
              <w:t>2014</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日之前完成本次交易 （以目标公司股权过户至省广 股份名下为准），则祝卫东承诺 盈利补偿期相应顺延为</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2017</w:t>
            </w:r>
            <w:r>
              <w:rPr>
                <w:rFonts w:ascii="SimSun" w:eastAsia="SimSun" w:hAnsi="SimSun" w:cs="SimSun"/>
                <w:color w:val="000000"/>
                <w:spacing w:val="0"/>
                <w:w w:val="100"/>
                <w:position w:val="0"/>
                <w:sz w:val="17"/>
                <w:szCs w:val="17"/>
              </w:rPr>
              <w:t>年，并对目 标公司归属于母公司股东的扣 除非经常性损益后的净利润作 出如下承诺：目标公司于</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 实现的归属于母公司股东的扣 除非经常性损益后的净利润应 分别不低于人民币</w:t>
            </w:r>
            <w:r>
              <w:rPr>
                <w:color w:val="000000"/>
                <w:spacing w:val="0"/>
                <w:w w:val="100"/>
                <w:position w:val="0"/>
                <w:sz w:val="18"/>
                <w:szCs w:val="18"/>
              </w:rPr>
              <w:t>6,500</w:t>
            </w:r>
            <w:r>
              <w:rPr>
                <w:rFonts w:ascii="SimSun" w:eastAsia="SimSun" w:hAnsi="SimSun" w:cs="SimSun"/>
                <w:color w:val="000000"/>
                <w:spacing w:val="0"/>
                <w:w w:val="100"/>
                <w:position w:val="0"/>
                <w:sz w:val="17"/>
                <w:szCs w:val="17"/>
              </w:rPr>
              <w:t xml:space="preserve">万元、 </w:t>
            </w:r>
            <w:r>
              <w:rPr>
                <w:color w:val="000000"/>
                <w:spacing w:val="0"/>
                <w:w w:val="100"/>
                <w:position w:val="0"/>
                <w:sz w:val="18"/>
                <w:szCs w:val="18"/>
              </w:rPr>
              <w:t xml:space="preserve">7,500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8,400 </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8,400 </w:t>
            </w:r>
            <w:r>
              <w:rPr>
                <w:rFonts w:ascii="SimSun" w:eastAsia="SimSun" w:hAnsi="SimSun" w:cs="SimSun"/>
                <w:color w:val="000000"/>
                <w:spacing w:val="0"/>
                <w:w w:val="100"/>
                <w:position w:val="0"/>
                <w:sz w:val="17"/>
                <w:szCs w:val="17"/>
              </w:rPr>
              <w:t>万元。在盈利补偿期内，目标公 司任意一年实现的归属于母公 司股东的扣除非经常性损益后 的净利润数低于对应年度的承 诺净利润数，交易对方中第一顺 位业绩补偿责任人将优先以股 份进行补偿，不足部分以现金补 偿的方式履行业绩补偿承诺；如 第一顺位业绩补偿责任人根据 本次交易所获全部对价仍不足 以补偿，由第二顺位业绩补偿责 任人以本次交易取得的对价为 限按照交易前持有标的资产的 相对股权比例各自承担补偿责 任，补偿方式以股份补偿为优 先，不足部分以现金补偿。在上 海雅润盈利补偿期最后一会计 年度审计报告出具日前，公司将 对标的资产进行减值测试，并聘 请具有证券业从业资格的会计 师事务所出具相关专项审核报 告。如：标的资产期末减值额</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补偿期限内已补偿股份总数</w:t>
            </w:r>
            <w:r>
              <w:rPr>
                <w:color w:val="000000"/>
                <w:spacing w:val="0"/>
                <w:w w:val="100"/>
                <w:position w:val="0"/>
                <w:sz w:val="18"/>
                <w:szCs w:val="18"/>
              </w:rPr>
              <w:t>*</w:t>
            </w:r>
            <w:r>
              <w:rPr>
                <w:rFonts w:ascii="SimSun" w:eastAsia="SimSun" w:hAnsi="SimSun" w:cs="SimSun"/>
                <w:color w:val="000000"/>
                <w:spacing w:val="0"/>
                <w:w w:val="100"/>
                <w:position w:val="0"/>
                <w:sz w:val="17"/>
                <w:szCs w:val="17"/>
              </w:rPr>
              <w:t>发 行价格</w:t>
            </w:r>
            <w:r>
              <w:rPr>
                <w:color w:val="000000"/>
                <w:spacing w:val="0"/>
                <w:w w:val="100"/>
                <w:position w:val="0"/>
                <w:sz w:val="18"/>
                <w:szCs w:val="18"/>
              </w:rPr>
              <w:t>+</w:t>
            </w:r>
            <w:r>
              <w:rPr>
                <w:rFonts w:ascii="SimSun" w:eastAsia="SimSun" w:hAnsi="SimSun" w:cs="SimSun"/>
                <w:color w:val="000000"/>
                <w:spacing w:val="0"/>
                <w:w w:val="100"/>
                <w:position w:val="0"/>
                <w:sz w:val="17"/>
                <w:szCs w:val="17"/>
              </w:rPr>
              <w:t>现金补偿金额，则祝卫 东应向公司另行补偿，另需补偿 的股份数量为：（拟购买资产期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1133"/>
        <w:gridCol w:w="1138"/>
        <w:gridCol w:w="2525"/>
        <w:gridCol w:w="1128"/>
        <w:gridCol w:w="1118"/>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末减值额</w:t>
            </w:r>
            <w:r>
              <w:rPr>
                <w:color w:val="000000"/>
                <w:spacing w:val="0"/>
                <w:w w:val="100"/>
                <w:position w:val="0"/>
                <w:sz w:val="18"/>
                <w:szCs w:val="18"/>
              </w:rPr>
              <w:t>-</w:t>
            </w:r>
            <w:r>
              <w:rPr>
                <w:rFonts w:ascii="SimSun" w:eastAsia="SimSun" w:hAnsi="SimSun" w:cs="SimSun"/>
                <w:color w:val="000000"/>
                <w:spacing w:val="0"/>
                <w:w w:val="100"/>
                <w:position w:val="0"/>
                <w:sz w:val="17"/>
                <w:szCs w:val="17"/>
              </w:rPr>
              <w:t>已补偿股份总数</w:t>
            </w:r>
            <w:r>
              <w:rPr>
                <w:color w:val="000000"/>
                <w:spacing w:val="0"/>
                <w:w w:val="100"/>
                <w:position w:val="0"/>
                <w:sz w:val="18"/>
                <w:szCs w:val="18"/>
              </w:rPr>
              <w:t>X</w:t>
            </w:r>
            <w:r>
              <w:rPr>
                <w:rFonts w:ascii="SimSun" w:eastAsia="SimSun" w:hAnsi="SimSun" w:cs="SimSun"/>
                <w:color w:val="000000"/>
                <w:spacing w:val="0"/>
                <w:w w:val="100"/>
                <w:position w:val="0"/>
                <w:sz w:val="17"/>
                <w:szCs w:val="17"/>
              </w:rPr>
              <w:t>发 行价格</w:t>
            </w:r>
            <w:r>
              <w:rPr>
                <w:color w:val="000000"/>
                <w:spacing w:val="0"/>
                <w:w w:val="100"/>
                <w:position w:val="0"/>
                <w:sz w:val="18"/>
                <w:szCs w:val="18"/>
              </w:rPr>
              <w:t>-</w:t>
            </w:r>
            <w:r>
              <w:rPr>
                <w:rFonts w:ascii="SimSun" w:eastAsia="SimSun" w:hAnsi="SimSun" w:cs="SimSun"/>
                <w:color w:val="000000"/>
                <w:spacing w:val="0"/>
                <w:w w:val="100"/>
                <w:position w:val="0"/>
                <w:sz w:val="17"/>
                <w:szCs w:val="17"/>
              </w:rPr>
              <w:t>已补偿现金）</w:t>
            </w:r>
            <w:r>
              <w:rPr>
                <w:color w:val="000000"/>
                <w:spacing w:val="0"/>
                <w:w w:val="100"/>
                <w:position w:val="0"/>
                <w:sz w:val="18"/>
                <w:szCs w:val="18"/>
              </w:rPr>
              <w:t>/</w:t>
            </w:r>
            <w:r>
              <w:rPr>
                <w:rFonts w:ascii="SimSun" w:eastAsia="SimSun" w:hAnsi="SimSun" w:cs="SimSun"/>
                <w:color w:val="000000"/>
                <w:spacing w:val="0"/>
                <w:w w:val="100"/>
                <w:position w:val="0"/>
                <w:sz w:val="17"/>
                <w:szCs w:val="17"/>
              </w:rPr>
              <w:t>发行价格。 认购股份总数不足补偿的部分 以现金补偿。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祝卫东出具了《祝卫东与广东省 广告股份有限公司关于避免同 业竞争的承诺函》，承诺：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 人目前经营的广告业务均是通 过雅润文化（包括其子公司，下 同）进行的，没有直接或间接通 过本人直接或间接控制的其他 经营主体或以自然人名义直接 从事与省广股份及雅润文化现 有业务相同或类似的业务，也没 有在与省广股份或雅润文化存 在相同或类似主营业务的任何 经营实体中任职或担任任何形 式的顾问，或有其它任何与省广 股份或雅润文化存在同业竞争 的情形。</w:t>
            </w:r>
            <w:r>
              <w:rPr>
                <w:color w:val="000000"/>
                <w:spacing w:val="0"/>
                <w:w w:val="100"/>
                <w:position w:val="0"/>
                <w:sz w:val="18"/>
                <w:szCs w:val="18"/>
              </w:rPr>
              <w:t>2</w:t>
            </w:r>
            <w:r>
              <w:rPr>
                <w:rFonts w:ascii="SimSun" w:eastAsia="SimSun" w:hAnsi="SimSun" w:cs="SimSun"/>
                <w:color w:val="000000"/>
                <w:spacing w:val="0"/>
                <w:w w:val="100"/>
                <w:position w:val="0"/>
                <w:sz w:val="17"/>
                <w:szCs w:val="17"/>
              </w:rPr>
              <w:t>、本次交易完成后的 在职期间及从省广股份、雅润文 化离职后两年内，本人将不会直 接或间接从事任何与省广股份、 雅润文化主营业务相同或相似 的业务；且不谋求拥有与省广股 份、雅润文化存在竞争关系的任 何经济实体的权益；不在同省广 股份或雅润文化存在相同或者 类似业务的任何经营实体中任 职或者担任任何形式的顾问；不 以省广股份或雅润文化以外的 名义为省广股份或雅润文化现 有客户提供品牌规划、广告策 划、创意设计、媒介代理投放、 促销与公关活动、企业形象等服 务；避免产生任何同业竞争情 形。</w:t>
            </w:r>
            <w:r>
              <w:rPr>
                <w:color w:val="000000"/>
                <w:spacing w:val="0"/>
                <w:w w:val="100"/>
                <w:position w:val="0"/>
                <w:sz w:val="18"/>
                <w:szCs w:val="18"/>
              </w:rPr>
              <w:t>3</w:t>
            </w:r>
            <w:r>
              <w:rPr>
                <w:rFonts w:ascii="SimSun" w:eastAsia="SimSun" w:hAnsi="SimSun" w:cs="SimSun"/>
                <w:color w:val="000000"/>
                <w:spacing w:val="0"/>
                <w:w w:val="100"/>
                <w:position w:val="0"/>
                <w:sz w:val="17"/>
                <w:szCs w:val="17"/>
              </w:rPr>
              <w:t>、若违反上述承诺而给省 广股份或雅润文化造成损失的， 本人取得的经营利润归省广股 份所有，并赔偿省广股份或雅润 文化所受到的一切损失。祝卫东 出具了《祝卫东关于规范关联交 易的承诺函》，承诺如下：</w:t>
            </w:r>
            <w:r>
              <w:rPr>
                <w:color w:val="000000"/>
                <w:spacing w:val="0"/>
                <w:w w:val="100"/>
                <w:position w:val="0"/>
                <w:sz w:val="18"/>
                <w:szCs w:val="18"/>
              </w:rPr>
              <w:t>1</w:t>
            </w:r>
            <w:r>
              <w:rPr>
                <w:rFonts w:ascii="SimSun" w:eastAsia="SimSun" w:hAnsi="SimSun" w:cs="SimSun"/>
                <w:color w:val="000000"/>
                <w:spacing w:val="0"/>
                <w:w w:val="100"/>
                <w:position w:val="0"/>
                <w:sz w:val="17"/>
                <w:szCs w:val="17"/>
              </w:rPr>
              <w:t>、 本人将按照《公司法》等法律法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1426"/>
        <w:gridCol w:w="1133"/>
        <w:gridCol w:w="1138"/>
        <w:gridCol w:w="2525"/>
        <w:gridCol w:w="1128"/>
        <w:gridCol w:w="1118"/>
        <w:gridCol w:w="1118"/>
      </w:tblGrid>
      <w:tr>
        <w:trPr>
          <w:trHeight w:val="91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规、省广股份、雅润文化公司章 程的有关规定行使股东权利；在 股东大会对涉及本人的关联交 易进行表决时，履行回避表决的 义务。</w:t>
            </w:r>
            <w:r>
              <w:rPr>
                <w:color w:val="000000"/>
                <w:spacing w:val="0"/>
                <w:w w:val="100"/>
                <w:position w:val="0"/>
                <w:sz w:val="18"/>
                <w:szCs w:val="18"/>
              </w:rPr>
              <w:t>2</w:t>
            </w:r>
            <w:r>
              <w:rPr>
                <w:rFonts w:ascii="SimSun" w:eastAsia="SimSun" w:hAnsi="SimSun" w:cs="SimSun"/>
                <w:color w:val="000000"/>
                <w:spacing w:val="0"/>
                <w:w w:val="100"/>
                <w:position w:val="0"/>
                <w:sz w:val="17"/>
                <w:szCs w:val="17"/>
              </w:rPr>
              <w:t>、本人将避免一切非法 占用省广股份、雅润文化的资 金、资产的行为，在任何情况下， 不要求省广股份及雅润文化向 本人及本人投资或控制的其他 法人提供任何形式的担保。</w:t>
            </w:r>
            <w:r>
              <w:rPr>
                <w:color w:val="000000"/>
                <w:spacing w:val="0"/>
                <w:w w:val="100"/>
                <w:position w:val="0"/>
                <w:sz w:val="18"/>
                <w:szCs w:val="18"/>
              </w:rPr>
              <w:t>3</w:t>
            </w:r>
            <w:r>
              <w:rPr>
                <w:rFonts w:ascii="SimSun" w:eastAsia="SimSun" w:hAnsi="SimSun" w:cs="SimSun"/>
                <w:color w:val="000000"/>
                <w:spacing w:val="0"/>
                <w:w w:val="100"/>
                <w:position w:val="0"/>
                <w:sz w:val="17"/>
                <w:szCs w:val="17"/>
              </w:rPr>
              <w:t>、 本人将尽可能地避免和减少与 雅润文化及其子公司的关联交 易；对无法避免或者有合理原因 而发生的关联交易，将遵循市场 公正、公平、公开的原则，并依 法签订协议，履行合法程序，按 照雅润文化公司章程、有关法律 法规和《深圳证券交易所股票上 市规则》等有关规定履行信息披 露义务和办理有关报批程序，保 证不通过关联交易损害省广股 份及其他股东的合法权益。</w:t>
            </w:r>
            <w:r>
              <w:rPr>
                <w:color w:val="000000"/>
                <w:spacing w:val="0"/>
                <w:w w:val="100"/>
                <w:position w:val="0"/>
                <w:sz w:val="18"/>
                <w:szCs w:val="18"/>
              </w:rPr>
              <w:t>4</w:t>
            </w:r>
            <w:r>
              <w:rPr>
                <w:rFonts w:ascii="SimSun" w:eastAsia="SimSun" w:hAnsi="SimSun" w:cs="SimSun"/>
                <w:color w:val="000000"/>
                <w:spacing w:val="0"/>
                <w:w w:val="100"/>
                <w:position w:val="0"/>
                <w:sz w:val="17"/>
                <w:szCs w:val="17"/>
              </w:rPr>
              <w:t>、 若未履行本承诺函所作的承诺 而给省广股份或雅润文化造成 的一切损失，本人愿意承担赔偿 责任。本承诺自本人持有上市公 司股份及在省广股份或雅润文 化任职期间均持续有效且不可 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再融资时所作承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董事、监事、 高级管理人 员戴书华（已 离职）、陈钿 隆、丁邦清 （已离职）、 康安卓（已离 职）、李崇宇 （已离职）、 郝建平（已离 职）、夏跃（已 离职）、何滨、 沙宗义（已离</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自发行人股票在证券交易所上 市交易日起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个月内，不转让 本次发行前所持有的全部股份。 在上述锁定期限届满后，在任职 期间每年转让的股份不超过其 所持发行人股份的</w:t>
            </w:r>
            <w:r>
              <w:rPr>
                <w:color w:val="000000"/>
                <w:spacing w:val="0"/>
                <w:w w:val="100"/>
                <w:position w:val="0"/>
                <w:sz w:val="18"/>
                <w:szCs w:val="18"/>
              </w:rPr>
              <w:t>25%</w:t>
            </w:r>
            <w:r>
              <w:rPr>
                <w:rFonts w:ascii="SimSun" w:eastAsia="SimSun" w:hAnsi="SimSun" w:cs="SimSun"/>
                <w:color w:val="000000"/>
                <w:spacing w:val="0"/>
                <w:w w:val="100"/>
                <w:position w:val="0"/>
                <w:sz w:val="17"/>
                <w:szCs w:val="17"/>
              </w:rPr>
              <w:t>；在离职 后半年内，不转让发行前其所持 有的发行人股票；在申报离任六 个月后的十二月内，通过证券交 易所挂牌交易出售发行人股票 数量占其所持有发行人股票总 数的比例不超过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自本公司股</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票上市之日</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起三十六个 月内；在任期 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严格执行中</w:t>
            </w:r>
          </w:p>
        </w:tc>
      </w:tr>
    </w:tbl>
    <w:p>
      <w:pPr>
        <w:spacing w:lineRule="exact" w:line="1"/>
        <w:rPr>
          <w:sz w:val="2"/>
          <w:szCs w:val="2"/>
        </w:rPr>
      </w:pPr>
      <w:r>
        <w:br w:type="page"/>
      </w:r>
    </w:p>
    <w:tbl>
      <w:tblPr>
        <w:tblOverlap w:val="never"/>
        <w:jc w:val="center"/>
        <w:tblLayout w:type="fixed"/>
      </w:tblPr>
      <w:tblGrid>
        <w:gridCol w:w="1426"/>
        <w:gridCol w:w="1133"/>
        <w:gridCol w:w="1138"/>
        <w:gridCol w:w="2525"/>
        <w:gridCol w:w="1128"/>
        <w:gridCol w:w="1118"/>
        <w:gridCol w:w="1118"/>
      </w:tblGrid>
      <w:tr>
        <w:trPr>
          <w:trHeight w:val="477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控股集团有</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 xml:space="preserve">本公司的控股股东广东省广新 外贸集团有限公司（现更名为广 东省广新控股集团有限公司）出 具《避免同业竞争承诺函》承诺: </w:t>
            </w:r>
            <w:r>
              <w:rPr>
                <w:color w:val="000000"/>
                <w:spacing w:val="0"/>
                <w:w w:val="100"/>
                <w:position w:val="0"/>
              </w:rPr>
              <w:t>"1</w:t>
            </w:r>
            <w:r>
              <w:rPr>
                <w:rFonts w:ascii="SimSun" w:eastAsia="SimSun" w:hAnsi="SimSun" w:cs="SimSun"/>
                <w:color w:val="000000"/>
                <w:spacing w:val="0"/>
                <w:w w:val="100"/>
                <w:position w:val="0"/>
                <w:sz w:val="17"/>
                <w:szCs w:val="17"/>
              </w:rPr>
              <w:t>、本公司以及本公司之全资、 控股企业没有从事与省广股份 目前的经营业务构成直接竞争 关系的业务。</w:t>
            </w:r>
            <w:r>
              <w:rPr>
                <w:color w:val="000000"/>
                <w:spacing w:val="0"/>
                <w:w w:val="100"/>
                <w:position w:val="0"/>
              </w:rPr>
              <w:t>2</w:t>
            </w:r>
            <w:r>
              <w:rPr>
                <w:rFonts w:ascii="SimSun" w:eastAsia="SimSun" w:hAnsi="SimSun" w:cs="SimSun"/>
                <w:color w:val="000000"/>
                <w:spacing w:val="0"/>
                <w:w w:val="100"/>
                <w:position w:val="0"/>
                <w:sz w:val="17"/>
                <w:szCs w:val="17"/>
              </w:rPr>
              <w:t>、本公司及本公 司之全资、控股企业今后均不从 事或投资与省广股份的经营业 务构成直接竞争关系的业务。</w:t>
            </w:r>
            <w:r>
              <w:rPr>
                <w:color w:val="000000"/>
                <w:spacing w:val="0"/>
                <w:w w:val="100"/>
                <w:position w:val="0"/>
              </w:rPr>
              <w:t>3</w:t>
            </w:r>
            <w:r>
              <w:rPr>
                <w:rFonts w:ascii="SimSun" w:eastAsia="SimSun" w:hAnsi="SimSun" w:cs="SimSun"/>
                <w:color w:val="000000"/>
                <w:spacing w:val="0"/>
                <w:w w:val="100"/>
                <w:position w:val="0"/>
                <w:sz w:val="17"/>
                <w:szCs w:val="17"/>
              </w:rPr>
              <w:t>、 如因本公司违反本承诺函中所 作出的承诺，本公司将立即停止 违反承诺之行为并赔偿省广股 份的全部损失。</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严格执行中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本公司董事、 监事、高级管 理人员或核 心技术人员</w:t>
            </w:r>
          </w:p>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的自然人股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sz w:val="17"/>
                <w:szCs w:val="17"/>
              </w:rPr>
              <w:t>本公司董事、监事、高级管理人 员或核心技术人员的自然人股 东出具《避免同业竞争承诺函》 承诺：</w:t>
            </w:r>
            <w:r>
              <w:rPr>
                <w:color w:val="000000"/>
                <w:spacing w:val="0"/>
                <w:w w:val="100"/>
                <w:position w:val="0"/>
              </w:rPr>
              <w:t>"1</w:t>
            </w:r>
            <w:r>
              <w:rPr>
                <w:rFonts w:ascii="SimSun" w:eastAsia="SimSun" w:hAnsi="SimSun" w:cs="SimSun"/>
                <w:color w:val="000000"/>
                <w:spacing w:val="0"/>
                <w:w w:val="100"/>
                <w:position w:val="0"/>
                <w:sz w:val="17"/>
                <w:szCs w:val="17"/>
              </w:rPr>
              <w:t>、本人目前没有投资于 与省广股份目前的经营业务构 成直接竞争关系的业务。</w:t>
            </w:r>
            <w:r>
              <w:rPr>
                <w:color w:val="000000"/>
                <w:spacing w:val="0"/>
                <w:w w:val="100"/>
                <w:position w:val="0"/>
              </w:rPr>
              <w:t>2</w:t>
            </w:r>
            <w:r>
              <w:rPr>
                <w:rFonts w:ascii="SimSun" w:eastAsia="SimSun" w:hAnsi="SimSun" w:cs="SimSun"/>
                <w:color w:val="000000"/>
                <w:spacing w:val="0"/>
                <w:w w:val="100"/>
                <w:position w:val="0"/>
                <w:sz w:val="17"/>
                <w:szCs w:val="17"/>
              </w:rPr>
              <w:t>、本 人今后不投资与省广股份的经 营业务构成直接竞争关系的业 务。</w:t>
            </w:r>
            <w:r>
              <w:rPr>
                <w:color w:val="000000"/>
                <w:spacing w:val="0"/>
                <w:w w:val="100"/>
                <w:position w:val="0"/>
              </w:rPr>
              <w:t>3</w:t>
            </w:r>
            <w:r>
              <w:rPr>
                <w:rFonts w:ascii="SimSun" w:eastAsia="SimSun" w:hAnsi="SimSun" w:cs="SimSun"/>
                <w:color w:val="000000"/>
                <w:spacing w:val="0"/>
                <w:w w:val="100"/>
                <w:position w:val="0"/>
                <w:sz w:val="17"/>
                <w:szCs w:val="17"/>
              </w:rPr>
              <w:t>、如因本人违反本承诺函 中所作出的承诺，本人将立即停 止违反承诺之行为并赔偿省广 股份的全部损失。</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严格执行中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其他对公司中小 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承诺是否按时履 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4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针对公司原子公司上海雅润文化传播有限公司资产减值所涉及的需交易对方祝卫东进行股份补偿事项， 根据业绩补偿协议，祝卫东持有的公司全部股份需要以</w:t>
            </w:r>
            <w:r>
              <w:rPr>
                <w:color w:val="000000"/>
                <w:spacing w:val="0"/>
                <w:w w:val="100"/>
                <w:position w:val="0"/>
                <w:sz w:val="18"/>
                <w:szCs w:val="18"/>
              </w:rPr>
              <w:t>1</w:t>
            </w:r>
            <w:r>
              <w:rPr>
                <w:rFonts w:ascii="SimSun" w:eastAsia="SimSun" w:hAnsi="SimSun" w:cs="SimSun"/>
                <w:color w:val="000000"/>
                <w:spacing w:val="0"/>
                <w:w w:val="100"/>
                <w:position w:val="0"/>
                <w:sz w:val="17"/>
                <w:szCs w:val="17"/>
              </w:rPr>
              <w:t>元的价格被公司回购后进行注销予以补偿标的 资产的减值。但由于祝卫东持有的公司股份已全部被质押和冻结，在质押和司法冻结未被解除的情况下， 该部分股份暂时无法被注销。公司已于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月委托国信信扬律师事务所采取司法途径来维护公司 在资产减值补偿事宜中的相关合法权益。经广东省广州市中级人民法院（以下简称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广州中院</w:t>
            </w:r>
            <w:r>
              <w:rPr>
                <w:color w:val="000000"/>
                <w:spacing w:val="0"/>
                <w:w w:val="100"/>
                <w:position w:val="0"/>
                <w:sz w:val="18"/>
                <w:szCs w:val="18"/>
              </w:rPr>
              <w:t>”</w:t>
            </w:r>
            <w:r>
              <w:rPr>
                <w:rFonts w:ascii="SimSun" w:eastAsia="SimSun" w:hAnsi="SimSun" w:cs="SimSun"/>
                <w:color w:val="000000"/>
                <w:spacing w:val="0"/>
                <w:w w:val="100"/>
                <w:position w:val="0"/>
                <w:sz w:val="17"/>
                <w:szCs w:val="17"/>
              </w:rPr>
              <w:t>）受理， 该案已于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月在广州中院进行了开庭审理，具体内容详见公司于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日在指定信息 披露平台《证券时报》和巨潮资讯网（</w:t>
            </w:r>
            <w:r>
              <w:rPr>
                <w:color w:val="000000"/>
                <w:spacing w:val="0"/>
                <w:w w:val="100"/>
                <w:position w:val="0"/>
                <w:sz w:val="18"/>
                <w:szCs w:val="18"/>
              </w:rPr>
              <w:t>www.cnmfo.com.cn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上披露的《关于诉讼事项的进展公告》（公 告编号：</w:t>
            </w:r>
            <w:r>
              <w:rPr>
                <w:color w:val="000000"/>
                <w:spacing w:val="0"/>
                <w:w w:val="100"/>
                <w:position w:val="0"/>
                <w:sz w:val="18"/>
                <w:szCs w:val="18"/>
              </w:rPr>
              <w:t>2019-014</w:t>
            </w:r>
            <w:r>
              <w:rPr>
                <w:rFonts w:ascii="SimSun" w:eastAsia="SimSun" w:hAnsi="SimSun" w:cs="SimSun"/>
                <w:color w:val="000000"/>
                <w:spacing w:val="0"/>
                <w:w w:val="100"/>
                <w:position w:val="0"/>
                <w:sz w:val="17"/>
                <w:szCs w:val="17"/>
              </w:rPr>
              <w:t>）。该案于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月在广州中院进行了二次开庭审理，并于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月收到广州 中院针对本案出具的《民事判决书》，具体内容详见公司于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日在指定信息披露平台《证 券时报》和巨潮资讯网（</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上披露的《关于诉讼事项的进展公告》（公告编号：</w:t>
            </w:r>
            <w:r>
              <w:rPr>
                <w:color w:val="000000"/>
                <w:spacing w:val="0"/>
                <w:w w:val="100"/>
                <w:position w:val="0"/>
                <w:sz w:val="18"/>
                <w:szCs w:val="18"/>
              </w:rPr>
              <w:t>2019-052</w:t>
            </w:r>
            <w:r>
              <w:rPr>
                <w:rFonts w:ascii="SimSun" w:eastAsia="SimSun" w:hAnsi="SimSun" w:cs="SimSun"/>
                <w:color w:val="000000"/>
                <w:spacing w:val="0"/>
                <w:w w:val="100"/>
                <w:position w:val="0"/>
                <w:sz w:val="17"/>
                <w:szCs w:val="17"/>
              </w:rPr>
              <w:t>）。 因祝卫东逾期未履行上述民事判决书中确定的相关义务，广州中院已于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月立案执行。经采取</w:t>
            </w:r>
          </w:p>
        </w:tc>
      </w:tr>
    </w:tbl>
    <w:tbl>
      <w:tblPr>
        <w:tblOverlap w:val="never"/>
        <w:jc w:val="center"/>
        <w:tblLayout w:type="fixed"/>
      </w:tblPr>
      <w:tblGrid>
        <w:gridCol w:w="1450"/>
        <w:gridCol w:w="825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多方执行措施，未发现被执行人祝卫东有可供执行的财产，本案依法终结本次执行程序。终结本次执行 程序后，被执行人祝卫东仍负有继续向公司履行债务的义务，公司发现被执行人祝卫东有可供执行的财 产的，可以向广州中院申请恢复执行。目前祝卫东持有的全部公司股份已被广州中院轮候冻结，具体内 容详见</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日刊载于公司指定信息披露平台巨潮资讯网</w:t>
            </w:r>
            <w:r>
              <w:rPr>
                <w:rFonts w:ascii="SimSun" w:eastAsia="SimSun" w:hAnsi="SimSun" w:cs="SimSun"/>
                <w:color w:val="000000"/>
                <w:spacing w:val="0"/>
                <w:w w:val="100"/>
                <w:position w:val="0"/>
                <w:sz w:val="17"/>
                <w:szCs w:val="17"/>
              </w:rPr>
              <w:t>（</w:t>
            </w:r>
            <w:r>
              <w:rPr>
                <w:color w:val="000000"/>
                <w:spacing w:val="0"/>
                <w:w w:val="100"/>
                <w:position w:val="0"/>
                <w:sz w:val="18"/>
                <w:szCs w:val="18"/>
              </w:rPr>
              <w:t>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的《关于诉讼 事项的进展公告》（公告编号：</w:t>
            </w:r>
            <w:r>
              <w:rPr>
                <w:color w:val="000000"/>
                <w:spacing w:val="0"/>
                <w:w w:val="100"/>
                <w:position w:val="0"/>
                <w:sz w:val="18"/>
                <w:szCs w:val="18"/>
              </w:rPr>
              <w:t>2020-021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。公司后续将密切关注和寻找被执行人祝卫东可供执行的财产 状况和线索，积极向法院申请恢复执行，维护公司合法权益。</w:t>
            </w:r>
          </w:p>
        </w:tc>
      </w:tr>
    </w:tbl>
    <w:p>
      <w:pPr>
        <w:widowControl w:val="0"/>
        <w:spacing w:after="239" w:line="1" w:lineRule="exact"/>
      </w:pPr>
    </w:p>
    <w:p>
      <w:pPr>
        <w:pStyle w:val="Style28"/>
        <w:keepNext/>
        <w:keepLines/>
        <w:widowControl w:val="0"/>
        <w:shd w:val="clear" w:color="auto" w:fill="auto"/>
        <w:bidi w:val="0"/>
        <w:spacing w:before="0" w:line="322" w:lineRule="exact"/>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、公司资产或项目存在盈利预测，且报告期仍处在盈利预测期间，公司就资产或项目达到原盈利预测及 其原因做出说明</w:t>
      </w:r>
      <w:bookmarkEnd w:id="396"/>
      <w:bookmarkEnd w:id="397"/>
      <w:bookmarkEnd w:id="39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8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二</w:t>
      </w:r>
      <w:bookmarkEnd w:id="402"/>
      <w:r>
        <w:rPr>
          <w:color w:val="000000"/>
          <w:spacing w:val="0"/>
          <w:w w:val="100"/>
          <w:position w:val="0"/>
        </w:rPr>
        <w:t>、</w:t>
        <w:tab/>
        <w:t>控股股东及其他关联方对上市公司的非经营性占用资金情况</w:t>
      </w:r>
      <w:bookmarkEnd w:id="400"/>
      <w:bookmarkEnd w:id="401"/>
      <w:bookmarkEnd w:id="403"/>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三</w:t>
      </w:r>
      <w:bookmarkEnd w:id="406"/>
      <w:r>
        <w:rPr>
          <w:color w:val="000000"/>
          <w:spacing w:val="0"/>
          <w:w w:val="100"/>
          <w:position w:val="0"/>
        </w:rPr>
        <w:t>、</w:t>
        <w:tab/>
        <w:t>违规对外担保情况</w:t>
      </w:r>
      <w:bookmarkEnd w:id="404"/>
      <w:bookmarkEnd w:id="405"/>
      <w:bookmarkEnd w:id="407"/>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四</w:t>
      </w:r>
      <w:bookmarkEnd w:id="410"/>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08"/>
      <w:bookmarkEnd w:id="409"/>
      <w:bookmarkEnd w:id="41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五</w:t>
      </w:r>
      <w:bookmarkEnd w:id="414"/>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12"/>
      <w:bookmarkEnd w:id="413"/>
      <w:bookmarkEnd w:id="41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六</w:t>
      </w:r>
      <w:bookmarkEnd w:id="418"/>
      <w:r>
        <w:rPr>
          <w:color w:val="000000"/>
          <w:spacing w:val="0"/>
          <w:w w:val="100"/>
          <w:position w:val="0"/>
        </w:rPr>
        <w:t>、</w:t>
        <w:tab/>
        <w:t>与上年度财务报告相比，会计政策、会计估计变更或重大会计差错更正的情况说明</w:t>
      </w:r>
      <w:bookmarkEnd w:id="416"/>
      <w:bookmarkEnd w:id="417"/>
      <w:bookmarkEnd w:id="419"/>
    </w:p>
    <w:p>
      <w:pPr>
        <w:pStyle w:val="Style19"/>
        <w:keepNext w:val="0"/>
        <w:keepLines w:val="0"/>
        <w:widowControl w:val="0"/>
        <w:numPr>
          <w:ilvl w:val="0"/>
          <w:numId w:val="9"/>
        </w:numPr>
        <w:shd w:val="clear" w:color="auto" w:fill="auto"/>
        <w:tabs>
          <w:tab w:pos="286" w:val="left"/>
        </w:tabs>
        <w:bidi w:val="0"/>
        <w:spacing w:before="0" w:line="240" w:lineRule="auto"/>
        <w:ind w:left="0" w:right="0" w:firstLine="0"/>
        <w:jc w:val="left"/>
      </w:pPr>
      <w:bookmarkStart w:id="420" w:name="bookmark420"/>
      <w:bookmarkEnd w:id="42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详见第十节财务报告五、重要会计政策及会计估计</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七</w:t>
      </w:r>
      <w:bookmarkEnd w:id="423"/>
      <w:r>
        <w:rPr>
          <w:color w:val="000000"/>
          <w:spacing w:val="0"/>
          <w:w w:val="100"/>
          <w:position w:val="0"/>
        </w:rPr>
        <w:t>、</w:t>
        <w:tab/>
        <w:t>与上年度财务报告相比，合并报表范围发生变化的情况说明</w:t>
      </w:r>
      <w:bookmarkEnd w:id="421"/>
      <w:bookmarkEnd w:id="422"/>
      <w:bookmarkEnd w:id="424"/>
    </w:p>
    <w:p>
      <w:pPr>
        <w:pStyle w:val="Style19"/>
        <w:keepNext w:val="0"/>
        <w:keepLines w:val="0"/>
        <w:widowControl w:val="0"/>
        <w:numPr>
          <w:ilvl w:val="0"/>
          <w:numId w:val="9"/>
        </w:numPr>
        <w:shd w:val="clear" w:color="auto" w:fill="auto"/>
        <w:tabs>
          <w:tab w:pos="286" w:val="left"/>
        </w:tabs>
        <w:bidi w:val="0"/>
        <w:spacing w:before="0" w:line="240" w:lineRule="auto"/>
        <w:ind w:left="0" w:right="0" w:firstLine="0"/>
        <w:jc w:val="left"/>
      </w:pPr>
      <w:bookmarkStart w:id="425" w:name="bookmark425"/>
      <w:bookmarkEnd w:id="42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详见第十节财务报告八、合并范围变更</w:t>
      </w:r>
    </w:p>
    <w:p>
      <w:pPr>
        <w:pStyle w:val="Style22"/>
        <w:keepNext/>
        <w:keepLines/>
        <w:widowControl w:val="0"/>
        <w:shd w:val="clear" w:color="auto" w:fill="auto"/>
        <w:tabs>
          <w:tab w:pos="522" w:val="left"/>
        </w:tabs>
        <w:bidi w:val="0"/>
        <w:spacing w:before="0" w:after="3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八</w:t>
      </w:r>
      <w:bookmarkEnd w:id="428"/>
      <w:r>
        <w:rPr>
          <w:color w:val="000000"/>
          <w:spacing w:val="0"/>
          <w:w w:val="100"/>
          <w:position w:val="0"/>
        </w:rPr>
        <w:t>、</w:t>
        <w:tab/>
        <w:t>聘任、解聘会计师事务所情况</w:t>
      </w:r>
      <w:bookmarkEnd w:id="426"/>
      <w:bookmarkEnd w:id="427"/>
      <w:bookmarkEnd w:id="42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胡海林姚月仙</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本年度，公司聘请内部控制审计会计师事务所为中审众环会计师事务所（特殊普通合伙）。</w:t>
      </w:r>
    </w:p>
    <w:p>
      <w:pPr>
        <w:pStyle w:val="Style22"/>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九</w:t>
      </w:r>
      <w:bookmarkEnd w:id="432"/>
      <w:r>
        <w:rPr>
          <w:color w:val="000000"/>
          <w:spacing w:val="0"/>
          <w:w w:val="100"/>
          <w:position w:val="0"/>
        </w:rPr>
        <w:t>、年度报告披露后面临退市情况</w:t>
      </w:r>
      <w:bookmarkEnd w:id="430"/>
      <w:bookmarkEnd w:id="431"/>
      <w:bookmarkEnd w:id="43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434" w:name="bookmark434"/>
      <w:bookmarkStart w:id="435" w:name="bookmark435"/>
      <w:bookmarkStart w:id="436" w:name="bookmark436"/>
      <w:r>
        <w:rPr>
          <w:color w:val="000000"/>
          <w:spacing w:val="0"/>
          <w:w w:val="100"/>
          <w:position w:val="0"/>
        </w:rPr>
        <w:t>十、破产重整相关事项</w:t>
      </w:r>
      <w:bookmarkEnd w:id="434"/>
      <w:bookmarkEnd w:id="435"/>
      <w:bookmarkEnd w:id="436"/>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80" w:line="240" w:lineRule="auto"/>
        <w:ind w:left="0" w:right="0" w:firstLine="0"/>
        <w:jc w:val="left"/>
      </w:pPr>
      <w:bookmarkStart w:id="437" w:name="bookmark437"/>
      <w:bookmarkStart w:id="438" w:name="bookmark438"/>
      <w:bookmarkStart w:id="439" w:name="bookmark439"/>
      <w:r>
        <w:rPr>
          <w:color w:val="000000"/>
          <w:spacing w:val="0"/>
          <w:w w:val="100"/>
          <w:position w:val="0"/>
        </w:rPr>
        <w:t>十一、重大诉讼、仲裁事项</w:t>
      </w:r>
      <w:bookmarkEnd w:id="437"/>
      <w:bookmarkEnd w:id="438"/>
      <w:bookmarkEnd w:id="439"/>
    </w:p>
    <w:p>
      <w:pPr>
        <w:pStyle w:val="Style19"/>
        <w:keepNext w:val="0"/>
        <w:keepLines w:val="0"/>
        <w:widowControl w:val="0"/>
        <w:numPr>
          <w:ilvl w:val="0"/>
          <w:numId w:val="11"/>
        </w:numPr>
        <w:shd w:val="clear" w:color="auto" w:fill="auto"/>
        <w:tabs>
          <w:tab w:pos="282" w:val="left"/>
        </w:tabs>
        <w:bidi w:val="0"/>
        <w:spacing w:before="0" w:line="240" w:lineRule="auto"/>
        <w:ind w:left="0" w:right="0" w:firstLine="0"/>
        <w:jc w:val="left"/>
      </w:pPr>
      <w:bookmarkStart w:id="440" w:name="bookmark440"/>
      <w:bookmarkEnd w:id="4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r>
        <w:rPr>
          <w:color w:val="000000"/>
          <w:spacing w:val="0"/>
          <w:w w:val="100"/>
          <w:position w:val="0"/>
        </w:rPr>
        <w:t>十二、处罚及整改情况</w:t>
      </w:r>
      <w:bookmarkEnd w:id="441"/>
      <w:bookmarkEnd w:id="442"/>
      <w:bookmarkEnd w:id="443"/>
    </w:p>
    <w:p>
      <w:pPr>
        <w:pStyle w:val="Style19"/>
        <w:keepNext w:val="0"/>
        <w:keepLines w:val="0"/>
        <w:widowControl w:val="0"/>
        <w:numPr>
          <w:ilvl w:val="0"/>
          <w:numId w:val="11"/>
        </w:numPr>
        <w:shd w:val="clear" w:color="auto" w:fill="auto"/>
        <w:tabs>
          <w:tab w:pos="282" w:val="left"/>
        </w:tabs>
        <w:bidi w:val="0"/>
        <w:spacing w:before="0" w:line="240" w:lineRule="auto"/>
        <w:ind w:left="0" w:right="0" w:firstLine="0"/>
        <w:jc w:val="left"/>
      </w:pPr>
      <w:bookmarkStart w:id="444" w:name="bookmark444"/>
      <w:bookmarkEnd w:id="44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80" w:line="240" w:lineRule="auto"/>
        <w:ind w:left="0" w:right="0" w:firstLine="0"/>
        <w:jc w:val="left"/>
      </w:pPr>
      <w:bookmarkStart w:id="445" w:name="bookmark445"/>
      <w:bookmarkStart w:id="446" w:name="bookmark446"/>
      <w:bookmarkStart w:id="447" w:name="bookmark447"/>
      <w:r>
        <w:rPr>
          <w:color w:val="000000"/>
          <w:spacing w:val="0"/>
          <w:w w:val="100"/>
          <w:position w:val="0"/>
        </w:rPr>
        <w:t>十三、公司及其控股股东、实际控制人的诚信状况</w:t>
      </w:r>
      <w:bookmarkEnd w:id="445"/>
      <w:bookmarkEnd w:id="446"/>
      <w:bookmarkEnd w:id="447"/>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公司及控股股东、实际控制人诚信状况良好，均不存在未履行法院生效判决、所负数额较大的债务到期未清偿等情况。</w:t>
      </w:r>
    </w:p>
    <w:p>
      <w:pPr>
        <w:pStyle w:val="Style22"/>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r>
        <w:rPr>
          <w:color w:val="000000"/>
          <w:spacing w:val="0"/>
          <w:w w:val="100"/>
          <w:position w:val="0"/>
        </w:rPr>
        <w:t>十四、重大关联交易</w:t>
      </w:r>
      <w:bookmarkEnd w:id="448"/>
      <w:bookmarkEnd w:id="449"/>
      <w:bookmarkEnd w:id="450"/>
    </w:p>
    <w:p>
      <w:pPr>
        <w:pStyle w:val="Style28"/>
        <w:keepNext/>
        <w:keepLines/>
        <w:widowControl w:val="0"/>
        <w:shd w:val="clear" w:color="auto" w:fill="auto"/>
        <w:bidi w:val="0"/>
        <w:spacing w:before="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、与日常经营相关的关联交易</w:t>
      </w:r>
      <w:bookmarkEnd w:id="451"/>
      <w:bookmarkEnd w:id="452"/>
      <w:bookmarkEnd w:id="454"/>
      <w:r>
        <w:br w:type="page"/>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易金额 （万</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占同类</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交易金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额的比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过获批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汽车数字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营销有限</w:t>
            </w:r>
          </w:p>
          <w:p>
            <w:pPr>
              <w:pStyle w:val="Style2"/>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联营企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24,411.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公告编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2021-0</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15</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省广博报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堂整合营</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销有限公</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合营企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76,562.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公告编</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2021-0</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15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代博广告</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营销有限</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合营企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广告服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公平议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28,427.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公告编</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2021-0</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15</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129,401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年度日常关联交易实际发生情况与预计存在差异主要由于公司在实际经营过程 中，受客户需求变化、市场行情变化等因素影响，日常关联交易实际发生情况与预计 情况存在一定的差异。</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t>资产或股权收购、出售发生的关联交易</w:t>
      </w:r>
      <w:bookmarkEnd w:id="455"/>
      <w:bookmarkEnd w:id="456"/>
      <w:bookmarkEnd w:id="458"/>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w:t>
        <w:tab/>
        <w:t>共同对外投资的关联交易</w:t>
      </w:r>
      <w:bookmarkEnd w:id="459"/>
      <w:bookmarkEnd w:id="460"/>
      <w:bookmarkEnd w:id="462"/>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4</w:t>
      </w:r>
      <w:bookmarkEnd w:id="465"/>
      <w:r>
        <w:rPr>
          <w:color w:val="000000"/>
          <w:spacing w:val="0"/>
          <w:w w:val="100"/>
          <w:position w:val="0"/>
        </w:rPr>
        <w:t>、</w:t>
        <w:tab/>
        <w:t>关联债权债务往来</w:t>
      </w:r>
      <w:bookmarkEnd w:id="463"/>
      <w:bookmarkEnd w:id="464"/>
      <w:bookmarkEnd w:id="466"/>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5</w:t>
      </w:r>
      <w:bookmarkEnd w:id="469"/>
      <w:r>
        <w:rPr>
          <w:color w:val="000000"/>
          <w:spacing w:val="0"/>
          <w:w w:val="100"/>
          <w:position w:val="0"/>
        </w:rPr>
        <w:t>、</w:t>
        <w:tab/>
        <w:t>与存在关联关系的财务公司的往来情况</w:t>
      </w:r>
      <w:bookmarkEnd w:id="467"/>
      <w:bookmarkEnd w:id="468"/>
      <w:bookmarkEnd w:id="470"/>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6</w:t>
      </w:r>
      <w:bookmarkEnd w:id="473"/>
      <w:r>
        <w:rPr>
          <w:color w:val="000000"/>
          <w:spacing w:val="0"/>
          <w:w w:val="100"/>
          <w:position w:val="0"/>
        </w:rPr>
        <w:t>、</w:t>
        <w:tab/>
        <w:t>公司控股的财务公司与关联方的往来情况</w:t>
      </w:r>
      <w:bookmarkEnd w:id="471"/>
      <w:bookmarkEnd w:id="472"/>
      <w:bookmarkEnd w:id="474"/>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7</w:t>
      </w:r>
      <w:bookmarkEnd w:id="477"/>
      <w:r>
        <w:rPr>
          <w:color w:val="000000"/>
          <w:spacing w:val="0"/>
          <w:w w:val="100"/>
          <w:position w:val="0"/>
        </w:rPr>
        <w:t>、</w:t>
        <w:tab/>
        <w:t>其他重大关联交易</w:t>
      </w:r>
      <w:bookmarkEnd w:id="475"/>
      <w:bookmarkEnd w:id="476"/>
      <w:bookmarkEnd w:id="478"/>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after="380" w:line="240" w:lineRule="auto"/>
        <w:ind w:left="0" w:right="0" w:firstLine="0"/>
        <w:jc w:val="both"/>
      </w:pPr>
      <w:bookmarkStart w:id="479" w:name="bookmark479"/>
      <w:bookmarkStart w:id="480" w:name="bookmark480"/>
      <w:bookmarkStart w:id="481" w:name="bookmark481"/>
      <w:r>
        <w:rPr>
          <w:color w:val="000000"/>
          <w:spacing w:val="0"/>
          <w:w w:val="100"/>
          <w:position w:val="0"/>
        </w:rPr>
        <w:t>十五、重大合同及其履行情况</w:t>
      </w:r>
      <w:bookmarkEnd w:id="479"/>
      <w:bookmarkEnd w:id="480"/>
      <w:bookmarkEnd w:id="481"/>
    </w:p>
    <w:p>
      <w:pPr>
        <w:pStyle w:val="Style28"/>
        <w:keepNext/>
        <w:keepLines/>
        <w:widowControl w:val="0"/>
        <w:shd w:val="clear" w:color="auto" w:fill="auto"/>
        <w:tabs>
          <w:tab w:pos="368" w:val="left"/>
        </w:tabs>
        <w:bidi w:val="0"/>
        <w:spacing w:before="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w:t>
        <w:tab/>
        <w:t>托管、承包、租赁事项情况</w:t>
      </w:r>
      <w:bookmarkEnd w:id="482"/>
      <w:bookmarkEnd w:id="483"/>
      <w:bookmarkEnd w:id="485"/>
    </w:p>
    <w:p>
      <w:pPr>
        <w:pStyle w:val="Style32"/>
        <w:keepNext/>
        <w:keepLines/>
        <w:widowControl w:val="0"/>
        <w:shd w:val="clear" w:color="auto" w:fill="auto"/>
        <w:tabs>
          <w:tab w:pos="493" w:val="left"/>
        </w:tabs>
        <w:bidi w:val="0"/>
        <w:spacing w:before="0" w:line="240" w:lineRule="auto"/>
        <w:ind w:left="0" w:right="0" w:firstLine="0"/>
        <w:jc w:val="both"/>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86"/>
      <w:bookmarkEnd w:id="487"/>
      <w:bookmarkEnd w:id="489"/>
    </w:p>
    <w:p>
      <w:pPr>
        <w:pStyle w:val="Style19"/>
        <w:keepNext w:val="0"/>
        <w:keepLines w:val="0"/>
        <w:widowControl w:val="0"/>
        <w:numPr>
          <w:ilvl w:val="0"/>
          <w:numId w:val="11"/>
        </w:numPr>
        <w:shd w:val="clear" w:color="auto" w:fill="auto"/>
        <w:tabs>
          <w:tab w:pos="295" w:val="left"/>
        </w:tabs>
        <w:bidi w:val="0"/>
        <w:spacing w:before="0" w:line="240" w:lineRule="auto"/>
        <w:ind w:left="0" w:right="0" w:firstLine="0"/>
        <w:jc w:val="both"/>
      </w:pPr>
      <w:bookmarkStart w:id="490" w:name="bookmark490"/>
      <w:bookmarkEnd w:id="49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2"/>
        <w:keepNext/>
        <w:keepLines/>
        <w:widowControl w:val="0"/>
        <w:shd w:val="clear" w:color="auto" w:fill="auto"/>
        <w:tabs>
          <w:tab w:pos="493" w:val="left"/>
        </w:tabs>
        <w:bidi w:val="0"/>
        <w:spacing w:before="0" w:line="240" w:lineRule="auto"/>
        <w:ind w:left="0" w:right="0" w:firstLine="0"/>
        <w:jc w:val="both"/>
      </w:pPr>
      <w:bookmarkStart w:id="491" w:name="bookmark491"/>
      <w:bookmarkStart w:id="492" w:name="bookmark492"/>
      <w:bookmarkStart w:id="493" w:name="bookmark493"/>
      <w:bookmarkStart w:id="494" w:name="bookmark494"/>
      <w:r>
        <w:rPr>
          <w:color w:val="000000"/>
          <w:spacing w:val="0"/>
          <w:w w:val="100"/>
          <w:position w:val="0"/>
        </w:rPr>
        <w:t>（</w:t>
      </w:r>
      <w:bookmarkEnd w:id="49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1"/>
      <w:bookmarkEnd w:id="492"/>
      <w:bookmarkEnd w:id="494"/>
    </w:p>
    <w:p>
      <w:pPr>
        <w:pStyle w:val="Style19"/>
        <w:keepNext w:val="0"/>
        <w:keepLines w:val="0"/>
        <w:widowControl w:val="0"/>
        <w:numPr>
          <w:ilvl w:val="0"/>
          <w:numId w:val="11"/>
        </w:numPr>
        <w:shd w:val="clear" w:color="auto" w:fill="auto"/>
        <w:tabs>
          <w:tab w:pos="295" w:val="left"/>
        </w:tabs>
        <w:bidi w:val="0"/>
        <w:spacing w:before="0" w:line="240" w:lineRule="auto"/>
        <w:ind w:left="0" w:right="0" w:firstLine="0"/>
        <w:jc w:val="both"/>
      </w:pPr>
      <w:bookmarkStart w:id="495" w:name="bookmark495"/>
      <w:bookmarkEnd w:id="4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2"/>
        <w:keepNext/>
        <w:keepLines/>
        <w:widowControl w:val="0"/>
        <w:shd w:val="clear" w:color="auto" w:fill="auto"/>
        <w:tabs>
          <w:tab w:pos="493" w:val="left"/>
        </w:tabs>
        <w:bidi w:val="0"/>
        <w:spacing w:before="0" w:line="240" w:lineRule="auto"/>
        <w:ind w:left="0" w:right="0" w:firstLine="0"/>
        <w:jc w:val="both"/>
      </w:pPr>
      <w:bookmarkStart w:id="496" w:name="bookmark496"/>
      <w:bookmarkStart w:id="497" w:name="bookmark497"/>
      <w:bookmarkStart w:id="498" w:name="bookmark498"/>
      <w:bookmarkStart w:id="499" w:name="bookmark499"/>
      <w:r>
        <w:rPr>
          <w:color w:val="000000"/>
          <w:spacing w:val="0"/>
          <w:w w:val="100"/>
          <w:position w:val="0"/>
        </w:rPr>
        <w:t>（</w:t>
      </w:r>
      <w:bookmarkEnd w:id="49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96"/>
      <w:bookmarkEnd w:id="497"/>
      <w:bookmarkEnd w:id="499"/>
    </w:p>
    <w:p>
      <w:pPr>
        <w:pStyle w:val="Style19"/>
        <w:keepNext w:val="0"/>
        <w:keepLines w:val="0"/>
        <w:widowControl w:val="0"/>
        <w:numPr>
          <w:ilvl w:val="0"/>
          <w:numId w:val="11"/>
        </w:numPr>
        <w:shd w:val="clear" w:color="auto" w:fill="auto"/>
        <w:tabs>
          <w:tab w:pos="295" w:val="left"/>
        </w:tabs>
        <w:bidi w:val="0"/>
        <w:spacing w:before="0" w:line="240" w:lineRule="auto"/>
        <w:ind w:left="0" w:right="0" w:firstLine="0"/>
        <w:jc w:val="both"/>
      </w:pPr>
      <w:bookmarkStart w:id="500" w:name="bookmark500"/>
      <w:bookmarkEnd w:id="50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重大担保</w:t>
      </w:r>
      <w:bookmarkEnd w:id="501"/>
      <w:bookmarkEnd w:id="502"/>
      <w:bookmarkEnd w:id="504"/>
    </w:p>
    <w:p>
      <w:pPr>
        <w:pStyle w:val="Style19"/>
        <w:keepNext w:val="0"/>
        <w:keepLines w:val="0"/>
        <w:widowControl w:val="0"/>
        <w:numPr>
          <w:ilvl w:val="0"/>
          <w:numId w:val="11"/>
        </w:numPr>
        <w:shd w:val="clear" w:color="auto" w:fill="auto"/>
        <w:tabs>
          <w:tab w:pos="295" w:val="left"/>
        </w:tabs>
        <w:bidi w:val="0"/>
        <w:spacing w:before="0" w:line="240" w:lineRule="auto"/>
        <w:ind w:left="0" w:right="0" w:firstLine="0"/>
        <w:jc w:val="both"/>
      </w:pPr>
      <w:bookmarkStart w:id="505" w:name="bookmark505"/>
      <w:bookmarkEnd w:id="50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28"/>
        <w:keepNext/>
        <w:keepLines/>
        <w:widowControl w:val="0"/>
        <w:shd w:val="clear" w:color="auto" w:fill="auto"/>
        <w:tabs>
          <w:tab w:pos="378" w:val="left"/>
        </w:tabs>
        <w:bidi w:val="0"/>
        <w:spacing w:before="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委托他人进行现金资产管理情况</w:t>
      </w:r>
      <w:bookmarkEnd w:id="506"/>
      <w:bookmarkEnd w:id="507"/>
      <w:bookmarkEnd w:id="509"/>
    </w:p>
    <w:p>
      <w:pPr>
        <w:pStyle w:val="Style32"/>
        <w:keepNext/>
        <w:keepLines/>
        <w:widowControl w:val="0"/>
        <w:shd w:val="clear" w:color="auto" w:fill="auto"/>
        <w:bidi w:val="0"/>
        <w:spacing w:before="0" w:line="240" w:lineRule="auto"/>
        <w:ind w:left="0" w:right="0" w:firstLine="0"/>
        <w:jc w:val="both"/>
      </w:pPr>
      <w:bookmarkStart w:id="510" w:name="bookmark510"/>
      <w:bookmarkStart w:id="511" w:name="bookmark511"/>
      <w:bookmarkStart w:id="512" w:name="bookmark512"/>
      <w:bookmarkStart w:id="513" w:name="bookmark513"/>
      <w:r>
        <w:rPr>
          <w:color w:val="000000"/>
          <w:spacing w:val="0"/>
          <w:w w:val="100"/>
          <w:position w:val="0"/>
        </w:rPr>
        <w:t>（</w:t>
      </w:r>
      <w:bookmarkEnd w:id="51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10"/>
      <w:bookmarkEnd w:id="511"/>
      <w:bookmarkEnd w:id="513"/>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598"/>
        <w:gridCol w:w="1550"/>
        <w:gridCol w:w="156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139" w:line="1" w:lineRule="exact"/>
      </w:pP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单项金额重大或安全性较低、流动性较差的高风险委托理财具体情况</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both"/>
      </w:pPr>
      <w:bookmarkStart w:id="514" w:name="bookmark514"/>
      <w:bookmarkStart w:id="515" w:name="bookmark515"/>
      <w:bookmarkStart w:id="516" w:name="bookmark516"/>
      <w:bookmarkStart w:id="517" w:name="bookmark517"/>
      <w:r>
        <w:rPr>
          <w:color w:val="000000"/>
          <w:spacing w:val="0"/>
          <w:w w:val="100"/>
          <w:position w:val="0"/>
        </w:rPr>
        <w:t>（</w:t>
      </w:r>
      <w:bookmarkEnd w:id="51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14"/>
      <w:bookmarkEnd w:id="515"/>
      <w:bookmarkEnd w:id="517"/>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8"/>
        <w:keepNext/>
        <w:keepLines/>
        <w:widowControl w:val="0"/>
        <w:shd w:val="clear" w:color="auto" w:fill="auto"/>
        <w:bidi w:val="0"/>
        <w:spacing w:before="0" w:line="240" w:lineRule="auto"/>
        <w:ind w:left="0" w:right="0" w:firstLine="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、其他重大合同</w:t>
      </w:r>
      <w:bookmarkEnd w:id="518"/>
      <w:bookmarkEnd w:id="519"/>
      <w:bookmarkEnd w:id="521"/>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2"/>
        <w:keepNext/>
        <w:keepLines/>
        <w:widowControl w:val="0"/>
        <w:shd w:val="clear" w:color="auto" w:fill="auto"/>
        <w:bidi w:val="0"/>
        <w:spacing w:before="0" w:after="380" w:line="240" w:lineRule="auto"/>
        <w:ind w:left="0" w:right="0" w:firstLine="0"/>
        <w:jc w:val="both"/>
      </w:pPr>
      <w:bookmarkStart w:id="522" w:name="bookmark522"/>
      <w:bookmarkStart w:id="523" w:name="bookmark523"/>
      <w:bookmarkStart w:id="524" w:name="bookmark524"/>
      <w:r>
        <w:rPr>
          <w:color w:val="000000"/>
          <w:spacing w:val="0"/>
          <w:w w:val="100"/>
          <w:position w:val="0"/>
        </w:rPr>
        <w:t>十六、其他重大事项的说明</w:t>
      </w:r>
      <w:bookmarkEnd w:id="522"/>
      <w:bookmarkEnd w:id="523"/>
      <w:bookmarkEnd w:id="524"/>
    </w:p>
    <w:p>
      <w:pPr>
        <w:pStyle w:val="Style19"/>
        <w:keepNext w:val="0"/>
        <w:keepLines w:val="0"/>
        <w:widowControl w:val="0"/>
        <w:numPr>
          <w:ilvl w:val="0"/>
          <w:numId w:val="11"/>
        </w:numPr>
        <w:shd w:val="clear" w:color="auto" w:fill="auto"/>
        <w:tabs>
          <w:tab w:pos="282" w:val="left"/>
        </w:tabs>
        <w:bidi w:val="0"/>
        <w:spacing w:before="0" w:line="240" w:lineRule="auto"/>
        <w:ind w:left="0" w:right="0" w:firstLine="0"/>
        <w:jc w:val="both"/>
      </w:pPr>
      <w:bookmarkStart w:id="525" w:name="bookmark525"/>
      <w:bookmarkEnd w:id="52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380" w:line="240" w:lineRule="auto"/>
        <w:ind w:left="0" w:right="0" w:firstLine="0"/>
        <w:jc w:val="both"/>
      </w:pPr>
      <w:bookmarkStart w:id="526" w:name="bookmark526"/>
      <w:bookmarkStart w:id="527" w:name="bookmark527"/>
      <w:bookmarkStart w:id="528" w:name="bookmark528"/>
      <w:r>
        <w:rPr>
          <w:color w:val="000000"/>
          <w:spacing w:val="0"/>
          <w:w w:val="100"/>
          <w:position w:val="0"/>
        </w:rPr>
        <w:t>十七、公司子公司重大事项</w:t>
      </w:r>
      <w:bookmarkEnd w:id="526"/>
      <w:bookmarkEnd w:id="527"/>
      <w:bookmarkEnd w:id="528"/>
    </w:p>
    <w:p>
      <w:pPr>
        <w:pStyle w:val="Style19"/>
        <w:keepNext w:val="0"/>
        <w:keepLines w:val="0"/>
        <w:widowControl w:val="0"/>
        <w:numPr>
          <w:ilvl w:val="0"/>
          <w:numId w:val="11"/>
        </w:numPr>
        <w:shd w:val="clear" w:color="auto" w:fill="auto"/>
        <w:tabs>
          <w:tab w:pos="282" w:val="left"/>
        </w:tabs>
        <w:bidi w:val="0"/>
        <w:spacing w:before="0" w:after="260" w:line="240" w:lineRule="auto"/>
        <w:ind w:left="0" w:right="0" w:firstLine="0"/>
        <w:jc w:val="both"/>
        <w:sectPr>
          <w:footnotePr>
            <w:pos w:val="pageBottom"/>
            <w:numFmt w:val="decimal"/>
            <w:numRestart w:val="continuous"/>
          </w:footnotePr>
          <w:pgSz w:w="11900" w:h="16840"/>
          <w:pgMar w:top="1127" w:right="1124" w:bottom="1448" w:left="1070" w:header="0" w:footer="3" w:gutter="0"/>
          <w:cols w:space="720"/>
          <w:noEndnote/>
          <w:rtlGutter w:val="0"/>
          <w:docGrid w:linePitch="360"/>
        </w:sectPr>
      </w:pPr>
      <w:bookmarkStart w:id="529" w:name="bookmark529"/>
      <w:bookmarkEnd w:id="52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0"/>
        <w:keepNext/>
        <w:keepLines/>
        <w:widowControl w:val="0"/>
        <w:shd w:val="clear" w:color="auto" w:fill="auto"/>
        <w:bidi w:val="0"/>
        <w:spacing w:before="480" w:after="560" w:line="240" w:lineRule="auto"/>
        <w:ind w:left="0" w:right="0" w:firstLine="0"/>
        <w:jc w:val="center"/>
      </w:pPr>
      <w:bookmarkStart w:id="530" w:name="bookmark530"/>
      <w:bookmarkStart w:id="531" w:name="bookmark531"/>
      <w:bookmarkStart w:id="532" w:name="bookmark532"/>
      <w:r>
        <w:rPr>
          <w:color w:val="000000"/>
          <w:spacing w:val="0"/>
          <w:w w:val="100"/>
          <w:position w:val="0"/>
        </w:rPr>
        <w:t>第七节股份变动及股东情况</w:t>
      </w:r>
      <w:bookmarkEnd w:id="530"/>
      <w:bookmarkEnd w:id="531"/>
      <w:bookmarkEnd w:id="532"/>
    </w:p>
    <w:p>
      <w:pPr>
        <w:pStyle w:val="Style22"/>
        <w:keepNext/>
        <w:keepLines/>
        <w:widowControl w:val="0"/>
        <w:shd w:val="clear" w:color="auto" w:fill="auto"/>
        <w:bidi w:val="0"/>
        <w:spacing w:before="0" w:after="360" w:line="240" w:lineRule="auto"/>
        <w:ind w:left="0" w:right="0" w:firstLine="0"/>
        <w:jc w:val="left"/>
      </w:pPr>
      <w:bookmarkStart w:id="533" w:name="bookmark533"/>
      <w:bookmarkStart w:id="534" w:name="bookmark534"/>
      <w:bookmarkStart w:id="535" w:name="bookmark535"/>
      <w:bookmarkStart w:id="536" w:name="bookmark536"/>
      <w:bookmarkStart w:id="537" w:name="bookmark537"/>
      <w:r>
        <w:rPr>
          <w:color w:val="000000"/>
          <w:spacing w:val="0"/>
          <w:w w:val="100"/>
          <w:position w:val="0"/>
        </w:rPr>
        <w:t>一</w:t>
      </w:r>
      <w:bookmarkEnd w:id="536"/>
      <w:r>
        <w:rPr>
          <w:color w:val="000000"/>
          <w:spacing w:val="0"/>
          <w:w w:val="100"/>
          <w:position w:val="0"/>
        </w:rPr>
        <w:t>、股份变动情况</w:t>
      </w:r>
      <w:bookmarkEnd w:id="534"/>
      <w:bookmarkEnd w:id="535"/>
      <w:bookmarkEnd w:id="537"/>
      <w:bookmarkEnd w:id="533"/>
    </w:p>
    <w:p>
      <w:pPr>
        <w:pStyle w:val="Style28"/>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、股份变动情况</w:t>
      </w:r>
      <w:bookmarkEnd w:id="538"/>
      <w:bookmarkEnd w:id="539"/>
      <w:bookmarkEnd w:id="5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63"/>
        <w:gridCol w:w="1200"/>
        <w:gridCol w:w="826"/>
        <w:gridCol w:w="744"/>
        <w:gridCol w:w="854"/>
        <w:gridCol w:w="850"/>
        <w:gridCol w:w="600"/>
        <w:gridCol w:w="595"/>
        <w:gridCol w:w="1277"/>
        <w:gridCol w:w="80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56,148,047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56,148,047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56,148,047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56,148,047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1,687,189,081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1,687,189,081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1,687,189,081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1,687,189,081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1,743,337,128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1,743,337,128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19"/>
        <w:keepNext w:val="0"/>
        <w:keepLines w:val="0"/>
        <w:widowControl w:val="0"/>
        <w:numPr>
          <w:ilvl w:val="0"/>
          <w:numId w:val="11"/>
        </w:numPr>
        <w:shd w:val="clear" w:color="auto" w:fill="auto"/>
        <w:tabs>
          <w:tab w:pos="282" w:val="left"/>
        </w:tabs>
        <w:bidi w:val="0"/>
        <w:spacing w:before="0" w:after="360" w:line="240" w:lineRule="auto"/>
        <w:ind w:left="0" w:right="0" w:firstLine="0"/>
        <w:jc w:val="left"/>
      </w:pPr>
      <w:bookmarkStart w:id="542" w:name="bookmark542"/>
      <w:bookmarkEnd w:id="54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、限售股份变动情况</w:t>
      </w:r>
      <w:bookmarkEnd w:id="543"/>
      <w:bookmarkEnd w:id="544"/>
      <w:bookmarkEnd w:id="546"/>
    </w:p>
    <w:p>
      <w:pPr>
        <w:pStyle w:val="Style19"/>
        <w:keepNext w:val="0"/>
        <w:keepLines w:val="0"/>
        <w:widowControl w:val="0"/>
        <w:numPr>
          <w:ilvl w:val="0"/>
          <w:numId w:val="11"/>
        </w:numPr>
        <w:shd w:val="clear" w:color="auto" w:fill="auto"/>
        <w:tabs>
          <w:tab w:pos="282" w:val="left"/>
        </w:tabs>
        <w:bidi w:val="0"/>
        <w:spacing w:before="0" w:after="360" w:line="240" w:lineRule="auto"/>
        <w:ind w:left="0" w:right="0" w:firstLine="0"/>
        <w:jc w:val="left"/>
      </w:pPr>
      <w:bookmarkStart w:id="547" w:name="bookmark547"/>
      <w:bookmarkEnd w:id="54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二</w:t>
      </w:r>
      <w:bookmarkEnd w:id="550"/>
      <w:r>
        <w:rPr>
          <w:color w:val="000000"/>
          <w:spacing w:val="0"/>
          <w:w w:val="100"/>
          <w:position w:val="0"/>
        </w:rPr>
        <w:t>、证券发行与上市情况</w:t>
      </w:r>
      <w:bookmarkEnd w:id="548"/>
      <w:bookmarkEnd w:id="549"/>
      <w:bookmarkEnd w:id="551"/>
    </w:p>
    <w:p>
      <w:pPr>
        <w:pStyle w:val="Style28"/>
        <w:keepNext/>
        <w:keepLines/>
        <w:widowControl w:val="0"/>
        <w:shd w:val="clear" w:color="auto" w:fill="auto"/>
        <w:tabs>
          <w:tab w:pos="368" w:val="left"/>
        </w:tabs>
        <w:bidi w:val="0"/>
        <w:spacing w:before="0" w:after="36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1</w:t>
      </w:r>
      <w:bookmarkEnd w:id="554"/>
      <w:r>
        <w:rPr>
          <w:color w:val="000000"/>
          <w:spacing w:val="0"/>
          <w:w w:val="100"/>
          <w:position w:val="0"/>
        </w:rPr>
        <w:t>、</w:t>
        <w:tab/>
        <w:t>报告期内证券发行（不含优先股）情况</w:t>
      </w:r>
      <w:bookmarkEnd w:id="552"/>
      <w:bookmarkEnd w:id="553"/>
      <w:bookmarkEnd w:id="555"/>
    </w:p>
    <w:p>
      <w:pPr>
        <w:pStyle w:val="Style19"/>
        <w:keepNext w:val="0"/>
        <w:keepLines w:val="0"/>
        <w:widowControl w:val="0"/>
        <w:numPr>
          <w:ilvl w:val="0"/>
          <w:numId w:val="11"/>
        </w:numPr>
        <w:shd w:val="clear" w:color="auto" w:fill="auto"/>
        <w:tabs>
          <w:tab w:pos="282" w:val="left"/>
        </w:tabs>
        <w:bidi w:val="0"/>
        <w:spacing w:before="0" w:after="360" w:line="240" w:lineRule="auto"/>
        <w:ind w:left="0" w:right="0" w:firstLine="0"/>
        <w:jc w:val="left"/>
      </w:pPr>
      <w:bookmarkStart w:id="556" w:name="bookmark556"/>
      <w:bookmarkEnd w:id="55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w:t>
        <w:tab/>
        <w:t>公司股份总数及股东结构的变动、公司资产和负债结构的变动情况说明</w:t>
      </w:r>
      <w:bookmarkEnd w:id="557"/>
      <w:bookmarkEnd w:id="558"/>
      <w:bookmarkEnd w:id="560"/>
    </w:p>
    <w:p>
      <w:pPr>
        <w:pStyle w:val="Style1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after="36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、现存的内部职工股情况</w:t>
      </w:r>
      <w:bookmarkEnd w:id="561"/>
      <w:bookmarkEnd w:id="562"/>
      <w:bookmarkEnd w:id="56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三</w:t>
      </w:r>
      <w:bookmarkEnd w:id="567"/>
      <w:r>
        <w:rPr>
          <w:color w:val="000000"/>
          <w:spacing w:val="0"/>
          <w:w w:val="100"/>
          <w:position w:val="0"/>
        </w:rPr>
        <w:t>、股东和实际控制人情况</w:t>
      </w:r>
      <w:bookmarkEnd w:id="565"/>
      <w:bookmarkEnd w:id="566"/>
      <w:bookmarkEnd w:id="568"/>
    </w:p>
    <w:p>
      <w:pPr>
        <w:pStyle w:val="Style28"/>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、公司股东数量及持股情况</w:t>
      </w:r>
      <w:bookmarkEnd w:id="569"/>
      <w:bookmarkEnd w:id="570"/>
      <w:bookmarkEnd w:id="57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66"/>
        <w:gridCol w:w="250"/>
        <w:gridCol w:w="893"/>
        <w:gridCol w:w="278"/>
        <w:gridCol w:w="806"/>
        <w:gridCol w:w="163"/>
        <w:gridCol w:w="946"/>
        <w:gridCol w:w="312"/>
        <w:gridCol w:w="730"/>
        <w:gridCol w:w="979"/>
        <w:gridCol w:w="211"/>
        <w:gridCol w:w="744"/>
        <w:gridCol w:w="408"/>
        <w:gridCol w:w="538"/>
        <w:gridCol w:w="830"/>
        <w:gridCol w:w="46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173,046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185,889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报告期末表决权恢复的 优先股股东总数（如有） （参见注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 （参见注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gridSpan w:val="1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报告期内增</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持有有限售</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持有无限售</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条件的股份</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广东省广新控股 集团有限公司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318,888,935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-8,574,300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318,888,935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65,350,000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香港中央结算有 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51,477,151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+48,597,200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51,477,151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陈钿隆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35,392,882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26,544,661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88,482,221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祝卫东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17,169,195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17,169,195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17,169,195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16,574,501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12,430,876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4,143,625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张源</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14,696,900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+6,040,200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14,696,900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万国鹏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11,210,445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11,210,445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65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中国工商银行股 份有限公司一广 发中证传媒交易 型开放式指数证 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10,906,500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10,906,500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吕强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9,884,900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9,884,900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长城国融投资管 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6,498,888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6,498,888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2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 有）（参见注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长城国融投资管理有限公司曾于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月认购公司非公开发行股票。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广东省广新控股集团有限公司为本公司的控股股东。公司控股股东与上述其他股东之间不 存在关联关系，也不属于《上市公司股东持股变动信息披露管理办法》中规定的一致行动</w:t>
            </w:r>
          </w:p>
        </w:tc>
      </w:tr>
    </w:tbl>
    <w:p>
      <w:pPr>
        <w:spacing w:lineRule="exact" w:line="1"/>
        <w:rPr>
          <w:sz w:val="2"/>
          <w:szCs w:val="2"/>
        </w:rPr>
      </w:pPr>
      <w:r>
        <w:br w:type="page"/>
      </w:r>
    </w:p>
    <w:tbl>
      <w:tblPr>
        <w:tblOverlap w:val="never"/>
        <w:jc w:val="center"/>
        <w:tblLayout w:type="fixed"/>
      </w:tblPr>
      <w:tblGrid>
        <w:gridCol w:w="2587"/>
        <w:gridCol w:w="173"/>
        <w:gridCol w:w="4718"/>
        <w:gridCol w:w="1267"/>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人；本公司未知上述其他股东之间是否存在关联关系，也未知是否属于一致行动人。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 放弃表决权情况的说明</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名股东中存在回购专户的 特别说明（如有）（参见注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318,888,935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318,888,935</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香港中央结算有限公司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51,477,151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51,477,151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张源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14,696,900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14,696,900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万国鹏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11,210,445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11,210,445</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中国工商银行股份有限公司一广 发中证传媒交易型开放式指数证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10,906,500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10,906,500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吕强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9,884,900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8,848,221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8,848,221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长城国融投资管理有限公司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6,498,888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JPMORGAN CHASE</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BANK,NATIONAL ASSOCIATION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5,653,336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5,653,336</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秦夕中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4,475,200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4,475,200</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广东省广新控股集团有限公司为本公司的控股股东。公司控股股东与上述其他股东之间 不存在关联关系，也不属于《上市公司股东持股变动信息披露管理办法》中规定的一致 行动人；本公司未知上述其他股东之间是否存在关联关系，也未知是否属于一致行动人。</w:t>
            </w: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 业务情况说明（如有）（参见注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截至本报告期末，广东省广新控股集团有限公司通过转融通业务将其持有的公司股票 </w:t>
            </w:r>
            <w:r>
              <w:rPr>
                <w:color w:val="000000"/>
                <w:spacing w:val="0"/>
                <w:w w:val="100"/>
                <w:position w:val="0"/>
                <w:sz w:val="18"/>
                <w:szCs w:val="18"/>
              </w:rPr>
              <w:t>8,574,300</w:t>
            </w:r>
            <w:r>
              <w:rPr>
                <w:rFonts w:ascii="SimSun" w:eastAsia="SimSun" w:hAnsi="SimSun" w:cs="SimSun"/>
                <w:color w:val="000000"/>
                <w:spacing w:val="0"/>
                <w:w w:val="100"/>
                <w:position w:val="0"/>
                <w:sz w:val="17"/>
                <w:szCs w:val="17"/>
              </w:rPr>
              <w:t xml:space="preserve">股出借给证金公司；万国鹏通过信用交易担保证券账户持有公司股票 </w:t>
            </w:r>
            <w:r>
              <w:rPr>
                <w:color w:val="000000"/>
                <w:spacing w:val="0"/>
                <w:w w:val="100"/>
                <w:position w:val="0"/>
                <w:sz w:val="18"/>
                <w:szCs w:val="18"/>
              </w:rPr>
              <w:t>11,210,445</w:t>
            </w:r>
            <w:r>
              <w:rPr>
                <w:rFonts w:ascii="SimSun" w:eastAsia="SimSun" w:hAnsi="SimSun" w:cs="SimSun"/>
                <w:color w:val="000000"/>
                <w:spacing w:val="0"/>
                <w:w w:val="100"/>
                <w:position w:val="0"/>
                <w:sz w:val="17"/>
                <w:szCs w:val="17"/>
              </w:rPr>
              <w:t>股；秦夕中通过信用交易担保证券账户持有公司股票</w:t>
            </w:r>
            <w:r>
              <w:rPr>
                <w:color w:val="000000"/>
                <w:spacing w:val="0"/>
                <w:w w:val="100"/>
                <w:position w:val="0"/>
                <w:sz w:val="18"/>
                <w:szCs w:val="18"/>
              </w:rPr>
              <w:t>4,475,200</w:t>
            </w:r>
            <w:r>
              <w:rPr>
                <w:rFonts w:ascii="SimSun" w:eastAsia="SimSun" w:hAnsi="SimSun" w:cs="SimSun"/>
                <w:color w:val="000000"/>
                <w:spacing w:val="0"/>
                <w:w w:val="100"/>
                <w:position w:val="0"/>
                <w:sz w:val="17"/>
                <w:szCs w:val="17"/>
              </w:rPr>
              <w:t>股。</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22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、公司控股股东情况</w:t>
      </w:r>
      <w:bookmarkEnd w:id="573"/>
      <w:bookmarkEnd w:id="574"/>
      <w:bookmarkEnd w:id="576"/>
    </w:p>
    <w:p>
      <w:pPr>
        <w:pStyle w:val="Style19"/>
        <w:keepNext w:val="0"/>
        <w:keepLines w:val="0"/>
        <w:widowControl w:val="0"/>
        <w:shd w:val="clear" w:color="auto" w:fill="auto"/>
        <w:bidi w:val="0"/>
        <w:spacing w:before="0" w:after="100" w:line="360" w:lineRule="exact"/>
        <w:ind w:left="0" w:right="0" w:firstLine="0"/>
        <w:jc w:val="left"/>
      </w:pPr>
      <w:r>
        <w:rPr>
          <w:color w:val="000000"/>
          <w:spacing w:val="0"/>
          <w:w w:val="100"/>
          <w:position w:val="0"/>
        </w:rPr>
        <w:t>控股股东性质：地方国有控股 控股股东类型：法人</w:t>
      </w:r>
    </w:p>
    <w:tbl>
      <w:tblPr>
        <w:tblOverlap w:val="never"/>
        <w:jc w:val="center"/>
        <w:tblLayout w:type="fixed"/>
      </w:tblPr>
      <w:tblGrid>
        <w:gridCol w:w="2270"/>
        <w:gridCol w:w="1618"/>
        <w:gridCol w:w="1723"/>
        <w:gridCol w:w="1877"/>
        <w:gridCol w:w="209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 责人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bl>
    <w:p>
      <w:pPr>
        <w:spacing w:lineRule="exact" w:line="1"/>
        <w:rPr>
          <w:sz w:val="2"/>
          <w:szCs w:val="2"/>
        </w:rPr>
      </w:pPr>
      <w:r>
        <w:br w:type="page"/>
      </w:r>
    </w:p>
    <w:tbl>
      <w:tblPr>
        <w:tblOverlap w:val="never"/>
        <w:jc w:val="center"/>
        <w:tblLayout w:type="fixed"/>
      </w:tblPr>
      <w:tblGrid>
        <w:gridCol w:w="2270"/>
        <w:gridCol w:w="1618"/>
        <w:gridCol w:w="1723"/>
        <w:gridCol w:w="1877"/>
        <w:gridCol w:w="2098"/>
      </w:tblGrid>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广东省广新控股集团有限公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白涛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91440000725063471N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股权管理；股权投资；研 究、开发、生产、销售： 新材料（合金材料及型材、 功能薄膜与复合材料、电 子基材板、动力电池材 料），生物医药（化学药、 生物药），食品（调味品、 添加剂）；数字创意，融合 服务；高端装备制造；信 息技术服务；电子商务运 营；现代农业开发、投资、 管理；国际贸易、国内贸 易；国际经济技术合作；</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物业租赁与管理。</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日，广新集团持有星湖科技</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20.22%</w:t>
            </w:r>
            <w:r>
              <w:rPr>
                <w:rFonts w:ascii="SimSun" w:eastAsia="SimSun" w:hAnsi="SimSun" w:cs="SimSun"/>
                <w:color w:val="000000"/>
                <w:spacing w:val="0"/>
                <w:w w:val="100"/>
                <w:position w:val="0"/>
                <w:sz w:val="17"/>
                <w:szCs w:val="17"/>
              </w:rPr>
              <w:t>股权、持有佛塑科 技</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26.65%</w:t>
            </w:r>
            <w:r>
              <w:rPr>
                <w:rFonts w:ascii="SimSun" w:eastAsia="SimSun" w:hAnsi="SimSun" w:cs="SimSun"/>
                <w:color w:val="000000"/>
                <w:spacing w:val="0"/>
                <w:w w:val="100"/>
                <w:position w:val="0"/>
                <w:sz w:val="17"/>
                <w:szCs w:val="17"/>
              </w:rPr>
              <w:t>股权、持有生益科技</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24.76%</w:t>
            </w:r>
            <w:r>
              <w:rPr>
                <w:rFonts w:ascii="SimSun" w:eastAsia="SimSun" w:hAnsi="SimSun" w:cs="SimSun"/>
                <w:color w:val="000000"/>
                <w:spacing w:val="0"/>
                <w:w w:val="100"/>
                <w:position w:val="0"/>
                <w:sz w:val="17"/>
                <w:szCs w:val="17"/>
              </w:rPr>
              <w:t>股权、持有生益电 子</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股上市公司）</w:t>
            </w:r>
            <w:r>
              <w:rPr>
                <w:color w:val="000000"/>
                <w:spacing w:val="0"/>
                <w:w w:val="100"/>
                <w:position w:val="0"/>
                <w:sz w:val="18"/>
                <w:szCs w:val="18"/>
              </w:rPr>
              <w:t>1.58%</w:t>
            </w:r>
            <w:r>
              <w:rPr>
                <w:rFonts w:ascii="SimSun" w:eastAsia="SimSun" w:hAnsi="SimSun" w:cs="SimSun"/>
                <w:color w:val="000000"/>
                <w:spacing w:val="0"/>
                <w:w w:val="100"/>
                <w:position w:val="0"/>
                <w:sz w:val="17"/>
                <w:szCs w:val="17"/>
              </w:rPr>
              <w:t>股权、持有兴发铝业（香港上市公司）</w:t>
            </w:r>
            <w:r>
              <w:rPr>
                <w:color w:val="000000"/>
                <w:spacing w:val="0"/>
                <w:w w:val="100"/>
                <w:position w:val="0"/>
                <w:sz w:val="18"/>
                <w:szCs w:val="18"/>
              </w:rPr>
              <w:t>31.57%</w:t>
            </w:r>
            <w:r>
              <w:rPr>
                <w:rFonts w:ascii="SimSun" w:eastAsia="SimSun" w:hAnsi="SimSun" w:cs="SimSun"/>
                <w:color w:val="000000"/>
                <w:spacing w:val="0"/>
                <w:w w:val="100"/>
                <w:position w:val="0"/>
                <w:sz w:val="17"/>
                <w:szCs w:val="17"/>
              </w:rPr>
              <w:t>股权、持有国义招标 （新三板公司）</w:t>
            </w:r>
            <w:r>
              <w:rPr>
                <w:color w:val="000000"/>
                <w:spacing w:val="0"/>
                <w:w w:val="100"/>
                <w:position w:val="0"/>
                <w:sz w:val="18"/>
                <w:szCs w:val="18"/>
              </w:rPr>
              <w:t>32.41%</w:t>
            </w:r>
            <w:r>
              <w:rPr>
                <w:rFonts w:ascii="SimSun" w:eastAsia="SimSun" w:hAnsi="SimSun" w:cs="SimSun"/>
                <w:color w:val="000000"/>
                <w:spacing w:val="0"/>
                <w:w w:val="100"/>
                <w:position w:val="0"/>
                <w:sz w:val="17"/>
                <w:szCs w:val="17"/>
              </w:rPr>
              <w:t>股权、持有广新信息（新三板）</w:t>
            </w:r>
            <w:r>
              <w:rPr>
                <w:color w:val="000000"/>
                <w:spacing w:val="0"/>
                <w:w w:val="100"/>
                <w:position w:val="0"/>
                <w:sz w:val="18"/>
                <w:szCs w:val="18"/>
              </w:rPr>
              <w:t>60.79%</w:t>
            </w:r>
            <w:r>
              <w:rPr>
                <w:rFonts w:ascii="SimSun" w:eastAsia="SimSun" w:hAnsi="SimSun" w:cs="SimSun"/>
                <w:color w:val="000000"/>
                <w:spacing w:val="0"/>
                <w:w w:val="100"/>
                <w:position w:val="0"/>
                <w:sz w:val="17"/>
                <w:szCs w:val="17"/>
              </w:rPr>
              <w:t>股权。</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40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、公司实际控制人及其一致行动人</w:t>
      </w:r>
      <w:bookmarkEnd w:id="577"/>
      <w:bookmarkEnd w:id="578"/>
      <w:bookmarkEnd w:id="580"/>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实际控制人性质：地方国资管理机构</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实际控制人类型：法人</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858770" cy="16033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858770" cy="1603375"/>
                    </a:xfrm>
                    <a:prstGeom prst="rect"/>
                  </pic:spPr>
                </pic:pic>
              </a:graphicData>
            </a:graphic>
          </wp:inline>
        </w:drawing>
      </w:r>
    </w:p>
    <w:p>
      <w:pPr>
        <w:widowControl w:val="0"/>
        <w:spacing w:after="3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4</w:t>
      </w:r>
      <w:bookmarkEnd w:id="58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1"/>
      <w:bookmarkEnd w:id="582"/>
      <w:bookmarkEnd w:id="584"/>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5</w:t>
      </w:r>
      <w:bookmarkEnd w:id="5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5"/>
      <w:bookmarkEnd w:id="586"/>
      <w:bookmarkEnd w:id="588"/>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6</w:t>
      </w:r>
      <w:bookmarkEnd w:id="591"/>
      <w:r>
        <w:rPr>
          <w:color w:val="000000"/>
          <w:spacing w:val="0"/>
          <w:w w:val="100"/>
          <w:position w:val="0"/>
        </w:rPr>
        <w:t>、</w:t>
        <w:tab/>
        <w:t>控股股东、实际控制人、重组方及其他承诺主体股份限制减持情况</w:t>
      </w:r>
      <w:bookmarkEnd w:id="589"/>
      <w:bookmarkEnd w:id="590"/>
      <w:bookmarkEnd w:id="592"/>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593" w:name="bookmark593"/>
      <w:bookmarkStart w:id="594" w:name="bookmark594"/>
      <w:bookmarkStart w:id="595" w:name="bookmark595"/>
      <w:bookmarkStart w:id="596" w:name="bookmark596"/>
      <w:r>
        <w:rPr>
          <w:color w:val="000000"/>
          <w:spacing w:val="0"/>
          <w:w w:val="100"/>
          <w:position w:val="0"/>
        </w:rPr>
        <w:t>四</w:t>
      </w:r>
      <w:bookmarkEnd w:id="595"/>
      <w:r>
        <w:rPr>
          <w:color w:val="000000"/>
          <w:spacing w:val="0"/>
          <w:w w:val="100"/>
          <w:position w:val="0"/>
        </w:rPr>
        <w:t>、股份回购在报告期的具体实施情况</w:t>
      </w:r>
      <w:bookmarkEnd w:id="593"/>
      <w:bookmarkEnd w:id="594"/>
      <w:bookmarkEnd w:id="596"/>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41" w:right="1124" w:bottom="1527"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597" w:name="bookmark597"/>
                            <w:bookmarkStart w:id="598" w:name="bookmark598"/>
                            <w:bookmarkStart w:id="599" w:name="bookmark599"/>
                            <w:r>
                              <w:rPr>
                                <w:color w:val="000000"/>
                                <w:spacing w:val="0"/>
                                <w:w w:val="100"/>
                                <w:position w:val="0"/>
                              </w:rPr>
                              <w:t>第八节优先股相关情况</w:t>
                            </w:r>
                            <w:bookmarkEnd w:id="597"/>
                            <w:bookmarkEnd w:id="598"/>
                            <w:bookmarkEnd w:id="59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597" w:name="bookmark597"/>
                      <w:bookmarkStart w:id="598" w:name="bookmark598"/>
                      <w:bookmarkStart w:id="599" w:name="bookmark599"/>
                      <w:r>
                        <w:rPr>
                          <w:color w:val="000000"/>
                          <w:spacing w:val="0"/>
                          <w:w w:val="100"/>
                          <w:position w:val="0"/>
                        </w:rPr>
                        <w:t>第八节优先股相关情况</w:t>
                      </w:r>
                      <w:bookmarkEnd w:id="597"/>
                      <w:bookmarkEnd w:id="598"/>
                      <w:bookmarkEnd w:id="599"/>
                    </w:p>
                  </w:txbxContent>
                </v:textbox>
                <w10:wrap type="topAndBottom" anchorx="page"/>
              </v:shape>
            </w:pict>
          </mc:Fallback>
        </mc:AlternateContent>
      </w:r>
    </w:p>
    <w:p>
      <w:pPr>
        <w:pStyle w:val="Style19"/>
        <w:keepNext w:val="0"/>
        <w:keepLines w:val="0"/>
        <w:widowControl w:val="0"/>
        <w:shd w:val="clear" w:color="auto" w:fill="auto"/>
        <w:bidi w:val="0"/>
        <w:spacing w:before="0" w:line="240" w:lineRule="auto"/>
        <w:ind w:left="0" w:right="0" w:firstLine="0"/>
        <w:jc w:val="left"/>
      </w:pPr>
      <w:bookmarkStart w:id="600" w:name="bookmark60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00"/>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369" w:left="1114" w:header="0" w:footer="3" w:gutter="0"/>
          <w:cols w:space="720"/>
          <w:noEndnote/>
          <w:rtlGutter w:val="0"/>
          <w:docGrid w:linePitch="360"/>
        </w:sectPr>
      </w:pPr>
    </w:p>
    <w:p>
      <w:pPr>
        <w:pStyle w:val="Style19"/>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01" w:name="bookmark60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01"/>
    </w:p>
    <w:p>
      <w:pPr>
        <w:pStyle w:val="Style10"/>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02" w:name="bookmark602"/>
      <w:bookmarkStart w:id="603" w:name="bookmark603"/>
      <w:bookmarkStart w:id="604" w:name="bookmark604"/>
      <w:r>
        <w:rPr>
          <w:color w:val="000000"/>
          <w:spacing w:val="0"/>
          <w:w w:val="100"/>
          <w:position w:val="0"/>
        </w:rPr>
        <w:t>第九节债券相关情况</w:t>
      </w:r>
      <w:bookmarkEnd w:id="602"/>
      <w:bookmarkEnd w:id="603"/>
      <w:bookmarkEnd w:id="604"/>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369" w:left="1114" w:header="0" w:footer="3" w:gutter="0"/>
          <w:cols w:space="720"/>
          <w:noEndnote/>
          <w:rtlGutter w:val="0"/>
          <w:docGrid w:linePitch="360"/>
        </w:sectPr>
      </w:pPr>
    </w:p>
    <w:p>
      <w:pPr>
        <w:pStyle w:val="Style10"/>
        <w:keepNext/>
        <w:keepLines/>
        <w:widowControl w:val="0"/>
        <w:shd w:val="clear" w:color="auto" w:fill="auto"/>
        <w:bidi w:val="0"/>
        <w:spacing w:before="600" w:after="540" w:line="240" w:lineRule="auto"/>
        <w:ind w:left="0" w:right="0" w:firstLine="0"/>
        <w:jc w:val="center"/>
      </w:pPr>
      <w:bookmarkStart w:id="605" w:name="bookmark605"/>
      <w:bookmarkStart w:id="606" w:name="bookmark606"/>
      <w:bookmarkStart w:id="607" w:name="bookmark607"/>
      <w:r>
        <w:rPr>
          <w:color w:val="000000"/>
          <w:spacing w:val="0"/>
          <w:w w:val="100"/>
          <w:position w:val="0"/>
        </w:rPr>
        <w:t>第十节财务报告</w:t>
      </w:r>
      <w:bookmarkEnd w:id="605"/>
      <w:bookmarkEnd w:id="606"/>
      <w:bookmarkEnd w:id="607"/>
    </w:p>
    <w:p>
      <w:pPr>
        <w:pStyle w:val="Style22"/>
        <w:keepNext/>
        <w:keepLines/>
        <w:widowControl w:val="0"/>
        <w:shd w:val="clear" w:color="auto" w:fill="auto"/>
        <w:bidi w:val="0"/>
        <w:spacing w:before="0" w:after="320" w:line="240" w:lineRule="auto"/>
        <w:ind w:left="0" w:right="0" w:firstLine="0"/>
        <w:jc w:val="left"/>
      </w:pPr>
      <w:bookmarkStart w:id="608" w:name="bookmark608"/>
      <w:bookmarkStart w:id="609" w:name="bookmark609"/>
      <w:bookmarkStart w:id="610" w:name="bookmark610"/>
      <w:bookmarkStart w:id="611" w:name="bookmark611"/>
      <w:bookmarkStart w:id="612" w:name="bookmark612"/>
      <w:r>
        <w:rPr>
          <w:color w:val="000000"/>
          <w:spacing w:val="0"/>
          <w:w w:val="100"/>
          <w:position w:val="0"/>
        </w:rPr>
        <w:t>一</w:t>
      </w:r>
      <w:bookmarkEnd w:id="611"/>
      <w:r>
        <w:rPr>
          <w:color w:val="000000"/>
          <w:spacing w:val="0"/>
          <w:w w:val="100"/>
          <w:position w:val="0"/>
        </w:rPr>
        <w:t>、审计报告</w:t>
      </w:r>
      <w:bookmarkEnd w:id="609"/>
      <w:bookmarkEnd w:id="610"/>
      <w:bookmarkEnd w:id="612"/>
      <w:bookmarkEnd w:id="60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众环审字</w:t>
            </w:r>
            <w:r>
              <w:rPr>
                <w:color w:val="000000"/>
                <w:spacing w:val="0"/>
                <w:w w:val="100"/>
                <w:position w:val="0"/>
                <w:sz w:val="18"/>
                <w:szCs w:val="18"/>
              </w:rPr>
              <w:t>(2022) 0510098</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胡海林、姚月仙</w:t>
            </w:r>
          </w:p>
        </w:tc>
      </w:tr>
    </w:tbl>
    <w:p>
      <w:pPr>
        <w:widowControl w:val="0"/>
        <w:spacing w:after="439" w:line="1" w:lineRule="exact"/>
      </w:pPr>
    </w:p>
    <w:p>
      <w:pPr>
        <w:pStyle w:val="Style19"/>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审计报告正文</w:t>
      </w:r>
    </w:p>
    <w:p>
      <w:pPr>
        <w:pStyle w:val="Style19"/>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广东省广告集团股份有限公司全体股东：</w:t>
      </w:r>
    </w:p>
    <w:p>
      <w:pPr>
        <w:pStyle w:val="Style19"/>
        <w:keepNext w:val="0"/>
        <w:keepLines w:val="0"/>
        <w:widowControl w:val="0"/>
        <w:shd w:val="clear" w:color="auto" w:fill="auto"/>
        <w:tabs>
          <w:tab w:pos="834" w:val="left"/>
        </w:tabs>
        <w:bidi w:val="0"/>
        <w:spacing w:before="0" w:after="0" w:line="312" w:lineRule="exact"/>
        <w:ind w:left="0" w:right="0" w:firstLine="500"/>
        <w:jc w:val="both"/>
      </w:pPr>
      <w:bookmarkStart w:id="613" w:name="bookmark613"/>
      <w:r>
        <w:rPr>
          <w:color w:val="000000"/>
          <w:spacing w:val="0"/>
          <w:w w:val="100"/>
          <w:position w:val="0"/>
          <w:sz w:val="18"/>
          <w:szCs w:val="18"/>
        </w:rPr>
        <w:t>1</w:t>
      </w:r>
      <w:bookmarkEnd w:id="613"/>
      <w:r>
        <w:rPr>
          <w:color w:val="000000"/>
          <w:spacing w:val="0"/>
          <w:w w:val="100"/>
          <w:position w:val="0"/>
        </w:rPr>
        <w:t>、</w:t>
        <w:tab/>
        <w:t>审计意见</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我们审计了广东省广告集团股份有限公司（以下简称“省广集团”</w:t>
      </w:r>
      <w:r>
        <w:rPr>
          <w:color w:val="000000"/>
          <w:spacing w:val="0"/>
          <w:w w:val="100"/>
          <w:position w:val="0"/>
          <w:sz w:val="18"/>
          <w:szCs w:val="18"/>
        </w:rPr>
        <w:t>）</w:t>
      </w:r>
      <w:r>
        <w:rPr>
          <w:color w:val="000000"/>
          <w:spacing w:val="0"/>
          <w:w w:val="100"/>
          <w:position w:val="0"/>
        </w:rPr>
        <w:t>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 产负债表，</w:t>
      </w:r>
      <w:r>
        <w:rPr>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我们认为，后附的财务报表在所有重大方面按照企业会计准则的规定编制，公允反映了省广集团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 及公司的财务状况以及</w:t>
      </w:r>
      <w:r>
        <w:rPr>
          <w:color w:val="000000"/>
          <w:spacing w:val="0"/>
          <w:w w:val="100"/>
          <w:position w:val="0"/>
          <w:sz w:val="18"/>
          <w:szCs w:val="18"/>
        </w:rPr>
        <w:t>2021</w:t>
      </w:r>
      <w:r>
        <w:rPr>
          <w:color w:val="000000"/>
          <w:spacing w:val="0"/>
          <w:w w:val="100"/>
          <w:position w:val="0"/>
        </w:rPr>
        <w:t>年度合并及公司的经营成果和现金流量。</w:t>
      </w:r>
    </w:p>
    <w:p>
      <w:pPr>
        <w:pStyle w:val="Style19"/>
        <w:keepNext w:val="0"/>
        <w:keepLines w:val="0"/>
        <w:widowControl w:val="0"/>
        <w:shd w:val="clear" w:color="auto" w:fill="auto"/>
        <w:tabs>
          <w:tab w:pos="844" w:val="left"/>
        </w:tabs>
        <w:bidi w:val="0"/>
        <w:spacing w:before="0" w:after="0" w:line="312" w:lineRule="exact"/>
        <w:ind w:left="0" w:right="0" w:firstLine="500"/>
        <w:jc w:val="both"/>
      </w:pPr>
      <w:bookmarkStart w:id="614" w:name="bookmark614"/>
      <w:r>
        <w:rPr>
          <w:color w:val="000000"/>
          <w:spacing w:val="0"/>
          <w:w w:val="100"/>
          <w:position w:val="0"/>
          <w:sz w:val="18"/>
          <w:szCs w:val="18"/>
        </w:rPr>
        <w:t>2</w:t>
      </w:r>
      <w:bookmarkEnd w:id="614"/>
      <w:r>
        <w:rPr>
          <w:color w:val="000000"/>
          <w:spacing w:val="0"/>
          <w:w w:val="100"/>
          <w:position w:val="0"/>
        </w:rPr>
        <w:t>、</w:t>
        <w:tab/>
        <w:t>形成审计意见的基础</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一步阐述了我们在这些准则下的责任。按照中国注册会计师职业道德守则，我们独立于省广集团，并履行了职业道德方面的 其他责任。我们相信，我们获取的审计证据是充分、适当的，为发表审计意见提供了基础。</w:t>
      </w:r>
    </w:p>
    <w:p>
      <w:pPr>
        <w:pStyle w:val="Style19"/>
        <w:keepNext w:val="0"/>
        <w:keepLines w:val="0"/>
        <w:widowControl w:val="0"/>
        <w:shd w:val="clear" w:color="auto" w:fill="auto"/>
        <w:tabs>
          <w:tab w:pos="844" w:val="left"/>
        </w:tabs>
        <w:bidi w:val="0"/>
        <w:spacing w:before="0" w:after="0" w:line="312" w:lineRule="exact"/>
        <w:ind w:left="0" w:right="0" w:firstLine="500"/>
        <w:jc w:val="both"/>
      </w:pPr>
      <w:bookmarkStart w:id="615" w:name="bookmark615"/>
      <w:r>
        <w:rPr>
          <w:color w:val="000000"/>
          <w:spacing w:val="0"/>
          <w:w w:val="100"/>
          <w:position w:val="0"/>
          <w:sz w:val="18"/>
          <w:szCs w:val="18"/>
        </w:rPr>
        <w:t>3</w:t>
      </w:r>
      <w:bookmarkEnd w:id="615"/>
      <w:r>
        <w:rPr>
          <w:color w:val="000000"/>
          <w:spacing w:val="0"/>
          <w:w w:val="100"/>
          <w:position w:val="0"/>
        </w:rPr>
        <w:t>、</w:t>
        <w:tab/>
        <w:t>关键审计事项</w:t>
      </w:r>
    </w:p>
    <w:p>
      <w:pPr>
        <w:pStyle w:val="Style19"/>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4"/>
        <w:keepNext w:val="0"/>
        <w:keepLines w:val="0"/>
        <w:widowControl w:val="0"/>
        <w:shd w:val="clear" w:color="auto" w:fill="auto"/>
        <w:bidi w:val="0"/>
        <w:spacing w:before="0" w:after="0" w:line="240" w:lineRule="auto"/>
        <w:ind w:left="504" w:right="0" w:firstLine="0"/>
        <w:jc w:val="left"/>
      </w:pPr>
      <w:r>
        <w:rPr>
          <w:color w:val="000000"/>
          <w:spacing w:val="0"/>
          <w:w w:val="100"/>
          <w:position w:val="0"/>
        </w:rPr>
        <w:t>（一）收入确认</w:t>
      </w:r>
    </w:p>
    <w:tbl>
      <w:tblPr>
        <w:tblOverlap w:val="never"/>
        <w:jc w:val="center"/>
        <w:tblLayout w:type="fixed"/>
      </w:tblPr>
      <w:tblGrid>
        <w:gridCol w:w="4306"/>
        <w:gridCol w:w="5371"/>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在审计中如何应对该事项</w:t>
            </w:r>
          </w:p>
        </w:tc>
      </w:tr>
      <w:tr>
        <w:trPr>
          <w:trHeight w:val="323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如财务报表注释七、</w:t>
            </w:r>
            <w:r>
              <w:rPr>
                <w:color w:val="000000"/>
                <w:spacing w:val="0"/>
                <w:w w:val="100"/>
                <w:position w:val="0"/>
                <w:sz w:val="18"/>
                <w:szCs w:val="18"/>
              </w:rPr>
              <w:t>61</w:t>
            </w:r>
            <w:r>
              <w:rPr>
                <w:rFonts w:ascii="SimSun" w:eastAsia="SimSun" w:hAnsi="SimSun" w:cs="SimSun"/>
                <w:color w:val="000000"/>
                <w:spacing w:val="0"/>
                <w:w w:val="100"/>
                <w:position w:val="0"/>
                <w:sz w:val="17"/>
                <w:szCs w:val="17"/>
              </w:rPr>
              <w:t>、营业收入所述，</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年度省广 集团营业收入总额为</w:t>
            </w:r>
            <w:r>
              <w:rPr>
                <w:color w:val="000000"/>
                <w:spacing w:val="0"/>
                <w:w w:val="100"/>
                <w:position w:val="0"/>
                <w:sz w:val="18"/>
                <w:szCs w:val="18"/>
              </w:rPr>
              <w:t>13,003,000,295.03</w:t>
            </w:r>
            <w:r>
              <w:rPr>
                <w:rFonts w:ascii="SimSun" w:eastAsia="SimSun" w:hAnsi="SimSun" w:cs="SimSun"/>
                <w:color w:val="000000"/>
                <w:spacing w:val="0"/>
                <w:w w:val="100"/>
                <w:position w:val="0"/>
                <w:sz w:val="17"/>
                <w:szCs w:val="17"/>
              </w:rPr>
              <w:t>元。营业收入是 省广集团利润表的重要项目，是省广集团的主要利润来 源，收入确认的真实性、准确性和完整性对省广集团利 润影响较大，因此我们将收入确认作为关键审计事项。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3"/>
              </w:numPr>
              <w:shd w:val="clear" w:color="auto" w:fill="auto"/>
              <w:tabs>
                <w:tab w:pos="283" w:val="left"/>
              </w:tabs>
              <w:bidi w:val="0"/>
              <w:spacing w:before="0" w:after="80" w:line="307" w:lineRule="exact"/>
              <w:ind w:left="0" w:right="0" w:firstLine="0"/>
              <w:jc w:val="both"/>
              <w:rPr>
                <w:sz w:val="17"/>
                <w:szCs w:val="17"/>
              </w:rPr>
            </w:pPr>
            <w:r>
              <w:rPr>
                <w:rFonts w:ascii="SimSun" w:eastAsia="SimSun" w:hAnsi="SimSun" w:cs="SimSun"/>
                <w:color w:val="000000"/>
                <w:spacing w:val="0"/>
                <w:w w:val="100"/>
                <w:position w:val="0"/>
                <w:sz w:val="17"/>
                <w:szCs w:val="17"/>
              </w:rPr>
              <w:t>了解并测试与销售、收款相关的关键内部控制，评价其设计的合 理性和运行的有效性；</w:t>
            </w:r>
          </w:p>
          <w:p>
            <w:pPr>
              <w:pStyle w:val="Style2"/>
              <w:keepNext w:val="0"/>
              <w:keepLines w:val="0"/>
              <w:widowControl w:val="0"/>
              <w:numPr>
                <w:ilvl w:val="0"/>
                <w:numId w:val="13"/>
              </w:numPr>
              <w:shd w:val="clear" w:color="auto" w:fill="auto"/>
              <w:tabs>
                <w:tab w:pos="269" w:val="left"/>
              </w:tabs>
              <w:bidi w:val="0"/>
              <w:spacing w:before="0" w:after="80" w:line="322" w:lineRule="exact"/>
              <w:ind w:left="0" w:right="0" w:firstLine="0"/>
              <w:jc w:val="both"/>
              <w:rPr>
                <w:sz w:val="17"/>
                <w:szCs w:val="17"/>
              </w:rPr>
            </w:pPr>
            <w:r>
              <w:rPr>
                <w:rFonts w:ascii="SimSun" w:eastAsia="SimSun" w:hAnsi="SimSun" w:cs="SimSun"/>
                <w:color w:val="000000"/>
                <w:spacing w:val="0"/>
                <w:w w:val="100"/>
                <w:position w:val="0"/>
                <w:sz w:val="17"/>
                <w:szCs w:val="17"/>
              </w:rPr>
              <w:t>检查销售收入的确认条件、方法及时点是否符合企业会计准则的 要求；</w:t>
            </w:r>
          </w:p>
          <w:p>
            <w:pPr>
              <w:pStyle w:val="Style2"/>
              <w:keepNext w:val="0"/>
              <w:keepLines w:val="0"/>
              <w:widowControl w:val="0"/>
              <w:numPr>
                <w:ilvl w:val="0"/>
                <w:numId w:val="13"/>
              </w:numPr>
              <w:shd w:val="clear" w:color="auto" w:fill="auto"/>
              <w:tabs>
                <w:tab w:pos="264" w:val="left"/>
              </w:tabs>
              <w:bidi w:val="0"/>
              <w:spacing w:before="0" w:after="80" w:line="317" w:lineRule="exact"/>
              <w:ind w:left="0" w:right="0" w:firstLine="0"/>
              <w:jc w:val="both"/>
              <w:rPr>
                <w:sz w:val="17"/>
                <w:szCs w:val="17"/>
              </w:rPr>
            </w:pPr>
            <w:r>
              <w:rPr>
                <w:rFonts w:ascii="SimSun" w:eastAsia="SimSun" w:hAnsi="SimSun" w:cs="SimSun"/>
                <w:color w:val="000000"/>
                <w:spacing w:val="0"/>
                <w:w w:val="100"/>
                <w:position w:val="0"/>
                <w:sz w:val="17"/>
                <w:szCs w:val="17"/>
              </w:rPr>
              <w:t>对收入和成本执行分析程序，包括但不限于：本期各月度收入、 成本、毛利波动分析，主要业务本期收入、成本、毛利率与上期比较 分析等分析程序；</w:t>
            </w:r>
          </w:p>
          <w:p>
            <w:pPr>
              <w:pStyle w:val="Style2"/>
              <w:keepNext w:val="0"/>
              <w:keepLines w:val="0"/>
              <w:widowControl w:val="0"/>
              <w:numPr>
                <w:ilvl w:val="0"/>
                <w:numId w:val="13"/>
              </w:numPr>
              <w:shd w:val="clear" w:color="auto" w:fill="auto"/>
              <w:tabs>
                <w:tab w:pos="274" w:val="left"/>
              </w:tabs>
              <w:bidi w:val="0"/>
              <w:spacing w:before="0" w:after="80" w:line="317" w:lineRule="exact"/>
              <w:ind w:left="0" w:right="0" w:firstLine="0"/>
              <w:jc w:val="both"/>
              <w:rPr>
                <w:sz w:val="17"/>
                <w:szCs w:val="17"/>
              </w:rPr>
            </w:pPr>
            <w:r>
              <w:rPr>
                <w:rFonts w:ascii="SimSun" w:eastAsia="SimSun" w:hAnsi="SimSun" w:cs="SimSun"/>
                <w:color w:val="000000"/>
                <w:spacing w:val="0"/>
                <w:w w:val="100"/>
                <w:position w:val="0"/>
                <w:sz w:val="17"/>
                <w:szCs w:val="17"/>
              </w:rPr>
              <w:t>执行细节测试，抽样检查销售明细、销售合同或客户订单、收款 单据、广告业务结算单、销售发票等外部证据，向客户发函询证应收</w:t>
            </w:r>
          </w:p>
        </w:tc>
      </w:tr>
    </w:tbl>
    <w:p>
      <w:pPr>
        <w:widowControl w:val="0"/>
        <w:spacing w:line="1" w:lineRule="exact"/>
      </w:pPr>
      <w:r>
        <w:br w:type="page"/>
      </w:r>
    </w:p>
    <w:tbl>
      <w:tblPr>
        <w:tblOverlap w:val="never"/>
        <w:jc w:val="center"/>
        <w:tblLayout w:type="fixed"/>
      </w:tblPr>
      <w:tblGrid>
        <w:gridCol w:w="4306"/>
        <w:gridCol w:w="5371"/>
      </w:tblGrid>
      <w:tr>
        <w:trPr>
          <w:trHeight w:val="22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317" w:lineRule="exact"/>
              <w:ind w:left="0" w:right="0" w:firstLine="0"/>
              <w:jc w:val="left"/>
              <w:rPr>
                <w:sz w:val="17"/>
                <w:szCs w:val="17"/>
              </w:rPr>
            </w:pPr>
            <w:r>
              <w:rPr>
                <w:rFonts w:ascii="SimSun" w:eastAsia="SimSun" w:hAnsi="SimSun" w:cs="SimSun"/>
                <w:color w:val="000000"/>
                <w:spacing w:val="0"/>
                <w:w w:val="100"/>
                <w:position w:val="0"/>
                <w:sz w:val="17"/>
                <w:szCs w:val="17"/>
              </w:rPr>
              <w:t>账款余额和销售收入金额；</w:t>
            </w:r>
          </w:p>
          <w:p>
            <w:pPr>
              <w:pStyle w:val="Style2"/>
              <w:keepNext w:val="0"/>
              <w:keepLines w:val="0"/>
              <w:widowControl w:val="0"/>
              <w:numPr>
                <w:ilvl w:val="0"/>
                <w:numId w:val="15"/>
              </w:numPr>
              <w:shd w:val="clear" w:color="auto" w:fill="auto"/>
              <w:tabs>
                <w:tab w:pos="264" w:val="left"/>
              </w:tabs>
              <w:bidi w:val="0"/>
              <w:spacing w:before="0" w:after="80" w:line="317" w:lineRule="exact"/>
              <w:ind w:left="0" w:right="0" w:firstLine="0"/>
              <w:jc w:val="left"/>
              <w:rPr>
                <w:sz w:val="17"/>
                <w:szCs w:val="17"/>
              </w:rPr>
            </w:pPr>
            <w:r>
              <w:rPr>
                <w:rFonts w:ascii="SimSun" w:eastAsia="SimSun" w:hAnsi="SimSun" w:cs="SimSun"/>
                <w:color w:val="000000"/>
                <w:spacing w:val="0"/>
                <w:w w:val="100"/>
                <w:position w:val="0"/>
                <w:sz w:val="17"/>
                <w:szCs w:val="17"/>
              </w:rPr>
              <w:t>对资产负债表日前后的销售交易进行截止测试，核对广告发布排 期表、媒体播放证明、结案报告及其他支持性文件，以评价收入是否 被记录于恰当的会计期间；</w:t>
            </w:r>
          </w:p>
          <w:p>
            <w:pPr>
              <w:pStyle w:val="Style2"/>
              <w:keepNext w:val="0"/>
              <w:keepLines w:val="0"/>
              <w:widowControl w:val="0"/>
              <w:numPr>
                <w:ilvl w:val="0"/>
                <w:numId w:val="15"/>
              </w:numPr>
              <w:shd w:val="clear" w:color="auto" w:fill="auto"/>
              <w:tabs>
                <w:tab w:pos="211" w:val="left"/>
              </w:tabs>
              <w:bidi w:val="0"/>
              <w:spacing w:before="0" w:after="80" w:line="317" w:lineRule="exact"/>
              <w:ind w:left="0" w:right="0" w:firstLine="0"/>
              <w:jc w:val="left"/>
              <w:rPr>
                <w:sz w:val="17"/>
                <w:szCs w:val="17"/>
              </w:rPr>
            </w:pPr>
            <w:r>
              <w:rPr>
                <w:rFonts w:ascii="SimSun" w:eastAsia="SimSun" w:hAnsi="SimSun" w:cs="SimSun"/>
                <w:color w:val="000000"/>
                <w:spacing w:val="0"/>
                <w:w w:val="100"/>
                <w:position w:val="0"/>
                <w:sz w:val="17"/>
                <w:szCs w:val="17"/>
              </w:rPr>
              <w:t>检查与收入确认相关的信息在财务报表中的列报与披露是否充分、 适当。</w:t>
            </w:r>
          </w:p>
        </w:tc>
      </w:tr>
    </w:tbl>
    <w:p>
      <w:pPr>
        <w:pStyle w:val="Style24"/>
        <w:keepNext w:val="0"/>
        <w:keepLines w:val="0"/>
        <w:widowControl w:val="0"/>
        <w:shd w:val="clear" w:color="auto" w:fill="auto"/>
        <w:bidi w:val="0"/>
        <w:spacing w:before="0" w:after="0" w:line="240" w:lineRule="auto"/>
        <w:ind w:left="504" w:right="0" w:firstLine="0"/>
        <w:jc w:val="left"/>
      </w:pPr>
      <w:r>
        <w:rPr>
          <w:color w:val="000000"/>
          <w:spacing w:val="0"/>
          <w:w w:val="100"/>
          <w:position w:val="0"/>
        </w:rPr>
        <w:t>（二）应收账款预期信用损失的计量</w:t>
      </w:r>
    </w:p>
    <w:p>
      <w:pPr>
        <w:widowControl w:val="0"/>
        <w:spacing w:line="1" w:lineRule="exact"/>
      </w:pPr>
    </w:p>
    <w:tbl>
      <w:tblPr>
        <w:tblOverlap w:val="never"/>
        <w:jc w:val="center"/>
        <w:tblLayout w:type="fixed"/>
      </w:tblPr>
      <w:tblGrid>
        <w:gridCol w:w="3806"/>
        <w:gridCol w:w="5870"/>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在审计中如何应对该事项</w:t>
            </w:r>
          </w:p>
        </w:tc>
      </w:tr>
      <w:tr>
        <w:trPr>
          <w:trHeight w:val="48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如财务报表注释七、</w:t>
            </w:r>
            <w:r>
              <w:rPr>
                <w:color w:val="000000"/>
                <w:spacing w:val="0"/>
                <w:w w:val="100"/>
                <w:position w:val="0"/>
                <w:sz w:val="18"/>
                <w:szCs w:val="18"/>
              </w:rPr>
              <w:t>5</w:t>
            </w:r>
            <w:r>
              <w:rPr>
                <w:rFonts w:ascii="SimSun" w:eastAsia="SimSun" w:hAnsi="SimSun" w:cs="SimSun"/>
                <w:color w:val="000000"/>
                <w:spacing w:val="0"/>
                <w:w w:val="100"/>
                <w:position w:val="0"/>
                <w:sz w:val="17"/>
                <w:szCs w:val="17"/>
              </w:rPr>
              <w:t>、应收账款所述，截止</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 xml:space="preserve">日，省广集团应收款项余额为人民币 </w:t>
            </w:r>
            <w:r>
              <w:rPr>
                <w:color w:val="000000"/>
                <w:spacing w:val="0"/>
                <w:w w:val="100"/>
                <w:position w:val="0"/>
                <w:sz w:val="18"/>
                <w:szCs w:val="18"/>
              </w:rPr>
              <w:t>3,525,647,399.52</w:t>
            </w:r>
            <w:r>
              <w:rPr>
                <w:rFonts w:ascii="SimSun" w:eastAsia="SimSun" w:hAnsi="SimSun" w:cs="SimSun"/>
                <w:color w:val="000000"/>
                <w:spacing w:val="0"/>
                <w:w w:val="100"/>
                <w:position w:val="0"/>
                <w:sz w:val="17"/>
                <w:szCs w:val="17"/>
              </w:rPr>
              <w:t>元，占资产总额的</w:t>
            </w:r>
            <w:r>
              <w:rPr>
                <w:color w:val="000000"/>
                <w:spacing w:val="0"/>
                <w:w w:val="100"/>
                <w:position w:val="0"/>
                <w:sz w:val="18"/>
                <w:szCs w:val="18"/>
              </w:rPr>
              <w:t>44.51%</w:t>
            </w:r>
            <w:r>
              <w:rPr>
                <w:rFonts w:ascii="SimSun" w:eastAsia="SimSun" w:hAnsi="SimSun" w:cs="SimSun"/>
                <w:color w:val="000000"/>
                <w:spacing w:val="0"/>
                <w:w w:val="100"/>
                <w:position w:val="0"/>
                <w:sz w:val="17"/>
                <w:szCs w:val="17"/>
              </w:rPr>
              <w:t>，坏账 准备金额为</w:t>
            </w:r>
            <w:r>
              <w:rPr>
                <w:color w:val="000000"/>
                <w:spacing w:val="0"/>
                <w:w w:val="100"/>
                <w:position w:val="0"/>
                <w:sz w:val="18"/>
                <w:szCs w:val="18"/>
              </w:rPr>
              <w:t>583,528,764.4</w:t>
            </w:r>
            <w:r>
              <w:rPr>
                <w:color w:val="000000"/>
                <w:spacing w:val="0"/>
                <w:w w:val="100"/>
                <w:position w:val="0"/>
                <w:sz w:val="18"/>
                <w:szCs w:val="18"/>
              </w:rPr>
              <w:t>7</w:t>
            </w:r>
            <w:r>
              <w:rPr>
                <w:rFonts w:ascii="SimSun" w:eastAsia="SimSun" w:hAnsi="SimSun" w:cs="SimSun"/>
                <w:color w:val="000000"/>
                <w:spacing w:val="0"/>
                <w:w w:val="100"/>
                <w:position w:val="0"/>
                <w:sz w:val="17"/>
                <w:szCs w:val="17"/>
              </w:rPr>
              <w:t>元。应收账款坏账准备 余额反映了管理层在资产负债表日对预期信用 损失做出的最佳估计。在估计时，管理层需要考 虑以前年度的信用违约记录和回款率，实施判断 以估计债务人的资信状况以及前瞻性经济指标。 上述事项涉及重大会计估计和管理层的判断，且 应收账款预期信用损失对于财务报表具有重要 性，因此我们将应收账款预期信用损失的计量作 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7"/>
              </w:numPr>
              <w:shd w:val="clear" w:color="auto" w:fill="auto"/>
              <w:tabs>
                <w:tab w:pos="264" w:val="left"/>
              </w:tabs>
              <w:bidi w:val="0"/>
              <w:spacing w:before="0" w:after="80" w:line="317" w:lineRule="exact"/>
              <w:ind w:left="0" w:right="0" w:firstLine="0"/>
              <w:jc w:val="both"/>
              <w:rPr>
                <w:sz w:val="17"/>
                <w:szCs w:val="17"/>
              </w:rPr>
            </w:pPr>
            <w:r>
              <w:rPr>
                <w:rFonts w:ascii="SimSun" w:eastAsia="SimSun" w:hAnsi="SimSun" w:cs="SimSun"/>
                <w:color w:val="000000"/>
                <w:spacing w:val="0"/>
                <w:w w:val="100"/>
                <w:position w:val="0"/>
                <w:sz w:val="17"/>
                <w:szCs w:val="17"/>
              </w:rPr>
              <w:t>评价省广集团对应收账款管理内部控制制度的设计和运行的有效性；</w:t>
            </w:r>
          </w:p>
          <w:p>
            <w:pPr>
              <w:pStyle w:val="Style2"/>
              <w:keepNext w:val="0"/>
              <w:keepLines w:val="0"/>
              <w:widowControl w:val="0"/>
              <w:numPr>
                <w:ilvl w:val="0"/>
                <w:numId w:val="17"/>
              </w:numPr>
              <w:shd w:val="clear" w:color="auto" w:fill="auto"/>
              <w:tabs>
                <w:tab w:pos="264" w:val="left"/>
              </w:tabs>
              <w:bidi w:val="0"/>
              <w:spacing w:before="0" w:after="80" w:line="322" w:lineRule="exact"/>
              <w:ind w:left="0" w:right="0" w:firstLine="0"/>
              <w:jc w:val="both"/>
              <w:rPr>
                <w:sz w:val="17"/>
                <w:szCs w:val="17"/>
              </w:rPr>
            </w:pPr>
            <w:r>
              <w:rPr>
                <w:rFonts w:ascii="SimSun" w:eastAsia="SimSun" w:hAnsi="SimSun" w:cs="SimSun"/>
                <w:color w:val="000000"/>
                <w:spacing w:val="0"/>
                <w:w w:val="100"/>
                <w:position w:val="0"/>
                <w:sz w:val="17"/>
                <w:szCs w:val="17"/>
              </w:rPr>
              <w:t>检查了预期信用损失的计量模型，评估了模型中重大假设和关键参数的 合理性以及信用风险组合划分方法的恰当性；</w:t>
            </w:r>
          </w:p>
          <w:p>
            <w:pPr>
              <w:pStyle w:val="Style2"/>
              <w:keepNext w:val="0"/>
              <w:keepLines w:val="0"/>
              <w:widowControl w:val="0"/>
              <w:numPr>
                <w:ilvl w:val="0"/>
                <w:numId w:val="17"/>
              </w:numPr>
              <w:shd w:val="clear" w:color="auto" w:fill="auto"/>
              <w:tabs>
                <w:tab w:pos="269" w:val="left"/>
              </w:tabs>
              <w:bidi w:val="0"/>
              <w:spacing w:before="0" w:after="80" w:line="317" w:lineRule="exact"/>
              <w:ind w:left="0" w:right="0" w:firstLine="0"/>
              <w:jc w:val="both"/>
              <w:rPr>
                <w:sz w:val="17"/>
                <w:szCs w:val="17"/>
              </w:rPr>
            </w:pPr>
            <w:r>
              <w:rPr>
                <w:rFonts w:ascii="SimSun" w:eastAsia="SimSun" w:hAnsi="SimSun" w:cs="SimSun"/>
                <w:color w:val="000000"/>
                <w:spacing w:val="0"/>
                <w:w w:val="100"/>
                <w:position w:val="0"/>
                <w:sz w:val="17"/>
                <w:szCs w:val="17"/>
              </w:rPr>
              <w:t>通过选取检查各个组合内客户的信用记录、历史付款记录、期后回款并 考虑前瞻性信息等因素，评估了管理层对整个存续期信用损失预计的适当 性；</w:t>
            </w:r>
          </w:p>
          <w:p>
            <w:pPr>
              <w:pStyle w:val="Style2"/>
              <w:keepNext w:val="0"/>
              <w:keepLines w:val="0"/>
              <w:widowControl w:val="0"/>
              <w:numPr>
                <w:ilvl w:val="0"/>
                <w:numId w:val="17"/>
              </w:numPr>
              <w:shd w:val="clear" w:color="auto" w:fill="auto"/>
              <w:tabs>
                <w:tab w:pos="269" w:val="left"/>
              </w:tabs>
              <w:bidi w:val="0"/>
              <w:spacing w:before="0" w:after="80" w:line="317" w:lineRule="exact"/>
              <w:ind w:left="0" w:right="0" w:firstLine="0"/>
              <w:jc w:val="both"/>
              <w:rPr>
                <w:sz w:val="17"/>
                <w:szCs w:val="17"/>
              </w:rPr>
            </w:pPr>
            <w:r>
              <w:rPr>
                <w:rFonts w:ascii="SimSun" w:eastAsia="SimSun" w:hAnsi="SimSun" w:cs="SimSun"/>
                <w:color w:val="000000"/>
                <w:spacing w:val="0"/>
                <w:w w:val="100"/>
                <w:position w:val="0"/>
                <w:sz w:val="17"/>
                <w:szCs w:val="17"/>
              </w:rPr>
              <w:t>抽样检查了预期信用损失模型的关键数据，包括历史数据，以评估其完 整性及准确性；</w:t>
            </w:r>
          </w:p>
          <w:p>
            <w:pPr>
              <w:pStyle w:val="Style2"/>
              <w:keepNext w:val="0"/>
              <w:keepLines w:val="0"/>
              <w:widowControl w:val="0"/>
              <w:numPr>
                <w:ilvl w:val="0"/>
                <w:numId w:val="17"/>
              </w:numPr>
              <w:shd w:val="clear" w:color="auto" w:fill="auto"/>
              <w:tabs>
                <w:tab w:pos="269" w:val="left"/>
              </w:tabs>
              <w:bidi w:val="0"/>
              <w:spacing w:before="0" w:after="80" w:line="317" w:lineRule="exact"/>
              <w:ind w:left="0" w:right="0" w:firstLine="0"/>
              <w:jc w:val="both"/>
              <w:rPr>
                <w:sz w:val="17"/>
                <w:szCs w:val="17"/>
              </w:rPr>
            </w:pPr>
            <w:r>
              <w:rPr>
                <w:rFonts w:ascii="SimSun" w:eastAsia="SimSun" w:hAnsi="SimSun" w:cs="SimSun"/>
                <w:color w:val="000000"/>
                <w:spacing w:val="0"/>
                <w:w w:val="100"/>
                <w:position w:val="0"/>
                <w:sz w:val="17"/>
                <w:szCs w:val="17"/>
              </w:rPr>
              <w:t>对重要应收款项实施了函证程序，核实其真实性、准确性；</w:t>
            </w:r>
          </w:p>
          <w:p>
            <w:pPr>
              <w:pStyle w:val="Style2"/>
              <w:keepNext w:val="0"/>
              <w:keepLines w:val="0"/>
              <w:widowControl w:val="0"/>
              <w:numPr>
                <w:ilvl w:val="0"/>
                <w:numId w:val="17"/>
              </w:numPr>
              <w:shd w:val="clear" w:color="auto" w:fill="auto"/>
              <w:tabs>
                <w:tab w:pos="269" w:val="left"/>
              </w:tabs>
              <w:bidi w:val="0"/>
              <w:spacing w:before="0" w:after="80" w:line="317" w:lineRule="exact"/>
              <w:ind w:left="0" w:right="0" w:firstLine="0"/>
              <w:jc w:val="both"/>
              <w:rPr>
                <w:sz w:val="17"/>
                <w:szCs w:val="17"/>
              </w:rPr>
            </w:pPr>
            <w:r>
              <w:rPr>
                <w:rFonts w:ascii="SimSun" w:eastAsia="SimSun" w:hAnsi="SimSun" w:cs="SimSun"/>
                <w:color w:val="000000"/>
                <w:spacing w:val="0"/>
                <w:w w:val="100"/>
                <w:position w:val="0"/>
                <w:sz w:val="17"/>
                <w:szCs w:val="17"/>
              </w:rPr>
              <w:t>结合期后回款情况检查，评价管理层对应收账款预期信用损失计提的合 理性；</w:t>
            </w:r>
          </w:p>
          <w:p>
            <w:pPr>
              <w:pStyle w:val="Style2"/>
              <w:keepNext w:val="0"/>
              <w:keepLines w:val="0"/>
              <w:widowControl w:val="0"/>
              <w:numPr>
                <w:ilvl w:val="0"/>
                <w:numId w:val="17"/>
              </w:numPr>
              <w:shd w:val="clear" w:color="auto" w:fill="auto"/>
              <w:tabs>
                <w:tab w:pos="259" w:val="left"/>
              </w:tabs>
              <w:bidi w:val="0"/>
              <w:spacing w:before="0" w:after="80" w:line="322" w:lineRule="exact"/>
              <w:ind w:left="0" w:right="0" w:firstLine="0"/>
              <w:jc w:val="both"/>
              <w:rPr>
                <w:sz w:val="17"/>
                <w:szCs w:val="17"/>
              </w:rPr>
            </w:pPr>
            <w:r>
              <w:rPr>
                <w:rFonts w:ascii="SimSun" w:eastAsia="SimSun" w:hAnsi="SimSun" w:cs="SimSun"/>
                <w:color w:val="000000"/>
                <w:spacing w:val="0"/>
                <w:w w:val="100"/>
                <w:position w:val="0"/>
                <w:sz w:val="17"/>
                <w:szCs w:val="17"/>
              </w:rPr>
              <w:t>检查与应收账款预期信用损失相关的信息是否已在财务报表中作出恰当 列报和披露。</w:t>
            </w:r>
          </w:p>
        </w:tc>
      </w:tr>
    </w:tbl>
    <w:p>
      <w:pPr>
        <w:pStyle w:val="Style24"/>
        <w:keepNext w:val="0"/>
        <w:keepLines w:val="0"/>
        <w:widowControl w:val="0"/>
        <w:shd w:val="clear" w:color="auto" w:fill="auto"/>
        <w:bidi w:val="0"/>
        <w:spacing w:before="0" w:after="100" w:line="240" w:lineRule="auto"/>
        <w:ind w:left="480" w:right="0" w:firstLine="0"/>
        <w:jc w:val="left"/>
      </w:pPr>
      <w:r>
        <w:rPr>
          <w:color w:val="000000"/>
          <w:spacing w:val="0"/>
          <w:w w:val="100"/>
          <w:position w:val="0"/>
          <w:sz w:val="18"/>
          <w:szCs w:val="18"/>
        </w:rPr>
        <w:t>1</w:t>
      </w:r>
      <w:r>
        <w:rPr>
          <w:color w:val="000000"/>
          <w:spacing w:val="0"/>
          <w:w w:val="100"/>
          <w:position w:val="0"/>
        </w:rPr>
        <w:t>、其他信息</w:t>
      </w:r>
    </w:p>
    <w:p>
      <w:pPr>
        <w:pStyle w:val="Style24"/>
        <w:keepNext w:val="0"/>
        <w:keepLines w:val="0"/>
        <w:widowControl w:val="0"/>
        <w:shd w:val="clear" w:color="auto" w:fill="auto"/>
        <w:bidi w:val="0"/>
        <w:spacing w:before="0" w:after="0" w:line="240" w:lineRule="auto"/>
        <w:ind w:left="480" w:right="0" w:firstLine="0"/>
        <w:jc w:val="left"/>
      </w:pPr>
      <w:r>
        <w:rPr>
          <w:color w:val="000000"/>
          <w:spacing w:val="0"/>
          <w:w w:val="100"/>
          <w:position w:val="0"/>
        </w:rPr>
        <w:t>省广集团管理层（以下简称管理层）对其他信息负责。其他信息包括省广集团</w:t>
      </w:r>
      <w:r>
        <w:rPr>
          <w:color w:val="000000"/>
          <w:spacing w:val="0"/>
          <w:w w:val="100"/>
          <w:position w:val="0"/>
          <w:sz w:val="18"/>
          <w:szCs w:val="18"/>
        </w:rPr>
        <w:t>2021</w:t>
      </w:r>
      <w:r>
        <w:rPr>
          <w:color w:val="000000"/>
          <w:spacing w:val="0"/>
          <w:w w:val="100"/>
          <w:position w:val="0"/>
        </w:rPr>
        <w:t>年度报告中涵盖的信息，但不包括</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财务报表和我们的审计报告。</w:t>
      </w:r>
    </w:p>
    <w:p>
      <w:pPr>
        <w:pStyle w:val="Style1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19"/>
        <w:keepNext w:val="0"/>
        <w:keepLines w:val="0"/>
        <w:widowControl w:val="0"/>
        <w:shd w:val="clear" w:color="auto" w:fill="auto"/>
        <w:tabs>
          <w:tab w:pos="840" w:val="left"/>
        </w:tabs>
        <w:bidi w:val="0"/>
        <w:spacing w:before="0" w:after="0" w:line="315" w:lineRule="exact"/>
        <w:ind w:left="0" w:right="0" w:firstLine="500"/>
        <w:jc w:val="both"/>
      </w:pPr>
      <w:bookmarkStart w:id="616" w:name="bookmark616"/>
      <w:r>
        <w:rPr>
          <w:color w:val="000000"/>
          <w:spacing w:val="0"/>
          <w:w w:val="100"/>
          <w:position w:val="0"/>
          <w:sz w:val="18"/>
          <w:szCs w:val="18"/>
        </w:rPr>
        <w:t>2</w:t>
      </w:r>
      <w:bookmarkEnd w:id="616"/>
      <w:r>
        <w:rPr>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省广集团管理层负责按照企业会计准则的规定编制财务报表，使其实现公允反映，并设计、执行和维护必要的内部控 制，以使财务报表不存在由于舞弊或错误导致的重大错报。</w:t>
      </w:r>
    </w:p>
    <w:p>
      <w:pPr>
        <w:pStyle w:val="Style1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在编制财务报表时，管理层负责评估省广集团的持续经营能力，披露与持续经营相关的事项（如适用），并运用持续 经营假设，除非管理层计划清算省广集团、终止运营或别无其他现实的选择。</w:t>
      </w:r>
    </w:p>
    <w:p>
      <w:pPr>
        <w:pStyle w:val="Style19"/>
        <w:keepNext w:val="0"/>
        <w:keepLines w:val="0"/>
        <w:widowControl w:val="0"/>
        <w:shd w:val="clear" w:color="auto" w:fill="auto"/>
        <w:bidi w:val="0"/>
        <w:spacing w:before="0" w:after="0" w:line="315" w:lineRule="exact"/>
        <w:ind w:left="0" w:right="0" w:firstLine="500"/>
        <w:jc w:val="left"/>
      </w:pPr>
      <w:r>
        <w:rPr>
          <w:color w:val="000000"/>
          <w:spacing w:val="0"/>
          <w:w w:val="100"/>
          <w:position w:val="0"/>
        </w:rPr>
        <w:t>治理层负责监督省广集团的财务报告过程。</w:t>
      </w:r>
    </w:p>
    <w:p>
      <w:pPr>
        <w:pStyle w:val="Style19"/>
        <w:keepNext w:val="0"/>
        <w:keepLines w:val="0"/>
        <w:widowControl w:val="0"/>
        <w:shd w:val="clear" w:color="auto" w:fill="auto"/>
        <w:tabs>
          <w:tab w:pos="840" w:val="left"/>
        </w:tabs>
        <w:bidi w:val="0"/>
        <w:spacing w:before="0" w:after="0" w:line="315" w:lineRule="exact"/>
        <w:ind w:left="0" w:right="0" w:firstLine="500"/>
        <w:jc w:val="left"/>
      </w:pPr>
      <w:bookmarkStart w:id="617" w:name="bookmark617"/>
      <w:r>
        <w:rPr>
          <w:color w:val="000000"/>
          <w:spacing w:val="0"/>
          <w:w w:val="100"/>
          <w:position w:val="0"/>
          <w:sz w:val="18"/>
          <w:szCs w:val="18"/>
        </w:rPr>
        <w:t>3</w:t>
      </w:r>
      <w:bookmarkEnd w:id="617"/>
      <w:r>
        <w:rPr>
          <w:color w:val="000000"/>
          <w:spacing w:val="0"/>
          <w:w w:val="100"/>
          <w:position w:val="0"/>
        </w:rPr>
        <w:t>、</w:t>
        <w:tab/>
        <w:t>注册会计师对财务报表审计的责任</w:t>
      </w:r>
    </w:p>
    <w:p>
      <w:pPr>
        <w:pStyle w:val="Style1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在按照审计准则执行审计工作的过程中，我们运用职业判断，并保持职业怀疑。同时，我们也执行以下工作：</w:t>
      </w:r>
    </w:p>
    <w:p>
      <w:pPr>
        <w:pStyle w:val="Style19"/>
        <w:keepNext w:val="0"/>
        <w:keepLines w:val="0"/>
        <w:widowControl w:val="0"/>
        <w:shd w:val="clear" w:color="auto" w:fill="auto"/>
        <w:tabs>
          <w:tab w:pos="1107" w:val="left"/>
        </w:tabs>
        <w:bidi w:val="0"/>
        <w:spacing w:before="0" w:after="0" w:line="313" w:lineRule="exact"/>
        <w:ind w:left="0" w:right="0" w:firstLine="480"/>
        <w:jc w:val="both"/>
      </w:pPr>
      <w:bookmarkStart w:id="618" w:name="bookmark618"/>
      <w:r>
        <w:rPr>
          <w:color w:val="000000"/>
          <w:spacing w:val="0"/>
          <w:w w:val="100"/>
          <w:position w:val="0"/>
        </w:rPr>
        <w:t>（</w:t>
      </w:r>
      <w:bookmarkEnd w:id="618"/>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1011" w:val="left"/>
        </w:tabs>
        <w:bidi w:val="0"/>
        <w:spacing w:before="0" w:after="0" w:line="313" w:lineRule="exact"/>
        <w:ind w:left="0" w:right="0" w:firstLine="480"/>
        <w:jc w:val="both"/>
      </w:pPr>
      <w:bookmarkStart w:id="619" w:name="bookmark619"/>
      <w:r>
        <w:rPr>
          <w:color w:val="000000"/>
          <w:spacing w:val="0"/>
          <w:w w:val="100"/>
          <w:position w:val="0"/>
        </w:rPr>
        <w:t>（</w:t>
      </w:r>
      <w:bookmarkEnd w:id="619"/>
      <w:r>
        <w:rPr>
          <w:color w:val="000000"/>
          <w:spacing w:val="0"/>
          <w:w w:val="100"/>
          <w:position w:val="0"/>
        </w:rPr>
        <w:t>二）</w:t>
        <w:tab/>
        <w:t>了解与审计相关的内部控制，以设计恰当的审计程序。</w:t>
      </w:r>
    </w:p>
    <w:p>
      <w:pPr>
        <w:pStyle w:val="Style19"/>
        <w:keepNext w:val="0"/>
        <w:keepLines w:val="0"/>
        <w:widowControl w:val="0"/>
        <w:shd w:val="clear" w:color="auto" w:fill="auto"/>
        <w:tabs>
          <w:tab w:pos="1011" w:val="left"/>
        </w:tabs>
        <w:bidi w:val="0"/>
        <w:spacing w:before="0" w:after="0" w:line="313" w:lineRule="exact"/>
        <w:ind w:left="0" w:right="0" w:firstLine="480"/>
        <w:jc w:val="both"/>
      </w:pPr>
      <w:bookmarkStart w:id="620" w:name="bookmark620"/>
      <w:r>
        <w:rPr>
          <w:color w:val="000000"/>
          <w:spacing w:val="0"/>
          <w:w w:val="100"/>
          <w:position w:val="0"/>
        </w:rPr>
        <w:t>（</w:t>
      </w:r>
      <w:bookmarkEnd w:id="620"/>
      <w:r>
        <w:rPr>
          <w:color w:val="000000"/>
          <w:spacing w:val="0"/>
          <w:w w:val="100"/>
          <w:position w:val="0"/>
        </w:rPr>
        <w:t>三）</w:t>
        <w:tab/>
        <w:t>评价管理层选用会计政策的恰当性和作出会计估计及相关披露的合理性。</w:t>
      </w:r>
    </w:p>
    <w:p>
      <w:pPr>
        <w:pStyle w:val="Style19"/>
        <w:keepNext w:val="0"/>
        <w:keepLines w:val="0"/>
        <w:widowControl w:val="0"/>
        <w:shd w:val="clear" w:color="auto" w:fill="auto"/>
        <w:tabs>
          <w:tab w:pos="1107" w:val="left"/>
        </w:tabs>
        <w:bidi w:val="0"/>
        <w:spacing w:before="0" w:after="0" w:line="313" w:lineRule="exact"/>
        <w:ind w:left="0" w:right="0" w:firstLine="480"/>
        <w:jc w:val="both"/>
      </w:pPr>
      <w:bookmarkStart w:id="621" w:name="bookmark621"/>
      <w:r>
        <w:rPr>
          <w:color w:val="000000"/>
          <w:spacing w:val="0"/>
          <w:w w:val="100"/>
          <w:position w:val="0"/>
        </w:rPr>
        <w:t>（</w:t>
      </w:r>
      <w:bookmarkEnd w:id="621"/>
      <w:r>
        <w:rPr>
          <w:color w:val="000000"/>
          <w:spacing w:val="0"/>
          <w:w w:val="100"/>
          <w:position w:val="0"/>
        </w:rPr>
        <w:t>四）</w:t>
        <w:tab/>
        <w:t>对管理层使用持续经营假设的恰当性得出结论。同时，根据获取的审计证据，就可能导致对省广集团持续经营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基于截至审计报告日可获得的信息。然而，未来的事项或情况可能导致省广集团不能持续经营。</w:t>
      </w:r>
    </w:p>
    <w:p>
      <w:pPr>
        <w:pStyle w:val="Style19"/>
        <w:keepNext w:val="0"/>
        <w:keepLines w:val="0"/>
        <w:widowControl w:val="0"/>
        <w:shd w:val="clear" w:color="auto" w:fill="auto"/>
        <w:tabs>
          <w:tab w:pos="1011" w:val="left"/>
        </w:tabs>
        <w:bidi w:val="0"/>
        <w:spacing w:before="0" w:after="0" w:line="313" w:lineRule="exact"/>
        <w:ind w:left="0" w:right="0" w:firstLine="480"/>
        <w:jc w:val="both"/>
      </w:pPr>
      <w:bookmarkStart w:id="622" w:name="bookmark622"/>
      <w:r>
        <w:rPr>
          <w:color w:val="000000"/>
          <w:spacing w:val="0"/>
          <w:w w:val="100"/>
          <w:position w:val="0"/>
        </w:rPr>
        <w:t>（</w:t>
      </w:r>
      <w:bookmarkEnd w:id="622"/>
      <w:r>
        <w:rPr>
          <w:color w:val="000000"/>
          <w:spacing w:val="0"/>
          <w:w w:val="100"/>
          <w:position w:val="0"/>
        </w:rPr>
        <w:t>五）</w:t>
        <w:tab/>
        <w:t>评价财务报表的总体列报、结构和内容，并评价财务报表是否公允反映相关交易和事项。</w:t>
      </w:r>
    </w:p>
    <w:p>
      <w:pPr>
        <w:pStyle w:val="Style19"/>
        <w:keepNext w:val="0"/>
        <w:keepLines w:val="0"/>
        <w:widowControl w:val="0"/>
        <w:shd w:val="clear" w:color="auto" w:fill="auto"/>
        <w:tabs>
          <w:tab w:pos="1107" w:val="left"/>
        </w:tabs>
        <w:bidi w:val="0"/>
        <w:spacing w:before="0" w:after="0" w:line="313" w:lineRule="exact"/>
        <w:ind w:left="0" w:right="0" w:firstLine="480"/>
        <w:jc w:val="both"/>
      </w:pPr>
      <w:bookmarkStart w:id="623" w:name="bookmark623"/>
      <w:r>
        <w:rPr>
          <w:color w:val="000000"/>
          <w:spacing w:val="0"/>
          <w:w w:val="100"/>
          <w:position w:val="0"/>
        </w:rPr>
        <w:t>（</w:t>
      </w:r>
      <w:bookmarkEnd w:id="623"/>
      <w:r>
        <w:rPr>
          <w:color w:val="000000"/>
          <w:spacing w:val="0"/>
          <w:w w:val="100"/>
          <w:position w:val="0"/>
        </w:rPr>
        <w:t>六）</w:t>
        <w:tab/>
        <w:t>就省广集团中实体或业务活动的财务信息获取充分、适当的审计证据，以对财务报表发表意见。我们负责指导、 监督和执行集团审计。我们对审计意见承担全部责任。</w:t>
      </w:r>
    </w:p>
    <w:p>
      <w:pPr>
        <w:pStyle w:val="Style1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9"/>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2"/>
        <w:keepNext/>
        <w:keepLines/>
        <w:widowControl w:val="0"/>
        <w:shd w:val="clear" w:color="auto" w:fill="auto"/>
        <w:bidi w:val="0"/>
        <w:spacing w:before="0" w:after="2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二</w:t>
      </w:r>
      <w:bookmarkEnd w:id="626"/>
      <w:r>
        <w:rPr>
          <w:color w:val="000000"/>
          <w:spacing w:val="0"/>
          <w:w w:val="100"/>
          <w:position w:val="0"/>
        </w:rPr>
        <w:t>、财务报表</w:t>
      </w:r>
      <w:bookmarkEnd w:id="624"/>
      <w:bookmarkEnd w:id="625"/>
      <w:bookmarkEnd w:id="627"/>
    </w:p>
    <w:p>
      <w:pPr>
        <w:pStyle w:val="Style1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26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、合并资产负债表</w:t>
      </w:r>
      <w:bookmarkEnd w:id="628"/>
      <w:bookmarkEnd w:id="629"/>
      <w:bookmarkEnd w:id="631"/>
    </w:p>
    <w:p>
      <w:pPr>
        <w:pStyle w:val="Style19"/>
        <w:keepNext w:val="0"/>
        <w:keepLines w:val="0"/>
        <w:widowControl w:val="0"/>
        <w:shd w:val="clear" w:color="auto" w:fill="auto"/>
        <w:bidi w:val="0"/>
        <w:spacing w:before="0" w:line="313" w:lineRule="exact"/>
        <w:ind w:left="0" w:right="0" w:firstLine="0"/>
        <w:jc w:val="left"/>
      </w:pPr>
      <w:r>
        <w:rPr>
          <w:color w:val="000000"/>
          <w:spacing w:val="0"/>
          <w:w w:val="100"/>
          <w:position w:val="0"/>
        </w:rPr>
        <w:t>编制单位：广东省广告集团股份有限公司</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1,438,166,027.44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707,167,789.26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34,141,888.79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10,782,127.44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2,942,118,635.05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3,150,776,058.74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74,876,546.87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122,189,561.46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236,451,257.96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333,375,007.08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142,780,382.44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186,580,249.50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1,520,750.03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4,323,752.14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869,707.97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1,755,372.10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225,870,067.99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390,366,158.09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184,918,179.12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628,895,160.87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5,285,446,737.80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5,541,357,192.51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624,400,758.46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616,989,993.34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62,737,008.26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53,697,021.26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247,325,896.01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202,325,896.00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257,488,242.56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261,527,461.56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669,241,767.11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664,585,144.03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24,832,022.14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22,734,632.21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96,826,752.22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33,726,701.62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480,945,301.58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582,623,685.52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11,464,897.76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15,612,961.48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160,158,942.85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140,038,912.17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2,635,421,588.95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2,616,099,593.59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7,920,868,326.75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8,157,456,786.10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337,882,370.42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227,821,495.46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193,532,908.80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2,216,696,787.01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2,270,525,715.62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586,589.48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946,308.14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248,800,532.45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182,620,512.02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117,258,115.62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134,471,592.64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94,666,459.75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93,651,795.66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73,133,013.93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92,294,190.19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15,361,555.58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9,887,817.02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96,537,256.57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94,629,391.81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3,096,861,805.85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3,410,442,602.32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9,595,067.26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12,846,815.19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25,873,030.74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119,819,580.71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66,666.28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266,666.32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15,815,042.60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15,734,164.95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51,349,806.88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148,667,227.17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3,148,211,612.73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3,559,109,829.49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1,743,337,128.00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1,743,337,128.00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1,402,682,566.47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1,398,438,960.28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72,449,564.23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72,354,279.75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181,737,253.86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171,592,134.30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1,230,265,371.69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1,035,196,597.22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4,630,471,884.25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4,420,919,099.55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142,184,829.77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177,427,857.06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4,772,656,714.02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4,598,346,956.61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7,920,868,326.75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8,157,456,786.10</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701040</wp:posOffset>
                </wp:positionH>
                <wp:positionV relativeFrom="margin">
                  <wp:posOffset>6144895</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wps:txbx>
                      <wps:bodyPr wrap="none" lIns="0" tIns="0" rIns="0" bIns="0">
                        <a:noAutoFit/>
                      </wps:bodyPr>
                    </wps:wsp>
                  </a:graphicData>
                </a:graphic>
              </wp:anchor>
            </w:drawing>
          </mc:Choice>
          <mc:Fallback>
            <w:pict>
              <v:shape id="_x0000_s1030" type="#_x0000_t202" style="position:absolute;margin-left:55.200000000000003pt;margin-top:483.85000000000002pt;width:83.049999999999997pt;height:11.75pt;z-index:-125829373;mso-wrap-distance-left:9.pt;mso-wrap-distance-top:12.pt;mso-wrap-distance-right:405.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法定代表人：陈钿隆</w:t>
                      </w:r>
                    </w:p>
                  </w:txbxContent>
                </v:textbox>
                <w10:wrap type="topAndBottom" anchorx="page" anchory="margin"/>
              </v:shape>
            </w:pict>
          </mc:Fallback>
        </mc:AlternateContent>
      </w:r>
      <w:r>
        <mc:AlternateContent>
          <mc:Choice Requires="wps">
            <w:drawing>
              <wp:anchor distT="152400" distB="3175" distL="2348230" distR="2574290" simplePos="0" relativeHeight="125829382" behindDoc="0" locked="0" layoutInCell="1" allowOverlap="1">
                <wp:simplePos x="0" y="0"/>
                <wp:positionH relativeFrom="page">
                  <wp:posOffset>2934970</wp:posOffset>
                </wp:positionH>
                <wp:positionV relativeFrom="margin">
                  <wp:posOffset>6144895</wp:posOffset>
                </wp:positionV>
                <wp:extent cx="1393190" cy="146050"/>
                <wp:wrapTopAndBottom/>
                <wp:docPr id="6" name="Shape 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主管会计工作负责人：周旭</w:t>
                            </w:r>
                          </w:p>
                        </w:txbxContent>
                      </wps:txbx>
                      <wps:bodyPr wrap="none" lIns="0" tIns="0" rIns="0" bIns="0">
                        <a:noAutoFit/>
                      </wps:bodyPr>
                    </wps:wsp>
                  </a:graphicData>
                </a:graphic>
              </wp:anchor>
            </w:drawing>
          </mc:Choice>
          <mc:Fallback>
            <w:pict>
              <v:shape id="_x0000_s1032" type="#_x0000_t202" style="position:absolute;margin-left:231.09999999999999pt;margin-top:483.85000000000002pt;width:109.7pt;height:11.5pt;z-index:-125829371;mso-wrap-distance-left:184.90000000000001pt;mso-wrap-distance-top:12.pt;mso-wrap-distance-right:202.70000000000002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主管会计工作负责人：周旭</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5501640</wp:posOffset>
                </wp:positionH>
                <wp:positionV relativeFrom="margin">
                  <wp:posOffset>6144895</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wps:txbx>
                      <wps:bodyPr wrap="none" lIns="0" tIns="0" rIns="0" bIns="0">
                        <a:noAutoFit/>
                      </wps:bodyPr>
                    </wps:wsp>
                  </a:graphicData>
                </a:graphic>
              </wp:anchor>
            </w:drawing>
          </mc:Choice>
          <mc:Fallback>
            <w:pict>
              <v:shape id="_x0000_s1034" type="#_x0000_t202" style="position:absolute;margin-left:433.19999999999999pt;margin-top:483.85000000000002pt;width:101.3pt;height:11.75pt;z-index:-125829369;mso-wrap-distance-left:387.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会计机构负责人：吴俊生</w:t>
                      </w:r>
                    </w:p>
                  </w:txbxContent>
                </v:textbox>
                <w10:wrap type="topAndBottom" anchorx="page" anchory="margin"/>
              </v:shape>
            </w:pict>
          </mc:Fallback>
        </mc:AlternateContent>
      </w: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、母公司资产负债表</w:t>
      </w:r>
      <w:bookmarkEnd w:id="632"/>
      <w:bookmarkEnd w:id="633"/>
      <w:bookmarkEnd w:id="63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713,066,603.12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244,160,490.10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29,863,582.78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1,007,197,979.67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1,032,397,292.62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38,458,770.00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101,142,779.32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89,719,099.16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120,760,006.70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468,534,228.21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473,893,249.72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1,994,376.00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811,543.56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250,319,648.10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307,076,000.00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129,659,724.93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288,332,029.97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32,479,697.43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501,693,291.07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2,508,979,685.30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2,762,379,139.50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2,509,108,161.52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2,657,119,609.83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33,941,367.47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24,901,380.47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256,382,657.00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260,421,876.00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636,004,953.35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656,983,433.97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95,349,962.83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30,293,570.10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521,057.89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1,005,594.55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97,131,058.18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82,579,662.33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3,628,439,218.24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3,774,805,127.25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6,137,418,903.54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6,537,184,266.75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275,422,052.37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184,721,719.70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174,521,739.90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944,801,133.02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987,650,983.50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470,283.01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133,821,690.36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72,098,752.50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75,447,982.98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89,054,663.01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35,891,356.06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30,761,699.73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135,943,301.19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178,042,330.36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686,659.25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38,879,532.72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44,596,649.14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1,549,976,999.04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1,852,148,870.51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25,873,030.74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119,819,580.71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66,666.28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266,666.32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15,800,250.40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15,698,387.74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41,739,947.42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135,784,634.77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1,591,716,946.46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1,987,933,505.28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1,743,337,128.00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1,743,337,128.00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1,934,760,707.45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1,934,760,707.45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74,732,130.29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74,732,130.29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181,737,253.86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171,592,134.30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611,134,737.48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624,828,661.43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4,545,701,957.08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4,549,250,761.47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6,137,418,903.54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6,537,184,266.75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3</w:t>
      </w:r>
      <w:bookmarkEnd w:id="638"/>
      <w:r>
        <w:rPr>
          <w:color w:val="000000"/>
          <w:spacing w:val="0"/>
          <w:w w:val="100"/>
          <w:position w:val="0"/>
        </w:rPr>
        <w:t>、合并利润表</w:t>
      </w:r>
      <w:bookmarkEnd w:id="636"/>
      <w:bookmarkEnd w:id="637"/>
      <w:bookmarkEnd w:id="63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13,003,000,295.03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13,291,267,668.33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13,003,000,295.03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13,291,267,668.33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12,779,928,629.42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12,953,421,411.45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11,687,452,010.58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11,913,219,535.78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23,977,664.75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23,216,474.57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539,792,950.85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515,271,982.23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219,514,554.02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230,356,972.33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304,725,866.43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264,270,091.46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4,465,582.79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7,086,355.08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7,353,956.63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17,731,531.47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9,546,281.81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15,751,266.23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108,235,192.11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115,901,357.15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44,454,947.06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-10,542,822.62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其中：对联营企业和合营企业的投资收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31,968,421.95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-30,678,275.87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-136,636,394.88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-178,040,231.49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-98,506,683.44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-1,143,767,654.02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-444,564.36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263,555.36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136,134,943.10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-881,114,392.34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106,611,554.70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4,914,986.08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9,976,759.71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1,334,295.94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232,769,738.09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-877,533,702.20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39,821,139.12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23,656,782.67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192,948,598.97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-901,190,484.87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192,948,598.97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-901,190,484.87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183,865,233.91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-932,266,939.80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9,083,365.06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31,076,454.93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-530,472.53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-1,656,542.26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归属母公司所有者的其他综合收益的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95,284.48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-1,325,533.79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（一）不能重分类进损益的其他综合收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95,284.48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-1,325,533.79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95,284.48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-1,325,533.79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归属于少数股东的其他综合收益的税 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-625,757.01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-331,008.47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192,418,126.44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-902,847,027.13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183,960,518.39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-933,592,473.59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8,457,608.05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30,745,446.46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9"/>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法定代表人：陈钿隆</w:t>
        <w:tab/>
        <w:t>主管会计工作负责人：周旭</w:t>
        <w:tab/>
        <w:t>会计机构负责人：吴俊生</w:t>
      </w:r>
    </w:p>
    <w:p>
      <w:pPr>
        <w:pStyle w:val="Style28"/>
        <w:keepNext/>
        <w:keepLines/>
        <w:widowControl w:val="0"/>
        <w:shd w:val="clear" w:color="auto" w:fill="auto"/>
        <w:bidi w:val="0"/>
        <w:spacing w:before="0" w:after="40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4</w:t>
      </w:r>
      <w:bookmarkEnd w:id="642"/>
      <w:r>
        <w:rPr>
          <w:color w:val="000000"/>
          <w:spacing w:val="0"/>
          <w:w w:val="100"/>
          <w:position w:val="0"/>
        </w:rPr>
        <w:t>、母公司利润表</w:t>
      </w:r>
      <w:bookmarkEnd w:id="640"/>
      <w:bookmarkEnd w:id="641"/>
      <w:bookmarkEnd w:id="64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5,651,845,300.47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4,805,753,151.68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5,019,615,282.15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4,100,062,900.91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14,425,788.85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11,604,800.59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312,420,733.47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308,172,718.56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89,958,698.29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85,819,738.50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175,986,337.29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180,671,483.06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8,120,069.23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8,835,705.17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6,411,879.28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17,228,016.31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3,511,641.26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10,867,756.22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37,107,490.43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41,275,614.67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219,535,807.79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489,484,319.70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其中：对联营企业和合营企业的投资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27,168,580.02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-41,149,434.92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-107,082,580.26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-123,134,199.22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-404,684.42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-3,114,794.27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-407,572,605.07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105,902,532.07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3,987,910.40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52,124.16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33,334.18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102,735,613.64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-403,618,028.85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1,284,418.03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-15,203,861.12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101,451,195.61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-388,414,167.73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（一）持续经营净利润（净亏损以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101,451,195.61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-388,414,167.73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（二）终止经营净利润（净亏损以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（二）将重分类进损益的其他综合收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101,451,195.61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-388,414,167.73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5</w:t>
      </w:r>
      <w:bookmarkEnd w:id="646"/>
      <w:r>
        <w:rPr>
          <w:color w:val="000000"/>
          <w:spacing w:val="0"/>
          <w:w w:val="100"/>
          <w:position w:val="0"/>
        </w:rPr>
        <w:t>、合并现金流量表</w:t>
      </w:r>
      <w:bookmarkEnd w:id="644"/>
      <w:bookmarkEnd w:id="645"/>
      <w:bookmarkEnd w:id="64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15,578,585,392.72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15,088,879,342.97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3,380,040.04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11,163,685.17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192,710,508.06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284,564,037.98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15,774,675,940.82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15,384,607,066.12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13,803,352,103.59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13,638,705,317.13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820,056,065.24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720,945,440.29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99,790,223.41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169,414,888.67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457,725,364.12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482,853,578.12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15,180,923,756.36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15,011,919,224.21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593,752,184.46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372,687,841.91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657,970,003.07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2,451,916,389.50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33,353,759.52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38,852,957.96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处置固定资产、无形资产和其他长期 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581,541.65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909,821.63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2,039,621.00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1,952,864.41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255,143.14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693,858,168.65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2,493,973,933.23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购建固定资产、无形资产和其他长期 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11,046,298.02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17,373,152.69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166,993,810.55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2,961,519,000.00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178,040,108.57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2,978,892,152.69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515,818,060.08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-484,918,219.46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其中：子公司吸收少数股东投资收到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337,973,660.04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1,001,815,261.59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339,773,660.04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1,008,245,261.59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656,616,768.86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1,444,414,100.00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分配股利、利润或偿付利息支付的现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34,808,633.24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132,896,758.87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其中：子公司支付给少数股东的股利、 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74,640,217.45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16,833,244.77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30,632.78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708,258,646.87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1,577,341,491.65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-368,484,986.83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-569,096,230.06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-722,840.58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-75,377.79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740,362,417.13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-681,401,985.40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695,712,208.55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1,377,114,193.95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1,436,074,625.68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695,712,208.55</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6</w:t>
      </w:r>
      <w:bookmarkEnd w:id="650"/>
      <w:r>
        <w:rPr>
          <w:color w:val="000000"/>
          <w:spacing w:val="0"/>
          <w:w w:val="100"/>
          <w:position w:val="0"/>
        </w:rPr>
        <w:t>、母公司现金流量表</w:t>
      </w:r>
      <w:bookmarkEnd w:id="648"/>
      <w:bookmarkEnd w:id="649"/>
      <w:bookmarkEnd w:id="651"/>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5,661,139,195.59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4,262,678,022.77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734,062.79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1,189,386.53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959,151,737.79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758,696,256.12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6,621,024,996.17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5,022,563,665.42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4,938,737,773.33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4,005,790,317.36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430,060,645.72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416,852,271.83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27,207,905.91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54,120,603.38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1,093,991,533.09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501,281,019.18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6,489,997,858.05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4,978,044,211.75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131,027,138.12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44,519,453.67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584,136,673.84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2,253,481,802.82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258,648,124.01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282,385,899.98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处置固定资产、无形资产和其他长期 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3,948,581.30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3,936,654.20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846,860,379.15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2,539,804,357.00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购建固定资产、无形资产和其他长期 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3,455,104.26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8,185,012.09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98,915,040.91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2,812,231,556.92</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102,370,145.17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2,820,416,569.01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744,490,233.98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-280,612,212.01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207,978,485.82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929,003,189.30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207,978,485.82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929,003,189.30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607,294,877.57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1,358,000,000.00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分配股利、利润或偿付利息支付的现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7,189,835.89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60,627,940.19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614,484,713.46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1,418,627,940.19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-406,506,227.64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-489,624,750.89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469,006,113.02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-725,717,643.91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244,060,490.10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969,778,134.01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713,066,603.12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244,060,490.10</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7</w:t>
      </w:r>
      <w:bookmarkEnd w:id="654"/>
      <w:r>
        <w:rPr>
          <w:color w:val="000000"/>
          <w:spacing w:val="0"/>
          <w:w w:val="100"/>
          <w:position w:val="0"/>
        </w:rPr>
        <w:t>、合并所有者权益变动表</w:t>
      </w:r>
      <w:bookmarkEnd w:id="652"/>
      <w:bookmarkEnd w:id="653"/>
      <w:bookmarkEnd w:id="655"/>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1,743 ,337, </w:t>
            </w:r>
            <w:r>
              <w:rPr>
                <w:color w:val="000000"/>
                <w:spacing w:val="0"/>
                <w:w w:val="100"/>
                <w:position w:val="0"/>
              </w:rPr>
              <w:t xml:space="preserve">128.0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438,96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72,354 </w:t>
            </w:r>
            <w:r>
              <w:rPr>
                <w:color w:val="000000"/>
                <w:spacing w:val="0"/>
                <w:w w:val="100"/>
                <w:position w:val="0"/>
              </w:rPr>
              <w:t xml:space="preserve">,279.7 </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171,59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1,035,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196,59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4,420, 919,09 </w:t>
            </w:r>
            <w:r>
              <w:rPr>
                <w:color w:val="000000"/>
                <w:spacing w:val="0"/>
                <w:w w:val="100"/>
                <w:position w:val="0"/>
              </w:rPr>
              <w:t>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177,42</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7,857.</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4,598,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346,95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加：会计政策变 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1,743 ,337, </w:t>
            </w:r>
            <w:r>
              <w:rPr>
                <w:color w:val="000000"/>
                <w:spacing w:val="0"/>
                <w:w w:val="100"/>
                <w:position w:val="0"/>
              </w:rPr>
              <w:t xml:space="preserve">128.0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438,96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72,354 </w:t>
            </w:r>
            <w:r>
              <w:rPr>
                <w:color w:val="000000"/>
                <w:spacing w:val="0"/>
                <w:w w:val="100"/>
                <w:position w:val="0"/>
              </w:rPr>
              <w:t xml:space="preserve">,279.7 </w:t>
            </w: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171,59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1,035,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196,59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4,420, 919,09 </w:t>
            </w:r>
            <w:r>
              <w:rPr>
                <w:color w:val="000000"/>
                <w:spacing w:val="0"/>
                <w:w w:val="100"/>
                <w:position w:val="0"/>
              </w:rPr>
              <w:t>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177,42</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7,857.</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4,598,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346,95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95,284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10,145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,119.5</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195,06</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8,774.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209,55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2,784.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-35,24 3,027.</w:t>
            </w:r>
          </w:p>
          <w:p>
            <w:pPr>
              <w:pStyle w:val="Style2"/>
              <w:keepNext w:val="0"/>
              <w:keepLines w:val="0"/>
              <w:widowControl w:val="0"/>
              <w:shd w:val="clear" w:color="auto" w:fill="auto"/>
              <w:bidi w:val="0"/>
              <w:spacing w:before="0" w:after="0" w:line="360" w:lineRule="auto"/>
              <w:ind w:left="0" w:right="0" w:firstLine="200"/>
              <w:jc w:val="left"/>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9,757.</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95,284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183,86</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5,233.</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183,96</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0,518.</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8,457,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192,41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8,126.</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4,243,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-1,379,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453.64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4,243,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4,243,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970,84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453.64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10,145 </w:t>
            </w:r>
            <w:r>
              <w:rPr>
                <w:color w:val="000000"/>
                <w:spacing w:val="0"/>
                <w:w w:val="100"/>
                <w:position w:val="0"/>
              </w:rPr>
              <w:t xml:space="preserve">,119.5 </w:t>
            </w: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11,203 </w:t>
            </w:r>
            <w:r>
              <w:rPr>
                <w:color w:val="000000"/>
                <w:spacing w:val="0"/>
                <w:w w:val="100"/>
                <w:position w:val="0"/>
              </w:rPr>
              <w:t>,540.5</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21,348 </w:t>
            </w:r>
            <w:r>
              <w:rPr>
                <w:color w:val="000000"/>
                <w:spacing w:val="0"/>
                <w:w w:val="100"/>
                <w:position w:val="0"/>
              </w:rPr>
              <w:t xml:space="preserve">,660.1 </w:t>
            </w: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1,482.</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2,822.</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67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10,145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,119.5</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-10,14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5,119.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2,822.</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2,822.</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67</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21,348 </w:t>
            </w:r>
            <w:r>
              <w:rPr>
                <w:color w:val="000000"/>
                <w:spacing w:val="0"/>
                <w:w w:val="100"/>
                <w:position w:val="0"/>
              </w:rPr>
              <w:t xml:space="preserve">,660.1 </w:t>
            </w: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21,348 </w:t>
            </w:r>
            <w:r>
              <w:rPr>
                <w:color w:val="000000"/>
                <w:spacing w:val="0"/>
                <w:w w:val="100"/>
                <w:position w:val="0"/>
              </w:rPr>
              <w:t xml:space="preserve">,660.1 </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8,660.</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1,743 ,337, </w:t>
            </w:r>
            <w:r>
              <w:rPr>
                <w:color w:val="000000"/>
                <w:spacing w:val="0"/>
                <w:w w:val="100"/>
                <w:position w:val="0"/>
              </w:rPr>
              <w:t xml:space="preserve">128.0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682,56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72,449 </w:t>
            </w:r>
            <w:r>
              <w:rPr>
                <w:color w:val="000000"/>
                <w:spacing w:val="0"/>
                <w:w w:val="100"/>
                <w:position w:val="0"/>
              </w:rPr>
              <w:t xml:space="preserve">,564.2 </w:t>
            </w: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181,73</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7,253.</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1,230,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265,37</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4,630,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471,88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142,18</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4,829.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656,71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1,743 ,337, </w:t>
            </w:r>
            <w:r>
              <w:rPr>
                <w:color w:val="000000"/>
                <w:spacing w:val="0"/>
                <w:w w:val="100"/>
                <w:position w:val="0"/>
              </w:rPr>
              <w:t xml:space="preserve">128.0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862,71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73,679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,813.5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171,59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1,985,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493,59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5,378,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965,38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235,101 </w:t>
            </w:r>
            <w:r>
              <w:rPr>
                <w:color w:val="000000"/>
                <w:spacing w:val="0"/>
                <w:w w:val="100"/>
                <w:position w:val="0"/>
              </w:rPr>
              <w:t>,036.51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5,614,0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66,418.</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1,743 ,337, </w:t>
            </w:r>
            <w:r>
              <w:rPr>
                <w:color w:val="000000"/>
                <w:spacing w:val="0"/>
                <w:w w:val="100"/>
                <w:position w:val="0"/>
              </w:rPr>
              <w:t xml:space="preserve">128.0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862,71</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73,679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,813.5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171,59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1,985,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493,59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5,378,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965,38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235,101 </w:t>
            </w:r>
            <w:r>
              <w:rPr>
                <w:color w:val="000000"/>
                <w:spacing w:val="0"/>
                <w:w w:val="100"/>
                <w:position w:val="0"/>
              </w:rPr>
              <w:t>,036.51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5,614,0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66,418.</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97</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-1,325, 533.79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-950,2</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96,994</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-958,0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46,282</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-57,673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-1,015,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719,462</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-1,325, 533.79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-932,2</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66,939</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-933,5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92,473</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30,745,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-902,84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7,027.1</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3,431,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-10,997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-13,989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,954.81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-7,170, 000.00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-7,170, 000.00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3,431,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-6,819, 954.81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-21,46</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1,518.</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1,518.</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-98,882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-40,09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6,718.</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6,718.</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-58,785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-98,882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18,635 </w:t>
            </w:r>
            <w:r>
              <w:rPr>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18,635 </w:t>
            </w: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-18,635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1,743 ,337, </w:t>
            </w:r>
            <w:r>
              <w:rPr>
                <w:color w:val="000000"/>
                <w:spacing w:val="0"/>
                <w:w w:val="100"/>
                <w:position w:val="0"/>
              </w:rPr>
              <w:t xml:space="preserve">128.0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438,96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72,354 </w:t>
            </w:r>
            <w:r>
              <w:rPr>
                <w:color w:val="000000"/>
                <w:spacing w:val="0"/>
                <w:w w:val="100"/>
                <w:position w:val="0"/>
              </w:rPr>
              <w:t xml:space="preserve">,279.7 </w:t>
            </w: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171,59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2,134.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1,035,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196,59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4,420, 919,09 </w:t>
            </w:r>
            <w:r>
              <w:rPr>
                <w:color w:val="000000"/>
                <w:spacing w:val="0"/>
                <w:w w:val="100"/>
                <w:position w:val="0"/>
              </w:rPr>
              <w:t>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177,427 </w:t>
            </w:r>
            <w:r>
              <w:rPr>
                <w:color w:val="000000"/>
                <w:spacing w:val="0"/>
                <w:w w:val="100"/>
                <w:position w:val="0"/>
              </w:rPr>
              <w:t>,857.06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4,598,3</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46,956.</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8</w:t>
      </w:r>
      <w:bookmarkEnd w:id="658"/>
      <w:r>
        <w:rPr>
          <w:color w:val="000000"/>
          <w:spacing w:val="0"/>
          <w:w w:val="100"/>
          <w:position w:val="0"/>
        </w:rPr>
        <w:t>、母公司所有者权益变动表</w:t>
      </w:r>
      <w:bookmarkEnd w:id="656"/>
      <w:bookmarkEnd w:id="657"/>
      <w:bookmarkEnd w:id="659"/>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37,128.</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1,934,76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0,707.45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74,732,1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171,592,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624,82</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8,661.4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4,549,250,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加：会计政策变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37,128.</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1,934,76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0,707.45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74,732,1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171,592,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624,82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8,661.4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4,549,250,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p>
            <w:pPr>
              <w:pStyle w:val="Style2"/>
              <w:keepNext w:val="0"/>
              <w:keepLines w:val="0"/>
              <w:widowControl w:val="0"/>
              <w:shd w:val="clear" w:color="auto" w:fill="auto"/>
              <w:bidi w:val="0"/>
              <w:spacing w:before="0" w:after="0" w:line="389"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10,145,1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-13,693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-3,548,804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（一）综合收益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101,45</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1,195.6</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101,451,1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10,145,1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-10,145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10,145,1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-10,145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（四）所有者权</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-105,00</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0,000.0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-105,000,0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37,128.</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1,934,76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0,707.45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74,732,1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181,737,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611,13</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4,737.4</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4,545,701,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957.08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337,12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1,936,1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31,890.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74,732,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171,592 </w:t>
            </w:r>
            <w:r>
              <w:rPr>
                <w:color w:val="000000"/>
                <w:spacing w:val="0"/>
                <w:w w:val="100"/>
                <w:position w:val="0"/>
              </w:rPr>
              <w:t>,134.30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1,051,141 </w:t>
            </w:r>
            <w:r>
              <w:rPr>
                <w:color w:val="000000"/>
                <w:spacing w:val="0"/>
                <w:w w:val="100"/>
                <w:position w:val="0"/>
              </w:rPr>
              <w:t>,544.40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4,976,934,8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337,12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1,936,1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31,890.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74,732,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171,592 </w:t>
            </w:r>
            <w:r>
              <w:rPr>
                <w:color w:val="000000"/>
                <w:spacing w:val="0"/>
                <w:w w:val="100"/>
                <w:position w:val="0"/>
              </w:rPr>
              <w:t>,134.30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1,051,141 </w:t>
            </w:r>
            <w:r>
              <w:rPr>
                <w:color w:val="000000"/>
                <w:spacing w:val="0"/>
                <w:w w:val="100"/>
                <w:position w:val="0"/>
              </w:rPr>
              <w:t>,544.40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4,976,934,8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-1,371,1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-426,312,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-427,684,06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-388,414, 167.73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-388,414,16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7.73</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2,198,003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826,820.18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2,198,003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826,820.18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-40,096,7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-40,096,718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-40,096,7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-40,096,718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337,12</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1,934,7</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60,707.</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171,592 </w:t>
            </w:r>
            <w:r>
              <w:rPr>
                <w:color w:val="000000"/>
                <w:spacing w:val="0"/>
                <w:w w:val="100"/>
                <w:position w:val="0"/>
              </w:rPr>
              <w:t>,134.30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624,828,6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4,549,250,7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61.47</w:t>
            </w:r>
          </w:p>
        </w:tc>
      </w:tr>
    </w:tbl>
    <w:p>
      <w:pPr>
        <w:widowControl w:val="0"/>
        <w:spacing w:after="339" w:line="1" w:lineRule="exact"/>
      </w:pPr>
    </w:p>
    <w:p>
      <w:pPr>
        <w:pStyle w:val="Style22"/>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三</w:t>
      </w:r>
      <w:bookmarkEnd w:id="662"/>
      <w:r>
        <w:rPr>
          <w:color w:val="000000"/>
          <w:spacing w:val="0"/>
          <w:w w:val="100"/>
          <w:position w:val="0"/>
        </w:rPr>
        <w:t>、公司基本情况</w:t>
      </w:r>
      <w:bookmarkEnd w:id="660"/>
      <w:bookmarkEnd w:id="661"/>
      <w:bookmarkEnd w:id="663"/>
    </w:p>
    <w:p>
      <w:pPr>
        <w:pStyle w:val="Style19"/>
        <w:keepNext w:val="0"/>
        <w:keepLines w:val="0"/>
        <w:widowControl w:val="0"/>
        <w:shd w:val="clear" w:color="auto" w:fill="auto"/>
        <w:bidi w:val="0"/>
        <w:spacing w:before="0" w:after="0" w:line="302" w:lineRule="exact"/>
        <w:ind w:left="0" w:right="0" w:firstLine="500"/>
        <w:jc w:val="both"/>
      </w:pPr>
      <w:r>
        <w:rPr>
          <w:color w:val="000000"/>
          <w:spacing w:val="0"/>
          <w:w w:val="100"/>
          <w:position w:val="0"/>
        </w:rPr>
        <w:t>广东省广告集团股份有限公司（以下简称“本公司”或“公司”）于</w:t>
      </w:r>
      <w:r>
        <w:rPr>
          <w:color w:val="000000"/>
          <w:spacing w:val="0"/>
          <w:w w:val="100"/>
          <w:position w:val="0"/>
          <w:sz w:val="18"/>
          <w:szCs w:val="18"/>
        </w:rPr>
        <w:t>1981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日在广州注册成立，现总部位于广 东省广州市海珠区新港东路</w:t>
      </w:r>
      <w:r>
        <w:rPr>
          <w:color w:val="000000"/>
          <w:spacing w:val="0"/>
          <w:w w:val="100"/>
          <w:position w:val="0"/>
          <w:sz w:val="18"/>
          <w:szCs w:val="18"/>
        </w:rPr>
        <w:t>996</w:t>
      </w:r>
      <w:r>
        <w:rPr>
          <w:color w:val="000000"/>
          <w:spacing w:val="0"/>
          <w:w w:val="100"/>
          <w:position w:val="0"/>
        </w:rPr>
        <w:t>号保利世界贸易中心</w:t>
      </w:r>
      <w:r>
        <w:rPr>
          <w:color w:val="000000"/>
          <w:spacing w:val="0"/>
          <w:w w:val="100"/>
          <w:position w:val="0"/>
          <w:sz w:val="18"/>
          <w:szCs w:val="18"/>
        </w:rPr>
        <w:t>G</w:t>
      </w:r>
      <w:r>
        <w:rPr>
          <w:color w:val="000000"/>
          <w:spacing w:val="0"/>
          <w:w w:val="100"/>
          <w:position w:val="0"/>
        </w:rPr>
        <w:t>座。</w:t>
      </w:r>
    </w:p>
    <w:p>
      <w:pPr>
        <w:pStyle w:val="Style19"/>
        <w:keepNext w:val="0"/>
        <w:keepLines w:val="0"/>
        <w:widowControl w:val="0"/>
        <w:shd w:val="clear" w:color="auto" w:fill="auto"/>
        <w:bidi w:val="0"/>
        <w:spacing w:before="0" w:after="0" w:line="319" w:lineRule="exact"/>
        <w:ind w:left="0" w:right="0" w:firstLine="500"/>
        <w:jc w:val="both"/>
      </w:pPr>
      <w:r>
        <w:rPr>
          <w:color w:val="000000"/>
          <w:spacing w:val="0"/>
          <w:w w:val="100"/>
          <w:position w:val="0"/>
        </w:rPr>
        <w:t>本公司及各子公司（统称“本集团”）主要从事广告行业，提供的主要产品或服务：媒介代理、数字营销、品牌管理、 自有媒体发布、公关活动等服务。</w:t>
      </w:r>
    </w:p>
    <w:p>
      <w:pPr>
        <w:pStyle w:val="Style19"/>
        <w:keepNext w:val="0"/>
        <w:keepLines w:val="0"/>
        <w:widowControl w:val="0"/>
        <w:shd w:val="clear" w:color="auto" w:fill="auto"/>
        <w:bidi w:val="0"/>
        <w:spacing w:before="0" w:after="0" w:line="319" w:lineRule="exact"/>
        <w:ind w:left="0" w:right="0" w:firstLine="500"/>
        <w:jc w:val="left"/>
      </w:pPr>
      <w:r>
        <w:rPr>
          <w:color w:val="000000"/>
          <w:spacing w:val="0"/>
          <w:w w:val="100"/>
          <w:position w:val="0"/>
        </w:rPr>
        <w:t>本财务报表业经本公司董事会于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日决议批准报出。</w:t>
      </w:r>
    </w:p>
    <w:p>
      <w:pPr>
        <w:pStyle w:val="Style19"/>
        <w:keepNext w:val="0"/>
        <w:keepLines w:val="0"/>
        <w:widowControl w:val="0"/>
        <w:shd w:val="clear" w:color="auto" w:fill="auto"/>
        <w:bidi w:val="0"/>
        <w:spacing w:before="0" w:after="400" w:line="319" w:lineRule="exact"/>
        <w:ind w:left="0" w:right="0" w:firstLine="50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日，本集团纳入合并范围的子公司共</w:t>
      </w:r>
      <w:r>
        <w:rPr>
          <w:color w:val="000000"/>
          <w:spacing w:val="0"/>
          <w:w w:val="100"/>
          <w:position w:val="0"/>
          <w:sz w:val="18"/>
          <w:szCs w:val="18"/>
        </w:rPr>
        <w:t>43</w:t>
      </w:r>
      <w:r>
        <w:rPr>
          <w:color w:val="000000"/>
          <w:spacing w:val="0"/>
          <w:w w:val="100"/>
          <w:position w:val="0"/>
        </w:rPr>
        <w:t>户，详见本附注九“在其他主体中的权益”。本集团本年合 并范围比上年增加</w:t>
      </w:r>
      <w:r>
        <w:rPr>
          <w:color w:val="000000"/>
          <w:spacing w:val="0"/>
          <w:w w:val="100"/>
          <w:position w:val="0"/>
          <w:sz w:val="18"/>
          <w:szCs w:val="18"/>
        </w:rPr>
        <w:t>1</w:t>
      </w:r>
      <w:r>
        <w:rPr>
          <w:color w:val="000000"/>
          <w:spacing w:val="0"/>
          <w:w w:val="100"/>
          <w:position w:val="0"/>
        </w:rPr>
        <w:t>户，减少</w:t>
      </w:r>
      <w:r>
        <w:rPr>
          <w:color w:val="000000"/>
          <w:spacing w:val="0"/>
          <w:w w:val="100"/>
          <w:position w:val="0"/>
          <w:sz w:val="18"/>
          <w:szCs w:val="18"/>
        </w:rPr>
        <w:t>11</w:t>
      </w:r>
      <w:r>
        <w:rPr>
          <w:color w:val="000000"/>
          <w:spacing w:val="0"/>
          <w:w w:val="100"/>
          <w:position w:val="0"/>
        </w:rPr>
        <w:t>户，详见本附注八“合并范围的变更”。</w:t>
      </w:r>
    </w:p>
    <w:p>
      <w:pPr>
        <w:pStyle w:val="Style22"/>
        <w:keepNext/>
        <w:keepLines/>
        <w:widowControl w:val="0"/>
        <w:shd w:val="clear" w:color="auto" w:fill="auto"/>
        <w:tabs>
          <w:tab w:pos="496" w:val="left"/>
        </w:tabs>
        <w:bidi w:val="0"/>
        <w:spacing w:before="0" w:after="34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四</w:t>
      </w:r>
      <w:bookmarkEnd w:id="666"/>
      <w:r>
        <w:rPr>
          <w:color w:val="000000"/>
          <w:spacing w:val="0"/>
          <w:w w:val="100"/>
          <w:position w:val="0"/>
        </w:rPr>
        <w:t>、</w:t>
        <w:tab/>
        <w:t>财务报表的编制基础</w:t>
      </w:r>
      <w:bookmarkEnd w:id="664"/>
      <w:bookmarkEnd w:id="665"/>
      <w:bookmarkEnd w:id="667"/>
    </w:p>
    <w:p>
      <w:pPr>
        <w:pStyle w:val="Style28"/>
        <w:keepNext/>
        <w:keepLines/>
        <w:widowControl w:val="0"/>
        <w:shd w:val="clear" w:color="auto" w:fill="auto"/>
        <w:tabs>
          <w:tab w:pos="391" w:val="left"/>
        </w:tabs>
        <w:bidi w:val="0"/>
        <w:spacing w:before="0" w:after="26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bookmarkEnd w:id="670"/>
      <w:r>
        <w:rPr>
          <w:color w:val="000000"/>
          <w:spacing w:val="0"/>
          <w:w w:val="100"/>
          <w:position w:val="0"/>
        </w:rPr>
        <w:t>、</w:t>
        <w:tab/>
        <w:t>编制基础</w:t>
      </w:r>
      <w:bookmarkEnd w:id="668"/>
      <w:bookmarkEnd w:id="669"/>
      <w:bookmarkEnd w:id="671"/>
    </w:p>
    <w:p>
      <w:pPr>
        <w:pStyle w:val="Style1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本集团财务报表以持续经营假设为基础，根据实际发生的交易和事项，按照财政部发布的《企业会计准则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 则》（财政部令第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42</w:t>
      </w:r>
      <w:r>
        <w:rPr>
          <w:color w:val="000000"/>
          <w:spacing w:val="0"/>
          <w:w w:val="100"/>
          <w:position w:val="0"/>
        </w:rPr>
        <w:t>项具体会计准则、企业会计 准则应用指南、企业会计准则解释及其他相关规定（以下合称“企业会计准则”），以及中国证券监督管理委员会《公开发 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19"/>
        <w:keepNext w:val="0"/>
        <w:keepLines w:val="0"/>
        <w:widowControl w:val="0"/>
        <w:shd w:val="clear" w:color="auto" w:fill="auto"/>
        <w:bidi w:val="0"/>
        <w:spacing w:before="0" w:after="400" w:line="310" w:lineRule="exact"/>
        <w:ind w:left="0" w:right="0" w:firstLine="500"/>
        <w:jc w:val="both"/>
      </w:pPr>
      <w:r>
        <w:rPr>
          <w:color w:val="000000"/>
          <w:spacing w:val="0"/>
          <w:w w:val="100"/>
          <w:position w:val="0"/>
        </w:rPr>
        <w:t>根据企业会计准则的相关规定，本集团会计核算以权责发生制为基础。除某些金融工具和投资性房地产外，本财务报 表均以历史成本为计量基础。持有待售的非流动资产，按公允价值减去预计费用后的金额，以及符合持有待售条件时的原账 面价值，取两者孰低计价。资产如果发生减值，则按照相关规定计提相应的减值准备。</w:t>
      </w:r>
    </w:p>
    <w:p>
      <w:pPr>
        <w:pStyle w:val="Style28"/>
        <w:keepNext/>
        <w:keepLines/>
        <w:widowControl w:val="0"/>
        <w:shd w:val="clear" w:color="auto" w:fill="auto"/>
        <w:tabs>
          <w:tab w:pos="391" w:val="left"/>
        </w:tabs>
        <w:bidi w:val="0"/>
        <w:spacing w:before="0" w:after="26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2</w:t>
      </w:r>
      <w:bookmarkEnd w:id="674"/>
      <w:r>
        <w:rPr>
          <w:color w:val="000000"/>
          <w:spacing w:val="0"/>
          <w:w w:val="100"/>
          <w:position w:val="0"/>
        </w:rPr>
        <w:t>、</w:t>
        <w:tab/>
        <w:t>持续经营</w:t>
      </w:r>
      <w:bookmarkEnd w:id="672"/>
      <w:bookmarkEnd w:id="673"/>
      <w:bookmarkEnd w:id="675"/>
    </w:p>
    <w:p>
      <w:pPr>
        <w:pStyle w:val="Style19"/>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2"/>
        <w:keepNext/>
        <w:keepLines/>
        <w:widowControl w:val="0"/>
        <w:shd w:val="clear" w:color="auto" w:fill="auto"/>
        <w:tabs>
          <w:tab w:pos="516" w:val="left"/>
        </w:tabs>
        <w:bidi w:val="0"/>
        <w:spacing w:before="0" w:after="26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五</w:t>
      </w:r>
      <w:bookmarkEnd w:id="678"/>
      <w:r>
        <w:rPr>
          <w:color w:val="000000"/>
          <w:spacing w:val="0"/>
          <w:w w:val="100"/>
          <w:position w:val="0"/>
        </w:rPr>
        <w:t>、</w:t>
        <w:tab/>
        <w:t>重要会计政策及会计估计</w:t>
      </w:r>
      <w:bookmarkEnd w:id="676"/>
      <w:bookmarkEnd w:id="677"/>
      <w:bookmarkEnd w:id="679"/>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400" w:line="310" w:lineRule="exact"/>
        <w:ind w:left="0" w:right="0" w:firstLine="500"/>
        <w:jc w:val="both"/>
      </w:pPr>
      <w:r>
        <w:rPr>
          <w:color w:val="000000"/>
          <w:spacing w:val="0"/>
          <w:w w:val="100"/>
          <w:position w:val="0"/>
        </w:rPr>
        <w:t>本集团从事广告及与广告相关业务。本集团根据实际生产经营特点，依据相关企业会计准则的规定，对收入确认等交 易和事项制定了若干项具体会计政策和会计估计，详见本附注五、</w:t>
      </w:r>
      <w:r>
        <w:rPr>
          <w:color w:val="000000"/>
          <w:spacing w:val="0"/>
          <w:w w:val="100"/>
          <w:position w:val="0"/>
          <w:sz w:val="18"/>
          <w:szCs w:val="18"/>
        </w:rPr>
        <w:t>39“</w:t>
      </w:r>
      <w:r>
        <w:rPr>
          <w:color w:val="000000"/>
          <w:spacing w:val="0"/>
          <w:w w:val="100"/>
          <w:position w:val="0"/>
        </w:rPr>
        <w:t>收入”各项描述。关于管理层所作出的重大会计判断 和估计的说明，请参阅附注五、</w:t>
      </w:r>
      <w:r>
        <w:rPr>
          <w:color w:val="000000"/>
          <w:spacing w:val="0"/>
          <w:w w:val="100"/>
          <w:position w:val="0"/>
          <w:sz w:val="18"/>
          <w:szCs w:val="18"/>
        </w:rPr>
        <w:t xml:space="preserve">44 </w:t>
      </w:r>
      <w:r>
        <w:rPr>
          <w:color w:val="000000"/>
          <w:spacing w:val="0"/>
          <w:w w:val="100"/>
          <w:position w:val="0"/>
        </w:rPr>
        <w:t>“重大会计判断和估计”。</w:t>
      </w:r>
    </w:p>
    <w:p>
      <w:pPr>
        <w:pStyle w:val="Style28"/>
        <w:keepNext/>
        <w:keepLines/>
        <w:widowControl w:val="0"/>
        <w:shd w:val="clear" w:color="auto" w:fill="auto"/>
        <w:bidi w:val="0"/>
        <w:spacing w:before="0" w:after="26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color w:val="000000"/>
          <w:spacing w:val="0"/>
          <w:w w:val="100"/>
          <w:position w:val="0"/>
        </w:rPr>
        <w:t>、遵循企业会计准则的声明</w:t>
      </w:r>
      <w:bookmarkEnd w:id="680"/>
      <w:bookmarkEnd w:id="681"/>
      <w:bookmarkEnd w:id="683"/>
    </w:p>
    <w:p>
      <w:pPr>
        <w:pStyle w:val="Style19"/>
        <w:keepNext w:val="0"/>
        <w:keepLines w:val="0"/>
        <w:widowControl w:val="0"/>
        <w:shd w:val="clear" w:color="auto" w:fill="auto"/>
        <w:bidi w:val="0"/>
        <w:spacing w:before="0" w:after="260" w:line="310" w:lineRule="exact"/>
        <w:ind w:left="0" w:right="0" w:firstLine="500"/>
        <w:jc w:val="both"/>
      </w:pPr>
      <w:r>
        <w:rPr>
          <w:color w:val="000000"/>
          <w:spacing w:val="0"/>
          <w:w w:val="100"/>
          <w:position w:val="0"/>
        </w:rPr>
        <w:t>本公司编制的财务报表符合企业会计准则的要求，真实、完整地反映了本公司及本集团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日的财务状况及 </w:t>
      </w:r>
      <w:r>
        <w:rPr>
          <w:color w:val="000000"/>
          <w:spacing w:val="0"/>
          <w:w w:val="100"/>
          <w:position w:val="0"/>
          <w:sz w:val="18"/>
          <w:szCs w:val="18"/>
        </w:rPr>
        <w:t>2021</w:t>
      </w:r>
      <w:r>
        <w:rPr>
          <w:color w:val="000000"/>
          <w:spacing w:val="0"/>
          <w:w w:val="100"/>
          <w:position w:val="0"/>
        </w:rPr>
        <w:t>年度的经营成果和现金流量等有关信息。此外，本公司及本集团的财务报表在所有重大方面符合中国证券监督管理委员 会</w:t>
      </w:r>
      <w:r>
        <w:rPr>
          <w:color w:val="000000"/>
          <w:spacing w:val="0"/>
          <w:w w:val="100"/>
          <w:position w:val="0"/>
          <w:sz w:val="18"/>
          <w:szCs w:val="18"/>
        </w:rPr>
        <w:t>2014</w:t>
      </w:r>
      <w:r>
        <w:rPr>
          <w:color w:val="000000"/>
          <w:spacing w:val="0"/>
          <w:w w:val="100"/>
          <w:position w:val="0"/>
        </w:rPr>
        <w:t>年修订的《公开发行证券的公司信息披露编报规则第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财务报告的一般规定》有关财务报表及其附注的披露要 求。</w:t>
      </w:r>
    </w:p>
    <w:p>
      <w:pPr>
        <w:pStyle w:val="Style28"/>
        <w:keepNext/>
        <w:keepLines/>
        <w:widowControl w:val="0"/>
        <w:shd w:val="clear" w:color="auto" w:fill="auto"/>
        <w:tabs>
          <w:tab w:pos="321" w:val="left"/>
        </w:tabs>
        <w:bidi w:val="0"/>
        <w:spacing w:before="0" w:after="26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w:t>
        <w:tab/>
        <w:t>会计期间</w:t>
      </w:r>
      <w:bookmarkEnd w:id="684"/>
      <w:bookmarkEnd w:id="685"/>
      <w:bookmarkEnd w:id="687"/>
    </w:p>
    <w:p>
      <w:pPr>
        <w:pStyle w:val="Style19"/>
        <w:keepNext w:val="0"/>
        <w:keepLines w:val="0"/>
        <w:widowControl w:val="0"/>
        <w:shd w:val="clear" w:color="auto" w:fill="auto"/>
        <w:bidi w:val="0"/>
        <w:spacing w:before="0" w:after="380" w:line="293" w:lineRule="exact"/>
        <w:ind w:left="0" w:right="0" w:firstLine="500"/>
        <w:jc w:val="both"/>
      </w:pPr>
      <w:r>
        <w:rPr>
          <w:color w:val="000000"/>
          <w:spacing w:val="0"/>
          <w:w w:val="100"/>
          <w:position w:val="0"/>
        </w:rPr>
        <w:t>本集团的会计期间分为年度和中期，会计中期指短于一个完整的会计年度的报告期间。本集团会计年度采用公历年度，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8"/>
        <w:keepNext/>
        <w:keepLines/>
        <w:widowControl w:val="0"/>
        <w:shd w:val="clear" w:color="auto" w:fill="auto"/>
        <w:tabs>
          <w:tab w:pos="321" w:val="left"/>
        </w:tabs>
        <w:bidi w:val="0"/>
        <w:spacing w:before="0" w:after="2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w:t>
        <w:tab/>
        <w:t>营业周期</w:t>
      </w:r>
      <w:bookmarkEnd w:id="688"/>
      <w:bookmarkEnd w:id="689"/>
      <w:bookmarkEnd w:id="691"/>
    </w:p>
    <w:p>
      <w:pPr>
        <w:pStyle w:val="Style19"/>
        <w:keepNext w:val="0"/>
        <w:keepLines w:val="0"/>
        <w:widowControl w:val="0"/>
        <w:shd w:val="clear" w:color="auto" w:fill="auto"/>
        <w:bidi w:val="0"/>
        <w:spacing w:before="0" w:after="380" w:line="326" w:lineRule="exact"/>
        <w:ind w:left="0" w:right="0" w:firstLine="500"/>
        <w:jc w:val="both"/>
      </w:pPr>
      <w:r>
        <w:rPr>
          <w:color w:val="000000"/>
          <w:spacing w:val="0"/>
          <w:w w:val="100"/>
          <w:position w:val="0"/>
        </w:rPr>
        <w:t>正常营业周期是指本集团从购买用于加工的资产起至实现现金或现金等价物的期间。本集团以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8"/>
        <w:keepNext/>
        <w:keepLines/>
        <w:widowControl w:val="0"/>
        <w:shd w:val="clear" w:color="auto" w:fill="auto"/>
        <w:tabs>
          <w:tab w:pos="321" w:val="left"/>
        </w:tabs>
        <w:bidi w:val="0"/>
        <w:spacing w:before="0" w:after="26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4</w:t>
      </w:r>
      <w:bookmarkEnd w:id="694"/>
      <w:r>
        <w:rPr>
          <w:color w:val="000000"/>
          <w:spacing w:val="0"/>
          <w:w w:val="100"/>
          <w:position w:val="0"/>
        </w:rPr>
        <w:t>、</w:t>
        <w:tab/>
        <w:t>记账本位币</w:t>
      </w:r>
      <w:bookmarkEnd w:id="692"/>
      <w:bookmarkEnd w:id="693"/>
      <w:bookmarkEnd w:id="695"/>
    </w:p>
    <w:p>
      <w:pPr>
        <w:pStyle w:val="Style19"/>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人民币为本公司及境内子公司经营所处的主要经济环境中的货币，本公司及境内子公司以人民币为记账本位币。本公 司之境外子公司根据其经营所处的主要经济环境中的货币确定为其记账本位币。本集团编制本财务报表时所采用的货币为人 民币。</w:t>
      </w:r>
    </w:p>
    <w:p>
      <w:pPr>
        <w:pStyle w:val="Style28"/>
        <w:keepNext/>
        <w:keepLines/>
        <w:widowControl w:val="0"/>
        <w:shd w:val="clear" w:color="auto" w:fill="auto"/>
        <w:tabs>
          <w:tab w:pos="321" w:val="left"/>
        </w:tabs>
        <w:bidi w:val="0"/>
        <w:spacing w:before="0" w:after="26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5</w:t>
      </w:r>
      <w:bookmarkEnd w:id="698"/>
      <w:r>
        <w:rPr>
          <w:color w:val="000000"/>
          <w:spacing w:val="0"/>
          <w:w w:val="100"/>
          <w:position w:val="0"/>
        </w:rPr>
        <w:t>、</w:t>
        <w:tab/>
        <w:t>同一控制下和非同一控制下企业合并的会计处理方法</w:t>
      </w:r>
      <w:bookmarkEnd w:id="696"/>
      <w:bookmarkEnd w:id="697"/>
      <w:bookmarkEnd w:id="699"/>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19"/>
        <w:keepNext w:val="0"/>
        <w:keepLines w:val="0"/>
        <w:widowControl w:val="0"/>
        <w:shd w:val="clear" w:color="auto" w:fill="auto"/>
        <w:tabs>
          <w:tab w:pos="778" w:val="left"/>
        </w:tabs>
        <w:bidi w:val="0"/>
        <w:spacing w:before="0" w:after="0" w:line="313" w:lineRule="exact"/>
        <w:ind w:left="0" w:right="0" w:firstLine="500"/>
        <w:jc w:val="both"/>
      </w:pPr>
      <w:bookmarkStart w:id="700" w:name="bookmark700"/>
      <w:r>
        <w:rPr>
          <w:color w:val="000000"/>
          <w:spacing w:val="0"/>
          <w:w w:val="100"/>
          <w:position w:val="0"/>
          <w:sz w:val="18"/>
          <w:szCs w:val="18"/>
        </w:rPr>
        <w:t>1</w:t>
      </w:r>
      <w:bookmarkEnd w:id="700"/>
      <w:r>
        <w:rPr>
          <w:color w:val="000000"/>
          <w:spacing w:val="0"/>
          <w:w w:val="100"/>
          <w:position w:val="0"/>
        </w:rPr>
        <w:t>、</w:t>
        <w:tab/>
        <w:t>同一控制下企业合并</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日，是指合并方实际取得对被合并方控制权的日期。</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合并方取得的资产和负债均按照取得被合并方所有者权益在最终控制方合并财务报表中的账面价值的份额计量。合并 方取得的净资产账面价值与支付的合并对价账面价值（或发行股份面值总额）的差额，调整资本公积（股本溢价）；资本公 积（股本溢价）不足以冲减的，调整留存收益。</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合并方为进行企业合并发生的各项直接费用，于发生时计入当期损益。</w:t>
      </w:r>
    </w:p>
    <w:p>
      <w:pPr>
        <w:pStyle w:val="Style19"/>
        <w:keepNext w:val="0"/>
        <w:keepLines w:val="0"/>
        <w:widowControl w:val="0"/>
        <w:shd w:val="clear" w:color="auto" w:fill="auto"/>
        <w:tabs>
          <w:tab w:pos="787" w:val="left"/>
        </w:tabs>
        <w:bidi w:val="0"/>
        <w:spacing w:before="0" w:after="0" w:line="313" w:lineRule="exact"/>
        <w:ind w:left="0" w:right="0" w:firstLine="500"/>
        <w:jc w:val="both"/>
      </w:pPr>
      <w:bookmarkStart w:id="701" w:name="bookmark701"/>
      <w:r>
        <w:rPr>
          <w:color w:val="000000"/>
          <w:spacing w:val="0"/>
          <w:w w:val="100"/>
          <w:position w:val="0"/>
          <w:sz w:val="18"/>
          <w:szCs w:val="18"/>
        </w:rPr>
        <w:t>2</w:t>
      </w:r>
      <w:bookmarkEnd w:id="701"/>
      <w:r>
        <w:rPr>
          <w:color w:val="000000"/>
          <w:spacing w:val="0"/>
          <w:w w:val="100"/>
          <w:position w:val="0"/>
        </w:rPr>
        <w:t>、</w:t>
        <w:tab/>
        <w:t>非同一控制下企业合并</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19"/>
        <w:keepNext w:val="0"/>
        <w:keepLines w:val="0"/>
        <w:widowControl w:val="0"/>
        <w:shd w:val="clear" w:color="auto" w:fill="auto"/>
        <w:bidi w:val="0"/>
        <w:spacing w:before="0" w:after="260" w:line="313" w:lineRule="exact"/>
        <w:ind w:left="0" w:right="0" w:firstLine="50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 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合并财务报表》第五十一条关于“一揽子交易”的判断标准（参见本附注四、</w:t>
      </w:r>
      <w:r>
        <w:rPr>
          <w:color w:val="000000"/>
          <w:spacing w:val="0"/>
          <w:w w:val="100"/>
          <w:position w:val="0"/>
          <w:sz w:val="18"/>
          <w:szCs w:val="18"/>
        </w:rPr>
        <w:t xml:space="preserve">5 </w:t>
      </w:r>
      <w:r>
        <w:rPr>
          <w:color w:val="000000"/>
          <w:spacing w:val="0"/>
          <w:w w:val="100"/>
          <w:position w:val="0"/>
        </w:rPr>
        <w:t>“合并 财务报表的编制方法”</w:t>
      </w:r>
      <w:r>
        <w:rPr>
          <w:color w:val="000000"/>
          <w:spacing w:val="0"/>
          <w:w w:val="100"/>
          <w:position w:val="0"/>
          <w:sz w:val="18"/>
          <w:szCs w:val="18"/>
        </w:rPr>
        <w:t>（2）</w:t>
      </w:r>
      <w:r>
        <w:rPr>
          <w:color w:val="000000"/>
          <w:spacing w:val="0"/>
          <w:w w:val="100"/>
          <w:position w:val="0"/>
        </w:rPr>
        <w:t>），判断该多次交易是否属于“一揽子交易”。属于“一揽子交易”的，参考本部分前面各段 描述及本附注四、</w:t>
      </w:r>
      <w:r>
        <w:rPr>
          <w:color w:val="000000"/>
          <w:spacing w:val="0"/>
          <w:w w:val="100"/>
          <w:position w:val="0"/>
          <w:sz w:val="18"/>
          <w:szCs w:val="18"/>
        </w:rPr>
        <w:t>15“</w:t>
      </w:r>
      <w:r>
        <w:rPr>
          <w:color w:val="000000"/>
          <w:spacing w:val="0"/>
          <w:w w:val="100"/>
          <w:position w:val="0"/>
        </w:rPr>
        <w:t>长期股权投资”进行会计处理；不属于“一揽子交易”的，区分个别财务报表和合并财务报表进行相 关会计处理：</w:t>
      </w:r>
    </w:p>
    <w:p>
      <w:pPr>
        <w:pStyle w:val="Style1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初始投资成本；购买日之前持有的被购买方的股权涉及其他综合收益的，在处置该项投资时将与其相关的其他综合收益采用 与被购买方直接处置相关资产或负债相同的基础进行会计处理（即，除了按照权益法核算的在被购买方重新计量设定受益计 划净负债或净资产导致的变动中的相应份额以外，其余转入当期投资收益）。</w:t>
      </w:r>
    </w:p>
    <w:p>
      <w:pPr>
        <w:pStyle w:val="Style19"/>
        <w:keepNext w:val="0"/>
        <w:keepLines w:val="0"/>
        <w:widowControl w:val="0"/>
        <w:shd w:val="clear" w:color="auto" w:fill="auto"/>
        <w:bidi w:val="0"/>
        <w:spacing w:before="0" w:after="400" w:line="313" w:lineRule="exact"/>
        <w:ind w:left="0" w:right="0" w:firstLine="500"/>
        <w:jc w:val="left"/>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益应当采用与被购买方直接处置相关资产或负债相同的基础进行会计处理（即，除了按照权益法核算的在被购买方重新计量 设定受益计划净负债或净资产导致的变动中的相应份额以外，其余转为购买日所属当期投资收益）。</w:t>
      </w:r>
    </w:p>
    <w:p>
      <w:pPr>
        <w:pStyle w:val="Style28"/>
        <w:keepNext/>
        <w:keepLines/>
        <w:widowControl w:val="0"/>
        <w:shd w:val="clear" w:color="auto" w:fill="auto"/>
        <w:bidi w:val="0"/>
        <w:spacing w:before="0" w:after="2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6</w:t>
      </w:r>
      <w:bookmarkEnd w:id="704"/>
      <w:r>
        <w:rPr>
          <w:color w:val="000000"/>
          <w:spacing w:val="0"/>
          <w:w w:val="100"/>
          <w:position w:val="0"/>
        </w:rPr>
        <w:t>、合并财务报表的编制方法</w:t>
      </w:r>
      <w:bookmarkEnd w:id="702"/>
      <w:bookmarkEnd w:id="703"/>
      <w:bookmarkEnd w:id="705"/>
    </w:p>
    <w:p>
      <w:pPr>
        <w:pStyle w:val="Style19"/>
        <w:keepNext w:val="0"/>
        <w:keepLines w:val="0"/>
        <w:widowControl w:val="0"/>
        <w:shd w:val="clear" w:color="auto" w:fill="auto"/>
        <w:tabs>
          <w:tab w:pos="774" w:val="left"/>
        </w:tabs>
        <w:bidi w:val="0"/>
        <w:spacing w:before="0" w:after="0" w:line="312" w:lineRule="exact"/>
        <w:ind w:left="0" w:right="0" w:firstLine="500"/>
        <w:jc w:val="both"/>
      </w:pPr>
      <w:bookmarkStart w:id="706" w:name="bookmark706"/>
      <w:r>
        <w:rPr>
          <w:color w:val="000000"/>
          <w:spacing w:val="0"/>
          <w:w w:val="100"/>
          <w:position w:val="0"/>
          <w:sz w:val="18"/>
          <w:szCs w:val="18"/>
        </w:rPr>
        <w:t>1</w:t>
      </w:r>
      <w:bookmarkEnd w:id="706"/>
      <w:r>
        <w:rPr>
          <w:color w:val="000000"/>
          <w:spacing w:val="0"/>
          <w:w w:val="100"/>
          <w:position w:val="0"/>
        </w:rPr>
        <w:t>、</w:t>
        <w:tab/>
        <w:t>合并财务报表范围的确定原则</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合并财务报表的合并范围以控制为基础予以确定。控制是指本集团拥有对被投资方的权力，通过参与被投资方的相关 活动而享有可变回报，并且有能力运用对被投资方的权力影响该回报金额。合并范围包括本公司及全部子公司。子公司，是 指被本集团控制的主体。</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一旦相关事实和情况的变化导致上述控制定义涉及的相关要素发生了变化，本集团将进行重新评估。</w:t>
      </w:r>
    </w:p>
    <w:p>
      <w:pPr>
        <w:pStyle w:val="Style19"/>
        <w:keepNext w:val="0"/>
        <w:keepLines w:val="0"/>
        <w:widowControl w:val="0"/>
        <w:shd w:val="clear" w:color="auto" w:fill="auto"/>
        <w:tabs>
          <w:tab w:pos="784" w:val="left"/>
        </w:tabs>
        <w:bidi w:val="0"/>
        <w:spacing w:before="0" w:after="0" w:line="312" w:lineRule="exact"/>
        <w:ind w:left="0" w:right="0" w:firstLine="500"/>
        <w:jc w:val="both"/>
      </w:pPr>
      <w:bookmarkStart w:id="707" w:name="bookmark707"/>
      <w:r>
        <w:rPr>
          <w:color w:val="000000"/>
          <w:spacing w:val="0"/>
          <w:w w:val="100"/>
          <w:position w:val="0"/>
          <w:sz w:val="18"/>
          <w:szCs w:val="18"/>
        </w:rPr>
        <w:t>2</w:t>
      </w:r>
      <w:bookmarkEnd w:id="707"/>
      <w:r>
        <w:rPr>
          <w:color w:val="000000"/>
          <w:spacing w:val="0"/>
          <w:w w:val="100"/>
          <w:position w:val="0"/>
        </w:rPr>
        <w:t>、</w:t>
        <w:tab/>
        <w:t>合并财务报表编制的方法</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从取得子公司的净资产和生产经营决策的实际控制权之日起，本集团开始将其纳入合并范围；从丧失实际控制权之日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并增加的子公司，其自合并当期期初至合并日的经营成果和现金流量已经适当地包括在合并利润表和合并现金流量表中，并 且同时调整合并财务报表的对比数。</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在编制合并财务报表时，子公司与本公司采用的会计政策或会计期间不一致的，按照本公司的会计政策和会计期间对 子公司财务报表进行必要的调整。对于非同一控制下企业合并取得的子公司，以购买日可辨认净资产公允价值为基础对其财 务报表进行调整。</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集团内所有重大往来余额、交易及未实现利润在合并财务报表编制时予以抵销。</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子公司的股东权益及当期净损益中不属于本公司所拥有的部分分别作为少数股东权益及少数股东损益在合并财务报 表中股东权益及净利润项下单独列示。子公司当期净损益中属于少数股东权益的份额，在合并利润表中净利润项目下以“少 数股东损益”项目列示。少数股东分担的子公司的亏损超过了少数股东在该子公司期初股东权益中所享有的份额，仍冲减少 数股东权益。</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当因处置部分股权投资或其他原因丧失了对原有子公司的控制权时，对于剩余股权，按照其在丧失控制权日的公允价 值进行重新计量。处置股权取得的对价与剩余股权公允价值之和，减去按原持股比例计算应享有原有子公司自购买日开始持 续计算的净资产的份额之间的差额，计入丧失控制权当期的投资收益。与原有子公司股权投资相关的其他综合收益，在丧失 控制权时采用与被购买方直接处置相关资产或负债相同的基础进行会计处理（即，除了在该原有子公司重新计量设定受益计 划净负债或净资产导致的变动以外，其余一并转为当期投资收益）。其后，对该部分剩余股权按照《企业会计准则第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 xml:space="preserve">一一 </w:t>
      </w:r>
      <w:r>
        <w:rPr>
          <w:color w:val="000000"/>
          <w:spacing w:val="0"/>
          <w:w w:val="100"/>
          <w:position w:val="0"/>
        </w:rPr>
        <w:t>长期股权投资》或《企业会计准则第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金融工具确认和计量》等相关规定进行后续计量，详见本附注四、</w:t>
      </w:r>
      <w:r>
        <w:rPr>
          <w:color w:val="000000"/>
          <w:spacing w:val="0"/>
          <w:w w:val="100"/>
          <w:position w:val="0"/>
          <w:sz w:val="18"/>
          <w:szCs w:val="18"/>
        </w:rPr>
        <w:t xml:space="preserve">15 </w:t>
      </w:r>
      <w:r>
        <w:rPr>
          <w:color w:val="000000"/>
          <w:spacing w:val="0"/>
          <w:w w:val="100"/>
          <w:position w:val="0"/>
        </w:rPr>
        <w:t>“长期股 权投资”或本附注四、</w:t>
      </w:r>
      <w:r>
        <w:rPr>
          <w:color w:val="000000"/>
          <w:spacing w:val="0"/>
          <w:w w:val="100"/>
          <w:position w:val="0"/>
          <w:sz w:val="18"/>
          <w:szCs w:val="18"/>
        </w:rPr>
        <w:t xml:space="preserve">9 </w:t>
      </w:r>
      <w:r>
        <w:rPr>
          <w:color w:val="000000"/>
          <w:spacing w:val="0"/>
          <w:w w:val="100"/>
          <w:position w:val="0"/>
        </w:rPr>
        <w:t>“金融工具”。</w:t>
      </w:r>
    </w:p>
    <w:p>
      <w:pPr>
        <w:pStyle w:val="Style19"/>
        <w:keepNext w:val="0"/>
        <w:keepLines w:val="0"/>
        <w:widowControl w:val="0"/>
        <w:shd w:val="clear" w:color="auto" w:fill="auto"/>
        <w:bidi w:val="0"/>
        <w:spacing w:before="0" w:after="400" w:line="312" w:lineRule="exact"/>
        <w:ind w:left="0" w:right="0" w:firstLine="500"/>
        <w:jc w:val="both"/>
      </w:pPr>
      <w:r>
        <w:rPr>
          <w:color w:val="000000"/>
          <w:spacing w:val="0"/>
          <w:w w:val="100"/>
          <w:position w:val="0"/>
        </w:rPr>
        <w:t xml:space="preserve">本集团通过多次交易分步处置对子公司股权投资直至丧失控制权的，需区分处置对子公司股权投资直至丧失控制权的 </w:t>
      </w:r>
      <w:r>
        <w:rPr>
          <w:color w:val="000000"/>
          <w:spacing w:val="0"/>
          <w:w w:val="100"/>
          <w:position w:val="0"/>
        </w:rPr>
        <w:t>各项交易是否属于一揽子交易。处置对子公司股权投资的各项交易的条款、条件以及经济影响符合以下一种或多种情况，通 常表明应将多次交易事项作为一揽子交易进行会计处理：①这些交易是同时或者在考虑了彼此影响的情况下订立的；②这些 交易整体才能达成一项完整的商业结果;③一项交易的发生取决于其他至少一项交易的发生;④一项交易单独看是不经济的，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部分处置对子公司的长期股权投资”（详见本附注四、</w:t>
      </w:r>
      <w:r>
        <w:rPr>
          <w:color w:val="000000"/>
          <w:spacing w:val="0"/>
          <w:w w:val="100"/>
          <w:position w:val="0"/>
          <w:sz w:val="18"/>
          <w:szCs w:val="18"/>
        </w:rPr>
        <w:t xml:space="preserve">15 </w:t>
      </w:r>
      <w:r>
        <w:rPr>
          <w:color w:val="000000"/>
          <w:spacing w:val="0"/>
          <w:w w:val="100"/>
          <w:position w:val="0"/>
        </w:rPr>
        <w:t>“长期股权投资”</w:t>
      </w:r>
      <w:r>
        <w:rPr>
          <w:color w:val="000000"/>
          <w:spacing w:val="0"/>
          <w:w w:val="100"/>
          <w:position w:val="0"/>
          <w:sz w:val="18"/>
          <w:szCs w:val="18"/>
        </w:rPr>
        <w:t>（2）</w:t>
      </w:r>
      <w:r>
        <w:rPr>
          <w:color w:val="000000"/>
          <w:spacing w:val="0"/>
          <w:w w:val="100"/>
          <w:position w:val="0"/>
        </w:rPr>
        <w:t>④）和“因处置部分股权投资或其他原因 丧失了对原有子公司的控制权”（详见前段）适用的原则进行会计处理。处置对子公司股权投资直至丧失控制权的各项交易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28"/>
        <w:keepNext/>
        <w:keepLines/>
        <w:widowControl w:val="0"/>
        <w:shd w:val="clear" w:color="auto" w:fill="auto"/>
        <w:tabs>
          <w:tab w:pos="325" w:val="left"/>
        </w:tabs>
        <w:bidi w:val="0"/>
        <w:spacing w:before="0" w:after="26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7</w:t>
      </w:r>
      <w:bookmarkEnd w:id="710"/>
      <w:r>
        <w:rPr>
          <w:color w:val="000000"/>
          <w:spacing w:val="0"/>
          <w:w w:val="100"/>
          <w:position w:val="0"/>
        </w:rPr>
        <w:t>、</w:t>
        <w:tab/>
        <w:t>合营安排分类及共同经营会计处理方法</w:t>
      </w:r>
      <w:bookmarkEnd w:id="708"/>
      <w:bookmarkEnd w:id="709"/>
      <w:bookmarkEnd w:id="711"/>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合营安排，是指一项由两个或两个以上的参与方共同控制的安排。本集团根据在合营安排中享有的权利和承担的义务， 将合营安排分为共同经营和合营企业。共同经营，是指本集团享有该安排相关资产且承担该安排相关负债的合营安排。合营 企业，是指本集团仅对该安排的净资产享有权利的合营安排。</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本集团对合营企业的投资采用权益法核算，按照本附注四、</w:t>
      </w:r>
      <w:r>
        <w:rPr>
          <w:color w:val="000000"/>
          <w:spacing w:val="0"/>
          <w:w w:val="100"/>
          <w:position w:val="0"/>
          <w:sz w:val="18"/>
          <w:szCs w:val="18"/>
        </w:rPr>
        <w:t xml:space="preserve">15 </w:t>
      </w:r>
      <w:r>
        <w:rPr>
          <w:color w:val="000000"/>
          <w:spacing w:val="0"/>
          <w:w w:val="100"/>
          <w:position w:val="0"/>
        </w:rPr>
        <w:t>“长期股权投资”</w:t>
      </w:r>
      <w:r>
        <w:rPr>
          <w:color w:val="000000"/>
          <w:spacing w:val="0"/>
          <w:w w:val="100"/>
          <w:position w:val="0"/>
          <w:sz w:val="18"/>
          <w:szCs w:val="18"/>
        </w:rPr>
        <w:t>（2）</w:t>
      </w:r>
      <w:r>
        <w:rPr>
          <w:color w:val="000000"/>
          <w:spacing w:val="0"/>
          <w:w w:val="100"/>
          <w:position w:val="0"/>
        </w:rPr>
        <w:t>②“权益法核算的长期股权投 资”中所述的会计政策处理。</w:t>
      </w:r>
    </w:p>
    <w:p>
      <w:pPr>
        <w:pStyle w:val="Style1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本集团作为合营方对共同经营，确认本集团单独持有的资产、单独所承担的负债，以及按本集团份额确认共同持有的 资产和共同承担的负债；确认出售本集团享有的共同经营产出份额所产生的收入；按本集团份额确认共同经营因出售产出所 产生的收入；确认本集团单独所发生的费用，以及按本集团份额确认共同经营发生的费用。</w:t>
      </w:r>
    </w:p>
    <w:p>
      <w:pPr>
        <w:pStyle w:val="Style19"/>
        <w:keepNext w:val="0"/>
        <w:keepLines w:val="0"/>
        <w:widowControl w:val="0"/>
        <w:shd w:val="clear" w:color="auto" w:fill="auto"/>
        <w:bidi w:val="0"/>
        <w:spacing w:before="0" w:after="400" w:line="313" w:lineRule="exact"/>
        <w:ind w:left="0" w:right="0" w:firstLine="500"/>
        <w:jc w:val="both"/>
      </w:pPr>
      <w:r>
        <w:rPr>
          <w:color w:val="000000"/>
          <w:spacing w:val="0"/>
          <w:w w:val="100"/>
          <w:position w:val="0"/>
        </w:rPr>
        <w:t>当本集团作为合营方向共同经营投出或出售资产（该资产不构成业务，下同）、或者自共同经营购买资产时，在该等 资产出售给第三方之前，本集团仅确认因该交易产生的损益中归属于共同经营其他参与方的部分。该等资产发生符合《企业 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资产减值》等规定的资产减值损失的，对于由本集团向共同经营投出或出售资产的情况，本集团全额确 认该损失；对于本集团自共同经营购买资产的情况，本集团按承担的份额确认该损失。</w:t>
      </w:r>
    </w:p>
    <w:p>
      <w:pPr>
        <w:pStyle w:val="Style28"/>
        <w:keepNext/>
        <w:keepLines/>
        <w:widowControl w:val="0"/>
        <w:shd w:val="clear" w:color="auto" w:fill="auto"/>
        <w:tabs>
          <w:tab w:pos="325" w:val="left"/>
        </w:tabs>
        <w:bidi w:val="0"/>
        <w:spacing w:before="0" w:after="26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8</w:t>
      </w:r>
      <w:bookmarkEnd w:id="714"/>
      <w:r>
        <w:rPr>
          <w:color w:val="000000"/>
          <w:spacing w:val="0"/>
          <w:w w:val="100"/>
          <w:position w:val="0"/>
        </w:rPr>
        <w:t>、</w:t>
        <w:tab/>
        <w:t>现金及现金等价物的确定标准</w:t>
      </w:r>
      <w:bookmarkEnd w:id="712"/>
      <w:bookmarkEnd w:id="713"/>
      <w:bookmarkEnd w:id="715"/>
    </w:p>
    <w:p>
      <w:pPr>
        <w:pStyle w:val="Style19"/>
        <w:keepNext w:val="0"/>
        <w:keepLines w:val="0"/>
        <w:widowControl w:val="0"/>
        <w:shd w:val="clear" w:color="auto" w:fill="auto"/>
        <w:bidi w:val="0"/>
        <w:spacing w:before="0" w:after="400" w:line="312" w:lineRule="exact"/>
        <w:ind w:left="0" w:right="0" w:firstLine="500"/>
        <w:jc w:val="both"/>
      </w:pPr>
      <w:r>
        <w:rPr>
          <w:color w:val="000000"/>
          <w:spacing w:val="0"/>
          <w:w w:val="100"/>
          <w:position w:val="0"/>
        </w:rPr>
        <w:t>本集团现金及现金等价物包括库存现金、可以随时用于支付的存款以及本集团持有的期限短（一般为从购买日起三个 月内到期）、流动性强、易于转换为已知金额现金、价值变动风险很小的投资。</w:t>
      </w:r>
    </w:p>
    <w:p>
      <w:pPr>
        <w:pStyle w:val="Style28"/>
        <w:keepNext/>
        <w:keepLines/>
        <w:widowControl w:val="0"/>
        <w:shd w:val="clear" w:color="auto" w:fill="auto"/>
        <w:tabs>
          <w:tab w:pos="325"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9</w:t>
      </w:r>
      <w:bookmarkEnd w:id="718"/>
      <w:r>
        <w:rPr>
          <w:color w:val="000000"/>
          <w:spacing w:val="0"/>
          <w:w w:val="100"/>
          <w:position w:val="0"/>
        </w:rPr>
        <w:t>、</w:t>
        <w:tab/>
        <w:t>外币业务和外币报表折算</w:t>
      </w:r>
      <w:bookmarkEnd w:id="716"/>
      <w:bookmarkEnd w:id="717"/>
      <w:bookmarkEnd w:id="719"/>
    </w:p>
    <w:p>
      <w:pPr>
        <w:pStyle w:val="Style19"/>
        <w:keepNext w:val="0"/>
        <w:keepLines w:val="0"/>
        <w:widowControl w:val="0"/>
        <w:shd w:val="clear" w:color="auto" w:fill="auto"/>
        <w:tabs>
          <w:tab w:pos="774" w:val="left"/>
        </w:tabs>
        <w:bidi w:val="0"/>
        <w:spacing w:before="0" w:after="0" w:line="314" w:lineRule="exact"/>
        <w:ind w:left="0" w:right="0" w:firstLine="500"/>
        <w:jc w:val="both"/>
      </w:pPr>
      <w:bookmarkStart w:id="720" w:name="bookmark720"/>
      <w:r>
        <w:rPr>
          <w:color w:val="000000"/>
          <w:spacing w:val="0"/>
          <w:w w:val="100"/>
          <w:position w:val="0"/>
          <w:sz w:val="18"/>
          <w:szCs w:val="18"/>
        </w:rPr>
        <w:t>1</w:t>
      </w:r>
      <w:bookmarkEnd w:id="720"/>
      <w:r>
        <w:rPr>
          <w:color w:val="000000"/>
          <w:spacing w:val="0"/>
          <w:w w:val="100"/>
          <w:position w:val="0"/>
        </w:rPr>
        <w:t>、</w:t>
        <w:tab/>
        <w:t>外币交易的折算方法</w:t>
      </w:r>
    </w:p>
    <w:p>
      <w:pPr>
        <w:pStyle w:val="Style1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本集团发生的外币交易在初始确认时，按交易日的即期汇率或即期汇率的近似汇率（通常指中国人民银行公布的当日 外汇牌价的中间价，下同）折算为记账本位币金额，但本集团发生的外币兑换业务或涉及外币兑换的交易事项，按照实际采 用的汇率折算为记账本位币金额。</w:t>
      </w:r>
    </w:p>
    <w:p>
      <w:pPr>
        <w:pStyle w:val="Style19"/>
        <w:keepNext w:val="0"/>
        <w:keepLines w:val="0"/>
        <w:widowControl w:val="0"/>
        <w:shd w:val="clear" w:color="auto" w:fill="auto"/>
        <w:tabs>
          <w:tab w:pos="784" w:val="left"/>
        </w:tabs>
        <w:bidi w:val="0"/>
        <w:spacing w:before="0" w:after="0" w:line="314" w:lineRule="exact"/>
        <w:ind w:left="0" w:right="0" w:firstLine="500"/>
        <w:jc w:val="both"/>
      </w:pPr>
      <w:bookmarkStart w:id="721" w:name="bookmark721"/>
      <w:r>
        <w:rPr>
          <w:color w:val="000000"/>
          <w:spacing w:val="0"/>
          <w:w w:val="100"/>
          <w:position w:val="0"/>
          <w:sz w:val="18"/>
          <w:szCs w:val="18"/>
        </w:rPr>
        <w:t>2</w:t>
      </w:r>
      <w:bookmarkEnd w:id="721"/>
      <w:r>
        <w:rPr>
          <w:color w:val="000000"/>
          <w:spacing w:val="0"/>
          <w:w w:val="100"/>
          <w:position w:val="0"/>
        </w:rPr>
        <w:t>、</w:t>
        <w:tab/>
        <w:t>对于外币货币性项目和外币非货币性项目的折算方法</w:t>
      </w:r>
    </w:p>
    <w:p>
      <w:pPr>
        <w:pStyle w:val="Style1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资产负债表日，对于外币货币性项目采用资产负债表日即期汇率折算，由此产生的汇兑差额，除：①属于与购建符合 资本化条件的资产相关的外币专门借款产生的汇兑差额按照借款费用资本化的原则处理；以及②可供出售的外币货币性项目 除摊余成本之外的其他账面余额变动产生的汇兑差额计入其他综合收益之外，均计入当期损益。</w:t>
      </w:r>
    </w:p>
    <w:p>
      <w:pPr>
        <w:pStyle w:val="Style1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外币非货币性项目，采用公允价值确定日的即期汇率折算，折算后的记账本位币金额与原记账本位币金额的差额，作为公允 价值变动（含汇率变动）处理，计入当期损益或确认为其他综合收益。</w:t>
      </w:r>
    </w:p>
    <w:p>
      <w:pPr>
        <w:pStyle w:val="Style19"/>
        <w:keepNext w:val="0"/>
        <w:keepLines w:val="0"/>
        <w:widowControl w:val="0"/>
        <w:shd w:val="clear" w:color="auto" w:fill="auto"/>
        <w:tabs>
          <w:tab w:pos="784" w:val="left"/>
        </w:tabs>
        <w:bidi w:val="0"/>
        <w:spacing w:before="0" w:after="0" w:line="314" w:lineRule="exact"/>
        <w:ind w:left="0" w:right="0" w:firstLine="500"/>
        <w:jc w:val="both"/>
      </w:pPr>
      <w:bookmarkStart w:id="722" w:name="bookmark722"/>
      <w:r>
        <w:rPr>
          <w:color w:val="000000"/>
          <w:spacing w:val="0"/>
          <w:w w:val="100"/>
          <w:position w:val="0"/>
          <w:sz w:val="18"/>
          <w:szCs w:val="18"/>
        </w:rPr>
        <w:t>3</w:t>
      </w:r>
      <w:bookmarkEnd w:id="722"/>
      <w:r>
        <w:rPr>
          <w:color w:val="000000"/>
          <w:spacing w:val="0"/>
          <w:w w:val="100"/>
          <w:position w:val="0"/>
        </w:rPr>
        <w:t>、</w:t>
        <w:tab/>
        <w:t>外币财务报表的折算方法</w:t>
      </w:r>
    </w:p>
    <w:p>
      <w:pPr>
        <w:pStyle w:val="Style1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 xml:space="preserve">境外经营的外币财务报表按以下方法折算为人民币报表：资产负债表中的资产和负债项目，采用资产负债表日国家外 </w:t>
      </w:r>
      <w:r>
        <w:rPr>
          <w:color w:val="000000"/>
          <w:spacing w:val="0"/>
          <w:w w:val="100"/>
          <w:position w:val="0"/>
        </w:rPr>
        <w:t>汇市场汇率中间价折算为人民币金额；股东权益类项目除“未分配利润”项目外，其他项目均按发生时的国家外汇市场汇率 中间价折算为人民币金额；“未分配利润”项目以折算后的利润分配表中该项目的人民币金额列示。利润表中的收入和费用 项目，采用平均汇率折算为人民币金额。年初未分配利润为上一年折算后的年末未分配利润；期末未分配利润按折算后的利 润分配各项目计算列示；折算后资产类项目与负债类项目和股东权益类项目合计数的差额，作为外币报表折算差额，确认为 其他综合收益。处置境外经营并丧失控制权时，将资产负债表中股东权益项目下列示的、与该境外经营相关的外币报表折算 差额，全部或按处置该境外经营的比例转入处置当期损益。</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外币现金流量以及境外子公司的现金流量，采用现金流量发生日的中国人民银行授权中国外汇交易中心公布的中间价 折算。汇率变动对现金的影响额作为调节项目，在现金流量表中单独列报。</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年初数和上年实际数按照上年财务报表折算后的数额列示。</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在处置本集团在境外经营的全部所有者权益或因处置部分股权投资或其他原因丧失了对境外经营控制权时，将资产负 债表中股东权益项目下列示的、与该境外经营相关的归属于母公司所有者权益的外币报表折算差额，全部转入处置当期损益。</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在处置部分股权投资或其他原因导致持有境外经营权益比例降低但不丧失对境外经营控制权时，与该境外经营处置部 分相关的外币报表折算差额将归属于少数股东权益，不转入当期损益。在处置境外经营为联营企业或合营企业的部分股权时，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19"/>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如有实质上构成对境外经营净投资的外币货币性项目，在合并财务报表中，其因汇率变动而产生的汇兑差额，作为“外 币报表折算差额”确认为其他综合收益；处置境外经营时，计入处置当期损益。</w:t>
      </w:r>
    </w:p>
    <w:p>
      <w:pPr>
        <w:pStyle w:val="Style28"/>
        <w:keepNext/>
        <w:keepLines/>
        <w:widowControl w:val="0"/>
        <w:shd w:val="clear" w:color="auto" w:fill="auto"/>
        <w:bidi w:val="0"/>
        <w:spacing w:before="0" w:after="2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23"/>
      <w:bookmarkEnd w:id="724"/>
      <w:bookmarkEnd w:id="726"/>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在本集团成为金融工具合同的一方时确认一项金融资产或金融负债。</w:t>
      </w:r>
    </w:p>
    <w:p>
      <w:pPr>
        <w:pStyle w:val="Style19"/>
        <w:keepNext w:val="0"/>
        <w:keepLines w:val="0"/>
        <w:widowControl w:val="0"/>
        <w:shd w:val="clear" w:color="auto" w:fill="auto"/>
        <w:tabs>
          <w:tab w:pos="776" w:val="left"/>
        </w:tabs>
        <w:bidi w:val="0"/>
        <w:spacing w:before="0" w:after="0" w:line="312" w:lineRule="exact"/>
        <w:ind w:left="0" w:right="0" w:firstLine="480"/>
        <w:jc w:val="both"/>
      </w:pPr>
      <w:bookmarkStart w:id="727" w:name="bookmark727"/>
      <w:r>
        <w:rPr>
          <w:color w:val="000000"/>
          <w:spacing w:val="0"/>
          <w:w w:val="100"/>
          <w:position w:val="0"/>
          <w:sz w:val="18"/>
          <w:szCs w:val="18"/>
        </w:rPr>
        <w:t>1</w:t>
      </w:r>
      <w:bookmarkEnd w:id="727"/>
      <w:r>
        <w:rPr>
          <w:color w:val="000000"/>
          <w:spacing w:val="0"/>
          <w:w w:val="100"/>
          <w:position w:val="0"/>
        </w:rPr>
        <w:t>、</w:t>
        <w:tab/>
        <w:t>金融资产的分类、确认和计量</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考虑重大融资成分的应收账款或应收票据，本集团按照预期有权收取的对价金额作为初始确认金额。</w:t>
      </w:r>
    </w:p>
    <w:p>
      <w:pPr>
        <w:pStyle w:val="Style19"/>
        <w:keepNext w:val="0"/>
        <w:keepLines w:val="0"/>
        <w:widowControl w:val="0"/>
        <w:numPr>
          <w:ilvl w:val="0"/>
          <w:numId w:val="19"/>
        </w:numPr>
        <w:shd w:val="clear" w:color="auto" w:fill="auto"/>
        <w:tabs>
          <w:tab w:pos="814" w:val="left"/>
        </w:tabs>
        <w:bidi w:val="0"/>
        <w:spacing w:before="0" w:after="0" w:line="312" w:lineRule="exact"/>
        <w:ind w:left="0" w:right="0" w:firstLine="480"/>
        <w:jc w:val="both"/>
      </w:pPr>
      <w:bookmarkStart w:id="728" w:name="bookmark728"/>
      <w:bookmarkEnd w:id="728"/>
      <w:r>
        <w:rPr>
          <w:color w:val="000000"/>
          <w:spacing w:val="0"/>
          <w:w w:val="100"/>
          <w:position w:val="0"/>
        </w:rPr>
        <w:t>以摊余成本计量的金融资产</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征与基本借贷安排相一致，即在特定日期产生的现金流量，仅为对本金和以未偿付本金金额为基础的利息的支付。本集团对 于此类金融资产，采用实际利率法，按照摊余成本进行后续计量，其摊销或减值产生的利得或损失，计入当期损益。</w:t>
      </w:r>
    </w:p>
    <w:p>
      <w:pPr>
        <w:pStyle w:val="Style19"/>
        <w:keepNext w:val="0"/>
        <w:keepLines w:val="0"/>
        <w:widowControl w:val="0"/>
        <w:numPr>
          <w:ilvl w:val="0"/>
          <w:numId w:val="19"/>
        </w:numPr>
        <w:shd w:val="clear" w:color="auto" w:fill="auto"/>
        <w:tabs>
          <w:tab w:pos="814" w:val="left"/>
        </w:tabs>
        <w:bidi w:val="0"/>
        <w:spacing w:before="0" w:after="0" w:line="312" w:lineRule="exact"/>
        <w:ind w:left="0" w:right="0" w:firstLine="480"/>
        <w:jc w:val="both"/>
      </w:pPr>
      <w:bookmarkStart w:id="729" w:name="bookmark729"/>
      <w:bookmarkEnd w:id="729"/>
      <w:r>
        <w:rPr>
          <w:color w:val="000000"/>
          <w:spacing w:val="0"/>
          <w:w w:val="100"/>
          <w:position w:val="0"/>
        </w:rPr>
        <w:t>以公允价值计量且其变动计入其他综合收益的金融资产</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本集团管理此类金融资产的业务模式为既以收取合同现金流量为目标又以出售为目标，且此类金融资产的合同现金流 量特征与基本借贷安排相一致。本集团对此类金融资产按照公允价值计量且其变动计入其他综合收益，但减值损失或利得、 汇兑损益和按照实际利率法计算的利息收入计入当期损益。</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此外，本集团将部分非交易性权益工具投资指定为以公允价值计量且其变动计入其他综合收益的金融资产。本集团将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19"/>
        <w:keepNext w:val="0"/>
        <w:keepLines w:val="0"/>
        <w:widowControl w:val="0"/>
        <w:numPr>
          <w:ilvl w:val="0"/>
          <w:numId w:val="19"/>
        </w:numPr>
        <w:shd w:val="clear" w:color="auto" w:fill="auto"/>
        <w:tabs>
          <w:tab w:pos="814" w:val="left"/>
        </w:tabs>
        <w:bidi w:val="0"/>
        <w:spacing w:before="0" w:after="0" w:line="312" w:lineRule="exact"/>
        <w:ind w:left="0" w:right="0" w:firstLine="480"/>
        <w:jc w:val="both"/>
      </w:pPr>
      <w:bookmarkStart w:id="730" w:name="bookmark730"/>
      <w:bookmarkEnd w:id="730"/>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本集团将上述以摊余成本计量的金融资产和以公允价值计量且其变动计入其他综合收益的金融资产之外的金融资产， 分类为以公允价值计量且其变动计入当期损益的金融资产。此外，在初始确认时，本集团为了消除或显著减少会计错配，将 部分金融资产指定为以公允价值计量且其变动计入当期损益的金融资产。对于此类金融资产，本集团采用公允价值进行后续 计量，公允价值变动计入当期损益。</w:t>
      </w:r>
    </w:p>
    <w:p>
      <w:pPr>
        <w:pStyle w:val="Style19"/>
        <w:keepNext w:val="0"/>
        <w:keepLines w:val="0"/>
        <w:widowControl w:val="0"/>
        <w:shd w:val="clear" w:color="auto" w:fill="auto"/>
        <w:tabs>
          <w:tab w:pos="786" w:val="left"/>
        </w:tabs>
        <w:bidi w:val="0"/>
        <w:spacing w:before="0" w:after="0" w:line="312" w:lineRule="exact"/>
        <w:ind w:left="0" w:right="0" w:firstLine="480"/>
        <w:jc w:val="both"/>
      </w:pPr>
      <w:bookmarkStart w:id="731" w:name="bookmark731"/>
      <w:r>
        <w:rPr>
          <w:color w:val="000000"/>
          <w:spacing w:val="0"/>
          <w:w w:val="100"/>
          <w:position w:val="0"/>
          <w:sz w:val="18"/>
          <w:szCs w:val="18"/>
        </w:rPr>
        <w:t>2</w:t>
      </w:r>
      <w:bookmarkEnd w:id="731"/>
      <w:r>
        <w:rPr>
          <w:color w:val="000000"/>
          <w:spacing w:val="0"/>
          <w:w w:val="100"/>
          <w:position w:val="0"/>
        </w:rPr>
        <w:t>、</w:t>
        <w:tab/>
        <w:t>金融负债的分类、确认和计量</w:t>
      </w:r>
    </w:p>
    <w:p>
      <w:pPr>
        <w:pStyle w:val="Style1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金融负债于初始确认时分类为以公允价值计量且其变动计入当期损益的金融负债和其他金融负债。对于以公允价值计 </w:t>
      </w:r>
      <w:r>
        <w:rPr>
          <w:color w:val="000000"/>
          <w:spacing w:val="0"/>
          <w:w w:val="100"/>
          <w:position w:val="0"/>
        </w:rPr>
        <w:t>量且其变动计入当期损益的金融负债，相关交易费用直接计入当期损益，其他金融负债的相关交易费用计入其初始确认金额。</w:t>
      </w:r>
    </w:p>
    <w:p>
      <w:pPr>
        <w:pStyle w:val="Style19"/>
        <w:keepNext w:val="0"/>
        <w:keepLines w:val="0"/>
        <w:widowControl w:val="0"/>
        <w:numPr>
          <w:ilvl w:val="0"/>
          <w:numId w:val="21"/>
        </w:numPr>
        <w:shd w:val="clear" w:color="auto" w:fill="auto"/>
        <w:tabs>
          <w:tab w:pos="826" w:val="left"/>
        </w:tabs>
        <w:bidi w:val="0"/>
        <w:spacing w:before="0" w:after="0" w:line="312" w:lineRule="exact"/>
        <w:ind w:left="0" w:right="0" w:firstLine="500"/>
        <w:jc w:val="both"/>
      </w:pPr>
      <w:bookmarkStart w:id="732" w:name="bookmark732"/>
      <w:bookmarkEnd w:id="732"/>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被指定为以公允价值计量且其变动计入当期损益的金融负债，该负债由本集团自身信用风险变动引起的公允价值变动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中的会计错配的，本集团将该金融负债的全部利得或损失（包括企业自身信用风险变动的影响金额）计入当期损益。</w:t>
      </w:r>
    </w:p>
    <w:p>
      <w:pPr>
        <w:pStyle w:val="Style19"/>
        <w:keepNext w:val="0"/>
        <w:keepLines w:val="0"/>
        <w:widowControl w:val="0"/>
        <w:numPr>
          <w:ilvl w:val="0"/>
          <w:numId w:val="21"/>
        </w:numPr>
        <w:shd w:val="clear" w:color="auto" w:fill="auto"/>
        <w:tabs>
          <w:tab w:pos="826" w:val="left"/>
        </w:tabs>
        <w:bidi w:val="0"/>
        <w:spacing w:before="0" w:after="0" w:line="312" w:lineRule="exact"/>
        <w:ind w:left="0" w:right="0" w:firstLine="500"/>
        <w:jc w:val="left"/>
      </w:pPr>
      <w:bookmarkStart w:id="733" w:name="bookmark733"/>
      <w:bookmarkEnd w:id="733"/>
      <w:r>
        <w:rPr>
          <w:color w:val="000000"/>
          <w:spacing w:val="0"/>
          <w:w w:val="100"/>
          <w:position w:val="0"/>
        </w:rPr>
        <w:t>其他金融负债</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19"/>
        <w:keepNext w:val="0"/>
        <w:keepLines w:val="0"/>
        <w:widowControl w:val="0"/>
        <w:shd w:val="clear" w:color="auto" w:fill="auto"/>
        <w:tabs>
          <w:tab w:pos="797" w:val="left"/>
        </w:tabs>
        <w:bidi w:val="0"/>
        <w:spacing w:before="0" w:after="0" w:line="312" w:lineRule="exact"/>
        <w:ind w:left="0" w:right="0" w:firstLine="500"/>
        <w:jc w:val="both"/>
      </w:pPr>
      <w:bookmarkStart w:id="734" w:name="bookmark734"/>
      <w:r>
        <w:rPr>
          <w:color w:val="000000"/>
          <w:spacing w:val="0"/>
          <w:w w:val="100"/>
          <w:position w:val="0"/>
          <w:sz w:val="18"/>
          <w:szCs w:val="18"/>
        </w:rPr>
        <w:t>3</w:t>
      </w:r>
      <w:bookmarkEnd w:id="734"/>
      <w:r>
        <w:rPr>
          <w:color w:val="000000"/>
          <w:spacing w:val="0"/>
          <w:w w:val="100"/>
          <w:position w:val="0"/>
        </w:rPr>
        <w:t>、</w:t>
        <w:tab/>
        <w:t>金融资产转移的确认依据和计量方法</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19"/>
        <w:keepNext w:val="0"/>
        <w:keepLines w:val="0"/>
        <w:widowControl w:val="0"/>
        <w:shd w:val="clear" w:color="auto" w:fill="auto"/>
        <w:tabs>
          <w:tab w:pos="802" w:val="left"/>
        </w:tabs>
        <w:bidi w:val="0"/>
        <w:spacing w:before="0" w:after="0" w:line="312" w:lineRule="exact"/>
        <w:ind w:left="0" w:right="0" w:firstLine="500"/>
        <w:jc w:val="both"/>
      </w:pPr>
      <w:bookmarkStart w:id="735" w:name="bookmark735"/>
      <w:r>
        <w:rPr>
          <w:color w:val="000000"/>
          <w:spacing w:val="0"/>
          <w:w w:val="100"/>
          <w:position w:val="0"/>
          <w:sz w:val="18"/>
          <w:szCs w:val="18"/>
        </w:rPr>
        <w:t>4</w:t>
      </w:r>
      <w:bookmarkEnd w:id="735"/>
      <w:r>
        <w:rPr>
          <w:color w:val="000000"/>
          <w:spacing w:val="0"/>
          <w:w w:val="100"/>
          <w:position w:val="0"/>
        </w:rPr>
        <w:t>、</w:t>
        <w:tab/>
        <w:t>金融负债的终止确认</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金融负债（或其一部分）的现时义务已经解除的，本集团终止确认该金融负债（或该部分金融负债）。本集团（借入 方）与借出方签订协议，以承担新金融负债的方式替换原金融负债，且新金融负债与原金融负债的合同条款实质上不同的， 终止确认原金融负债，同时确认一项新金融负债。本集团对原金融负债（或其一部分）的合同条款作出实质性修改的，终止 确认原金融负债，同时按照修改后的条款确认一项新金融负债。</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金融负债（或其一部分）终止确认的，本集团将其账面价值与支付的对价（包括转出的非现金资产或承担的负债）之 间的差额，计入当期损益。</w:t>
      </w:r>
    </w:p>
    <w:p>
      <w:pPr>
        <w:pStyle w:val="Style19"/>
        <w:keepNext w:val="0"/>
        <w:keepLines w:val="0"/>
        <w:widowControl w:val="0"/>
        <w:shd w:val="clear" w:color="auto" w:fill="auto"/>
        <w:tabs>
          <w:tab w:pos="802" w:val="left"/>
        </w:tabs>
        <w:bidi w:val="0"/>
        <w:spacing w:before="0" w:after="0" w:line="312" w:lineRule="exact"/>
        <w:ind w:left="0" w:right="0" w:firstLine="500"/>
        <w:jc w:val="both"/>
      </w:pPr>
      <w:bookmarkStart w:id="736" w:name="bookmark736"/>
      <w:r>
        <w:rPr>
          <w:color w:val="000000"/>
          <w:spacing w:val="0"/>
          <w:w w:val="100"/>
          <w:position w:val="0"/>
          <w:sz w:val="18"/>
          <w:szCs w:val="18"/>
        </w:rPr>
        <w:t>5</w:t>
      </w:r>
      <w:bookmarkEnd w:id="736"/>
      <w:r>
        <w:rPr>
          <w:color w:val="000000"/>
          <w:spacing w:val="0"/>
          <w:w w:val="100"/>
          <w:position w:val="0"/>
        </w:rPr>
        <w:t>、</w:t>
        <w:tab/>
        <w:t>金融资产和金融负债的抵销</w:t>
      </w:r>
    </w:p>
    <w:p>
      <w:pPr>
        <w:pStyle w:val="Style19"/>
        <w:keepNext w:val="0"/>
        <w:keepLines w:val="0"/>
        <w:widowControl w:val="0"/>
        <w:shd w:val="clear" w:color="auto" w:fill="auto"/>
        <w:bidi w:val="0"/>
        <w:spacing w:before="0" w:after="0" w:line="329" w:lineRule="exact"/>
        <w:ind w:left="0" w:right="0" w:firstLine="500"/>
        <w:jc w:val="both"/>
      </w:pPr>
      <w:r>
        <w:rPr>
          <w:color w:val="000000"/>
          <w:spacing w:val="0"/>
          <w:w w:val="100"/>
          <w:position w:val="0"/>
        </w:rPr>
        <w:t>当本集团具有抵销已确认金额的金融资产和金融负债的法定权利，且该种法定权利是当前可执行的，同时本集团计划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19"/>
        <w:keepNext w:val="0"/>
        <w:keepLines w:val="0"/>
        <w:widowControl w:val="0"/>
        <w:shd w:val="clear" w:color="auto" w:fill="auto"/>
        <w:tabs>
          <w:tab w:pos="802" w:val="left"/>
        </w:tabs>
        <w:bidi w:val="0"/>
        <w:spacing w:before="0" w:after="0" w:line="312" w:lineRule="exact"/>
        <w:ind w:left="0" w:right="0" w:firstLine="500"/>
        <w:jc w:val="both"/>
      </w:pPr>
      <w:bookmarkStart w:id="737" w:name="bookmark737"/>
      <w:r>
        <w:rPr>
          <w:color w:val="000000"/>
          <w:spacing w:val="0"/>
          <w:w w:val="100"/>
          <w:position w:val="0"/>
          <w:sz w:val="18"/>
          <w:szCs w:val="18"/>
        </w:rPr>
        <w:t>6</w:t>
      </w:r>
      <w:bookmarkEnd w:id="737"/>
      <w:r>
        <w:rPr>
          <w:color w:val="000000"/>
          <w:spacing w:val="0"/>
          <w:w w:val="100"/>
          <w:position w:val="0"/>
        </w:rPr>
        <w:t>、</w:t>
        <w:tab/>
        <w:t>金融资产和金融负债的公允价值确定方法</w:t>
      </w:r>
    </w:p>
    <w:p>
      <w:pPr>
        <w:pStyle w:val="Style1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公允价值，是指市场参与者在计量日发生的有序交易中，出售一项资产所能收到或者转移一项负债所需支付的价格。 金融工具存在活跃市场的，本集团采用活跃市场中的报价确定其公允价值。活跃市场中的报价是指易于定期从交易所、经纪 商、行业协会、定价服务机构等获得的价格，且代表了在公平交易中实际发生的市场交易的价格。金融工具不存在活跃市场 </w:t>
      </w:r>
      <w:r>
        <w:rPr>
          <w:color w:val="000000"/>
          <w:spacing w:val="0"/>
          <w:w w:val="100"/>
          <w:position w:val="0"/>
        </w:rPr>
        <w:t>的，本集团采用估值技术确定其公允价值。估值技术包括参考熟悉情况并自愿交易的各方最近进行的市场交易中使用的价格、 参照实质上相同的其他金融工具当前的公允价值、现金流量折现法和期权定价模型等。在估值时，本集团采用在当前情况下 适用并且有足够可利用数据和其他信息支持的估值技术，选择与市场参与者在相关资产或负债的交易中所考虑的资产或负债 特征相一致的输入值，并尽可能优先使用相关可观察输入值。在相关可观察输入值无法取得或取得不切实可行的情况下，使 用不可输入值。</w:t>
      </w:r>
    </w:p>
    <w:p>
      <w:pPr>
        <w:pStyle w:val="Style19"/>
        <w:keepNext w:val="0"/>
        <w:keepLines w:val="0"/>
        <w:widowControl w:val="0"/>
        <w:shd w:val="clear" w:color="auto" w:fill="auto"/>
        <w:tabs>
          <w:tab w:pos="814" w:val="left"/>
        </w:tabs>
        <w:bidi w:val="0"/>
        <w:spacing w:before="0" w:after="0" w:line="311" w:lineRule="exact"/>
        <w:ind w:left="0" w:right="0" w:firstLine="500"/>
        <w:jc w:val="both"/>
      </w:pPr>
      <w:bookmarkStart w:id="738" w:name="bookmark738"/>
      <w:r>
        <w:rPr>
          <w:color w:val="000000"/>
          <w:spacing w:val="0"/>
          <w:w w:val="100"/>
          <w:position w:val="0"/>
          <w:sz w:val="18"/>
          <w:szCs w:val="18"/>
        </w:rPr>
        <w:t>7</w:t>
      </w:r>
      <w:bookmarkEnd w:id="738"/>
      <w:r>
        <w:rPr>
          <w:color w:val="000000"/>
          <w:spacing w:val="0"/>
          <w:w w:val="100"/>
          <w:position w:val="0"/>
        </w:rPr>
        <w:t>、</w:t>
        <w:tab/>
        <w:t>权益工具</w:t>
      </w:r>
    </w:p>
    <w:p>
      <w:pPr>
        <w:pStyle w:val="Style1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权益工具是指能证明拥有本集团在扣除所有负债后的资产中的剩余权益的合同。本集团发行（含再融资）、回购、出 售或注销权益工具作为权益的变动处理，与权益性交易相关的交易费用从权益中扣减。本集团不确认权益工具的公允价值变 动。</w:t>
      </w:r>
    </w:p>
    <w:p>
      <w:pPr>
        <w:pStyle w:val="Style19"/>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本集团权益工具在存续期间分派股利（含分类为权益工具的工具所产生的“利息”）的，作为利润分配处理。</w:t>
      </w:r>
    </w:p>
    <w:p>
      <w:pPr>
        <w:pStyle w:val="Style19"/>
        <w:keepNext w:val="0"/>
        <w:keepLines w:val="0"/>
        <w:widowControl w:val="0"/>
        <w:shd w:val="clear" w:color="auto" w:fill="auto"/>
        <w:tabs>
          <w:tab w:pos="814" w:val="left"/>
        </w:tabs>
        <w:bidi w:val="0"/>
        <w:spacing w:before="0" w:after="0" w:line="311" w:lineRule="exact"/>
        <w:ind w:left="0" w:right="0" w:firstLine="500"/>
        <w:jc w:val="both"/>
      </w:pPr>
      <w:bookmarkStart w:id="739" w:name="bookmark739"/>
      <w:r>
        <w:rPr>
          <w:color w:val="000000"/>
          <w:spacing w:val="0"/>
          <w:w w:val="100"/>
          <w:position w:val="0"/>
          <w:sz w:val="18"/>
          <w:szCs w:val="18"/>
        </w:rPr>
        <w:t>8</w:t>
      </w:r>
      <w:bookmarkEnd w:id="739"/>
      <w:r>
        <w:rPr>
          <w:color w:val="000000"/>
          <w:spacing w:val="0"/>
          <w:w w:val="100"/>
          <w:position w:val="0"/>
        </w:rPr>
        <w:t>、</w:t>
        <w:tab/>
        <w:t>金融资产减值</w:t>
      </w:r>
    </w:p>
    <w:p>
      <w:pPr>
        <w:pStyle w:val="Style19"/>
        <w:keepNext w:val="0"/>
        <w:keepLines w:val="0"/>
        <w:widowControl w:val="0"/>
        <w:shd w:val="clear" w:color="auto" w:fill="auto"/>
        <w:bidi w:val="0"/>
        <w:spacing w:before="0" w:after="0" w:line="311" w:lineRule="exact"/>
        <w:ind w:left="0" w:right="0" w:firstLine="860"/>
        <w:jc w:val="both"/>
      </w:pPr>
      <w:r>
        <w:rPr>
          <w:color w:val="000000"/>
          <w:spacing w:val="0"/>
          <w:w w:val="100"/>
          <w:position w:val="0"/>
        </w:rPr>
        <w:t>本集团需确认减值损失的金融资产系以摊余成本计量的金融资产、以公允价值计量且其变动计入其他综合收益的 债务工具投资、租赁应收款，主要包括应收票据、应收账款、其他应收款、债权投资、其他债权投资、长期应收款等。此外， 对合同资产及部分财务担保合同，也按照本部分所述会计政策计提减值准备和确认信用减值损失。</w:t>
      </w:r>
    </w:p>
    <w:p>
      <w:pPr>
        <w:pStyle w:val="Style19"/>
        <w:keepNext w:val="0"/>
        <w:keepLines w:val="0"/>
        <w:widowControl w:val="0"/>
        <w:numPr>
          <w:ilvl w:val="0"/>
          <w:numId w:val="23"/>
        </w:numPr>
        <w:shd w:val="clear" w:color="auto" w:fill="auto"/>
        <w:tabs>
          <w:tab w:pos="776" w:val="left"/>
        </w:tabs>
        <w:bidi w:val="0"/>
        <w:spacing w:before="0" w:after="0" w:line="311" w:lineRule="exact"/>
        <w:ind w:left="0" w:right="0" w:firstLine="500"/>
        <w:jc w:val="both"/>
      </w:pPr>
      <w:bookmarkStart w:id="740" w:name="bookmark740"/>
      <w:bookmarkEnd w:id="740"/>
      <w:r>
        <w:rPr>
          <w:color w:val="000000"/>
          <w:spacing w:val="0"/>
          <w:w w:val="100"/>
          <w:position w:val="0"/>
        </w:rPr>
        <w:t>减值准备的确认方法</w:t>
      </w:r>
    </w:p>
    <w:p>
      <w:pPr>
        <w:pStyle w:val="Style1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本集团以预期信用损失为基础，对上述各项目按照其适用的预期信用损失计量方法（一般方法或简化方法）计提减值 准备并确认信用减值损失。</w:t>
      </w:r>
    </w:p>
    <w:p>
      <w:pPr>
        <w:pStyle w:val="Style1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信用损失，是指本集团按照原实际利率折现的、根据合同应收的所有合同现金流量与预期收取的所有现金流量之间的 差额，即全部现金短缺的现值。其中，对于购买或源生的已发生信用减值的金融资产，本集团按照该金融资产经信用调整的 实际利率折现。</w:t>
      </w:r>
    </w:p>
    <w:p>
      <w:pPr>
        <w:pStyle w:val="Style19"/>
        <w:keepNext w:val="0"/>
        <w:keepLines w:val="0"/>
        <w:widowControl w:val="0"/>
        <w:shd w:val="clear" w:color="auto" w:fill="auto"/>
        <w:bidi w:val="0"/>
        <w:spacing w:before="0" w:after="0" w:line="311" w:lineRule="exact"/>
        <w:ind w:left="0" w:right="0" w:firstLine="500"/>
        <w:jc w:val="both"/>
      </w:pPr>
      <w:r>
        <w:rPr>
          <w:color w:val="000000"/>
          <w:spacing w:val="0"/>
          <w:w w:val="100"/>
          <w:position w:val="0"/>
        </w:rPr>
        <w:t>预期信用损失计量的一般方法是指，本集团在每个资产负债表日评估金融资产（含其他适用项目，下同）的信用风险 自初始确认后是否已经显著增加，如果信用风险自初始确认后已显著增加，本集团按照相当于整个存续期内预期信用损失的 金额计量损失准备；如果信用风险自初始确认后未显著增加，本集团按照相当于未来</w:t>
      </w:r>
      <w:r>
        <w:rPr>
          <w:color w:val="000000"/>
          <w:spacing w:val="0"/>
          <w:w w:val="100"/>
          <w:position w:val="0"/>
          <w:sz w:val="18"/>
          <w:szCs w:val="18"/>
        </w:rPr>
        <w:t>12</w:t>
      </w:r>
      <w:r>
        <w:rPr>
          <w:color w:val="000000"/>
          <w:spacing w:val="0"/>
          <w:w w:val="100"/>
          <w:position w:val="0"/>
        </w:rPr>
        <w:t>个月内预期信用损失的金额计量损失 准备。本集团在评估预期信用损失时，考虑所有合理且有依据的信息，包括前瞻性信息。</w:t>
      </w:r>
    </w:p>
    <w:p>
      <w:pPr>
        <w:pStyle w:val="Style1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对于在资产负债表日具有较低信用风险的金融工具，本集团假设其信用风险自初始确认后并未显著增加，选择按照未 来</w:t>
      </w:r>
      <w:r>
        <w:rPr>
          <w:color w:val="000000"/>
          <w:spacing w:val="0"/>
          <w:w w:val="100"/>
          <w:position w:val="0"/>
          <w:sz w:val="18"/>
          <w:szCs w:val="18"/>
        </w:rPr>
        <w:t>12</w:t>
      </w:r>
      <w:r>
        <w:rPr>
          <w:color w:val="000000"/>
          <w:spacing w:val="0"/>
          <w:w w:val="100"/>
          <w:position w:val="0"/>
        </w:rPr>
        <w:t>个月内的预期信用损失计量损失准备。</w:t>
      </w:r>
    </w:p>
    <w:p>
      <w:pPr>
        <w:pStyle w:val="Style19"/>
        <w:keepNext w:val="0"/>
        <w:keepLines w:val="0"/>
        <w:widowControl w:val="0"/>
        <w:numPr>
          <w:ilvl w:val="0"/>
          <w:numId w:val="23"/>
        </w:numPr>
        <w:shd w:val="clear" w:color="auto" w:fill="auto"/>
        <w:tabs>
          <w:tab w:pos="786" w:val="left"/>
        </w:tabs>
        <w:bidi w:val="0"/>
        <w:spacing w:before="0" w:after="0" w:line="310" w:lineRule="exact"/>
        <w:ind w:left="0" w:right="0" w:firstLine="500"/>
        <w:jc w:val="both"/>
      </w:pPr>
      <w:bookmarkStart w:id="741" w:name="bookmark741"/>
      <w:bookmarkEnd w:id="741"/>
      <w:r>
        <w:rPr>
          <w:color w:val="000000"/>
          <w:spacing w:val="0"/>
          <w:w w:val="100"/>
          <w:position w:val="0"/>
        </w:rPr>
        <w:t>信用风险自初始确认后是否显著增加的判断标准</w:t>
      </w:r>
    </w:p>
    <w:p>
      <w:pPr>
        <w:pStyle w:val="Style1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如果某项金融资产在资产负债表日确定的预计存续期内的违约概率显著高于在初始确认时确定的预计存续期内的违 约概率，则表明该项金融资产的信用风险显著增加。除特殊情况外，本集团采用未来</w:t>
      </w:r>
      <w:r>
        <w:rPr>
          <w:color w:val="000000"/>
          <w:spacing w:val="0"/>
          <w:w w:val="100"/>
          <w:position w:val="0"/>
          <w:sz w:val="18"/>
          <w:szCs w:val="18"/>
        </w:rPr>
        <w:t>12</w:t>
      </w:r>
      <w:r>
        <w:rPr>
          <w:color w:val="000000"/>
          <w:spacing w:val="0"/>
          <w:w w:val="100"/>
          <w:position w:val="0"/>
        </w:rPr>
        <w:t>个月内发生的违约风险的变化作为整 个存续期内发生违约风险变化的合理估计，来确定自初始确认后信用风险是否显著增加。</w:t>
      </w:r>
    </w:p>
    <w:p>
      <w:pPr>
        <w:pStyle w:val="Style19"/>
        <w:keepNext w:val="0"/>
        <w:keepLines w:val="0"/>
        <w:widowControl w:val="0"/>
        <w:numPr>
          <w:ilvl w:val="0"/>
          <w:numId w:val="23"/>
        </w:numPr>
        <w:shd w:val="clear" w:color="auto" w:fill="auto"/>
        <w:tabs>
          <w:tab w:pos="786" w:val="left"/>
        </w:tabs>
        <w:bidi w:val="0"/>
        <w:spacing w:before="0" w:after="0" w:line="310" w:lineRule="exact"/>
        <w:ind w:left="0" w:right="0" w:firstLine="500"/>
        <w:jc w:val="both"/>
      </w:pPr>
      <w:bookmarkStart w:id="742" w:name="bookmark742"/>
      <w:bookmarkEnd w:id="742"/>
      <w:r>
        <w:rPr>
          <w:color w:val="000000"/>
          <w:spacing w:val="0"/>
          <w:w w:val="100"/>
          <w:position w:val="0"/>
        </w:rPr>
        <w:t>以组合为基础评估预期信用风险的组合方法</w:t>
      </w:r>
    </w:p>
    <w:p>
      <w:pPr>
        <w:pStyle w:val="Style1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本集团对信用风险显著不同的金融资产单项评价信用风险，如：与对方存在争议或涉及诉讼、仲裁的应收款项；已有 明显迹象表明债务人很可能无法履行还款义务的应收款项等。</w:t>
      </w:r>
    </w:p>
    <w:p>
      <w:pPr>
        <w:pStyle w:val="Style1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除了单项评估信用风险的金融资产外，本集团基于共同风险特征将金融资产划分为不同的组别，在组合的基础上评估 信用风险。</w:t>
      </w:r>
    </w:p>
    <w:p>
      <w:pPr>
        <w:pStyle w:val="Style19"/>
        <w:keepNext w:val="0"/>
        <w:keepLines w:val="0"/>
        <w:widowControl w:val="0"/>
        <w:numPr>
          <w:ilvl w:val="0"/>
          <w:numId w:val="23"/>
        </w:numPr>
        <w:shd w:val="clear" w:color="auto" w:fill="auto"/>
        <w:tabs>
          <w:tab w:pos="790" w:val="left"/>
        </w:tabs>
        <w:bidi w:val="0"/>
        <w:spacing w:before="0" w:after="0" w:line="310" w:lineRule="exact"/>
        <w:ind w:left="0" w:right="0" w:firstLine="500"/>
        <w:jc w:val="both"/>
      </w:pPr>
      <w:bookmarkStart w:id="743" w:name="bookmark743"/>
      <w:bookmarkEnd w:id="743"/>
      <w:r>
        <w:rPr>
          <w:color w:val="000000"/>
          <w:spacing w:val="0"/>
          <w:w w:val="100"/>
          <w:position w:val="0"/>
        </w:rPr>
        <w:t>金融资产减值的会计处理方法</w:t>
      </w:r>
    </w:p>
    <w:p>
      <w:pPr>
        <w:pStyle w:val="Style19"/>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期末，本集团计算各类金融资产的预计信用损失，如果该预计信用损失大于其当前减值准备的账面金额，将其差额确 认为减值损失；如果小于当前减值准备的账面金额，则将差额确认为减值利得。</w:t>
      </w:r>
    </w:p>
    <w:p>
      <w:pPr>
        <w:pStyle w:val="Style19"/>
        <w:keepNext w:val="0"/>
        <w:keepLines w:val="0"/>
        <w:widowControl w:val="0"/>
        <w:numPr>
          <w:ilvl w:val="0"/>
          <w:numId w:val="23"/>
        </w:numPr>
        <w:shd w:val="clear" w:color="auto" w:fill="auto"/>
        <w:tabs>
          <w:tab w:pos="790" w:val="left"/>
        </w:tabs>
        <w:bidi w:val="0"/>
        <w:spacing w:before="0" w:after="0" w:line="310" w:lineRule="exact"/>
        <w:ind w:left="0" w:right="0" w:firstLine="500"/>
        <w:jc w:val="both"/>
      </w:pPr>
      <w:bookmarkStart w:id="744" w:name="bookmark744"/>
      <w:bookmarkEnd w:id="744"/>
      <w:r>
        <w:rPr>
          <w:color w:val="000000"/>
          <w:spacing w:val="0"/>
          <w:w w:val="100"/>
          <w:position w:val="0"/>
        </w:rPr>
        <w:t>各类金融资产信用损失的确定方法</w:t>
      </w:r>
    </w:p>
    <w:p>
      <w:pPr>
        <w:pStyle w:val="Style19"/>
        <w:keepNext w:val="0"/>
        <w:keepLines w:val="0"/>
        <w:widowControl w:val="0"/>
        <w:numPr>
          <w:ilvl w:val="0"/>
          <w:numId w:val="25"/>
        </w:numPr>
        <w:shd w:val="clear" w:color="auto" w:fill="auto"/>
        <w:bidi w:val="0"/>
        <w:spacing w:before="0" w:after="0" w:line="310" w:lineRule="exact"/>
        <w:ind w:left="0" w:right="0" w:firstLine="500"/>
        <w:jc w:val="left"/>
      </w:pPr>
      <w:bookmarkStart w:id="745" w:name="bookmark745"/>
      <w:bookmarkEnd w:id="745"/>
      <w:r>
        <w:rPr>
          <w:color w:val="000000"/>
          <w:spacing w:val="0"/>
          <w:w w:val="100"/>
          <w:position w:val="0"/>
        </w:rPr>
        <w:t>应收票据</w:t>
      </w:r>
    </w:p>
    <w:p>
      <w:pPr>
        <w:pStyle w:val="Style19"/>
        <w:keepNext w:val="0"/>
        <w:keepLines w:val="0"/>
        <w:widowControl w:val="0"/>
        <w:shd w:val="clear" w:color="auto" w:fill="auto"/>
        <w:bidi w:val="0"/>
        <w:spacing w:before="0" w:after="80" w:line="310" w:lineRule="exact"/>
        <w:ind w:left="0" w:right="0" w:firstLine="500"/>
        <w:jc w:val="both"/>
      </w:pPr>
      <w:r>
        <w:rPr>
          <w:color w:val="000000"/>
          <w:spacing w:val="0"/>
          <w:w w:val="100"/>
          <w:position w:val="0"/>
        </w:rPr>
        <w:t>本集团对于应收票据按照相当于整个存续期内的预期信用损失金额计量损失准备。基于应收票据的信用风险特征，将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其划分为不同组合：</w:t>
      </w:r>
    </w:p>
    <w:tbl>
      <w:tblPr>
        <w:tblOverlap w:val="never"/>
        <w:jc w:val="center"/>
        <w:tblLayout w:type="fixed"/>
      </w:tblPr>
      <w:tblGrid>
        <w:gridCol w:w="2587"/>
        <w:gridCol w:w="4454"/>
        <w:gridCol w:w="2635"/>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计提方法</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承兑人为信用风险较小的银行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参考历史信用损失经验不计提坏</w:t>
            </w:r>
          </w:p>
        </w:tc>
      </w:tr>
    </w:tbl>
    <w:p>
      <w:pPr>
        <w:widowControl w:val="0"/>
        <w:spacing w:line="1" w:lineRule="exact"/>
      </w:pPr>
      <w:r>
        <w:br w:type="page"/>
      </w:r>
    </w:p>
    <w:tbl>
      <w:tblPr>
        <w:tblOverlap w:val="never"/>
        <w:jc w:val="center"/>
        <w:tblLayout w:type="fixed"/>
      </w:tblPr>
      <w:tblGrid>
        <w:gridCol w:w="2587"/>
        <w:gridCol w:w="4454"/>
        <w:gridCol w:w="2635"/>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账准备</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承兑人为信用风险较高的企业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C0C0C"/>
                <w:spacing w:val="0"/>
                <w:w w:val="100"/>
                <w:position w:val="0"/>
                <w:sz w:val="17"/>
                <w:szCs w:val="17"/>
              </w:rPr>
              <w:t>参照应收账款，按账龄与整个存 续期预期信用损失率对照表计提</w:t>
            </w:r>
          </w:p>
        </w:tc>
      </w:tr>
    </w:tbl>
    <w:p>
      <w:pPr>
        <w:pStyle w:val="Style24"/>
        <w:keepNext w:val="0"/>
        <w:keepLines w:val="0"/>
        <w:widowControl w:val="0"/>
        <w:shd w:val="clear" w:color="auto" w:fill="auto"/>
        <w:bidi w:val="0"/>
        <w:spacing w:before="0" w:after="120" w:line="240" w:lineRule="auto"/>
        <w:ind w:left="475" w:right="0" w:firstLine="0"/>
        <w:jc w:val="left"/>
      </w:pPr>
      <w:r>
        <w:rPr>
          <w:color w:val="000000"/>
          <w:spacing w:val="0"/>
          <w:w w:val="100"/>
          <w:position w:val="0"/>
        </w:rPr>
        <w:t>②应收账款及合同资产</w:t>
      </w:r>
    </w:p>
    <w:p>
      <w:pPr>
        <w:pStyle w:val="Style24"/>
        <w:keepNext w:val="0"/>
        <w:keepLines w:val="0"/>
        <w:widowControl w:val="0"/>
        <w:shd w:val="clear" w:color="auto" w:fill="auto"/>
        <w:bidi w:val="0"/>
        <w:spacing w:before="0" w:after="120" w:line="240" w:lineRule="auto"/>
        <w:ind w:left="475" w:right="0" w:firstLine="0"/>
        <w:jc w:val="left"/>
      </w:pPr>
      <w:r>
        <w:rPr>
          <w:color w:val="000000"/>
          <w:spacing w:val="0"/>
          <w:w w:val="100"/>
          <w:position w:val="0"/>
        </w:rPr>
        <w:t>对于不含重大融资成分的应收款项和合同资产，本集团按照相当于整个存续期内的预期信用损失金额计量损失准备。</w:t>
      </w:r>
    </w:p>
    <w:p>
      <w:pPr>
        <w:pStyle w:val="Style24"/>
        <w:keepNext w:val="0"/>
        <w:keepLines w:val="0"/>
        <w:widowControl w:val="0"/>
        <w:shd w:val="clear" w:color="auto" w:fill="auto"/>
        <w:bidi w:val="0"/>
        <w:spacing w:before="0" w:after="120" w:line="240" w:lineRule="auto"/>
        <w:ind w:left="475" w:right="0" w:firstLine="0"/>
        <w:jc w:val="left"/>
      </w:pPr>
      <w:r>
        <w:rPr>
          <w:color w:val="000000"/>
          <w:spacing w:val="0"/>
          <w:w w:val="100"/>
          <w:position w:val="0"/>
        </w:rPr>
        <w:t>对于包含重大融资成分的应收款项、租赁应收款，本集团选择始终按照相当于存续期内预期信用损失的金额计量损失</w:t>
      </w:r>
    </w:p>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准备。</w:t>
      </w:r>
    </w:p>
    <w:p>
      <w:pPr>
        <w:pStyle w:val="Style24"/>
        <w:keepNext w:val="0"/>
        <w:keepLines w:val="0"/>
        <w:widowControl w:val="0"/>
        <w:shd w:val="clear" w:color="auto" w:fill="auto"/>
        <w:bidi w:val="0"/>
        <w:spacing w:before="0" w:after="0" w:line="240" w:lineRule="auto"/>
        <w:ind w:left="490"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3547"/>
        <w:gridCol w:w="613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确定组合的依据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组合</w:t>
            </w:r>
            <w:r>
              <w:rPr>
                <w:color w:val="0C0C0C"/>
                <w:spacing w:val="0"/>
                <w:w w:val="100"/>
                <w:position w:val="0"/>
                <w:sz w:val="18"/>
                <w:szCs w:val="18"/>
              </w:rPr>
              <w:t>1</w:t>
            </w:r>
            <w:r>
              <w:rPr>
                <w:rFonts w:ascii="SimSun" w:eastAsia="SimSun" w:hAnsi="SimSun" w:cs="SimSun"/>
                <w:color w:val="0C0C0C"/>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本组合以应收款项的账龄作为信用风险特征。</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合同资产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组合</w:t>
            </w:r>
            <w:r>
              <w:rPr>
                <w:color w:val="0C0C0C"/>
                <w:spacing w:val="0"/>
                <w:w w:val="100"/>
                <w:position w:val="0"/>
                <w:sz w:val="18"/>
                <w:szCs w:val="18"/>
              </w:rPr>
              <w:t>1</w:t>
            </w:r>
            <w:r>
              <w:rPr>
                <w:rFonts w:ascii="SimSun" w:eastAsia="SimSun" w:hAnsi="SimSun" w:cs="SimSun"/>
                <w:color w:val="0C0C0C"/>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本组合为客户尚未结算的广告款项。</w:t>
            </w:r>
          </w:p>
        </w:tc>
      </w:tr>
    </w:tbl>
    <w:p>
      <w:pPr>
        <w:pStyle w:val="Style24"/>
        <w:keepNext w:val="0"/>
        <w:keepLines w:val="0"/>
        <w:widowControl w:val="0"/>
        <w:shd w:val="clear" w:color="auto" w:fill="auto"/>
        <w:bidi w:val="0"/>
        <w:spacing w:before="0" w:after="100" w:line="240" w:lineRule="auto"/>
        <w:ind w:left="475" w:right="0" w:firstLine="0"/>
        <w:jc w:val="left"/>
      </w:pPr>
      <w:r>
        <w:rPr>
          <w:color w:val="000000"/>
          <w:spacing w:val="0"/>
          <w:w w:val="100"/>
          <w:position w:val="0"/>
        </w:rPr>
        <w:t>③其他应收款</w:t>
      </w:r>
    </w:p>
    <w:p>
      <w:pPr>
        <w:pStyle w:val="Style24"/>
        <w:keepNext w:val="0"/>
        <w:keepLines w:val="0"/>
        <w:widowControl w:val="0"/>
        <w:shd w:val="clear" w:color="auto" w:fill="auto"/>
        <w:bidi w:val="0"/>
        <w:spacing w:before="0" w:after="0" w:line="240" w:lineRule="auto"/>
        <w:ind w:left="475" w:right="0" w:firstLine="0"/>
        <w:jc w:val="left"/>
      </w:pPr>
      <w:r>
        <w:rPr>
          <w:color w:val="000000"/>
          <w:spacing w:val="0"/>
          <w:w w:val="100"/>
          <w:position w:val="0"/>
        </w:rPr>
        <w:t>本集团依据其他应收款信用风险自初始确认后是否已经显著增加，采用相当于未来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个月内、或整个存续期的预期信</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用损失的金额计量减值损失。除了单项评估信用风险的其他应收款外，基于其信用风险特征，将其划分为不同组合:</w:t>
      </w:r>
    </w:p>
    <w:tbl>
      <w:tblPr>
        <w:tblOverlap w:val="never"/>
        <w:jc w:val="center"/>
        <w:tblLayout w:type="fixed"/>
      </w:tblPr>
      <w:tblGrid>
        <w:gridCol w:w="2587"/>
        <w:gridCol w:w="4459"/>
        <w:gridCol w:w="263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计提方法</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组合</w:t>
            </w:r>
            <w:r>
              <w:rPr>
                <w:color w:val="0C0C0C"/>
                <w:spacing w:val="0"/>
                <w:w w:val="100"/>
                <w:position w:val="0"/>
                <w:sz w:val="18"/>
                <w:szCs w:val="18"/>
              </w:rPr>
              <w:t>1</w:t>
            </w:r>
            <w:r>
              <w:rPr>
                <w:rFonts w:ascii="SimSun" w:eastAsia="SimSun" w:hAnsi="SimSun" w:cs="SimSun"/>
                <w:color w:val="0C0C0C"/>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本组合以其他应收款的账龄作为信用风险特征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C0C0C"/>
                <w:spacing w:val="0"/>
                <w:w w:val="100"/>
                <w:position w:val="0"/>
                <w:sz w:val="17"/>
                <w:szCs w:val="17"/>
              </w:rPr>
              <w:t>按账龄与整个存续期预期信用损 失率对照表计提</w:t>
            </w:r>
          </w:p>
        </w:tc>
      </w:tr>
    </w:tbl>
    <w:p>
      <w:pPr>
        <w:pStyle w:val="Style24"/>
        <w:keepNext w:val="0"/>
        <w:keepLines w:val="0"/>
        <w:widowControl w:val="0"/>
        <w:shd w:val="clear" w:color="auto" w:fill="auto"/>
        <w:bidi w:val="0"/>
        <w:spacing w:before="0" w:after="120" w:line="240" w:lineRule="auto"/>
        <w:ind w:left="475" w:right="0" w:firstLine="0"/>
        <w:jc w:val="left"/>
      </w:pPr>
      <w:r>
        <w:rPr>
          <w:color w:val="000000"/>
          <w:spacing w:val="0"/>
          <w:w w:val="100"/>
          <w:position w:val="0"/>
        </w:rPr>
        <w:t>④债权投资</w:t>
      </w:r>
    </w:p>
    <w:p>
      <w:pPr>
        <w:pStyle w:val="Style24"/>
        <w:keepNext w:val="0"/>
        <w:keepLines w:val="0"/>
        <w:widowControl w:val="0"/>
        <w:shd w:val="clear" w:color="auto" w:fill="auto"/>
        <w:bidi w:val="0"/>
        <w:spacing w:before="0" w:after="0" w:line="240" w:lineRule="auto"/>
        <w:ind w:left="475" w:right="0" w:firstLine="0"/>
        <w:jc w:val="left"/>
      </w:pPr>
      <w:r>
        <w:rPr>
          <w:color w:val="000000"/>
          <w:spacing w:val="0"/>
          <w:w w:val="100"/>
          <w:position w:val="0"/>
        </w:rPr>
        <w:t>债权投资主要核算以摊余成本计量的债券投资等。本集团依据其信用风险自初始确认后是否已经显著增加，采用相当</w:t>
      </w:r>
    </w:p>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于未来</w:t>
      </w:r>
      <w:r>
        <w:rPr>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19"/>
        <w:keepNext w:val="0"/>
        <w:keepLines w:val="0"/>
        <w:widowControl w:val="0"/>
        <w:numPr>
          <w:ilvl w:val="0"/>
          <w:numId w:val="27"/>
        </w:numPr>
        <w:shd w:val="clear" w:color="auto" w:fill="auto"/>
        <w:tabs>
          <w:tab w:pos="853" w:val="left"/>
        </w:tabs>
        <w:bidi w:val="0"/>
        <w:spacing w:before="0" w:after="0" w:line="293" w:lineRule="exact"/>
        <w:ind w:left="0" w:right="0" w:firstLine="480"/>
        <w:jc w:val="left"/>
      </w:pPr>
      <w:bookmarkStart w:id="746" w:name="bookmark746"/>
      <w:bookmarkEnd w:id="746"/>
      <w:r>
        <w:rPr>
          <w:color w:val="000000"/>
          <w:spacing w:val="0"/>
          <w:w w:val="100"/>
          <w:position w:val="0"/>
        </w:rPr>
        <w:t>其他债权投资</w:t>
      </w:r>
    </w:p>
    <w:p>
      <w:pPr>
        <w:pStyle w:val="Style19"/>
        <w:keepNext w:val="0"/>
        <w:keepLines w:val="0"/>
        <w:widowControl w:val="0"/>
        <w:shd w:val="clear" w:color="auto" w:fill="auto"/>
        <w:bidi w:val="0"/>
        <w:spacing w:before="0" w:after="0" w:line="293" w:lineRule="exact"/>
        <w:ind w:left="0" w:right="0" w:firstLine="480"/>
        <w:jc w:val="both"/>
      </w:pPr>
      <w:r>
        <w:rPr>
          <w:color w:val="000000"/>
          <w:spacing w:val="0"/>
          <w:w w:val="100"/>
          <w:position w:val="0"/>
        </w:rPr>
        <w:t>其他债权投资主要核算以公允价值计量且其变动计入其他综合收益的债券投资等。本集团依据其信用风险自初始确认 后是否已经显著增加，采用相当于未来</w:t>
      </w:r>
      <w:r>
        <w:rPr>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19"/>
        <w:keepNext w:val="0"/>
        <w:keepLines w:val="0"/>
        <w:widowControl w:val="0"/>
        <w:numPr>
          <w:ilvl w:val="0"/>
          <w:numId w:val="27"/>
        </w:numPr>
        <w:shd w:val="clear" w:color="auto" w:fill="auto"/>
        <w:tabs>
          <w:tab w:pos="853" w:val="left"/>
        </w:tabs>
        <w:bidi w:val="0"/>
        <w:spacing w:before="0" w:after="0" w:line="293" w:lineRule="exact"/>
        <w:ind w:left="0" w:right="0" w:firstLine="480"/>
        <w:jc w:val="left"/>
      </w:pPr>
      <w:bookmarkStart w:id="747" w:name="bookmark747"/>
      <w:bookmarkEnd w:id="747"/>
      <w:r>
        <w:rPr>
          <w:color w:val="000000"/>
          <w:spacing w:val="0"/>
          <w:w w:val="100"/>
          <w:position w:val="0"/>
        </w:rPr>
        <w:t>长期应收款（包含重大融资成分的应收款项和租赁应收款除外）</w:t>
      </w:r>
    </w:p>
    <w:p>
      <w:pPr>
        <w:pStyle w:val="Style19"/>
        <w:keepNext w:val="0"/>
        <w:keepLines w:val="0"/>
        <w:widowControl w:val="0"/>
        <w:shd w:val="clear" w:color="auto" w:fill="auto"/>
        <w:bidi w:val="0"/>
        <w:spacing w:before="0" w:after="80" w:line="293" w:lineRule="exact"/>
        <w:ind w:left="0" w:right="0" w:firstLine="480"/>
        <w:jc w:val="left"/>
      </w:pPr>
      <w:r>
        <w:rPr>
          <w:color w:val="000000"/>
          <w:spacing w:val="0"/>
          <w:w w:val="100"/>
          <w:position w:val="0"/>
        </w:rPr>
        <w:t>本集团依据其信用风险自初始确认后是否已经显著增加，采用相当于未来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个月内、或整个存续期的预期信用损失的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金额计量长期应收款减值损失。除了单项评估信用风险的长期应收款外，基于其信用风险特征，将其划分为不同组合:</w:t>
      </w:r>
    </w:p>
    <w:tbl>
      <w:tblPr>
        <w:tblOverlap w:val="never"/>
        <w:jc w:val="center"/>
        <w:tblLayout w:type="fixed"/>
      </w:tblPr>
      <w:tblGrid>
        <w:gridCol w:w="2333"/>
        <w:gridCol w:w="3734"/>
        <w:gridCol w:w="361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计提方法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组合</w:t>
            </w:r>
            <w:r>
              <w:rPr>
                <w:color w:val="0C0C0C"/>
                <w:spacing w:val="0"/>
                <w:w w:val="100"/>
                <w:position w:val="0"/>
                <w:sz w:val="18"/>
                <w:szCs w:val="18"/>
              </w:rPr>
              <w:t>1</w:t>
            </w:r>
            <w:r>
              <w:rPr>
                <w:rFonts w:ascii="SimSun" w:eastAsia="SimSun" w:hAnsi="SimSun" w:cs="SimSun"/>
                <w:color w:val="0C0C0C"/>
                <w:spacing w:val="0"/>
                <w:w w:val="100"/>
                <w:position w:val="0"/>
                <w:sz w:val="17"/>
                <w:szCs w:val="17"/>
              </w:rPr>
              <w:t>：未逾期组合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本组合为未逾期风险正常的长期应收款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不计提坏账准备</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组合</w:t>
            </w:r>
            <w:r>
              <w:rPr>
                <w:color w:val="0C0C0C"/>
                <w:spacing w:val="0"/>
                <w:w w:val="100"/>
                <w:position w:val="0"/>
                <w:sz w:val="18"/>
                <w:szCs w:val="18"/>
              </w:rPr>
              <w:t>2</w:t>
            </w:r>
            <w:r>
              <w:rPr>
                <w:rFonts w:ascii="SimSun" w:eastAsia="SimSun" w:hAnsi="SimSun" w:cs="SimSun"/>
                <w:color w:val="0C0C0C"/>
                <w:spacing w:val="0"/>
                <w:w w:val="100"/>
                <w:position w:val="0"/>
                <w:sz w:val="17"/>
                <w:szCs w:val="17"/>
              </w:rPr>
              <w:t>：账龄组合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本组合以账龄作为信用风险特征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C0C0C"/>
                <w:spacing w:val="0"/>
                <w:w w:val="100"/>
                <w:position w:val="0"/>
                <w:sz w:val="17"/>
                <w:szCs w:val="17"/>
              </w:rPr>
              <w:t>按账龄与整个存续期预期信用损失率对照表 计提</w:t>
            </w:r>
          </w:p>
        </w:tc>
      </w:tr>
    </w:tbl>
    <w:p>
      <w:pPr>
        <w:widowControl w:val="0"/>
        <w:spacing w:after="359" w:line="1" w:lineRule="exact"/>
      </w:pPr>
    </w:p>
    <w:p>
      <w:pPr>
        <w:pStyle w:val="Style28"/>
        <w:keepNext/>
        <w:keepLines/>
        <w:widowControl w:val="0"/>
        <w:shd w:val="clear" w:color="auto" w:fill="auto"/>
        <w:tabs>
          <w:tab w:pos="474" w:val="left"/>
        </w:tabs>
        <w:bidi w:val="0"/>
        <w:spacing w:before="0" w:after="3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48"/>
      <w:bookmarkEnd w:id="749"/>
      <w:bookmarkEnd w:id="751"/>
    </w:p>
    <w:p>
      <w:pPr>
        <w:pStyle w:val="Style19"/>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474" w:val="left"/>
        </w:tabs>
        <w:bidi w:val="0"/>
        <w:spacing w:before="0" w:after="3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52"/>
      <w:bookmarkEnd w:id="753"/>
      <w:bookmarkEnd w:id="755"/>
    </w:p>
    <w:p>
      <w:pPr>
        <w:pStyle w:val="Style19"/>
        <w:keepNext w:val="0"/>
        <w:keepLines w:val="0"/>
        <w:widowControl w:val="0"/>
        <w:shd w:val="clear" w:color="auto" w:fill="auto"/>
        <w:bidi w:val="0"/>
        <w:spacing w:before="0" w:after="80" w:line="240" w:lineRule="auto"/>
        <w:ind w:left="0" w:right="0" w:firstLine="360"/>
        <w:jc w:val="left"/>
      </w:pPr>
      <w:r>
        <w:rPr>
          <w:color w:val="000000"/>
          <w:spacing w:val="0"/>
          <w:w w:val="100"/>
          <w:position w:val="0"/>
        </w:rPr>
        <w:t>预期信用损失的确定方法及会计处理方法详见本附注五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474"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56"/>
      <w:bookmarkEnd w:id="757"/>
      <w:bookmarkEnd w:id="759"/>
    </w:p>
    <w:p>
      <w:pPr>
        <w:pStyle w:val="Style1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474"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60"/>
      <w:bookmarkEnd w:id="761"/>
      <w:bookmarkEnd w:id="763"/>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40" w:line="322" w:lineRule="exact"/>
        <w:ind w:left="0" w:right="0" w:firstLine="380"/>
        <w:jc w:val="both"/>
      </w:pPr>
      <w:r>
        <w:rPr>
          <w:color w:val="000000"/>
          <w:spacing w:val="0"/>
          <w:w w:val="100"/>
          <w:position w:val="0"/>
        </w:rPr>
        <w:t>本集团依据其他应收款信用风险自初始确认后是否已经显著增加，采用相当于未来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 损失的金额计量减值损失。除了单项评估信用风险的其他应收款外，基于其信用风险特征，将其划分为不同组合：</w:t>
      </w:r>
    </w:p>
    <w:tbl>
      <w:tblPr>
        <w:tblOverlap w:val="never"/>
        <w:jc w:val="center"/>
        <w:tblLayout w:type="fixed"/>
      </w:tblPr>
      <w:tblGrid>
        <w:gridCol w:w="7051"/>
        <w:gridCol w:w="262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4174" w:val="left"/>
              </w:tabs>
              <w:bidi w:val="0"/>
              <w:spacing w:before="0" w:after="0" w:line="240" w:lineRule="auto"/>
              <w:ind w:left="1040" w:right="0" w:firstLine="0"/>
              <w:jc w:val="both"/>
              <w:rPr>
                <w:sz w:val="17"/>
                <w:szCs w:val="17"/>
              </w:rPr>
            </w:pPr>
            <w:r>
              <w:rPr>
                <w:rFonts w:ascii="SimSun" w:eastAsia="SimSun" w:hAnsi="SimSun" w:cs="SimSun"/>
                <w:color w:val="000000"/>
                <w:spacing w:val="0"/>
                <w:w w:val="100"/>
                <w:position w:val="0"/>
                <w:sz w:val="17"/>
                <w:szCs w:val="17"/>
              </w:rPr>
              <w:t>项目</w:t>
              <w:tab/>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991" w:val="left"/>
              </w:tabs>
              <w:bidi w:val="0"/>
              <w:spacing w:before="0" w:after="0" w:line="240" w:lineRule="auto"/>
              <w:ind w:left="0" w:right="0" w:firstLine="620"/>
              <w:jc w:val="both"/>
              <w:rPr>
                <w:sz w:val="17"/>
                <w:szCs w:val="17"/>
              </w:rPr>
            </w:pPr>
            <w:r>
              <w:rPr>
                <w:rFonts w:ascii="SimSun" w:eastAsia="SimSun" w:hAnsi="SimSun" w:cs="SimSun"/>
                <w:color w:val="000000"/>
                <w:spacing w:val="0"/>
                <w:w w:val="100"/>
                <w:position w:val="0"/>
                <w:sz w:val="17"/>
                <w:szCs w:val="17"/>
              </w:rPr>
              <w:t>组合</w:t>
            </w:r>
            <w:r>
              <w:rPr>
                <w:color w:val="000000"/>
                <w:spacing w:val="0"/>
                <w:w w:val="100"/>
                <w:position w:val="0"/>
                <w:sz w:val="18"/>
                <w:szCs w:val="18"/>
              </w:rPr>
              <w:t>1</w:t>
            </w:r>
            <w:r>
              <w:rPr>
                <w:rFonts w:ascii="SimSun" w:eastAsia="SimSun" w:hAnsi="SimSun" w:cs="SimSun"/>
                <w:color w:val="000000"/>
                <w:spacing w:val="0"/>
                <w:w w:val="100"/>
                <w:position w:val="0"/>
                <w:sz w:val="17"/>
                <w:szCs w:val="17"/>
              </w:rPr>
              <w:t>：账龄组合</w:t>
              <w:tab/>
              <w:t>本组合以其他应收款的账龄作为信用风险特征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按账龄与整个存续期预期信用损 失率对照表计提</w:t>
            </w:r>
          </w:p>
        </w:tc>
      </w:tr>
    </w:tbl>
    <w:p>
      <w:pPr>
        <w:widowControl w:val="0"/>
        <w:spacing w:after="319" w:line="1" w:lineRule="exact"/>
      </w:pPr>
    </w:p>
    <w:p>
      <w:pPr>
        <w:pStyle w:val="Style28"/>
        <w:keepNext/>
        <w:keepLines/>
        <w:widowControl w:val="0"/>
        <w:shd w:val="clear" w:color="auto" w:fill="auto"/>
        <w:tabs>
          <w:tab w:pos="474"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64"/>
      <w:bookmarkEnd w:id="765"/>
      <w:bookmarkEnd w:id="767"/>
    </w:p>
    <w:p>
      <w:pPr>
        <w:pStyle w:val="Style19"/>
        <w:keepNext w:val="0"/>
        <w:keepLines w:val="0"/>
        <w:widowControl w:val="0"/>
        <w:shd w:val="clear" w:color="auto" w:fill="auto"/>
        <w:tabs>
          <w:tab w:pos="714" w:val="left"/>
        </w:tabs>
        <w:bidi w:val="0"/>
        <w:spacing w:before="0" w:after="0" w:line="312" w:lineRule="exact"/>
        <w:ind w:left="0" w:right="0" w:firstLine="380"/>
        <w:jc w:val="left"/>
      </w:pPr>
      <w:bookmarkStart w:id="768" w:name="bookmark768"/>
      <w:r>
        <w:rPr>
          <w:color w:val="000000"/>
          <w:spacing w:val="0"/>
          <w:w w:val="100"/>
          <w:position w:val="0"/>
          <w:sz w:val="18"/>
          <w:szCs w:val="18"/>
        </w:rPr>
        <w:t>1</w:t>
      </w:r>
      <w:bookmarkEnd w:id="768"/>
      <w:r>
        <w:rPr>
          <w:color w:val="000000"/>
          <w:spacing w:val="0"/>
          <w:w w:val="100"/>
          <w:position w:val="0"/>
        </w:rPr>
        <w:t>、</w:t>
        <w:tab/>
        <w:t>存货的分类</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存货主要包括库存商品、原材料。</w:t>
      </w:r>
    </w:p>
    <w:p>
      <w:pPr>
        <w:pStyle w:val="Style19"/>
        <w:keepNext w:val="0"/>
        <w:keepLines w:val="0"/>
        <w:widowControl w:val="0"/>
        <w:shd w:val="clear" w:color="auto" w:fill="auto"/>
        <w:tabs>
          <w:tab w:pos="724" w:val="left"/>
        </w:tabs>
        <w:bidi w:val="0"/>
        <w:spacing w:before="0" w:after="0" w:line="312" w:lineRule="exact"/>
        <w:ind w:left="0" w:right="0" w:firstLine="380"/>
        <w:jc w:val="left"/>
      </w:pPr>
      <w:bookmarkStart w:id="769" w:name="bookmark769"/>
      <w:r>
        <w:rPr>
          <w:color w:val="000000"/>
          <w:spacing w:val="0"/>
          <w:w w:val="100"/>
          <w:position w:val="0"/>
          <w:sz w:val="18"/>
          <w:szCs w:val="18"/>
        </w:rPr>
        <w:t>2</w:t>
      </w:r>
      <w:bookmarkEnd w:id="769"/>
      <w:r>
        <w:rPr>
          <w:color w:val="000000"/>
          <w:spacing w:val="0"/>
          <w:w w:val="100"/>
          <w:position w:val="0"/>
        </w:rPr>
        <w:t>、</w:t>
        <w:tab/>
        <w:t>存货取得和发出的计价方法</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存货在取得时按实际成本计价，存货成本包括采购成本、加工成本和其他成本。领用和发出时按加权平均法计价。</w:t>
      </w:r>
    </w:p>
    <w:p>
      <w:pPr>
        <w:pStyle w:val="Style19"/>
        <w:keepNext w:val="0"/>
        <w:keepLines w:val="0"/>
        <w:widowControl w:val="0"/>
        <w:shd w:val="clear" w:color="auto" w:fill="auto"/>
        <w:tabs>
          <w:tab w:pos="724" w:val="left"/>
        </w:tabs>
        <w:bidi w:val="0"/>
        <w:spacing w:before="0" w:after="0" w:line="312" w:lineRule="exact"/>
        <w:ind w:left="0" w:right="0" w:firstLine="380"/>
        <w:jc w:val="left"/>
      </w:pPr>
      <w:bookmarkStart w:id="770" w:name="bookmark770"/>
      <w:r>
        <w:rPr>
          <w:color w:val="000000"/>
          <w:spacing w:val="0"/>
          <w:w w:val="100"/>
          <w:position w:val="0"/>
          <w:sz w:val="18"/>
          <w:szCs w:val="18"/>
        </w:rPr>
        <w:t>3</w:t>
      </w:r>
      <w:bookmarkEnd w:id="770"/>
      <w:r>
        <w:rPr>
          <w:color w:val="000000"/>
          <w:spacing w:val="0"/>
          <w:w w:val="100"/>
          <w:position w:val="0"/>
        </w:rPr>
        <w:t>、</w:t>
        <w:tab/>
        <w:t>存货可变现净值的确认和跌价准备的计提方法</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存货的盘存制度为永续盘存制。</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sz w:val="18"/>
          <w:szCs w:val="18"/>
        </w:rPr>
        <w:t>5</w:t>
      </w:r>
      <w:r>
        <w:rPr>
          <w:color w:val="000000"/>
          <w:spacing w:val="0"/>
          <w:w w:val="100"/>
          <w:position w:val="0"/>
        </w:rPr>
        <w:t>、低值易耗品和包装物的摊销方法</w:t>
      </w:r>
    </w:p>
    <w:p>
      <w:pPr>
        <w:pStyle w:val="Style1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低值易耗品于领用时按一次摊销法摊销；包装物于领用时按一次摊销法摊销。</w:t>
      </w:r>
    </w:p>
    <w:p>
      <w:pPr>
        <w:pStyle w:val="Style28"/>
        <w:keepNext/>
        <w:keepLines/>
        <w:widowControl w:val="0"/>
        <w:shd w:val="clear" w:color="auto" w:fill="auto"/>
        <w:tabs>
          <w:tab w:pos="474"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71"/>
      <w:bookmarkEnd w:id="772"/>
      <w:bookmarkEnd w:id="774"/>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本集团将客户尚未支付合同对价，但本集团已经依据合同履行了履约义务，且不属于无条件（即仅取决于时间流逝）向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1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合同资产预期信用损失的确定方法和会计处理方法参见附注五、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、金融资产减值。</w:t>
      </w:r>
    </w:p>
    <w:p>
      <w:pPr>
        <w:pStyle w:val="Style28"/>
        <w:keepNext/>
        <w:keepLines/>
        <w:widowControl w:val="0"/>
        <w:shd w:val="clear" w:color="auto" w:fill="auto"/>
        <w:tabs>
          <w:tab w:pos="474" w:val="left"/>
        </w:tabs>
        <w:bidi w:val="0"/>
        <w:spacing w:before="0" w:after="2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75"/>
      <w:bookmarkEnd w:id="776"/>
      <w:bookmarkEnd w:id="778"/>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本集团为取得合同发生的增量成本预期能够收回的，作为合同取得成本确认为一项资产。【但是，如果该资产的摊销期 限不超过一年，则在发生时计入当期损益。】</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年修订）》之外的其他企业会计准则规范范围且同 时满足下列条件的，作为合同履约成本确认为一项资产：①该成本与一份当前或预期取得的合同直接相关，包括直接人工、 </w:t>
      </w:r>
      <w:r>
        <w:rPr>
          <w:color w:val="000000"/>
          <w:spacing w:val="0"/>
          <w:w w:val="100"/>
          <w:position w:val="0"/>
        </w:rPr>
        <w:t>直接材料、制造费用（或类似费用）、明确由客户承担的成本以及仅因该合同而发生的其他成本；②该成本增加了本集团未 来用于履行履约义务的资源；③该成本预期能够收回。</w:t>
      </w:r>
    </w:p>
    <w:p>
      <w:pPr>
        <w:pStyle w:val="Style19"/>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与合同成本有关的资产采用与该资产相关的商品收入确认相同的基础进行摊销，计入当期损益。</w:t>
      </w:r>
    </w:p>
    <w:p>
      <w:pPr>
        <w:pStyle w:val="Style28"/>
        <w:keepNext/>
        <w:keepLines/>
        <w:widowControl w:val="0"/>
        <w:shd w:val="clear" w:color="auto" w:fill="auto"/>
        <w:tabs>
          <w:tab w:pos="414"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79"/>
      <w:bookmarkEnd w:id="780"/>
      <w:bookmarkEnd w:id="782"/>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类资产或处置组的惯例，在当前状况下即可立即出售；本集团已经就出售计划作出决议且获得确定的购买承诺；预计出售将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号——资产减值》分摊了企业合并 中取得的商誉的，该处置组应当包含分摊至处置组的商誉。</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持有待售的非流动资产或处置组中的非流动资产不计提折旧或摊销，持有待售的处置组中负债的利息和其他费用继续予 以确认。</w:t>
      </w:r>
    </w:p>
    <w:p>
      <w:pPr>
        <w:pStyle w:val="Style19"/>
        <w:keepNext w:val="0"/>
        <w:keepLines w:val="0"/>
        <w:widowControl w:val="0"/>
        <w:shd w:val="clear" w:color="auto" w:fill="auto"/>
        <w:bidi w:val="0"/>
        <w:spacing w:before="0" w:after="380" w:line="305" w:lineRule="exact"/>
        <w:ind w:left="0" w:right="0" w:firstLine="0"/>
        <w:jc w:val="both"/>
      </w:pPr>
      <w:r>
        <w:rPr>
          <w:color w:val="000000"/>
          <w:spacing w:val="0"/>
          <w:w w:val="100"/>
          <w:position w:val="0"/>
        </w:rPr>
        <w:t>非流动资产或处置组不再满足持有待售类别的划分条件时，本集团不再将其继续划分为持有待售类别或将非流动资产从持有 待售的处置组中移除，并按照以下两者孰低计量：（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）划分为持有待售类别前的账面价值，按照假定不划分为持有待售类 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28"/>
        <w:keepNext/>
        <w:keepLines/>
        <w:widowControl w:val="0"/>
        <w:shd w:val="clear" w:color="auto" w:fill="auto"/>
        <w:tabs>
          <w:tab w:pos="414" w:val="left"/>
        </w:tabs>
        <w:bidi w:val="0"/>
        <w:spacing w:before="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83"/>
      <w:bookmarkEnd w:id="784"/>
      <w:bookmarkEnd w:id="786"/>
    </w:p>
    <w:p>
      <w:pPr>
        <w:pStyle w:val="Style28"/>
        <w:keepNext/>
        <w:keepLines/>
        <w:widowControl w:val="0"/>
        <w:shd w:val="clear" w:color="auto" w:fill="auto"/>
        <w:tabs>
          <w:tab w:pos="423" w:val="left"/>
        </w:tabs>
        <w:bidi w:val="0"/>
        <w:spacing w:before="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bookmarkEnd w:id="78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787"/>
      <w:bookmarkEnd w:id="788"/>
      <w:bookmarkEnd w:id="790"/>
    </w:p>
    <w:p>
      <w:pPr>
        <w:pStyle w:val="Style28"/>
        <w:keepNext/>
        <w:keepLines/>
        <w:widowControl w:val="0"/>
        <w:shd w:val="clear" w:color="auto" w:fill="auto"/>
        <w:tabs>
          <w:tab w:pos="423" w:val="left"/>
        </w:tabs>
        <w:bidi w:val="0"/>
        <w:spacing w:before="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2</w:t>
      </w:r>
      <w:bookmarkEnd w:id="79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791"/>
      <w:bookmarkEnd w:id="792"/>
      <w:bookmarkEnd w:id="794"/>
    </w:p>
    <w:p>
      <w:pPr>
        <w:pStyle w:val="Style28"/>
        <w:keepNext/>
        <w:keepLines/>
        <w:widowControl w:val="0"/>
        <w:shd w:val="clear" w:color="auto" w:fill="auto"/>
        <w:tabs>
          <w:tab w:pos="423" w:val="left"/>
        </w:tabs>
        <w:bidi w:val="0"/>
        <w:spacing w:before="0" w:after="26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2</w:t>
      </w:r>
      <w:bookmarkEnd w:id="79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795"/>
      <w:bookmarkEnd w:id="796"/>
      <w:bookmarkEnd w:id="798"/>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本部分所指的长期股权投资是指本集团对被投资单位具有控制、共同控制或重大影响的长期股权投资。本集团对被投资 单位不具有控制、共同控制或重大影响的长期股权投资，作为以公允价值计量且其变动计入当期损益的金融资产核算，其中 如果属于非交易性的，本集团在初始确认时可选择将其指定为以公允价值计量且其变动计入其他综合收益的金融资产核算， 其会计政策详见附注五、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共同控制，是指本集团按照相关约定对某项安排所共有的控制，并且该安排的相关活动必须经过分享控制权的参与方一 致同意后才能决策。重大影响，是指本集团对被投资单位的财务和经营政策有参与决策的权力，但并不能够控制或者与其他 方一起共同控制这些政策的制定。</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投资成本的确定</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对于同一控制下的企业合并取得的长期股权投资，在合并日按照被合并方所有者权益在最终控制方合并财务报表中的账 </w:t>
      </w:r>
      <w:r>
        <w:rPr>
          <w:color w:val="000000"/>
          <w:spacing w:val="0"/>
          <w:w w:val="100"/>
          <w:position w:val="0"/>
        </w:rPr>
        <w:t>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的，在合并日按照应享有被合并方所有者权益在最终控制方合并财务报表中的账面价值的份额作为长期股权投资的初始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价值之和的差额，调整资本公积；资本公积不足冲减的，调整留存收益。合并日之前持有的股权投资因采用权益法核算或作 为以公允价值计量且其变动计入其他综合收益的金融资产而确认的其他综合收益，暂不进行会计处理。</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 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 作为改按成本法核算的长期股权投资的初始投资成本。原持有的股权采用权益法核算的，相关其他综合收益暂不进行会计处 理。</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别按照本集团实际支付的现金购买价款、本集团发行的权益性证券的公允价值、投资合同或协议约定的价值、非货币性资产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后续计量及损益确认方法</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19"/>
        <w:keepNext w:val="0"/>
        <w:keepLines w:val="0"/>
        <w:widowControl w:val="0"/>
        <w:numPr>
          <w:ilvl w:val="0"/>
          <w:numId w:val="29"/>
        </w:numPr>
        <w:shd w:val="clear" w:color="auto" w:fill="auto"/>
        <w:tabs>
          <w:tab w:pos="693" w:val="left"/>
        </w:tabs>
        <w:bidi w:val="0"/>
        <w:spacing w:before="0" w:after="0" w:line="312" w:lineRule="exact"/>
        <w:ind w:left="0" w:right="0" w:firstLine="380"/>
        <w:jc w:val="both"/>
      </w:pPr>
      <w:bookmarkStart w:id="799" w:name="bookmark799"/>
      <w:bookmarkEnd w:id="799"/>
      <w:r>
        <w:rPr>
          <w:color w:val="000000"/>
          <w:spacing w:val="0"/>
          <w:w w:val="100"/>
          <w:position w:val="0"/>
        </w:rPr>
        <w:t>成本法核算的长期股权投资</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19"/>
        <w:keepNext w:val="0"/>
        <w:keepLines w:val="0"/>
        <w:widowControl w:val="0"/>
        <w:numPr>
          <w:ilvl w:val="0"/>
          <w:numId w:val="29"/>
        </w:numPr>
        <w:shd w:val="clear" w:color="auto" w:fill="auto"/>
        <w:tabs>
          <w:tab w:pos="693" w:val="left"/>
        </w:tabs>
        <w:bidi w:val="0"/>
        <w:spacing w:before="0" w:after="0" w:line="312" w:lineRule="exact"/>
        <w:ind w:left="0" w:right="0" w:firstLine="380"/>
        <w:jc w:val="both"/>
      </w:pPr>
      <w:bookmarkStart w:id="800" w:name="bookmark800"/>
      <w:bookmarkEnd w:id="800"/>
      <w:r>
        <w:rPr>
          <w:color w:val="000000"/>
          <w:spacing w:val="0"/>
          <w:w w:val="100"/>
          <w:position w:val="0"/>
        </w:rPr>
        <w:t>权益法核算的长期股权投资</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允价值为基础，对被投资单位的净利润进行调整后确认。被投资单位采用的会计政策及会计期间与本集团不一致的，按照本 集团的会计政策及会计期间对被投资单位的财务报表进行调整，并据以确认投资收益和其他综合收益。对于本集团与联营企 业及合营企业之间发生的交易，投出或出售的资产不构成业务的，未实现内部交易损益按照享有的比例计算归属于本集团的 部分予以抵销，在此基础上确认投资损益。但本集团与被投资单位发生的未实现内部交易损失，属于所转让资产减值损失的， 不予以抵销。本集团向合营企业或联营企业投出的资产构成业务的，投资方因此取得长期股权投资但未取得控制权的，以投 </w:t>
      </w:r>
      <w:r>
        <w:rPr>
          <w:color w:val="000000"/>
          <w:spacing w:val="0"/>
          <w:w w:val="100"/>
          <w:position w:val="0"/>
        </w:rPr>
        <w:t>出业务的公允价值作为新增长期股权投资的初始投资成本，初始投资成本与投出业务的账面价值之差，全额计入当期损益。 本集团向合营企业或联营企业出售的资产构成业务的，取得的对价与业务的账面价值之差，全额计入当期损益。本集团自联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资损失。被投资单位以后期间实现净利润的，本集团在收益分享额弥补未确认的亏损分担额后，恢复确认收益分享额。</w:t>
      </w:r>
    </w:p>
    <w:p>
      <w:pPr>
        <w:pStyle w:val="Style19"/>
        <w:keepNext w:val="0"/>
        <w:keepLines w:val="0"/>
        <w:widowControl w:val="0"/>
        <w:numPr>
          <w:ilvl w:val="0"/>
          <w:numId w:val="29"/>
        </w:numPr>
        <w:shd w:val="clear" w:color="auto" w:fill="auto"/>
        <w:tabs>
          <w:tab w:pos="693" w:val="left"/>
        </w:tabs>
        <w:bidi w:val="0"/>
        <w:spacing w:before="0" w:after="0" w:line="312" w:lineRule="exact"/>
        <w:ind w:left="0" w:right="0" w:firstLine="380"/>
        <w:jc w:val="both"/>
      </w:pPr>
      <w:bookmarkStart w:id="801" w:name="bookmark801"/>
      <w:bookmarkEnd w:id="801"/>
      <w:r>
        <w:rPr>
          <w:color w:val="000000"/>
          <w:spacing w:val="0"/>
          <w:w w:val="100"/>
          <w:position w:val="0"/>
        </w:rPr>
        <w:t>收购少数股权</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19"/>
        <w:keepNext w:val="0"/>
        <w:keepLines w:val="0"/>
        <w:widowControl w:val="0"/>
        <w:numPr>
          <w:ilvl w:val="0"/>
          <w:numId w:val="29"/>
        </w:numPr>
        <w:shd w:val="clear" w:color="auto" w:fill="auto"/>
        <w:tabs>
          <w:tab w:pos="693" w:val="left"/>
        </w:tabs>
        <w:bidi w:val="0"/>
        <w:spacing w:before="0" w:after="0" w:line="312" w:lineRule="exact"/>
        <w:ind w:left="0" w:right="0" w:firstLine="380"/>
        <w:jc w:val="both"/>
      </w:pPr>
      <w:bookmarkStart w:id="802" w:name="bookmark802"/>
      <w:bookmarkEnd w:id="802"/>
      <w:r>
        <w:rPr>
          <w:color w:val="000000"/>
          <w:spacing w:val="0"/>
          <w:w w:val="100"/>
          <w:position w:val="0"/>
        </w:rPr>
        <w:t>处置长期股权投资</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）中所述的相关会计政策处理。</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丧失控制之日的公允价值与账面价值之间的差额计入当期损益。对于本集团取得对被投资单位的控制之前，因采用权益法核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8"/>
        <w:keepNext/>
        <w:keepLines/>
        <w:widowControl w:val="0"/>
        <w:shd w:val="clear" w:color="auto" w:fill="auto"/>
        <w:tabs>
          <w:tab w:pos="490" w:val="left"/>
        </w:tabs>
        <w:bidi w:val="0"/>
        <w:spacing w:before="0" w:after="28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03"/>
      <w:bookmarkEnd w:id="804"/>
      <w:bookmarkEnd w:id="806"/>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投资性房地产计量模式</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公允价值计量</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选择公允价值计量的依据</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转让的土地使用权、已出租的建筑物等。此外，对于本集团持有以备经营出租的空置建筑物，若董事会（或类似机构）作出 书面决议，明确表示将其用于经营出租且持有意图短期内不再发生变化的，也作为投资性房地产列报。</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本集团采用公允价值模式对投资性房地产进行后续计量。</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采用公允价值模式进行后续计量的投资性房地产，会计政策选择的依据为：</w:t>
      </w:r>
    </w:p>
    <w:p>
      <w:pPr>
        <w:pStyle w:val="Style19"/>
        <w:keepNext w:val="0"/>
        <w:keepLines w:val="0"/>
        <w:widowControl w:val="0"/>
        <w:numPr>
          <w:ilvl w:val="0"/>
          <w:numId w:val="31"/>
        </w:numPr>
        <w:shd w:val="clear" w:color="auto" w:fill="auto"/>
        <w:tabs>
          <w:tab w:pos="753" w:val="left"/>
        </w:tabs>
        <w:bidi w:val="0"/>
        <w:spacing w:before="0" w:after="0" w:line="311" w:lineRule="exact"/>
        <w:ind w:left="0" w:right="0" w:firstLine="380"/>
        <w:jc w:val="both"/>
      </w:pPr>
      <w:bookmarkStart w:id="807" w:name="bookmark807"/>
      <w:bookmarkEnd w:id="807"/>
      <w:r>
        <w:rPr>
          <w:color w:val="000000"/>
          <w:spacing w:val="0"/>
          <w:w w:val="100"/>
          <w:position w:val="0"/>
        </w:rPr>
        <w:t>投资性房地产所在地有活跃的房地产交易市场。</w:t>
      </w:r>
    </w:p>
    <w:p>
      <w:pPr>
        <w:pStyle w:val="Style19"/>
        <w:keepNext w:val="0"/>
        <w:keepLines w:val="0"/>
        <w:widowControl w:val="0"/>
        <w:numPr>
          <w:ilvl w:val="0"/>
          <w:numId w:val="31"/>
        </w:numPr>
        <w:shd w:val="clear" w:color="auto" w:fill="auto"/>
        <w:tabs>
          <w:tab w:pos="728" w:val="left"/>
        </w:tabs>
        <w:bidi w:val="0"/>
        <w:spacing w:before="0" w:after="0" w:line="311" w:lineRule="exact"/>
        <w:ind w:left="0" w:right="0" w:firstLine="380"/>
        <w:jc w:val="both"/>
      </w:pPr>
      <w:bookmarkStart w:id="808" w:name="bookmark808"/>
      <w:bookmarkEnd w:id="808"/>
      <w:r>
        <w:rPr>
          <w:color w:val="000000"/>
          <w:spacing w:val="0"/>
          <w:w w:val="100"/>
          <w:position w:val="0"/>
        </w:rPr>
        <w:t>本集团能够从房地产交易市场上取得同类或类似房地产的市场价格及其他相关信息，从而对投资性房地产的公允价值 作出合理的估计。</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本集团不对投资性房地产计提折旧或进行摊销，在资产负债表日以投资性房地产的公允价值为基础调整其账面价值，公 允价值与原账面价值之间的差额计入当期损益。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确定投资性房地产的公允价值时，公司投资性房地产本身有交易价格时，由投资性房地产所属公司市场部门提供的同期 成交价格或报价为基础，确定其公允价值；本集团投资性房地产本身无交易价格时，由本集团聘请的具有房地产评估资质的 第三方机构出具评估报告，以评估报告的估价结论作为其公允价值。</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本集团有确凿证据表明房地产用途发生改变，将投资性房地产转换为自用房地产时，以其转换当日的公允价值作为自用 房地产的账面价值，公允价值与原账面价值的差额计入当期损益。自用房地产或存货转换为采用公允价值模式计量的投资性 房地产时，投资性房地产按照转换当日的公允价值计价，转换当日的公允价值小于原账面价值的，其差额计入当期损益；转 换当日的公允价值大于原账面价值的，其差额确认为其他综合收益。</w:t>
      </w:r>
    </w:p>
    <w:p>
      <w:pPr>
        <w:pStyle w:val="Style1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当投资性房地产被处置、或者永久退出使用且预计不能从其处置中取得经济利益时，终止确认该项投资性房地产。投资性房 地产出售、转让、报废或毁损的处置收入扣除其账面价值和相关税费后计入当期损益。</w:t>
      </w:r>
    </w:p>
    <w:p>
      <w:pPr>
        <w:pStyle w:val="Style28"/>
        <w:keepNext/>
        <w:keepLines/>
        <w:widowControl w:val="0"/>
        <w:shd w:val="clear" w:color="auto" w:fill="auto"/>
        <w:tabs>
          <w:tab w:pos="490" w:val="left"/>
        </w:tabs>
        <w:bidi w:val="0"/>
        <w:spacing w:before="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09"/>
      <w:bookmarkEnd w:id="810"/>
      <w:bookmarkEnd w:id="812"/>
    </w:p>
    <w:p>
      <w:pPr>
        <w:pStyle w:val="Style32"/>
        <w:keepNext/>
        <w:keepLines/>
        <w:widowControl w:val="0"/>
        <w:shd w:val="clear" w:color="auto" w:fill="auto"/>
        <w:bidi w:val="0"/>
        <w:spacing w:before="0" w:after="280" w:line="240" w:lineRule="auto"/>
        <w:ind w:left="0" w:right="0" w:firstLine="0"/>
        <w:jc w:val="both"/>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3"/>
      <w:bookmarkEnd w:id="814"/>
      <w:bookmarkEnd w:id="816"/>
    </w:p>
    <w:p>
      <w:pPr>
        <w:pStyle w:val="Style19"/>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其有关的经济利益很可能流入本集团，且其成本能够可靠地计量时才予以确认。固定资产按成本并考虑预计弃置费用因素的 影响进行初始计量。</w:t>
      </w:r>
    </w:p>
    <w:p>
      <w:pPr>
        <w:pStyle w:val="Style32"/>
        <w:keepNext/>
        <w:keepLines/>
        <w:widowControl w:val="0"/>
        <w:shd w:val="clear" w:color="auto" w:fill="auto"/>
        <w:bidi w:val="0"/>
        <w:spacing w:before="0" w:after="320" w:line="240" w:lineRule="auto"/>
        <w:ind w:left="0" w:right="0" w:firstLine="0"/>
        <w:jc w:val="both"/>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7"/>
      <w:bookmarkEnd w:id="818"/>
      <w:bookmarkEnd w:id="820"/>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2.16-3.23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19-31.67</w:t>
            </w:r>
          </w:p>
        </w:tc>
      </w:tr>
    </w:tbl>
    <w:p>
      <w:pPr>
        <w:pStyle w:val="Style32"/>
        <w:keepNext/>
        <w:keepLines/>
        <w:widowControl w:val="0"/>
        <w:shd w:val="clear" w:color="auto" w:fill="auto"/>
        <w:bidi w:val="0"/>
        <w:spacing w:before="0" w:after="2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1"/>
      <w:bookmarkEnd w:id="822"/>
      <w:bookmarkEnd w:id="824"/>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 两者中较短的期间内计提折旧。</w:t>
      </w:r>
    </w:p>
    <w:p>
      <w:pPr>
        <w:pStyle w:val="Style28"/>
        <w:keepNext/>
        <w:keepLines/>
        <w:widowControl w:val="0"/>
        <w:shd w:val="clear" w:color="auto" w:fill="auto"/>
        <w:tabs>
          <w:tab w:pos="453"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25"/>
      <w:bookmarkEnd w:id="826"/>
      <w:bookmarkEnd w:id="828"/>
    </w:p>
    <w:p>
      <w:pPr>
        <w:pStyle w:val="Style19"/>
        <w:keepNext w:val="0"/>
        <w:keepLines w:val="0"/>
        <w:widowControl w:val="0"/>
        <w:shd w:val="clear" w:color="auto" w:fill="auto"/>
        <w:tabs>
          <w:tab w:pos="795" w:val="left"/>
        </w:tabs>
        <w:bidi w:val="0"/>
        <w:spacing w:before="0" w:after="0" w:line="312" w:lineRule="exact"/>
        <w:ind w:left="0" w:right="0" w:firstLine="38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在建工程的类别</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本集团在建工程包括装修工程、技术改造工程和固定资产新建等。</w:t>
      </w:r>
    </w:p>
    <w:p>
      <w:pPr>
        <w:pStyle w:val="Style19"/>
        <w:keepNext w:val="0"/>
        <w:keepLines w:val="0"/>
        <w:widowControl w:val="0"/>
        <w:shd w:val="clear" w:color="auto" w:fill="auto"/>
        <w:tabs>
          <w:tab w:pos="795" w:val="left"/>
        </w:tabs>
        <w:bidi w:val="0"/>
        <w:spacing w:before="0" w:after="0" w:line="312" w:lineRule="exact"/>
        <w:ind w:left="0" w:right="0" w:firstLine="38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在建工程的计量</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在建工程以实际成本计价，按照实际发生的支出确定其工程成本，工程达到预定可使用状态前因进行试运转发生的净支 出计入工程成本。工程达到预定可使用状态前所取得的试运转过程中形成的、能够对外销售的产品，其发生的成本，计入在 建工程成本，销售或结转为产成品时，按实际销售收入或者预计售价冲减在建工程成本。在建工程发生的借款费用，符合借 款费用资本化条件的，在所购建的固定资产达到预定可使用状态前，计入在建工程成本。</w:t>
      </w:r>
    </w:p>
    <w:p>
      <w:pPr>
        <w:pStyle w:val="Style19"/>
        <w:keepNext w:val="0"/>
        <w:keepLines w:val="0"/>
        <w:widowControl w:val="0"/>
        <w:shd w:val="clear" w:color="auto" w:fill="auto"/>
        <w:tabs>
          <w:tab w:pos="795" w:val="left"/>
        </w:tabs>
        <w:bidi w:val="0"/>
        <w:spacing w:before="0" w:after="0" w:line="312" w:lineRule="exact"/>
        <w:ind w:left="0" w:right="0" w:firstLine="38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在建工程结转为固定资产的时点</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在建工程按各项工程所发生的实际支出核算，在达到预定可使用状态时转作固定资产。所建造的固定资产已达到预定可 使用状态，但尚未办理竣工决算手续的，自达到预定可使用状态之日起，根据工程预算、造价或者工程实际成本等，按估计 的价值转入固定资产，并计提固定资产的折旧，待办理了竣工决算手续后再对原估计值进行调整。购建或者生产符合资本化 条件的资产而借入的专门借款或占用了一般借款发生的借款利息以及专门借款发生的辅助费用，在所购建或者生产的符合资 本化条件的资产达到预定可使用或者可销售状态之前根据其发生额予以资本化。</w:t>
      </w:r>
    </w:p>
    <w:p>
      <w:pPr>
        <w:pStyle w:val="Style19"/>
        <w:keepNext w:val="0"/>
        <w:keepLines w:val="0"/>
        <w:widowControl w:val="0"/>
        <w:shd w:val="clear" w:color="auto" w:fill="auto"/>
        <w:tabs>
          <w:tab w:pos="795" w:val="left"/>
        </w:tabs>
        <w:bidi w:val="0"/>
        <w:spacing w:before="0" w:after="0" w:line="312" w:lineRule="exact"/>
        <w:ind w:left="0" w:right="0" w:firstLine="38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在建工程的减值测试方法及减值准备计提方法</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453"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33"/>
      <w:bookmarkEnd w:id="834"/>
      <w:bookmarkEnd w:id="836"/>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19"/>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个月的，暂停借款费用的资本化， 直至资产的购建或生产活动重新开始。</w:t>
      </w:r>
    </w:p>
    <w:p>
      <w:pPr>
        <w:pStyle w:val="Style28"/>
        <w:keepNext/>
        <w:keepLines/>
        <w:widowControl w:val="0"/>
        <w:shd w:val="clear" w:color="auto" w:fill="auto"/>
        <w:tabs>
          <w:tab w:pos="497" w:val="left"/>
        </w:tabs>
        <w:bidi w:val="0"/>
        <w:spacing w:before="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37"/>
      <w:bookmarkEnd w:id="838"/>
      <w:bookmarkEnd w:id="840"/>
    </w:p>
    <w:p>
      <w:pPr>
        <w:pStyle w:val="Style28"/>
        <w:keepNext/>
        <w:keepLines/>
        <w:widowControl w:val="0"/>
        <w:shd w:val="clear" w:color="auto" w:fill="auto"/>
        <w:tabs>
          <w:tab w:pos="497" w:val="left"/>
        </w:tabs>
        <w:bidi w:val="0"/>
        <w:spacing w:before="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41"/>
      <w:bookmarkEnd w:id="842"/>
      <w:bookmarkEnd w:id="844"/>
    </w:p>
    <w:p>
      <w:pPr>
        <w:pStyle w:val="Style28"/>
        <w:keepNext/>
        <w:keepLines/>
        <w:widowControl w:val="0"/>
        <w:shd w:val="clear" w:color="auto" w:fill="auto"/>
        <w:tabs>
          <w:tab w:pos="497"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45"/>
      <w:bookmarkEnd w:id="846"/>
      <w:bookmarkEnd w:id="848"/>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在租赁期开始日，本公司对除短期租赁和低价值资产租赁以外的租赁确认使用权资产。使用权资产按照成本进行初始计 量。该成本包括：</w:t>
      </w:r>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租赁负债的初始计量金额；</w:t>
      </w:r>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在租赁期开始日或之前支付的租赁付款额，存在租赁激励的，扣除已享受的租赁激励相关金额；</w:t>
      </w:r>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本公司发生的初始直接费用；</w:t>
      </w:r>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本公司为拆卸及移除租赁资产、复原租赁资产所在场地或将租赁资产恢复至租赁条款约定状态预计将发生的成本，但不 包括属于为生产存货而发生的成本。</w:t>
      </w:r>
    </w:p>
    <w:p>
      <w:pPr>
        <w:pStyle w:val="Style19"/>
        <w:keepNext w:val="0"/>
        <w:keepLines w:val="0"/>
        <w:widowControl w:val="0"/>
        <w:shd w:val="clear" w:color="auto" w:fill="auto"/>
        <w:bidi w:val="0"/>
        <w:spacing w:before="0" w:after="40" w:line="315" w:lineRule="exact"/>
        <w:ind w:left="0" w:right="0" w:firstLine="380"/>
        <w:jc w:val="both"/>
      </w:pPr>
      <w:r>
        <w:rPr>
          <w:color w:val="000000"/>
          <w:spacing w:val="0"/>
          <w:w w:val="100"/>
          <w:position w:val="0"/>
        </w:rPr>
        <w:t>本公司后续采用直线法对使用权资产计提折旧。对能够合理确定租赁期届满时取得租赁资产所有权的，本公司在租赁资 产剩余使用寿命内计提折旧；否则，租赁资产在租赁期与租赁资产剩余使用寿命两者孰短的期间内计提折旧。</w:t>
      </w:r>
    </w:p>
    <w:p>
      <w:pPr>
        <w:pStyle w:val="Style19"/>
        <w:keepNext w:val="0"/>
        <w:keepLines w:val="0"/>
        <w:widowControl w:val="0"/>
        <w:shd w:val="clear" w:color="auto" w:fill="auto"/>
        <w:bidi w:val="0"/>
        <w:spacing w:before="0" w:after="380" w:line="302" w:lineRule="exact"/>
        <w:ind w:left="0" w:right="0" w:firstLine="0"/>
        <w:jc w:val="both"/>
      </w:pPr>
      <w:r>
        <w:rPr>
          <w:color w:val="000000"/>
          <w:spacing w:val="0"/>
          <w:w w:val="100"/>
          <w:position w:val="0"/>
        </w:rPr>
        <w:t>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所述原则来确定使用权资产是否已发生减值，并对已识别的减值损失进行会计处 理。</w:t>
      </w:r>
    </w:p>
    <w:p>
      <w:pPr>
        <w:pStyle w:val="Style28"/>
        <w:keepNext/>
        <w:keepLines/>
        <w:widowControl w:val="0"/>
        <w:shd w:val="clear" w:color="auto" w:fill="auto"/>
        <w:tabs>
          <w:tab w:pos="497" w:val="left"/>
        </w:tabs>
        <w:bidi w:val="0"/>
        <w:spacing w:before="0" w:line="240" w:lineRule="auto"/>
        <w:ind w:left="0" w:right="0" w:firstLine="0"/>
        <w:jc w:val="both"/>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3</w:t>
      </w:r>
      <w:bookmarkEnd w:id="85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49"/>
      <w:bookmarkEnd w:id="850"/>
      <w:bookmarkEnd w:id="852"/>
    </w:p>
    <w:p>
      <w:pPr>
        <w:pStyle w:val="Style32"/>
        <w:keepNext/>
        <w:keepLines/>
        <w:widowControl w:val="0"/>
        <w:shd w:val="clear" w:color="auto" w:fill="auto"/>
        <w:tabs>
          <w:tab w:pos="497" w:val="left"/>
        </w:tabs>
        <w:bidi w:val="0"/>
        <w:spacing w:before="0" w:after="280" w:line="240" w:lineRule="auto"/>
        <w:ind w:left="0" w:right="0" w:firstLine="0"/>
        <w:jc w:val="both"/>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53"/>
      <w:bookmarkEnd w:id="854"/>
      <w:bookmarkEnd w:id="856"/>
    </w:p>
    <w:p>
      <w:pPr>
        <w:pStyle w:val="Style19"/>
        <w:keepNext w:val="0"/>
        <w:keepLines w:val="0"/>
        <w:widowControl w:val="0"/>
        <w:numPr>
          <w:ilvl w:val="0"/>
          <w:numId w:val="33"/>
        </w:numPr>
        <w:shd w:val="clear" w:color="auto" w:fill="auto"/>
        <w:tabs>
          <w:tab w:pos="681" w:val="left"/>
        </w:tabs>
        <w:bidi w:val="0"/>
        <w:spacing w:before="0" w:after="0" w:line="311" w:lineRule="exact"/>
        <w:ind w:left="0" w:right="0" w:firstLine="380"/>
        <w:jc w:val="both"/>
      </w:pPr>
      <w:bookmarkStart w:id="857" w:name="bookmark857"/>
      <w:bookmarkEnd w:id="857"/>
      <w:r>
        <w:rPr>
          <w:color w:val="000000"/>
          <w:spacing w:val="0"/>
          <w:w w:val="100"/>
          <w:position w:val="0"/>
        </w:rPr>
        <w:t>无形资产是指本集团拥有或者控制的没有实物形态的可辨认非货币性资产。</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无形资产按成本进行初始计量。与无形资产有关的支出，如果相关的经济利益很可能流入本集团且其成本能可靠地计量， 则计入无形资产成本。除此以外的其他项目的支出，在发生时计入当期损益。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19"/>
        <w:keepNext w:val="0"/>
        <w:keepLines w:val="0"/>
        <w:widowControl w:val="0"/>
        <w:numPr>
          <w:ilvl w:val="0"/>
          <w:numId w:val="33"/>
        </w:numPr>
        <w:shd w:val="clear" w:color="auto" w:fill="auto"/>
        <w:tabs>
          <w:tab w:pos="700" w:val="left"/>
        </w:tabs>
        <w:bidi w:val="0"/>
        <w:spacing w:before="0" w:after="40" w:line="311" w:lineRule="exact"/>
        <w:ind w:left="0" w:right="0" w:firstLine="380"/>
        <w:jc w:val="both"/>
      </w:pPr>
      <w:bookmarkStart w:id="858" w:name="bookmark858"/>
      <w:bookmarkEnd w:id="858"/>
      <w:r>
        <w:rPr>
          <w:color w:val="000000"/>
          <w:spacing w:val="0"/>
          <w:w w:val="100"/>
          <w:position w:val="0"/>
        </w:rPr>
        <w:t>无形资产的减值测试方法及减值准备计提方法</w:t>
      </w:r>
    </w:p>
    <w:p>
      <w:pPr>
        <w:pStyle w:val="Style1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tabs>
          <w:tab w:pos="497"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59"/>
      <w:bookmarkEnd w:id="860"/>
      <w:bookmarkEnd w:id="862"/>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本集团内部研究开发项目的支出分为研究阶段支出与开发阶段支出。</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研究阶段的支出，于发生时计入当期损益。</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开发阶段的支出同时满足下列条件的，确认为无形资产，不能满足下述条件的开发阶段的支出计入当期损益：</w:t>
      </w:r>
    </w:p>
    <w:p>
      <w:pPr>
        <w:pStyle w:val="Style19"/>
        <w:keepNext w:val="0"/>
        <w:keepLines w:val="0"/>
        <w:widowControl w:val="0"/>
        <w:numPr>
          <w:ilvl w:val="0"/>
          <w:numId w:val="35"/>
        </w:numPr>
        <w:shd w:val="clear" w:color="auto" w:fill="auto"/>
        <w:tabs>
          <w:tab w:pos="753" w:val="left"/>
        </w:tabs>
        <w:bidi w:val="0"/>
        <w:spacing w:before="0" w:after="0" w:line="311" w:lineRule="exact"/>
        <w:ind w:left="0" w:right="0" w:firstLine="380"/>
        <w:jc w:val="both"/>
      </w:pPr>
      <w:bookmarkStart w:id="863" w:name="bookmark863"/>
      <w:bookmarkEnd w:id="863"/>
      <w:r>
        <w:rPr>
          <w:color w:val="000000"/>
          <w:spacing w:val="0"/>
          <w:w w:val="100"/>
          <w:position w:val="0"/>
        </w:rPr>
        <w:t>完成该无形资产以使其能够使用或出售在技术上具有可行性；</w:t>
      </w:r>
    </w:p>
    <w:p>
      <w:pPr>
        <w:pStyle w:val="Style19"/>
        <w:keepNext w:val="0"/>
        <w:keepLines w:val="0"/>
        <w:widowControl w:val="0"/>
        <w:numPr>
          <w:ilvl w:val="0"/>
          <w:numId w:val="35"/>
        </w:numPr>
        <w:shd w:val="clear" w:color="auto" w:fill="auto"/>
        <w:tabs>
          <w:tab w:pos="753" w:val="left"/>
        </w:tabs>
        <w:bidi w:val="0"/>
        <w:spacing w:before="0" w:after="0" w:line="311" w:lineRule="exact"/>
        <w:ind w:left="0" w:right="0" w:firstLine="380"/>
        <w:jc w:val="both"/>
      </w:pPr>
      <w:bookmarkStart w:id="864" w:name="bookmark864"/>
      <w:bookmarkEnd w:id="864"/>
      <w:r>
        <w:rPr>
          <w:color w:val="000000"/>
          <w:spacing w:val="0"/>
          <w:w w:val="100"/>
          <w:position w:val="0"/>
        </w:rPr>
        <w:t>具有完成该无形资产并使用或出售的意图；</w:t>
      </w:r>
    </w:p>
    <w:p>
      <w:pPr>
        <w:pStyle w:val="Style19"/>
        <w:keepNext w:val="0"/>
        <w:keepLines w:val="0"/>
        <w:widowControl w:val="0"/>
        <w:numPr>
          <w:ilvl w:val="0"/>
          <w:numId w:val="35"/>
        </w:numPr>
        <w:shd w:val="clear" w:color="auto" w:fill="auto"/>
        <w:tabs>
          <w:tab w:pos="373" w:val="left"/>
        </w:tabs>
        <w:bidi w:val="0"/>
        <w:spacing w:before="0" w:after="0" w:line="311" w:lineRule="exact"/>
        <w:ind w:left="0" w:right="0" w:firstLine="380"/>
        <w:jc w:val="both"/>
      </w:pPr>
      <w:bookmarkStart w:id="865" w:name="bookmark865"/>
      <w:bookmarkEnd w:id="865"/>
      <w:r>
        <w:rPr>
          <w:color w:val="000000"/>
          <w:spacing w:val="0"/>
          <w:w w:val="100"/>
          <w:position w:val="0"/>
        </w:rPr>
        <w:t xml:space="preserve">无形资产产生经济利益的方式，包括能够证明运用该无形资产生产的产品存在市场或无形资产自身存在市场，无形 </w:t>
      </w:r>
      <w:r>
        <w:rPr>
          <w:color w:val="000000"/>
          <w:spacing w:val="0"/>
          <w:w w:val="100"/>
          <w:position w:val="0"/>
        </w:rPr>
        <w:t>资产将在内部使用的，能够证明其有用性；</w:t>
      </w:r>
    </w:p>
    <w:p>
      <w:pPr>
        <w:pStyle w:val="Style19"/>
        <w:keepNext w:val="0"/>
        <w:keepLines w:val="0"/>
        <w:widowControl w:val="0"/>
        <w:numPr>
          <w:ilvl w:val="0"/>
          <w:numId w:val="35"/>
        </w:numPr>
        <w:shd w:val="clear" w:color="auto" w:fill="auto"/>
        <w:tabs>
          <w:tab w:pos="717" w:val="left"/>
        </w:tabs>
        <w:bidi w:val="0"/>
        <w:spacing w:before="0" w:after="0" w:line="312" w:lineRule="exact"/>
        <w:ind w:left="0" w:right="0" w:firstLine="380"/>
        <w:jc w:val="both"/>
      </w:pPr>
      <w:bookmarkStart w:id="866" w:name="bookmark866"/>
      <w:bookmarkEnd w:id="866"/>
      <w:r>
        <w:rPr>
          <w:color w:val="000000"/>
          <w:spacing w:val="0"/>
          <w:w w:val="100"/>
          <w:position w:val="0"/>
        </w:rPr>
        <w:t>有足够的技术、财务资源和其他资源支持，以完成该无形资产的开发，并有能力使用或出售该无形资产；</w:t>
      </w:r>
    </w:p>
    <w:p>
      <w:pPr>
        <w:pStyle w:val="Style19"/>
        <w:keepNext w:val="0"/>
        <w:keepLines w:val="0"/>
        <w:widowControl w:val="0"/>
        <w:numPr>
          <w:ilvl w:val="0"/>
          <w:numId w:val="35"/>
        </w:numPr>
        <w:shd w:val="clear" w:color="auto" w:fill="auto"/>
        <w:tabs>
          <w:tab w:pos="717" w:val="left"/>
        </w:tabs>
        <w:bidi w:val="0"/>
        <w:spacing w:before="0" w:after="0" w:line="312" w:lineRule="exact"/>
        <w:ind w:left="0" w:right="0" w:firstLine="380"/>
        <w:jc w:val="both"/>
      </w:pPr>
      <w:bookmarkStart w:id="867" w:name="bookmark867"/>
      <w:bookmarkEnd w:id="867"/>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tabs>
          <w:tab w:pos="447" w:val="left"/>
        </w:tabs>
        <w:bidi w:val="0"/>
        <w:spacing w:before="0" w:after="26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3</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68"/>
      <w:bookmarkEnd w:id="869"/>
      <w:bookmarkEnd w:id="871"/>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对于固定资产、在建工程、使用寿命有限的无形资产、以成本模式计量的投资性房地产及对子公司、合营企业、联营企 业的长期股权投资等非流动非金融资产，本集团于资产负债表日判断是否存在减值迹象。如存在减值迹象的，则估计其可收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1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tabs>
          <w:tab w:pos="447" w:val="left"/>
        </w:tabs>
        <w:bidi w:val="0"/>
        <w:spacing w:before="0" w:after="26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3</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72"/>
      <w:bookmarkEnd w:id="873"/>
      <w:bookmarkEnd w:id="875"/>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长期待摊费用为已经发生但应由报告期和以后各期负担的分摊期限在一年以上的各项费用。本集团的长期待摊费用主要 包括装修费。长期待摊费用在预计受益期间按直线法摊销。</w:t>
      </w:r>
    </w:p>
    <w:p>
      <w:pPr>
        <w:pStyle w:val="Style28"/>
        <w:keepNext/>
        <w:keepLines/>
        <w:widowControl w:val="0"/>
        <w:shd w:val="clear" w:color="auto" w:fill="auto"/>
        <w:tabs>
          <w:tab w:pos="447" w:val="left"/>
        </w:tabs>
        <w:bidi w:val="0"/>
        <w:spacing w:before="0" w:after="26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3</w:t>
      </w:r>
      <w:bookmarkEnd w:id="87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76"/>
      <w:bookmarkEnd w:id="877"/>
      <w:bookmarkEnd w:id="879"/>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合同负债，是指本集团已收或应收客户对价而应向客户转让商品的义务。如果在本集团向客户转让商品之前，客户已经 支付了合同对价或本集团已经取得了无条件收款权，本集团在客户实际支付款项和到期应支付款项孰早时点，将该已收或应 收款项列示为合同负债。同一合同下的合同资产和合同负债以净额列示，不同合同下的合同资产和合同负债不予抵销。</w:t>
      </w:r>
    </w:p>
    <w:p>
      <w:pPr>
        <w:pStyle w:val="Style28"/>
        <w:keepNext/>
        <w:keepLines/>
        <w:widowControl w:val="0"/>
        <w:shd w:val="clear" w:color="auto" w:fill="auto"/>
        <w:tabs>
          <w:tab w:pos="447" w:val="left"/>
        </w:tabs>
        <w:bidi w:val="0"/>
        <w:spacing w:before="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3</w:t>
      </w:r>
      <w:bookmarkEnd w:id="88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80"/>
      <w:bookmarkEnd w:id="881"/>
      <w:bookmarkEnd w:id="883"/>
    </w:p>
    <w:p>
      <w:pPr>
        <w:pStyle w:val="Style32"/>
        <w:keepNext/>
        <w:keepLines/>
        <w:widowControl w:val="0"/>
        <w:shd w:val="clear" w:color="auto" w:fill="auto"/>
        <w:bidi w:val="0"/>
        <w:spacing w:before="0" w:after="26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84"/>
      <w:bookmarkEnd w:id="885"/>
      <w:bookmarkEnd w:id="887"/>
    </w:p>
    <w:p>
      <w:pPr>
        <w:pStyle w:val="Style19"/>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短期薪酬主要包括工资、奖金、津贴和补贴、职工福利费、医疗保险费、生育保险费、工伤保险费、住房公积金、工会 经费和职工教育经费、非货币性福利等。本集团在职工为本集团提供服务的会计期间将实际发生的短期职工薪酬确认为负债， 并计入当期损益或相关资产成本。其中非货币性福利按公允价值计量。</w:t>
      </w:r>
    </w:p>
    <w:p>
      <w:pPr>
        <w:pStyle w:val="Style32"/>
        <w:keepNext/>
        <w:keepLines/>
        <w:widowControl w:val="0"/>
        <w:shd w:val="clear" w:color="auto" w:fill="auto"/>
        <w:tabs>
          <w:tab w:pos="493" w:val="left"/>
        </w:tabs>
        <w:bidi w:val="0"/>
        <w:spacing w:before="0" w:after="26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8"/>
      <w:bookmarkEnd w:id="889"/>
      <w:bookmarkEnd w:id="891"/>
    </w:p>
    <w:p>
      <w:pPr>
        <w:pStyle w:val="Style1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离职后福利主要包括基本养老保险、失业保险。离职后福利计划包括设定提存计划。采用设定提存计划的，相应的应缴 存金额于发生时计入相关资产成本或当期损益。</w:t>
      </w:r>
    </w:p>
    <w:p>
      <w:pPr>
        <w:pStyle w:val="Style32"/>
        <w:keepNext/>
        <w:keepLines/>
        <w:widowControl w:val="0"/>
        <w:shd w:val="clear" w:color="auto" w:fill="auto"/>
        <w:tabs>
          <w:tab w:pos="493" w:val="left"/>
        </w:tabs>
        <w:bidi w:val="0"/>
        <w:spacing w:before="0" w:after="26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92"/>
      <w:bookmarkEnd w:id="893"/>
      <w:bookmarkEnd w:id="895"/>
    </w:p>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在职工劳动合同到期之前解除与职工的劳动关系，或为鼓励职工自愿接受裁减而提出给予补偿的建议，在本集团不能单 方面撤回因解除劳动关系计划或裁减建议所提供的辞退福利时，和本集团确认与涉及支付辞退福利的重组相关的成本两者孰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职工内部退休计划采用与上述辞退福利相同的原则处理。本集团将自职工停止提供服务日至正常退休日的期间拟支付的内退 人员工资和缴纳的社会保险费等，在符合预计负债确认条件时，计入当期损益（辞退福利）。</w:t>
      </w:r>
    </w:p>
    <w:p>
      <w:pPr>
        <w:pStyle w:val="Style32"/>
        <w:keepNext/>
        <w:keepLines/>
        <w:widowControl w:val="0"/>
        <w:shd w:val="clear" w:color="auto" w:fill="auto"/>
        <w:tabs>
          <w:tab w:pos="493" w:val="left"/>
        </w:tabs>
        <w:bidi w:val="0"/>
        <w:spacing w:before="0" w:after="26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6"/>
      <w:bookmarkEnd w:id="897"/>
      <w:bookmarkEnd w:id="899"/>
    </w:p>
    <w:p>
      <w:pPr>
        <w:pStyle w:val="Style1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本集团向职工提供的其他长期职工福利，符合设定提存计划的，按照设定提存计划进行会计处理，除此之外按照设定受 益计划进行会计处理。</w:t>
      </w:r>
    </w:p>
    <w:p>
      <w:pPr>
        <w:pStyle w:val="Style28"/>
        <w:keepNext/>
        <w:keepLines/>
        <w:widowControl w:val="0"/>
        <w:shd w:val="clear" w:color="auto" w:fill="auto"/>
        <w:tabs>
          <w:tab w:pos="483" w:val="left"/>
        </w:tabs>
        <w:bidi w:val="0"/>
        <w:spacing w:before="0" w:after="26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00"/>
      <w:bookmarkEnd w:id="901"/>
      <w:bookmarkEnd w:id="903"/>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在租赁期开始日，本公司对除短期租赁和低价值资产租赁以外的租赁确认租赁负债。租赁负债按照尚未支付的租赁付款 额的现值进行初始计量。租赁付款额包括：</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固定付款额（包括实质固定付款额），存在租赁激励的，扣除租赁激励相关金额；</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取决于指数或比率的可变租赁付款额；</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根据公司提供的担保余值预计应支付的款项；</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购买选择权的行权价格，前提是公司合理确定将行使该选择权；</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行使终止租赁选择权需支付的款项，前提是租赁期反映出公司将行使终止租赁选择权。</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本公司采用租赁内含利率作为折现率，但如果无法合理确定租赁内含利率的，则采用本公司的增量借款利率作为折现率。</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本公司按照固定的周期性利率计算租赁负债在租赁期内各期间的利息费用，并计入当期损益或相关资产成本。</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未纳入租赁负债计量的可变租赁付款额在实际发生时计入当期损益或相关资产成本。</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在租赁期开始日后，发生下列情形的，本公司重新计量租赁负债，并调整相应的使用权资产，若使用权资产的账面价值 已调减至零，但租赁负债仍需进一步调减的，将差额计入当期损益：</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当购买选择权、续租选择权或终止选择权的评估结果发生变化，或前述选择权的实际行权情况与原评估结果不一致的， 本公司按变动后租赁付款额和修订后的折现率计算的现值重新计量租赁负债；</w:t>
      </w:r>
    </w:p>
    <w:p>
      <w:pPr>
        <w:pStyle w:val="Style19"/>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当实质固定付款额发生变动、担保余值预计的应付金额发生变动或用于确定租赁付款额的指数或比率发生变动，本公司 按照变动后的租赁付款额和原折现率计算的现值重新计量租赁负债。但是，租赁付款额的变动源自浮动利率变动的，使用修 订后的折现率计算现值。</w:t>
      </w:r>
    </w:p>
    <w:p>
      <w:pPr>
        <w:pStyle w:val="Style28"/>
        <w:keepNext/>
        <w:keepLines/>
        <w:widowControl w:val="0"/>
        <w:shd w:val="clear" w:color="auto" w:fill="auto"/>
        <w:tabs>
          <w:tab w:pos="483" w:val="left"/>
        </w:tabs>
        <w:bidi w:val="0"/>
        <w:spacing w:before="0" w:after="26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04"/>
      <w:bookmarkEnd w:id="905"/>
      <w:bookmarkEnd w:id="907"/>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该义务是本集团承担的现时义务；</w:t>
      </w:r>
      <w:r>
        <w:rPr>
          <w:color w:val="000000"/>
          <w:spacing w:val="0"/>
          <w:w w:val="100"/>
          <w:position w:val="0"/>
          <w:sz w:val="18"/>
          <w:szCs w:val="18"/>
        </w:rPr>
        <w:t>（2）</w:t>
      </w:r>
      <w:r>
        <w:rPr>
          <w:color w:val="000000"/>
          <w:spacing w:val="0"/>
          <w:w w:val="100"/>
          <w:position w:val="0"/>
        </w:rPr>
        <w:t>履行该义 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19"/>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19"/>
        <w:keepNext w:val="0"/>
        <w:keepLines w:val="0"/>
        <w:widowControl w:val="0"/>
        <w:shd w:val="clear" w:color="auto" w:fill="auto"/>
        <w:tabs>
          <w:tab w:pos="791" w:val="left"/>
        </w:tabs>
        <w:bidi w:val="0"/>
        <w:spacing w:before="0" w:after="0" w:line="314" w:lineRule="exact"/>
        <w:ind w:left="0" w:right="0" w:firstLine="380"/>
        <w:jc w:val="both"/>
      </w:pPr>
      <w:bookmarkStart w:id="908" w:name="bookmark908"/>
      <w:r>
        <w:rPr>
          <w:color w:val="000000"/>
          <w:spacing w:val="0"/>
          <w:w w:val="100"/>
          <w:position w:val="0"/>
          <w:sz w:val="18"/>
          <w:szCs w:val="18"/>
        </w:rPr>
        <w:t>（</w:t>
      </w:r>
      <w:bookmarkEnd w:id="908"/>
      <w:r>
        <w:rPr>
          <w:color w:val="000000"/>
          <w:spacing w:val="0"/>
          <w:w w:val="100"/>
          <w:position w:val="0"/>
          <w:sz w:val="18"/>
          <w:szCs w:val="18"/>
        </w:rPr>
        <w:t>1）</w:t>
        <w:tab/>
      </w:r>
      <w:r>
        <w:rPr>
          <w:color w:val="000000"/>
          <w:spacing w:val="0"/>
          <w:w w:val="100"/>
          <w:position w:val="0"/>
        </w:rPr>
        <w:t>亏损合同</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19"/>
        <w:keepNext w:val="0"/>
        <w:keepLines w:val="0"/>
        <w:widowControl w:val="0"/>
        <w:shd w:val="clear" w:color="auto" w:fill="auto"/>
        <w:tabs>
          <w:tab w:pos="791" w:val="left"/>
        </w:tabs>
        <w:bidi w:val="0"/>
        <w:spacing w:before="0" w:after="0" w:line="312" w:lineRule="exact"/>
        <w:ind w:left="0" w:right="0" w:firstLine="380"/>
        <w:jc w:val="both"/>
      </w:pPr>
      <w:bookmarkStart w:id="909" w:name="bookmark909"/>
      <w:r>
        <w:rPr>
          <w:color w:val="000000"/>
          <w:spacing w:val="0"/>
          <w:w w:val="100"/>
          <w:position w:val="0"/>
          <w:sz w:val="18"/>
          <w:szCs w:val="18"/>
        </w:rPr>
        <w:t>（</w:t>
      </w:r>
      <w:bookmarkEnd w:id="909"/>
      <w:r>
        <w:rPr>
          <w:color w:val="000000"/>
          <w:spacing w:val="0"/>
          <w:w w:val="100"/>
          <w:position w:val="0"/>
          <w:sz w:val="18"/>
          <w:szCs w:val="18"/>
        </w:rPr>
        <w:t>2）</w:t>
        <w:tab/>
      </w:r>
      <w:r>
        <w:rPr>
          <w:color w:val="000000"/>
          <w:spacing w:val="0"/>
          <w:w w:val="100"/>
          <w:position w:val="0"/>
        </w:rPr>
        <w:t>重组义务</w:t>
      </w:r>
    </w:p>
    <w:p>
      <w:pPr>
        <w:pStyle w:val="Style19"/>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出确定预计负债金额。对于出售部分业务的重组义务，只有在本集团承诺出售部分业务（即签订了约束性出售协议时），才 确认与重组相关的义务。</w:t>
      </w:r>
    </w:p>
    <w:p>
      <w:pPr>
        <w:pStyle w:val="Style28"/>
        <w:keepNext/>
        <w:keepLines/>
        <w:widowControl w:val="0"/>
        <w:shd w:val="clear" w:color="auto" w:fill="auto"/>
        <w:bidi w:val="0"/>
        <w:spacing w:before="0" w:after="40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910"/>
      <w:bookmarkEnd w:id="911"/>
      <w:bookmarkEnd w:id="913"/>
    </w:p>
    <w:p>
      <w:pPr>
        <w:pStyle w:val="Style19"/>
        <w:keepNext w:val="0"/>
        <w:keepLines w:val="0"/>
        <w:widowControl w:val="0"/>
        <w:numPr>
          <w:ilvl w:val="0"/>
          <w:numId w:val="37"/>
        </w:numPr>
        <w:shd w:val="clear" w:color="auto" w:fill="auto"/>
        <w:tabs>
          <w:tab w:pos="647" w:val="left"/>
        </w:tabs>
        <w:bidi w:val="0"/>
        <w:spacing w:before="0" w:after="0" w:line="360" w:lineRule="auto"/>
        <w:ind w:left="0" w:right="0" w:firstLine="380"/>
        <w:jc w:val="both"/>
      </w:pPr>
      <w:bookmarkStart w:id="914" w:name="bookmark914"/>
      <w:bookmarkEnd w:id="914"/>
      <w:r>
        <w:rPr>
          <w:color w:val="000000"/>
          <w:spacing w:val="0"/>
          <w:w w:val="100"/>
          <w:position w:val="0"/>
        </w:rPr>
        <w:t>股份支付的会计处理方法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19"/>
        <w:keepNext w:val="0"/>
        <w:keepLines w:val="0"/>
        <w:widowControl w:val="0"/>
        <w:numPr>
          <w:ilvl w:val="0"/>
          <w:numId w:val="39"/>
        </w:numPr>
        <w:shd w:val="clear" w:color="auto" w:fill="auto"/>
        <w:tabs>
          <w:tab w:pos="719" w:val="left"/>
        </w:tabs>
        <w:bidi w:val="0"/>
        <w:spacing w:before="0" w:after="0" w:line="313" w:lineRule="exact"/>
        <w:ind w:left="0" w:right="0" w:firstLine="380"/>
        <w:jc w:val="both"/>
      </w:pPr>
      <w:bookmarkStart w:id="915" w:name="bookmark915"/>
      <w:bookmarkEnd w:id="915"/>
      <w:r>
        <w:rPr>
          <w:color w:val="000000"/>
          <w:spacing w:val="0"/>
          <w:w w:val="100"/>
          <w:position w:val="0"/>
        </w:rPr>
        <w:t>以权益结算的股份支付</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在授予后立即可行权时，在授予日计入相关成本或费用，相应增加资本公积。</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在等待期内每个资产负债表日，本集团根据最新取得的可行权职工人数变动等后续信息做出最佳估计，修正预计可行权 的权益工具数量。上述估计的影响计入当期相关成本或费用，并相应调整资本公积。</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19"/>
        <w:keepNext w:val="0"/>
        <w:keepLines w:val="0"/>
        <w:widowControl w:val="0"/>
        <w:numPr>
          <w:ilvl w:val="0"/>
          <w:numId w:val="39"/>
        </w:numPr>
        <w:shd w:val="clear" w:color="auto" w:fill="auto"/>
        <w:tabs>
          <w:tab w:pos="719" w:val="left"/>
        </w:tabs>
        <w:bidi w:val="0"/>
        <w:spacing w:before="0" w:after="0" w:line="313" w:lineRule="exact"/>
        <w:ind w:left="0" w:right="0" w:firstLine="380"/>
        <w:jc w:val="both"/>
      </w:pPr>
      <w:bookmarkStart w:id="916" w:name="bookmark916"/>
      <w:bookmarkEnd w:id="916"/>
      <w:r>
        <w:rPr>
          <w:color w:val="000000"/>
          <w:spacing w:val="0"/>
          <w:w w:val="100"/>
          <w:position w:val="0"/>
        </w:rPr>
        <w:t>以现金结算的股份支付</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以现金结算的股份支付，按照本集团承担的以股份或其他权益工具为基础确定的负债的公允价值计量。如授予后立即可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期的每个资产负债表日，以对可行权情况的最佳估计为基础，按照本集团承担负债的公允价值金额，将当期取得的服务计入 成本或费用，相应增加负债。</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19"/>
        <w:keepNext w:val="0"/>
        <w:keepLines w:val="0"/>
        <w:widowControl w:val="0"/>
        <w:numPr>
          <w:ilvl w:val="0"/>
          <w:numId w:val="37"/>
        </w:numPr>
        <w:shd w:val="clear" w:color="auto" w:fill="auto"/>
        <w:tabs>
          <w:tab w:pos="667" w:val="left"/>
        </w:tabs>
        <w:bidi w:val="0"/>
        <w:spacing w:before="0" w:after="0" w:line="360" w:lineRule="auto"/>
        <w:ind w:left="0" w:right="0" w:firstLine="380"/>
        <w:jc w:val="both"/>
      </w:pPr>
      <w:bookmarkStart w:id="917" w:name="bookmark917"/>
      <w:bookmarkEnd w:id="917"/>
      <w:r>
        <w:rPr>
          <w:color w:val="000000"/>
          <w:spacing w:val="0"/>
          <w:w w:val="100"/>
          <w:position w:val="0"/>
        </w:rPr>
        <w:t>修改、终止股份支付计划的相关会计处理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付公允价值总额或采用了其他不利于职工的方式，则仍继续对取得的服务进行会计处理，视同该变更从未发生，除非本集团 取消了部分或全部已授予的权益工具。</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在等待期内，如果取消了授予的权益工具，本集团对取消所授予的权益性工具作为加速行权处理，将剩余等待期内应确 认的金额立即计入当期损益，同时确认资本公积。职工或其他方能够选择满足非可行权条件但在等待期内未满足的，本集团 将其作为授予权益工具的取消处理。</w:t>
      </w:r>
    </w:p>
    <w:p>
      <w:pPr>
        <w:pStyle w:val="Style19"/>
        <w:keepNext w:val="0"/>
        <w:keepLines w:val="0"/>
        <w:widowControl w:val="0"/>
        <w:numPr>
          <w:ilvl w:val="0"/>
          <w:numId w:val="37"/>
        </w:numPr>
        <w:shd w:val="clear" w:color="auto" w:fill="auto"/>
        <w:tabs>
          <w:tab w:pos="667" w:val="left"/>
        </w:tabs>
        <w:bidi w:val="0"/>
        <w:spacing w:before="0" w:after="0" w:line="360" w:lineRule="auto"/>
        <w:ind w:left="0" w:right="0" w:firstLine="380"/>
        <w:jc w:val="both"/>
      </w:pPr>
      <w:bookmarkStart w:id="918" w:name="bookmark918"/>
      <w:bookmarkEnd w:id="918"/>
      <w:r>
        <w:rPr>
          <w:color w:val="000000"/>
          <w:spacing w:val="0"/>
          <w:w w:val="100"/>
          <w:position w:val="0"/>
        </w:rPr>
        <w:t>涉及本集团与本集团股东或实际控制人的股份支付交易的会计处理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涉及本集团与本公司股东或实际控制人的股份支付交易，结算企业与接受服务企业中其一在本集团内，另一在本集团外 的，在本集团合并财务报表中按照以下规定进行会计处理：</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①结算企业以其本身权益工具结算的，将该股份支付交易作为权益结算的股份支付处理；除此之外，作为现金结算的股 份支付处理。</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②接受服务企业没有结算义务或授予本企业职工的是其本身权益工具的，将该股份支付交易作为权益结算的股份支付处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理。</w:t>
      </w:r>
    </w:p>
    <w:p>
      <w:pPr>
        <w:pStyle w:val="Style19"/>
        <w:keepNext w:val="0"/>
        <w:keepLines w:val="0"/>
        <w:widowControl w:val="0"/>
        <w:shd w:val="clear" w:color="auto" w:fill="auto"/>
        <w:bidi w:val="0"/>
        <w:spacing w:before="0" w:after="400" w:line="317" w:lineRule="exact"/>
        <w:ind w:left="0" w:right="0" w:firstLine="0"/>
        <w:jc w:val="both"/>
      </w:pPr>
      <w:r>
        <w:rPr>
          <w:color w:val="000000"/>
          <w:spacing w:val="0"/>
          <w:w w:val="100"/>
          <w:position w:val="0"/>
        </w:rPr>
        <w:t>本集团内各企业之间发生的股份支付交易，接受服务企业和结算企业不是同一企业的，在接受服务企业和结算企业各自的个 别财务报表中对该股份支付交易的确认和计量，比照上述原则处理。</w:t>
      </w:r>
    </w:p>
    <w:p>
      <w:pPr>
        <w:pStyle w:val="Style28"/>
        <w:keepNext/>
        <w:keepLines/>
        <w:widowControl w:val="0"/>
        <w:shd w:val="clear" w:color="auto" w:fill="auto"/>
        <w:tabs>
          <w:tab w:pos="484" w:val="left"/>
        </w:tabs>
        <w:bidi w:val="0"/>
        <w:spacing w:before="0" w:after="280" w:line="24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19"/>
      <w:bookmarkEnd w:id="920"/>
      <w:bookmarkEnd w:id="922"/>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永续债和优先股等的区分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本集团发行的永续债和优先股等金融工具，同时符合以下条件的，作为权益工具：</w:t>
      </w:r>
    </w:p>
    <w:p>
      <w:pPr>
        <w:pStyle w:val="Style19"/>
        <w:keepNext w:val="0"/>
        <w:keepLines w:val="0"/>
        <w:widowControl w:val="0"/>
        <w:numPr>
          <w:ilvl w:val="0"/>
          <w:numId w:val="41"/>
        </w:numPr>
        <w:shd w:val="clear" w:color="auto" w:fill="auto"/>
        <w:tabs>
          <w:tab w:pos="697" w:val="left"/>
        </w:tabs>
        <w:bidi w:val="0"/>
        <w:spacing w:before="0" w:after="0" w:line="313" w:lineRule="exact"/>
        <w:ind w:left="0" w:right="0" w:firstLine="380"/>
        <w:jc w:val="both"/>
      </w:pPr>
      <w:bookmarkStart w:id="923" w:name="bookmark923"/>
      <w:bookmarkEnd w:id="923"/>
      <w:r>
        <w:rPr>
          <w:color w:val="000000"/>
          <w:spacing w:val="0"/>
          <w:w w:val="100"/>
          <w:position w:val="0"/>
        </w:rPr>
        <w:t>该金融工具不包括交付现金或其他金融资产给其他方，或在潜在不利条件下与其他方交换金融资产或金融负债的合同 义务；</w:t>
      </w:r>
    </w:p>
    <w:p>
      <w:pPr>
        <w:pStyle w:val="Style19"/>
        <w:keepNext w:val="0"/>
        <w:keepLines w:val="0"/>
        <w:widowControl w:val="0"/>
        <w:numPr>
          <w:ilvl w:val="0"/>
          <w:numId w:val="41"/>
        </w:numPr>
        <w:shd w:val="clear" w:color="auto" w:fill="auto"/>
        <w:tabs>
          <w:tab w:pos="697" w:val="left"/>
        </w:tabs>
        <w:bidi w:val="0"/>
        <w:spacing w:before="0" w:after="0" w:line="313" w:lineRule="exact"/>
        <w:ind w:left="0" w:right="0" w:firstLine="380"/>
        <w:jc w:val="both"/>
      </w:pPr>
      <w:bookmarkStart w:id="924" w:name="bookmark924"/>
      <w:bookmarkEnd w:id="924"/>
      <w:r>
        <w:rPr>
          <w:color w:val="000000"/>
          <w:spacing w:val="0"/>
          <w:w w:val="100"/>
          <w:position w:val="0"/>
        </w:rPr>
        <w:t>如将来须用或可用企业自身权益工具结算该金融工具的，如该金融工具为非衍生工具，则不包括交付可变数量的自身 权益工具进行结算的合同义务；如为衍生工具，则本集团只能通过以固定数量的自身权益工具交换固定金额的现金或其他金 融资产结算该金融工具。</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除按上述条件可归类为权益工具的金融工具以外，本集团发行的其他金融工具应归类为金融负债。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本集团发行的金融工具为复合金融工具的，按照负债成分的公允价值确认为一项负债，按实际收到的金额扣除负债成分 的公允价值后的金额，确认为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。发行复合金融工具发生的交易费用，在负债成分和权益成分之间按照各自占 总发行价款的比例进行分摊。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永续债和优先股等的会计处理方法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归类为金融负债的永续债和优先股等金融工具，其相关利息、股利（或股息）、利得或损失，以及赎回或再融资产生的 利得或损失等，除符合资本化条件的借款费用（参见本附注四、</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借款费用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）以外，均计入当期损益。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归类为权益工具的永续债和优先股等金融工具，其发行（含再融资）、回购、出售或注销时，本集团作为权益的变动处 理，相关交易费用亦从权益中扣减。本集团对权益工具持有方的分配作为利润分配处理。</w:t>
      </w:r>
    </w:p>
    <w:p>
      <w:pPr>
        <w:pStyle w:val="Style19"/>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本集团不确认权益工具的公允价值变动。</w:t>
      </w:r>
    </w:p>
    <w:p>
      <w:pPr>
        <w:pStyle w:val="Style28"/>
        <w:keepNext/>
        <w:keepLines/>
        <w:widowControl w:val="0"/>
        <w:shd w:val="clear" w:color="auto" w:fill="auto"/>
        <w:tabs>
          <w:tab w:pos="484" w:val="left"/>
        </w:tabs>
        <w:bidi w:val="0"/>
        <w:spacing w:before="0" w:after="28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3</w:t>
      </w:r>
      <w:bookmarkEnd w:id="92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25"/>
      <w:bookmarkEnd w:id="926"/>
      <w:bookmarkEnd w:id="928"/>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收入确认和计量所采用的会计政策</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）收入确认原则</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收入，是本集团在日常活动中形成的、会导致股东权益增加的、与股东投入资本无关的经济利益的总流入。本集团与客 户之间的合同同时满足下列条件时，在客户取得相关商品（含劳务，下同）控制权时确认收入：合同各方已批准该合同并承 诺将履行各自义务；合同明确了合同各方与所转让商品或提供劳务相关的权利和义务；合同有明确的与所转让商品相关的支 付条款；合同具有商业实质，即履行该合同将改变本集团未来现金流量的风险、时间分布或金额；本集团因向客户转让商品 而有权取得的对价很可能收回。其中，取得相关商品控制权，是指能够主导该商品的使用并从中获得几乎全部的经济利益。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在合同开始日，本集团识别合同中存在的各单项履约义务，并将交易价格按照各单项履约义务所承诺商品的单独售价的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对于合同中的每个单项履约义务，如果满足下列条件之一的，本集团在相关履约时段内按照履约进度将分摊至该单项履 约义务的交易价格确认为收入：客户在本集团履约的同时即取得并消耗本集团履约所带来的经济利益；客户能够控制本集团 履约过程中在建的商品；本集团履约过程中所产出的商品具有不可替代用途，且本集团在整个合同期间内有权就累计至今已 完成的履约部分收取款项。履约进度根据所转让商品的性质采用投入法或产出法确定，当履约进度不能合理确定时，本集团 </w:t>
      </w:r>
      <w:r>
        <w:rPr>
          <w:color w:val="000000"/>
          <w:spacing w:val="0"/>
          <w:w w:val="100"/>
          <w:position w:val="0"/>
        </w:rPr>
        <w:t>已经发生的成本预计能够得到补偿的，按照已经发生的成本金额确认收入，直到履约进度能够合理确定为止。</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如果不满足上述条件之一，则本集团在客户取得相关商品控制权的时点按照分摊至该单项履约义务的交易价格确认收 入。在判断客户是否已取得商品控制权时，本集团考虑下列迹象：企业就该商品享有现时收款权利，即客户就该商品负有现 时付款义务；企业已将该商品的法定所有权转移给客户，即客户已拥有该商品的法定所有权；企业已将该商品实物转移给客 户，即客户已实物占有该商品；企业已将该商品所有权上的主要风险和报酬转移给客户，即客户已取得该商品所有权上的主 要风险和报酬；客户已接受该商品；其他表明客户已取得商品控制权的迹象。</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）收入的具体确认标准</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本集团业务分媒介代理、数字营销、品牌管理、自有媒体、公关活动五类。</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媒介代理业务的具体确认标准：①公司按照与客户签订的媒体代理合同约定，在广告发布完毕后，获取与客户对账确认 的广告发布排期单，确定销售收入金额可以确定，取得收款权利且相关经济利益很可能流入，服务或产品的相关成本能够可 靠地计量时分期确认销售收入。②单项广告方案策划与执行，在项目完成并交付客户使用时确认收入。</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数字营销业务的具体确认标准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①公司按照与客户合同约定的网络媒介代理合同约定，通过广告发布单、广告排期单结 算的广告代理业务，公司在广告发布完毕后，获取与客户对账确认的广告发布排期单，确定销售收入金额可以确定，取得收 款权利且相关经济利益很可能流入，服务或产品的相关成本能够可靠地计量时分期确认销售收入。②基于效果类广告收入， 公司在广告投放完成后，实际投放效果达到订单要求后，根据广告发布订单金额确认收入。</w:t>
      </w:r>
    </w:p>
    <w:p>
      <w:pPr>
        <w:pStyle w:val="Style1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品牌管理业务收入的具体确认标准：公司与客户签订品牌管理或全案策略代理合同，为客户提供品牌规划、产品整合传 播策略、广告策略、创意、设计、活动策划、市场调研策划与分析等服务。按照合同约定的服务内容，由公司向客户提供总 结报告，经过客户考核和确认后，按合同约定分期收取服务费，确认收入。</w:t>
      </w:r>
    </w:p>
    <w:p>
      <w:pPr>
        <w:pStyle w:val="Style19"/>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自有媒体业务收入的具体确认标准：公司承接业务后，按照约定确定公司的户外媒体并与客户签订发布合同，由第三方 制作公司安装和上画，客户验收确认。广告发布后，公司业务部门定期监测户外牌的亮灯情况和维护，按合同约定提供亮灯 报告、维护情况等验收报告送客户确认，验收报告经公司和客户共同核实和确认后，按照合同约定上刊期间分期确认收入。 公关活动业务收入的具体确认标准：公司公关活动业务在相关的广告或商业行为开始出现于公众面前时并经客户验收后，以 双方确定的排期单、结算单等确认收入。</w:t>
      </w:r>
    </w:p>
    <w:p>
      <w:pPr>
        <w:pStyle w:val="Style28"/>
        <w:keepNext/>
        <w:keepLines/>
        <w:widowControl w:val="0"/>
        <w:shd w:val="clear" w:color="auto" w:fill="auto"/>
        <w:bidi w:val="0"/>
        <w:spacing w:before="0" w:after="280" w:line="240"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4</w:t>
      </w:r>
      <w:bookmarkEnd w:id="93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29"/>
      <w:bookmarkEnd w:id="930"/>
      <w:bookmarkEnd w:id="932"/>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政府补助是指本集团从政府无偿取得货币性资产和非货币性资产，不包括政府以投资者身份并享有相应所有者权益而投 入的资本。政府补助分为与资产相关的政府补助和与收益相关的政府补助。本集团将所取得的用于购建或以其他方式形成长 期资产的政府补助界定为与资产相关的政府补助；其余政府补助界定为与收益相关的政府补助。若政府文件未明确规定补助 对象，则采用以下方式将补助款划分为与收益相关的政府补助和与资产相关的政府补助：（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 的特定项目的，根据该特定项目的预算中将形成资产的支出金额和计入费用的支出金额的相对比例进行划分，对该划分比例 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）政府文件中对用途仅作一般性表述，没有指明特定项目的，作为 与收益相关的政府补助。政府补助为货币性资产的，按照收到或应收的金额计量。政府补助为非货币性资产的，按照公允价 值计量；公允价值不能够可靠取得的，按照名义金额计量。按照名义金额计量的政府补助，直接计入当期损益。</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）根据本集团和该补助事项的具体情况，应满足的其他相关条件（如有）。</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与资产相关的政府补助，确认为递延收益，并在相关资产的使用寿命内按照合理、系统的方法分期计入当期损益或冲减 相关资产的账面价值。与收益相关的政府补助，用于补偿以后期间的相关成本费用或损失的，确认为递延收益，并在确认相 关成本费用或损失的期间计入当期损益或冲减相关成本费用；用于补偿已经发生的相关成本费用或损失的，直接计入当期损 </w:t>
      </w:r>
      <w:r>
        <w:rPr>
          <w:color w:val="000000"/>
          <w:spacing w:val="0"/>
          <w:w w:val="100"/>
          <w:position w:val="0"/>
        </w:rPr>
        <w:t>益或冲减相关成本费用。</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与本集团日常活动相关的政府补助，按照经济业务的实质，计入其他收益或冲减相关成本费用；与日常活动无关的政府 补助，计入营业外收支。</w:t>
      </w:r>
    </w:p>
    <w:p>
      <w:pPr>
        <w:pStyle w:val="Style19"/>
        <w:keepNext w:val="0"/>
        <w:keepLines w:val="0"/>
        <w:widowControl w:val="0"/>
        <w:shd w:val="clear" w:color="auto" w:fill="auto"/>
        <w:bidi w:val="0"/>
        <w:spacing w:before="0" w:after="400" w:line="317" w:lineRule="exact"/>
        <w:ind w:left="0" w:right="0" w:firstLine="0"/>
        <w:jc w:val="both"/>
      </w:pPr>
      <w:r>
        <w:rPr>
          <w:color w:val="000000"/>
          <w:spacing w:val="0"/>
          <w:w w:val="100"/>
          <w:position w:val="0"/>
        </w:rPr>
        <w:t>已确认的政府补助需要退回时，存在相关递延收益余额的，冲减相关递延收益账面余额，超出部分计入当期损益或对初始确 认时冲减相关资产账面价值的与资产相关的政府补助调整资产账面价值；属于其他情况的，直接计入当期损益。</w:t>
      </w:r>
    </w:p>
    <w:p>
      <w:pPr>
        <w:pStyle w:val="Style28"/>
        <w:keepNext/>
        <w:keepLines/>
        <w:widowControl w:val="0"/>
        <w:shd w:val="clear" w:color="auto" w:fill="auto"/>
        <w:bidi w:val="0"/>
        <w:spacing w:before="0" w:after="26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4</w:t>
      </w:r>
      <w:bookmarkEnd w:id="93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3"/>
      <w:bookmarkEnd w:id="934"/>
      <w:bookmarkEnd w:id="936"/>
    </w:p>
    <w:p>
      <w:pPr>
        <w:pStyle w:val="Style19"/>
        <w:keepNext w:val="0"/>
        <w:keepLines w:val="0"/>
        <w:widowControl w:val="0"/>
        <w:shd w:val="clear" w:color="auto" w:fill="auto"/>
        <w:tabs>
          <w:tab w:pos="674" w:val="left"/>
        </w:tabs>
        <w:bidi w:val="0"/>
        <w:spacing w:before="0" w:after="0" w:line="312" w:lineRule="exact"/>
        <w:ind w:left="0" w:right="0" w:firstLine="380"/>
        <w:jc w:val="both"/>
      </w:pPr>
      <w:bookmarkStart w:id="937" w:name="bookmark937"/>
      <w:r>
        <w:rPr>
          <w:color w:val="000000"/>
          <w:spacing w:val="0"/>
          <w:w w:val="100"/>
          <w:position w:val="0"/>
          <w:sz w:val="18"/>
          <w:szCs w:val="18"/>
        </w:rPr>
        <w:t>1</w:t>
      </w:r>
      <w:bookmarkEnd w:id="937"/>
      <w:r>
        <w:rPr>
          <w:color w:val="000000"/>
          <w:spacing w:val="0"/>
          <w:w w:val="100"/>
          <w:position w:val="0"/>
        </w:rPr>
        <w:t>、</w:t>
        <w:tab/>
        <w:t>当期所得税</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19"/>
        <w:keepNext w:val="0"/>
        <w:keepLines w:val="0"/>
        <w:widowControl w:val="0"/>
        <w:shd w:val="clear" w:color="auto" w:fill="auto"/>
        <w:tabs>
          <w:tab w:pos="684" w:val="left"/>
        </w:tabs>
        <w:bidi w:val="0"/>
        <w:spacing w:before="0" w:after="0" w:line="312" w:lineRule="exact"/>
        <w:ind w:left="0" w:right="0" w:firstLine="380"/>
        <w:jc w:val="both"/>
      </w:pPr>
      <w:bookmarkStart w:id="938" w:name="bookmark938"/>
      <w:r>
        <w:rPr>
          <w:color w:val="000000"/>
          <w:spacing w:val="0"/>
          <w:w w:val="100"/>
          <w:position w:val="0"/>
          <w:sz w:val="18"/>
          <w:szCs w:val="18"/>
        </w:rPr>
        <w:t>2</w:t>
      </w:r>
      <w:bookmarkEnd w:id="938"/>
      <w:r>
        <w:rPr>
          <w:color w:val="000000"/>
          <w:spacing w:val="0"/>
          <w:w w:val="100"/>
          <w:position w:val="0"/>
        </w:rPr>
        <w:t>、</w:t>
        <w:tab/>
        <w:t>递延所得税资产及递延所得税负债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合营企业投资相关的应纳税暂时性差异，如果本集团能够控制暂时性差异转回的时间，而且该暂时性差异在可预见的未来很 可能不会转回，也不予确认有关的递延所得税负债。除上述例外情况，本集团确认其他所有应纳税暂时性差异产生的递延所 得税负债。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所得额，不予确认有关的递延所得税资产。除上述例外情况，本集团以很可能取得用来抵扣可抵扣暂时性差异的应纳税所得 额为限，确认其他可抵扣暂时性差异产生的递延所得税资产。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19"/>
        <w:keepNext w:val="0"/>
        <w:keepLines w:val="0"/>
        <w:widowControl w:val="0"/>
        <w:shd w:val="clear" w:color="auto" w:fill="auto"/>
        <w:tabs>
          <w:tab w:pos="684" w:val="left"/>
        </w:tabs>
        <w:bidi w:val="0"/>
        <w:spacing w:before="0" w:after="0" w:line="312" w:lineRule="exact"/>
        <w:ind w:left="0" w:right="0" w:firstLine="380"/>
        <w:jc w:val="both"/>
      </w:pPr>
      <w:bookmarkStart w:id="939" w:name="bookmark939"/>
      <w:r>
        <w:rPr>
          <w:color w:val="000000"/>
          <w:spacing w:val="0"/>
          <w:w w:val="100"/>
          <w:position w:val="0"/>
          <w:sz w:val="18"/>
          <w:szCs w:val="18"/>
        </w:rPr>
        <w:t>3</w:t>
      </w:r>
      <w:bookmarkEnd w:id="939"/>
      <w:r>
        <w:rPr>
          <w:color w:val="000000"/>
          <w:spacing w:val="0"/>
          <w:w w:val="100"/>
          <w:position w:val="0"/>
        </w:rPr>
        <w:t>、</w:t>
        <w:tab/>
        <w:t>所得税费用</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所得税费用包括当期所得税和递延所得税。</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19"/>
        <w:keepNext w:val="0"/>
        <w:keepLines w:val="0"/>
        <w:widowControl w:val="0"/>
        <w:shd w:val="clear" w:color="auto" w:fill="auto"/>
        <w:tabs>
          <w:tab w:pos="689" w:val="left"/>
        </w:tabs>
        <w:bidi w:val="0"/>
        <w:spacing w:before="0" w:after="0" w:line="312" w:lineRule="exact"/>
        <w:ind w:left="0" w:right="0" w:firstLine="380"/>
        <w:jc w:val="both"/>
      </w:pPr>
      <w:bookmarkStart w:id="940" w:name="bookmark940"/>
      <w:r>
        <w:rPr>
          <w:color w:val="000000"/>
          <w:spacing w:val="0"/>
          <w:w w:val="100"/>
          <w:position w:val="0"/>
          <w:sz w:val="18"/>
          <w:szCs w:val="18"/>
        </w:rPr>
        <w:t>4</w:t>
      </w:r>
      <w:bookmarkEnd w:id="940"/>
      <w:r>
        <w:rPr>
          <w:color w:val="000000"/>
          <w:spacing w:val="0"/>
          <w:w w:val="100"/>
          <w:position w:val="0"/>
        </w:rPr>
        <w:t>、</w:t>
        <w:tab/>
        <w:t>所得税的抵销</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 xml:space="preserve">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w:t>
      </w:r>
      <w:r>
        <w:rPr>
          <w:color w:val="000000"/>
          <w:spacing w:val="0"/>
          <w:w w:val="100"/>
          <w:position w:val="0"/>
        </w:rPr>
        <w:t>资产及递延所得税负债以抵销后的净额列报。</w:t>
      </w:r>
    </w:p>
    <w:p>
      <w:pPr>
        <w:pStyle w:val="Style28"/>
        <w:keepNext/>
        <w:keepLines/>
        <w:widowControl w:val="0"/>
        <w:shd w:val="clear" w:color="auto" w:fill="auto"/>
        <w:tabs>
          <w:tab w:pos="463" w:val="left"/>
        </w:tabs>
        <w:bidi w:val="0"/>
        <w:spacing w:before="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4</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41"/>
      <w:bookmarkEnd w:id="942"/>
      <w:bookmarkEnd w:id="944"/>
    </w:p>
    <w:p>
      <w:pPr>
        <w:pStyle w:val="Style32"/>
        <w:keepNext/>
        <w:keepLines/>
        <w:widowControl w:val="0"/>
        <w:shd w:val="clear" w:color="auto" w:fill="auto"/>
        <w:tabs>
          <w:tab w:pos="469" w:val="left"/>
        </w:tabs>
        <w:bidi w:val="0"/>
        <w:spacing w:before="0" w:after="260" w:line="240" w:lineRule="auto"/>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5"/>
      <w:bookmarkEnd w:id="946"/>
      <w:bookmarkEnd w:id="948"/>
    </w:p>
    <w:p>
      <w:pPr>
        <w:pStyle w:val="Style19"/>
        <w:keepNext w:val="0"/>
        <w:keepLines w:val="0"/>
        <w:widowControl w:val="0"/>
        <w:numPr>
          <w:ilvl w:val="0"/>
          <w:numId w:val="43"/>
        </w:numPr>
        <w:shd w:val="clear" w:color="auto" w:fill="auto"/>
        <w:tabs>
          <w:tab w:pos="662" w:val="left"/>
        </w:tabs>
        <w:bidi w:val="0"/>
        <w:spacing w:before="0" w:after="0" w:line="313" w:lineRule="exact"/>
        <w:ind w:left="0" w:right="0" w:firstLine="380"/>
        <w:jc w:val="both"/>
      </w:pPr>
      <w:bookmarkStart w:id="949" w:name="bookmark949"/>
      <w:bookmarkEnd w:id="949"/>
      <w:r>
        <w:rPr>
          <w:color w:val="000000"/>
          <w:spacing w:val="0"/>
          <w:w w:val="100"/>
          <w:position w:val="0"/>
        </w:rPr>
        <w:t>本集团作为承租人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初始计量：在租赁期开始日，本集团将可在租赁期内使用租赁资产的权利确认为使用权资产，将尚未支付的租赁付款额 的现值确认为租赁负债，短期租赁和低价值资产租赁除外。在计算租赁付款额的现值时，本集团采用租赁内含利率作为折现 率；无法确定租赁内含利率的，采用承租人增量借款利率作为折现率。</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后续计量:本集团参照《企业会计准则第</w:t>
      </w:r>
      <w:r>
        <w:rPr>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固定资产》有关折旧规定对使用权资产计提折旧（详见本附注四、</w:t>
      </w:r>
      <w:r>
        <w:rPr>
          <w:color w:val="000000"/>
          <w:spacing w:val="0"/>
          <w:w w:val="100"/>
          <w:position w:val="0"/>
          <w:sz w:val="18"/>
          <w:szCs w:val="18"/>
        </w:rPr>
        <w:t xml:space="preserve">17 </w:t>
      </w:r>
      <w:r>
        <w:rPr>
          <w:color w:val="000000"/>
          <w:spacing w:val="0"/>
          <w:w w:val="100"/>
          <w:position w:val="0"/>
        </w:rPr>
        <w:t>“固 定资产”），能够合理确定租赁期届满时取得租赁资产所有权的，本集团在租赁资产剩余使用寿命内计提折旧。无法合理确 定租赁期届满时能够取得租赁资产所有权的，本集团在租赁期与租赁资产剩余使用寿命两者孰短的期间内计提折旧。</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对于租赁负债，本集团按照固定的周期性利率计算其在租赁期内各期间的利息费用，计入当期损益或计入相关资产成本。 未纳入租赁负债计量的可变租赁付款额在实际发生时计入当期损益或相关资产成本。</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发生变动、购买选择权、续租选择权或终止选择权的评估结果或实际行权情况发生变化时，本集团按照变动后的租赁付款额 的现值重新计量租赁负债，并相应调整使用权资产的账面价值。使用权资产账面价值已调减至零，但租赁负债仍需进一步调 减的，本集团将剩余金额计入当期损益。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短期租赁和低价值资产租赁：对于短期租赁（在租赁开始日租赁期不超过</w:t>
      </w:r>
      <w:r>
        <w:rPr>
          <w:color w:val="000000"/>
          <w:spacing w:val="0"/>
          <w:w w:val="100"/>
          <w:position w:val="0"/>
          <w:sz w:val="18"/>
          <w:szCs w:val="18"/>
        </w:rPr>
        <w:t>12</w:t>
      </w:r>
      <w:r>
        <w:rPr>
          <w:color w:val="000000"/>
          <w:spacing w:val="0"/>
          <w:w w:val="100"/>
          <w:position w:val="0"/>
        </w:rPr>
        <w:t>个月的租赁）和低价值资产租赁，本集团采 取简化处理方法，不确认使用权资产和租赁负债，而在租赁期内各个期间按照直线法或其他系统合理的方法将租赁付款额计 入相关资产成本或当期损益。</w:t>
      </w:r>
    </w:p>
    <w:p>
      <w:pPr>
        <w:pStyle w:val="Style19"/>
        <w:keepNext w:val="0"/>
        <w:keepLines w:val="0"/>
        <w:widowControl w:val="0"/>
        <w:numPr>
          <w:ilvl w:val="0"/>
          <w:numId w:val="43"/>
        </w:numPr>
        <w:shd w:val="clear" w:color="auto" w:fill="auto"/>
        <w:tabs>
          <w:tab w:pos="672" w:val="left"/>
        </w:tabs>
        <w:bidi w:val="0"/>
        <w:spacing w:before="0" w:after="0" w:line="313" w:lineRule="exact"/>
        <w:ind w:left="0" w:right="0" w:firstLine="380"/>
        <w:jc w:val="both"/>
      </w:pPr>
      <w:bookmarkStart w:id="950" w:name="bookmark950"/>
      <w:bookmarkEnd w:id="950"/>
      <w:r>
        <w:rPr>
          <w:color w:val="000000"/>
          <w:spacing w:val="0"/>
          <w:w w:val="100"/>
          <w:position w:val="0"/>
        </w:rPr>
        <w:t>本集团作为出租人</w:t>
      </w:r>
    </w:p>
    <w:p>
      <w:pPr>
        <w:pStyle w:val="Style1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本集团采用直线法将经营租赁的租赁收款额确认为租赁期内各期间的租金收入。与经营租赁有关的未计入租赁收款额的 可变租赁付款额，于实际发生时计入当期损益。</w:t>
      </w:r>
    </w:p>
    <w:p>
      <w:pPr>
        <w:pStyle w:val="Style32"/>
        <w:keepNext/>
        <w:keepLines/>
        <w:widowControl w:val="0"/>
        <w:shd w:val="clear" w:color="auto" w:fill="auto"/>
        <w:tabs>
          <w:tab w:pos="469" w:val="left"/>
        </w:tabs>
        <w:bidi w:val="0"/>
        <w:spacing w:before="0" w:after="26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51"/>
      <w:bookmarkEnd w:id="952"/>
      <w:bookmarkEnd w:id="954"/>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公司为承租人时，在租赁期开始日，公司以租赁开始日租赁资产公允价值与最低租赁付款额现值中两者较低者作为租入 资产的入账价值，将最低租赁付款额作为长期应付款的入账价值，其差额为未确认融资费用，发生的初始直接费用，计入租 赁资产价值。在租赁期各个期间，采用实际利率法计算确认当期的融资费用。</w:t>
      </w:r>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公司为出租人时，在租赁期开始日，公司以租赁开始日最低租赁收款额与初始直接费用之和作为应收融资租赁款的入账 价值，同时记录未担保余值；将最低租赁收款额、初始直接费用及未担保余值之和与其现值之和的差额确认为未实现融资收 益。在租赁期各个期间，采用实际利率法计算确认当期的融资收入。</w:t>
      </w:r>
    </w:p>
    <w:p>
      <w:pPr>
        <w:pStyle w:val="Style28"/>
        <w:keepNext/>
        <w:keepLines/>
        <w:widowControl w:val="0"/>
        <w:shd w:val="clear" w:color="auto" w:fill="auto"/>
        <w:tabs>
          <w:tab w:pos="463" w:val="left"/>
        </w:tabs>
        <w:bidi w:val="0"/>
        <w:spacing w:before="0" w:after="26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4</w:t>
      </w:r>
      <w:bookmarkEnd w:id="95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55"/>
      <w:bookmarkEnd w:id="956"/>
      <w:bookmarkEnd w:id="958"/>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终止经营</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终止经营，是指满足下列条件之一的、能够单独区分且已被本集团处置或划分为持有待售类别的组成部分：①该组成部 分代表一项独立的主要业务或一个单独的主要经营地区；②该组成部分是拟对一项独立的主要业务或一个单独的主要经营地 区进行处置的一项相关联计划的一部分；③该组成部分是专为了转售而取得的子公司。</w:t>
      </w:r>
    </w:p>
    <w:p>
      <w:pPr>
        <w:pStyle w:val="Style19"/>
        <w:keepNext w:val="0"/>
        <w:keepLines w:val="0"/>
        <w:widowControl w:val="0"/>
        <w:shd w:val="clear" w:color="auto" w:fill="auto"/>
        <w:bidi w:val="0"/>
        <w:spacing w:before="0" w:after="260" w:line="314" w:lineRule="exact"/>
        <w:ind w:left="0" w:right="0" w:firstLine="380"/>
        <w:jc w:val="left"/>
      </w:pPr>
      <w:r>
        <w:rPr>
          <w:color w:val="000000"/>
          <w:spacing w:val="0"/>
          <w:w w:val="100"/>
          <w:position w:val="0"/>
        </w:rPr>
        <w:t>终止经营的会计处理方法参见本附注五、</w:t>
      </w:r>
      <w:r>
        <w:rPr>
          <w:color w:val="000000"/>
          <w:spacing w:val="0"/>
          <w:w w:val="100"/>
          <w:position w:val="0"/>
          <w:sz w:val="18"/>
          <w:szCs w:val="18"/>
        </w:rPr>
        <w:t xml:space="preserve">18 </w:t>
      </w:r>
      <w:r>
        <w:rPr>
          <w:color w:val="000000"/>
          <w:spacing w:val="0"/>
          <w:w w:val="100"/>
          <w:position w:val="0"/>
        </w:rPr>
        <w:t>“持有待售资产和处置组”相关描述。</w:t>
      </w:r>
    </w:p>
    <w:p>
      <w:pPr>
        <w:pStyle w:val="Style28"/>
        <w:keepNext/>
        <w:keepLines/>
        <w:widowControl w:val="0"/>
        <w:shd w:val="clear" w:color="auto" w:fill="auto"/>
        <w:bidi w:val="0"/>
        <w:spacing w:before="0" w:after="360" w:line="24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4</w:t>
      </w:r>
      <w:bookmarkEnd w:id="961"/>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959"/>
      <w:bookmarkEnd w:id="960"/>
      <w:bookmarkEnd w:id="962"/>
    </w:p>
    <w:p>
      <w:pPr>
        <w:pStyle w:val="Style32"/>
        <w:keepNext/>
        <w:keepLines/>
        <w:widowControl w:val="0"/>
        <w:shd w:val="clear" w:color="auto" w:fill="auto"/>
        <w:bidi w:val="0"/>
        <w:spacing w:before="0" w:after="360" w:line="240" w:lineRule="auto"/>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3"/>
      <w:bookmarkEnd w:id="964"/>
      <w:bookmarkEnd w:id="966"/>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952" w:val="left"/>
              </w:tabs>
              <w:bidi w:val="0"/>
              <w:spacing w:before="0" w:after="0" w:line="309" w:lineRule="exact"/>
              <w:ind w:left="0" w:right="0" w:firstLine="0"/>
              <w:jc w:val="both"/>
            </w:pPr>
            <w:r>
              <w:rPr>
                <w:rFonts w:ascii="SimSun" w:eastAsia="SimSun" w:hAnsi="SimSun" w:cs="SimSun"/>
                <w:color w:val="000000"/>
                <w:spacing w:val="0"/>
                <w:w w:val="100"/>
                <w:position w:val="0"/>
                <w:sz w:val="17"/>
                <w:szCs w:val="17"/>
              </w:rPr>
              <w:t>根据财政部《关于修订印发</w:t>
            </w:r>
            <w:r>
              <w:rPr>
                <w:color w:val="000000"/>
                <w:spacing w:val="0"/>
                <w:w w:val="100"/>
                <w:position w:val="0"/>
              </w:rPr>
              <w:t xml:space="preserve">＜ </w:t>
            </w:r>
            <w:r>
              <w:rPr>
                <w:rFonts w:ascii="SimSun" w:eastAsia="SimSun" w:hAnsi="SimSun" w:cs="SimSun"/>
                <w:color w:val="000000"/>
                <w:spacing w:val="0"/>
                <w:w w:val="100"/>
                <w:position w:val="0"/>
                <w:sz w:val="17"/>
                <w:szCs w:val="17"/>
              </w:rPr>
              <w:t>企业会计 准则第</w:t>
            </w:r>
            <w:r>
              <w:rPr>
                <w:color w:val="000000"/>
                <w:spacing w:val="0"/>
                <w:w w:val="100"/>
                <w:position w:val="0"/>
              </w:rPr>
              <w:t>21</w:t>
            </w:r>
            <w:r>
              <w:rPr>
                <w:rFonts w:ascii="SimSun" w:eastAsia="SimSun" w:hAnsi="SimSun" w:cs="SimSun"/>
                <w:color w:val="000000"/>
                <w:spacing w:val="0"/>
                <w:w w:val="100"/>
                <w:position w:val="0"/>
                <w:sz w:val="17"/>
                <w:szCs w:val="17"/>
              </w:rPr>
              <w:t>号</w:t>
            </w:r>
            <w:r>
              <w:rPr>
                <w:rFonts w:ascii="SimSun" w:eastAsia="SimSun" w:hAnsi="SimSun" w:cs="SimSun"/>
                <w:color w:val="000000"/>
                <w:spacing w:val="0"/>
                <w:w w:val="100"/>
                <w:position w:val="0"/>
              </w:rPr>
              <w:t>一</w:t>
            </w:r>
            <w:r>
              <w:rPr>
                <w:rFonts w:ascii="SimSun" w:eastAsia="SimSun" w:hAnsi="SimSun" w:cs="SimSun"/>
                <w:color w:val="000000"/>
                <w:spacing w:val="0"/>
                <w:w w:val="100"/>
                <w:position w:val="0"/>
                <w:sz w:val="17"/>
                <w:szCs w:val="17"/>
              </w:rPr>
              <w:t>租赁》（财会</w:t>
            </w:r>
            <w:r>
              <w:rPr>
                <w:rFonts w:ascii="SimSun" w:eastAsia="SimSun" w:hAnsi="SimSun" w:cs="SimSun"/>
                <w:color w:val="000000"/>
                <w:spacing w:val="0"/>
                <w:w w:val="100"/>
                <w:position w:val="0"/>
              </w:rPr>
              <w:t>（</w:t>
            </w:r>
            <w:r>
              <w:rPr>
                <w:color w:val="000000"/>
                <w:spacing w:val="0"/>
                <w:w w:val="100"/>
                <w:position w:val="0"/>
              </w:rPr>
              <w:t>2018</w:t>
            </w:r>
            <w:r>
              <w:rPr>
                <w:rFonts w:ascii="SimSun" w:eastAsia="SimSun" w:hAnsi="SimSun" w:cs="SimSun"/>
                <w:color w:val="000000"/>
                <w:spacing w:val="0"/>
                <w:w w:val="100"/>
                <w:position w:val="0"/>
                <w:sz w:val="17"/>
                <w:szCs w:val="17"/>
              </w:rPr>
              <w:t>）</w:t>
              <w:tab/>
            </w:r>
            <w:r>
              <w:rPr>
                <w:color w:val="000000"/>
                <w:spacing w:val="0"/>
                <w:w w:val="100"/>
                <w:position w:val="0"/>
              </w:rPr>
              <w:t>35</w:t>
            </w:r>
          </w:p>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号）（以下简称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新租赁准则</w:t>
            </w:r>
            <w:r>
              <w:rPr>
                <w:color w:val="000000"/>
                <w:spacing w:val="0"/>
                <w:w w:val="100"/>
                <w:position w:val="0"/>
                <w:sz w:val="18"/>
                <w:szCs w:val="18"/>
              </w:rPr>
              <w:t>”</w:t>
            </w:r>
            <w:r>
              <w:rPr>
                <w:rFonts w:ascii="SimSun" w:eastAsia="SimSun" w:hAnsi="SimSun" w:cs="SimSun"/>
                <w:color w:val="000000"/>
                <w:spacing w:val="0"/>
                <w:w w:val="100"/>
                <w:position w:val="0"/>
                <w:sz w:val="17"/>
                <w:szCs w:val="17"/>
              </w:rPr>
              <w:t>）的要求， 公司自</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日起施行新租 赁准则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本次会计政策变更对公司财务状况、经 营成果和现金流量不产生重大影响。</w:t>
            </w:r>
          </w:p>
        </w:tc>
      </w:tr>
    </w:tbl>
    <w:p>
      <w:pPr>
        <w:pStyle w:val="Style24"/>
        <w:keepNext w:val="0"/>
        <w:keepLines w:val="0"/>
        <w:widowControl w:val="0"/>
        <w:shd w:val="clear" w:color="auto" w:fill="auto"/>
        <w:bidi w:val="0"/>
        <w:spacing w:before="0" w:after="0" w:line="240" w:lineRule="auto"/>
        <w:ind w:left="350" w:right="0" w:firstLine="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年修订）》（财会</w:t>
      </w:r>
      <w:r>
        <w:rPr>
          <w:color w:val="000000"/>
          <w:spacing w:val="0"/>
          <w:w w:val="100"/>
          <w:position w:val="0"/>
          <w:sz w:val="18"/>
          <w:szCs w:val="18"/>
        </w:rPr>
        <w:t>[2018]35</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以下简称“新</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租赁准则”</w:t>
      </w:r>
      <w:r>
        <w:rPr>
          <w:color w:val="000000"/>
          <w:spacing w:val="0"/>
          <w:w w:val="100"/>
          <w:position w:val="0"/>
          <w:sz w:val="18"/>
          <w:szCs w:val="18"/>
        </w:rPr>
        <w:t>）</w:t>
      </w:r>
      <w:r>
        <w:rPr>
          <w:color w:val="000000"/>
          <w:spacing w:val="0"/>
          <w:w w:val="100"/>
          <w:position w:val="0"/>
        </w:rPr>
        <w:t>。经本公司第五届董事会第十三次会议于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日决议通过，本集团于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日起执行前述新租赁 准则，并依据新租赁准则的规定对相关会计政策进行变更。</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根据新租赁准则的规定，对于首次执行日前已存在的合同，本集团选择不重新评估其是否为租赁或者包含租赁。</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本集团选择仅对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日尚未完成的租赁合同的累计影响数进行调整。首次执行的累积影响金额调整首次执行当期 期初（即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于新租赁准则首次执行日（即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日），本集团的具体衔接处理及其影响如下：</w:t>
      </w:r>
    </w:p>
    <w:p>
      <w:pPr>
        <w:pStyle w:val="Style19"/>
        <w:keepNext w:val="0"/>
        <w:keepLines w:val="0"/>
        <w:widowControl w:val="0"/>
        <w:shd w:val="clear" w:color="auto" w:fill="auto"/>
        <w:tabs>
          <w:tab w:pos="734" w:val="left"/>
        </w:tabs>
        <w:bidi w:val="0"/>
        <w:spacing w:before="0" w:after="0" w:line="314" w:lineRule="exact"/>
        <w:ind w:left="0" w:right="0" w:firstLine="380"/>
        <w:jc w:val="both"/>
      </w:pPr>
      <w:bookmarkStart w:id="967" w:name="bookmark967"/>
      <w:r>
        <w:rPr>
          <w:color w:val="000000"/>
          <w:spacing w:val="0"/>
          <w:w w:val="100"/>
          <w:position w:val="0"/>
          <w:sz w:val="18"/>
          <w:szCs w:val="18"/>
        </w:rPr>
        <w:t>A</w:t>
      </w:r>
      <w:bookmarkEnd w:id="967"/>
      <w:r>
        <w:rPr>
          <w:color w:val="000000"/>
          <w:spacing w:val="0"/>
          <w:w w:val="100"/>
          <w:position w:val="0"/>
        </w:rPr>
        <w:t>、</w:t>
        <w:tab/>
      </w:r>
      <w:r>
        <w:rPr>
          <w:color w:val="000000"/>
          <w:spacing w:val="0"/>
          <w:w w:val="100"/>
          <w:position w:val="0"/>
        </w:rPr>
        <w:t>本集团作为承租人</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对首次执行日的融资租赁，本集团作为承租人按照融资租入资产和应付融资租赁款的原账面价值，分别计量使用权资产 和租赁负债；对首次执行日的经营租赁，作为承租人根据剩余租赁付款额按首次执行日的增量借款利率折现的现值计量租赁 负债；原租赁准则下按照权责发生制计提的应付未付租金，纳入剩余租赁付款额中。</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对首次执行日前的房屋建筑物经营租赁，本集团按照假设自租赁期开始日即采用新租赁准则，并采用首次执行日的增量 借款利率作为折现率计量使用权资产。本集团于首次执行日对使用权资产进行减值测试，并调整使用权资产的账面价值。</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对首次执行日前的房屋建筑物经营租赁，本集团按照与租赁负债相等的金额，并根据预付租金进行必要调整计量使用权 资产。本集团于首次执行日对使用权资产进行减值测试，并调整使用权资产的账面价值。</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本集团对于首次执行日前的租赁资产属于低价值资产的经营租赁，不确认使用权资产和租赁负债。对于首次执行日除低 价值租赁之外的经营租赁，本集团根据每项租赁采用下列一项或多项简化处理：</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计量租赁负债时，具有相似特征的租赁采用同一折现率；</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使用权资产的计量不包含初始直接费用；</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存在续约选择权或终止租赁选择权的，本集团根据首次执行日前选择权的实际行使及其他最新情况定租赁期；</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作为使用权资产减值测试的替代，本集团根据《企业会计准则第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或有事项》评估包含租赁的合同在首次执行日 前是否为亏损合同，并根据首次执行日前计入资产负债表的亏损准备金额调整使用权资产；</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首次执行日之前发生租赁变更的，本集团根据租赁变更的最终安排进行会计处理。</w:t>
      </w:r>
    </w:p>
    <w:p>
      <w:pPr>
        <w:pStyle w:val="Style19"/>
        <w:keepNext w:val="0"/>
        <w:keepLines w:val="0"/>
        <w:widowControl w:val="0"/>
        <w:shd w:val="clear" w:color="auto" w:fill="auto"/>
        <w:tabs>
          <w:tab w:pos="734" w:val="left"/>
        </w:tabs>
        <w:bidi w:val="0"/>
        <w:spacing w:before="0" w:after="0" w:line="314" w:lineRule="exact"/>
        <w:ind w:left="0" w:right="0" w:firstLine="380"/>
        <w:jc w:val="both"/>
      </w:pPr>
      <w:bookmarkStart w:id="968" w:name="bookmark968"/>
      <w:r>
        <w:rPr>
          <w:color w:val="000000"/>
          <w:spacing w:val="0"/>
          <w:w w:val="100"/>
          <w:position w:val="0"/>
          <w:sz w:val="18"/>
          <w:szCs w:val="18"/>
        </w:rPr>
        <w:t>B</w:t>
      </w:r>
      <w:bookmarkEnd w:id="968"/>
      <w:r>
        <w:rPr>
          <w:color w:val="000000"/>
          <w:spacing w:val="0"/>
          <w:w w:val="100"/>
          <w:position w:val="0"/>
        </w:rPr>
        <w:t>、</w:t>
        <w:tab/>
      </w:r>
      <w:r>
        <w:rPr>
          <w:color w:val="000000"/>
          <w:spacing w:val="0"/>
          <w:w w:val="100"/>
          <w:position w:val="0"/>
        </w:rPr>
        <w:t>执行新租赁准则的主要变化和影响如下：</w:t>
      </w:r>
    </w:p>
    <w:p>
      <w:pPr>
        <w:pStyle w:val="Style19"/>
        <w:keepNext w:val="0"/>
        <w:keepLines w:val="0"/>
        <w:widowControl w:val="0"/>
        <w:shd w:val="clear" w:color="auto" w:fill="auto"/>
        <w:tabs>
          <w:tab w:pos="734" w:val="left"/>
        </w:tabs>
        <w:bidi w:val="0"/>
        <w:spacing w:before="0" w:after="80" w:line="314" w:lineRule="exact"/>
        <w:ind w:left="0" w:right="0" w:firstLine="380"/>
        <w:jc w:val="both"/>
      </w:pPr>
      <w:bookmarkStart w:id="969" w:name="bookmark969"/>
      <w:r>
        <w:rPr>
          <w:color w:val="000000"/>
          <w:spacing w:val="0"/>
          <w:w w:val="100"/>
          <w:position w:val="0"/>
          <w:sz w:val="18"/>
          <w:szCs w:val="18"/>
        </w:rPr>
        <w:t>C</w:t>
      </w:r>
      <w:bookmarkEnd w:id="969"/>
      <w:r>
        <w:rPr>
          <w:color w:val="000000"/>
          <w:spacing w:val="0"/>
          <w:w w:val="100"/>
          <w:position w:val="0"/>
        </w:rPr>
        <w:t>、</w:t>
        <w:tab/>
        <w:t>一一</w:t>
      </w:r>
      <w:r>
        <w:rPr>
          <w:color w:val="000000"/>
          <w:spacing w:val="0"/>
          <w:w w:val="100"/>
          <w:position w:val="0"/>
        </w:rPr>
        <w:t>本集团承租其他公司的房屋建筑物，原作为经营租赁处理，根据新租赁准则，于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日确认使用权资产</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22, 734, </w:t>
      </w:r>
      <w:r>
        <w:rPr>
          <w:color w:val="000000"/>
          <w:spacing w:val="0"/>
          <w:w w:val="100"/>
          <w:position w:val="0"/>
          <w:sz w:val="18"/>
          <w:szCs w:val="18"/>
        </w:rPr>
        <w:t xml:space="preserve">632. </w:t>
      </w:r>
      <w:r>
        <w:rPr>
          <w:color w:val="000000"/>
          <w:spacing w:val="0"/>
          <w:w w:val="100"/>
          <w:position w:val="0"/>
          <w:sz w:val="18"/>
          <w:szCs w:val="18"/>
        </w:rPr>
        <w:t xml:space="preserve">21 </w:t>
      </w:r>
      <w:r>
        <w:rPr>
          <w:color w:val="000000"/>
          <w:spacing w:val="0"/>
          <w:w w:val="100"/>
          <w:position w:val="0"/>
        </w:rPr>
        <w:t xml:space="preserve">元，租赁负债 </w:t>
      </w:r>
      <w:r>
        <w:rPr>
          <w:color w:val="000000"/>
          <w:spacing w:val="0"/>
          <w:w w:val="100"/>
          <w:position w:val="0"/>
          <w:sz w:val="18"/>
          <w:szCs w:val="18"/>
        </w:rPr>
        <w:t xml:space="preserve">12, 846, </w:t>
      </w:r>
      <w:r>
        <w:rPr>
          <w:color w:val="000000"/>
          <w:spacing w:val="0"/>
          <w:w w:val="100"/>
          <w:position w:val="0"/>
          <w:sz w:val="18"/>
          <w:szCs w:val="18"/>
        </w:rPr>
        <w:t xml:space="preserve">815. </w:t>
      </w:r>
      <w:r>
        <w:rPr>
          <w:color w:val="000000"/>
          <w:spacing w:val="0"/>
          <w:w w:val="100"/>
          <w:position w:val="0"/>
          <w:sz w:val="18"/>
          <w:szCs w:val="18"/>
        </w:rPr>
        <w:t>19</w:t>
      </w:r>
      <w:r>
        <w:rPr>
          <w:color w:val="000000"/>
          <w:spacing w:val="0"/>
          <w:w w:val="100"/>
          <w:position w:val="0"/>
        </w:rPr>
        <w:t>元。</w:t>
      </w:r>
    </w:p>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上述会计政策变更对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日财务报表的影响如下:</w:t>
      </w:r>
    </w:p>
    <w:tbl>
      <w:tblPr>
        <w:tblOverlap w:val="never"/>
        <w:jc w:val="center"/>
        <w:tblLayout w:type="fixed"/>
      </w:tblPr>
      <w:tblGrid>
        <w:gridCol w:w="1968"/>
        <w:gridCol w:w="1987"/>
        <w:gridCol w:w="1987"/>
        <w:gridCol w:w="1862"/>
        <w:gridCol w:w="1872"/>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日（变更前）金额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日（变更后）金额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合并报表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公司报表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664,585,144.03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656,983,433.97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664,585,144.03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656,983,433.97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22,734,632.21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68"/>
        <w:gridCol w:w="1987"/>
        <w:gridCol w:w="1987"/>
        <w:gridCol w:w="1862"/>
        <w:gridCol w:w="187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8,134,722,153.89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6,537,184,266.75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8,157,456,786.10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6,537,184,266.75</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一年内到期的非流动负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9,887,817.02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12,846,815.19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3,536,375,197.28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1,987,933,505.28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3,559,109,829.49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1,987,933,505.28</w:t>
            </w:r>
          </w:p>
        </w:tc>
      </w:tr>
    </w:tbl>
    <w:p>
      <w:pPr>
        <w:pStyle w:val="Style24"/>
        <w:keepNext w:val="0"/>
        <w:keepLines w:val="0"/>
        <w:widowControl w:val="0"/>
        <w:shd w:val="clear" w:color="auto" w:fill="auto"/>
        <w:bidi w:val="0"/>
        <w:spacing w:before="0" w:after="0" w:line="240" w:lineRule="auto"/>
        <w:ind w:left="360" w:right="0" w:firstLine="0"/>
        <w:jc w:val="left"/>
      </w:pPr>
      <w:r>
        <w:rPr>
          <w:color w:val="000000"/>
          <w:spacing w:val="0"/>
          <w:w w:val="100"/>
          <w:position w:val="0"/>
        </w:rPr>
        <w:t>本集团于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日计入资产负债表的租赁负债所采用的增量借款利率的加权平均值为</w:t>
      </w:r>
      <w:r>
        <w:rPr>
          <w:color w:val="000000"/>
          <w:spacing w:val="0"/>
          <w:w w:val="100"/>
          <w:position w:val="0"/>
          <w:sz w:val="18"/>
          <w:szCs w:val="18"/>
        </w:rPr>
        <w:t>4.50%</w:t>
      </w:r>
      <w:r>
        <w:rPr>
          <w:color w:val="000000"/>
          <w:spacing w:val="0"/>
          <w:w w:val="100"/>
          <w:position w:val="0"/>
        </w:rPr>
        <w:t>。</w:t>
      </w:r>
    </w:p>
    <w:p>
      <w:pPr>
        <w:widowControl w:val="0"/>
        <w:spacing w:after="37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70"/>
      <w:bookmarkEnd w:id="971"/>
      <w:bookmarkEnd w:id="973"/>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74"/>
      <w:bookmarkEnd w:id="975"/>
      <w:bookmarkEnd w:id="977"/>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不需要调整年初资产负债表科目的原因说明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本次会计政策变更对公司财务状况、经营成果和现金流量不产生重大影响。</w:t>
      </w:r>
    </w:p>
    <w:p>
      <w:pPr>
        <w:pStyle w:val="Style32"/>
        <w:keepNext/>
        <w:keepLines/>
        <w:widowControl w:val="0"/>
        <w:shd w:val="clear" w:color="auto" w:fill="auto"/>
        <w:tabs>
          <w:tab w:pos="493" w:val="left"/>
        </w:tabs>
        <w:bidi w:val="0"/>
        <w:spacing w:before="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78"/>
      <w:bookmarkEnd w:id="979"/>
      <w:bookmarkEnd w:id="98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82"/>
      <w:bookmarkEnd w:id="983"/>
      <w:bookmarkEnd w:id="984"/>
    </w:p>
    <w:p>
      <w:pPr>
        <w:pStyle w:val="Style22"/>
        <w:keepNext/>
        <w:keepLines/>
        <w:widowControl w:val="0"/>
        <w:shd w:val="clear" w:color="auto" w:fill="auto"/>
        <w:bidi w:val="0"/>
        <w:spacing w:before="0" w:after="38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六</w:t>
      </w:r>
      <w:bookmarkEnd w:id="987"/>
      <w:r>
        <w:rPr>
          <w:color w:val="000000"/>
          <w:spacing w:val="0"/>
          <w:w w:val="100"/>
          <w:position w:val="0"/>
        </w:rPr>
        <w:t>、税项</w:t>
      </w:r>
      <w:bookmarkEnd w:id="985"/>
      <w:bookmarkEnd w:id="986"/>
      <w:bookmarkEnd w:id="988"/>
    </w:p>
    <w:p>
      <w:pPr>
        <w:pStyle w:val="Style28"/>
        <w:keepNext/>
        <w:keepLines/>
        <w:widowControl w:val="0"/>
        <w:shd w:val="clear" w:color="auto" w:fill="auto"/>
        <w:bidi w:val="0"/>
        <w:spacing w:before="0" w:after="30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color w:val="000000"/>
          <w:spacing w:val="0"/>
          <w:w w:val="100"/>
          <w:position w:val="0"/>
        </w:rPr>
        <w:t>、主要税种及税率</w:t>
      </w:r>
      <w:bookmarkEnd w:id="989"/>
      <w:bookmarkEnd w:id="990"/>
      <w:bookmarkEnd w:id="99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纳税人提供应税服务（文化创意服务的 广告服务），应按照财税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36</w:t>
            </w:r>
            <w:r>
              <w:rPr>
                <w:rFonts w:ascii="SimSun" w:eastAsia="SimSun" w:hAnsi="SimSun" w:cs="SimSun"/>
                <w:color w:val="000000"/>
                <w:spacing w:val="0"/>
                <w:w w:val="100"/>
                <w:position w:val="0"/>
                <w:sz w:val="17"/>
                <w:szCs w:val="17"/>
              </w:rPr>
              <w:t>号文 的规定依法缴纳增值税，一般纳税人发 生应税行为适用一般计税方法计税，一 般计税方法的应纳税额，是指当期销项 税额抵扣当期进项税额后的余额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或适用税率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提供增值税应税服务（广告服务）取得 的含税销售额（可扣除含税发布成本）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sz w:val="17"/>
                <w:szCs w:val="17"/>
              </w:rPr>
              <w:t>、</w:t>
            </w:r>
            <w:r>
              <w:rPr>
                <w:color w:val="000000"/>
                <w:spacing w:val="0"/>
                <w:w w:val="100"/>
                <w:position w:val="0"/>
              </w:rPr>
              <w:t>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房产原值的</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房产租赁收入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广东省广告集团股份有限公司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成都经典视线广告传媒有限公司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烟台经典视线广告传媒有限公司（本期已注销）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福建经典视线文化传播有限公司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海口中行天策传媒有限公司（本期已注销）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上海窗之外广告有限公司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上海窗外广告有限公司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北京北方窗外广告传媒有限公司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上海窗之景广告有限公司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深圳经典视线文化传播有限公司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海南经典视线广告传媒有限公司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广东广旭整合营销传播有限公司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北京合力唯胜体育发展有限公司（本期已移交清算）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省广易为（上海）文化传媒有限公司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沈阳地铁易为传媒有限公司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广州旗智企业管理咨询有限公司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省广先锋（青岛）广告有限公司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北京领先世广广告有限公司（本期已注销）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上海美瀛联媒文化传播有限公司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省广合众（北京）国际传媒广告有限公司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省广合众文化传媒有限公司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上海传漾数字科技有限公司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上海极漾数字科技有限公司（本期新设）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广州韵翔广告有限公司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珠海市省广韵翔广告有限公司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上海省广韵翔广告有限公司（本期已注销）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省广诺时（广东）信息服务有限公司（本期已注销）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广州蓝门数字营销顾问有限公司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广州蓝门精睿数字商业有限公司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广州蓝门信息科技有限公司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上海晋拓文化传播有限公司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上海御明信息技术有限公司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上海御泽信息技术有限公司（本期已注销）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上海胤熹信息技术有限公司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安徽沃达网络技术有限公司（本期已注销）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上海御欣网络科技有限公司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珠海意合未来文化传播有限公司（本期已注销）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深圳前海省广资本管理有限公司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广州市绩佳省广餐饮管理有限公司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国际整合营销传播集团控股有限公司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上海拓畅信息技术有限公司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北京拓畅信息技术有限公司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香港拓畅信息技术有限公司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上海晶炙信息技术有限公司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上海泓信信息技术有限公司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珠海市省广益松新动力投资合伙企业（有限合伙）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珠海市省广益松壹号文化传媒合伙企业（有限合伙）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上海辰彩信息技术服务有限公司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省广营销集团有限公司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省广营销（贵州）有限公司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广东三赢广告传播有限公司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广东赛铂互动传媒广告有限公司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广州指标品牌管理咨询有限公司（本期已注销）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color w:val="000000"/>
          <w:spacing w:val="0"/>
          <w:w w:val="100"/>
          <w:position w:val="0"/>
        </w:rPr>
        <w:t>、税收优惠</w:t>
      </w:r>
      <w:bookmarkEnd w:id="993"/>
      <w:bookmarkEnd w:id="994"/>
      <w:bookmarkEnd w:id="996"/>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根据《财政部、国家税务总局、海关总署关于深化增值税改革有关政策的公告》（财政部、国家税务总局、海关总署公 告</w:t>
      </w:r>
      <w:r>
        <w:rPr>
          <w:color w:val="000000"/>
          <w:spacing w:val="0"/>
          <w:w w:val="100"/>
          <w:position w:val="0"/>
          <w:sz w:val="18"/>
          <w:szCs w:val="18"/>
        </w:rPr>
        <w:t>[2019]39</w:t>
      </w:r>
      <w:r>
        <w:rPr>
          <w:color w:val="000000"/>
          <w:spacing w:val="0"/>
          <w:w w:val="100"/>
          <w:position w:val="0"/>
        </w:rPr>
        <w:t>号）规定，本集团作为生产性服务业纳税人，自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日，按照当期可抵扣进项税额加计 </w:t>
      </w:r>
      <w:r>
        <w:rPr>
          <w:color w:val="000000"/>
          <w:spacing w:val="0"/>
          <w:w w:val="100"/>
          <w:position w:val="0"/>
          <w:sz w:val="18"/>
          <w:szCs w:val="18"/>
        </w:rPr>
        <w:t>10%</w:t>
      </w:r>
      <w:r>
        <w:rPr>
          <w:color w:val="000000"/>
          <w:spacing w:val="0"/>
          <w:w w:val="100"/>
          <w:position w:val="0"/>
        </w:rPr>
        <w:t>抵减应纳税额。</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根据《财政部关于电影等行业税费支持政策的公告》（财税</w:t>
      </w:r>
      <w:r>
        <w:rPr>
          <w:color w:val="000000"/>
          <w:spacing w:val="0"/>
          <w:w w:val="100"/>
          <w:position w:val="0"/>
          <w:sz w:val="18"/>
          <w:szCs w:val="18"/>
        </w:rPr>
        <w:t>[2020]25</w:t>
      </w:r>
      <w:r>
        <w:rPr>
          <w:color w:val="000000"/>
          <w:spacing w:val="0"/>
          <w:w w:val="100"/>
          <w:position w:val="0"/>
        </w:rPr>
        <w:t>号）及《财政部、税务总局关于延续实施应对疫情 部分税费优惠政策的公告》（财税</w:t>
      </w:r>
      <w:r>
        <w:rPr>
          <w:color w:val="000000"/>
          <w:spacing w:val="0"/>
          <w:w w:val="100"/>
          <w:position w:val="0"/>
          <w:sz w:val="18"/>
          <w:szCs w:val="18"/>
        </w:rPr>
        <w:t>[2021]07</w:t>
      </w:r>
      <w:r>
        <w:rPr>
          <w:color w:val="000000"/>
          <w:spacing w:val="0"/>
          <w:w w:val="100"/>
          <w:position w:val="0"/>
        </w:rPr>
        <w:t>号）规定，税收优惠政策凡已经到期的，执行期限延长至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 司适用于该项政策，本期免征文化事业建设费。</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日取得由广东省科学技术厅、广东省财政厅、国家税务总局广东省税务局联合颁发的证书号为 </w:t>
      </w:r>
      <w:r>
        <w:rPr>
          <w:color w:val="000000"/>
          <w:spacing w:val="0"/>
          <w:w w:val="100"/>
          <w:position w:val="0"/>
          <w:sz w:val="18"/>
          <w:szCs w:val="18"/>
        </w:rPr>
        <w:t>GR201944009019</w:t>
      </w:r>
      <w:r>
        <w:rPr>
          <w:color w:val="000000"/>
          <w:spacing w:val="0"/>
          <w:w w:val="100"/>
          <w:position w:val="0"/>
        </w:rPr>
        <w:t>的高新技术企业证书，有效期三年。</w:t>
      </w:r>
      <w:r>
        <w:rPr>
          <w:color w:val="000000"/>
          <w:spacing w:val="0"/>
          <w:w w:val="100"/>
          <w:position w:val="0"/>
          <w:sz w:val="18"/>
          <w:szCs w:val="18"/>
        </w:rPr>
        <w:t>2021</w:t>
      </w:r>
      <w:r>
        <w:rPr>
          <w:color w:val="000000"/>
          <w:spacing w:val="0"/>
          <w:w w:val="100"/>
          <w:position w:val="0"/>
        </w:rPr>
        <w:t>年度享受</w:t>
      </w:r>
      <w:r>
        <w:rPr>
          <w:color w:val="000000"/>
          <w:spacing w:val="0"/>
          <w:w w:val="100"/>
          <w:position w:val="0"/>
          <w:sz w:val="18"/>
          <w:szCs w:val="18"/>
        </w:rPr>
        <w:t>15%</w:t>
      </w:r>
      <w:r>
        <w:rPr>
          <w:color w:val="000000"/>
          <w:spacing w:val="0"/>
          <w:w w:val="100"/>
          <w:position w:val="0"/>
        </w:rPr>
        <w:t>的企业所得税优惠税率。</w:t>
      </w:r>
    </w:p>
    <w:p>
      <w:pPr>
        <w:pStyle w:val="Style19"/>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本公司之子公司省广营销集团有限公司于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日取得由广东省科学技术厅、广东省财政厅、国家税务总局广东 省税务局联合颁发的证书号为</w:t>
      </w:r>
      <w:r>
        <w:rPr>
          <w:color w:val="000000"/>
          <w:spacing w:val="0"/>
          <w:w w:val="100"/>
          <w:position w:val="0"/>
          <w:sz w:val="18"/>
          <w:szCs w:val="18"/>
        </w:rPr>
        <w:t>GR202144000253</w:t>
      </w:r>
      <w:r>
        <w:rPr>
          <w:color w:val="000000"/>
          <w:spacing w:val="0"/>
          <w:w w:val="100"/>
          <w:position w:val="0"/>
        </w:rPr>
        <w:t>的高新技术企业证书，有效期三年。</w:t>
      </w:r>
      <w:r>
        <w:rPr>
          <w:color w:val="000000"/>
          <w:spacing w:val="0"/>
          <w:w w:val="100"/>
          <w:position w:val="0"/>
          <w:sz w:val="18"/>
          <w:szCs w:val="18"/>
        </w:rPr>
        <w:t>2021</w:t>
      </w:r>
      <w:r>
        <w:rPr>
          <w:color w:val="000000"/>
          <w:spacing w:val="0"/>
          <w:w w:val="100"/>
          <w:position w:val="0"/>
        </w:rPr>
        <w:t>年所得税适用税率为</w:t>
      </w:r>
      <w:r>
        <w:rPr>
          <w:color w:val="000000"/>
          <w:spacing w:val="0"/>
          <w:w w:val="100"/>
          <w:position w:val="0"/>
          <w:sz w:val="18"/>
          <w:szCs w:val="18"/>
        </w:rPr>
        <w:t>15%</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本公司之子公司广州蓝门数字营销顾问有限公司于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日取得由广东省科学技术厅、广东省财政厅、广东省国 家税务局和广东省地方税务局联合颁发的证书号为</w:t>
      </w:r>
      <w:r>
        <w:rPr>
          <w:color w:val="000000"/>
          <w:spacing w:val="0"/>
          <w:w w:val="100"/>
          <w:position w:val="0"/>
          <w:sz w:val="18"/>
          <w:szCs w:val="18"/>
        </w:rPr>
        <w:t>GR201944007289</w:t>
      </w:r>
      <w:r>
        <w:rPr>
          <w:color w:val="000000"/>
          <w:spacing w:val="0"/>
          <w:w w:val="100"/>
          <w:position w:val="0"/>
        </w:rPr>
        <w:t>的高新技术企业证书，有效期三年。</w:t>
      </w:r>
      <w:r>
        <w:rPr>
          <w:color w:val="000000"/>
          <w:spacing w:val="0"/>
          <w:w w:val="100"/>
          <w:position w:val="0"/>
          <w:sz w:val="18"/>
          <w:szCs w:val="18"/>
        </w:rPr>
        <w:t>2021</w:t>
      </w:r>
      <w:r>
        <w:rPr>
          <w:color w:val="000000"/>
          <w:spacing w:val="0"/>
          <w:w w:val="100"/>
          <w:position w:val="0"/>
        </w:rPr>
        <w:t>年所得税适用税 率为</w:t>
      </w:r>
      <w:r>
        <w:rPr>
          <w:color w:val="000000"/>
          <w:spacing w:val="0"/>
          <w:w w:val="100"/>
          <w:position w:val="0"/>
          <w:sz w:val="18"/>
          <w:szCs w:val="18"/>
        </w:rPr>
        <w:t>15%</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本公司之子公司广州蓝门信息科技有限公司于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日取得由广东省科学技术厅、广东省财政厅、广东省国家税 务局和广东省地方税务局联合颁发的证书号为</w:t>
      </w:r>
      <w:r>
        <w:rPr>
          <w:color w:val="000000"/>
          <w:spacing w:val="0"/>
          <w:w w:val="100"/>
          <w:position w:val="0"/>
          <w:sz w:val="18"/>
          <w:szCs w:val="18"/>
        </w:rPr>
        <w:t>GR202044004704</w:t>
      </w:r>
      <w:r>
        <w:rPr>
          <w:color w:val="000000"/>
          <w:spacing w:val="0"/>
          <w:w w:val="100"/>
          <w:position w:val="0"/>
        </w:rPr>
        <w:t>的高新技术企业证书，有效期三年。</w:t>
      </w:r>
      <w:r>
        <w:rPr>
          <w:color w:val="000000"/>
          <w:spacing w:val="0"/>
          <w:w w:val="100"/>
          <w:position w:val="0"/>
          <w:sz w:val="18"/>
          <w:szCs w:val="18"/>
        </w:rPr>
        <w:t>2021</w:t>
      </w:r>
      <w:r>
        <w:rPr>
          <w:color w:val="000000"/>
          <w:spacing w:val="0"/>
          <w:w w:val="100"/>
          <w:position w:val="0"/>
        </w:rPr>
        <w:t xml:space="preserve">年所得税适用税率为 </w:t>
      </w:r>
      <w:r>
        <w:rPr>
          <w:color w:val="000000"/>
          <w:spacing w:val="0"/>
          <w:w w:val="100"/>
          <w:position w:val="0"/>
          <w:sz w:val="18"/>
          <w:szCs w:val="18"/>
        </w:rPr>
        <w:t>15%</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本公司之子公司上海拓畅信息技术有限公司于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日取得由上海市科学技术委员会、上海市财政局、国家税务 总局上海市税务局联合颁发的证书号为</w:t>
      </w:r>
      <w:r>
        <w:rPr>
          <w:color w:val="000000"/>
          <w:spacing w:val="0"/>
          <w:w w:val="100"/>
          <w:position w:val="0"/>
          <w:sz w:val="18"/>
          <w:szCs w:val="18"/>
        </w:rPr>
        <w:t>GR201931001199</w:t>
      </w:r>
      <w:r>
        <w:rPr>
          <w:color w:val="000000"/>
          <w:spacing w:val="0"/>
          <w:w w:val="100"/>
          <w:position w:val="0"/>
        </w:rPr>
        <w:t>的高新技术企业证书，有效期三年。</w:t>
      </w:r>
      <w:r>
        <w:rPr>
          <w:color w:val="000000"/>
          <w:spacing w:val="0"/>
          <w:w w:val="100"/>
          <w:position w:val="0"/>
          <w:sz w:val="18"/>
          <w:szCs w:val="18"/>
        </w:rPr>
        <w:t>2021</w:t>
      </w:r>
      <w:r>
        <w:rPr>
          <w:color w:val="000000"/>
          <w:spacing w:val="0"/>
          <w:w w:val="100"/>
          <w:position w:val="0"/>
        </w:rPr>
        <w:t>年所得税适用税率为</w:t>
      </w:r>
      <w:r>
        <w:rPr>
          <w:color w:val="000000"/>
          <w:spacing w:val="0"/>
          <w:w w:val="100"/>
          <w:position w:val="0"/>
          <w:sz w:val="18"/>
          <w:szCs w:val="18"/>
        </w:rPr>
        <w:t>15%</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本公司之子公司上海传漾数字科技有限公司于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日取得由上海市科学技术委员会、上海市财政局、国家税务 总局上海市税务局联合颁发的证书号为</w:t>
      </w:r>
      <w:r>
        <w:rPr>
          <w:color w:val="000000"/>
          <w:spacing w:val="0"/>
          <w:w w:val="100"/>
          <w:position w:val="0"/>
          <w:sz w:val="18"/>
          <w:szCs w:val="18"/>
        </w:rPr>
        <w:t>GR201931004809</w:t>
      </w:r>
      <w:r>
        <w:rPr>
          <w:color w:val="000000"/>
          <w:spacing w:val="0"/>
          <w:w w:val="100"/>
          <w:position w:val="0"/>
        </w:rPr>
        <w:t>的高新技术企业证书，有效期三年。</w:t>
      </w:r>
      <w:r>
        <w:rPr>
          <w:color w:val="000000"/>
          <w:spacing w:val="0"/>
          <w:w w:val="100"/>
          <w:position w:val="0"/>
          <w:sz w:val="18"/>
          <w:szCs w:val="18"/>
        </w:rPr>
        <w:t>2021</w:t>
      </w:r>
      <w:r>
        <w:rPr>
          <w:color w:val="000000"/>
          <w:spacing w:val="0"/>
          <w:w w:val="100"/>
          <w:position w:val="0"/>
        </w:rPr>
        <w:t>年所得税适用税率为</w:t>
      </w:r>
      <w:r>
        <w:rPr>
          <w:color w:val="000000"/>
          <w:spacing w:val="0"/>
          <w:w w:val="100"/>
          <w:position w:val="0"/>
          <w:sz w:val="18"/>
          <w:szCs w:val="18"/>
        </w:rPr>
        <w:t>15%</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本公司之子公司成都经典视线广告传媒有限公司已向四川省经济和信息化委员会提交资料，并取得四川省经济和信息化 委员《关于确认企业主营业务为国家鼓励类产业项目的批复》川经信产业函</w:t>
      </w:r>
      <w:r>
        <w:rPr>
          <w:color w:val="000000"/>
          <w:spacing w:val="0"/>
          <w:w w:val="100"/>
          <w:position w:val="0"/>
          <w:sz w:val="18"/>
          <w:szCs w:val="18"/>
        </w:rPr>
        <w:t>[2012]393</w:t>
      </w:r>
      <w:r>
        <w:rPr>
          <w:color w:val="000000"/>
          <w:spacing w:val="0"/>
          <w:w w:val="100"/>
          <w:position w:val="0"/>
        </w:rPr>
        <w:t>号）确认函，同时已向四川省成都市 青羊区国家税务局申请享受西部大开发税收优惠政策。</w:t>
      </w:r>
      <w:r>
        <w:rPr>
          <w:color w:val="000000"/>
          <w:spacing w:val="0"/>
          <w:w w:val="100"/>
          <w:position w:val="0"/>
          <w:sz w:val="18"/>
          <w:szCs w:val="18"/>
        </w:rPr>
        <w:t>2021</w:t>
      </w:r>
      <w:r>
        <w:rPr>
          <w:color w:val="000000"/>
          <w:spacing w:val="0"/>
          <w:w w:val="100"/>
          <w:position w:val="0"/>
        </w:rPr>
        <w:t>年所得税适用税率为</w:t>
      </w:r>
      <w:r>
        <w:rPr>
          <w:color w:val="000000"/>
          <w:spacing w:val="0"/>
          <w:w w:val="100"/>
          <w:position w:val="0"/>
          <w:sz w:val="18"/>
          <w:szCs w:val="18"/>
        </w:rPr>
        <w:t>15%</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本公司之子公司上海御明信息技术有限公司于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日取得由上海市科学技术委员会、上海市财政局、国家税务 总局上海市税务局联合颁发的证书号为</w:t>
      </w:r>
      <w:r>
        <w:rPr>
          <w:color w:val="000000"/>
          <w:spacing w:val="0"/>
          <w:w w:val="100"/>
          <w:position w:val="0"/>
          <w:sz w:val="18"/>
          <w:szCs w:val="18"/>
        </w:rPr>
        <w:t>GR202031005767</w:t>
      </w:r>
      <w:r>
        <w:rPr>
          <w:color w:val="000000"/>
          <w:spacing w:val="0"/>
          <w:w w:val="100"/>
          <w:position w:val="0"/>
        </w:rPr>
        <w:t>的高新技术企业证书，有效期三年。</w:t>
      </w:r>
      <w:r>
        <w:rPr>
          <w:color w:val="000000"/>
          <w:spacing w:val="0"/>
          <w:w w:val="100"/>
          <w:position w:val="0"/>
          <w:sz w:val="18"/>
          <w:szCs w:val="18"/>
        </w:rPr>
        <w:t>2021</w:t>
      </w:r>
      <w:r>
        <w:rPr>
          <w:color w:val="000000"/>
          <w:spacing w:val="0"/>
          <w:w w:val="100"/>
          <w:position w:val="0"/>
        </w:rPr>
        <w:t>年所得税适用税率为</w:t>
      </w:r>
      <w:r>
        <w:rPr>
          <w:color w:val="000000"/>
          <w:spacing w:val="0"/>
          <w:w w:val="100"/>
          <w:position w:val="0"/>
          <w:sz w:val="18"/>
          <w:szCs w:val="18"/>
        </w:rPr>
        <w:t>15%</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本公司之子公司省广合众文化传媒有限公司、珠海市省广韵翔广告有限公司，设立在广东珠海横琴新区。根据《关于广 东横琴新区福建平潭综合实验区深圳前海深港现代服务业合作区企业所得税优惠政策及优惠目录的通知》（财税</w:t>
      </w:r>
      <w:r>
        <w:rPr>
          <w:color w:val="000000"/>
          <w:spacing w:val="0"/>
          <w:w w:val="100"/>
          <w:position w:val="0"/>
          <w:sz w:val="18"/>
          <w:szCs w:val="18"/>
        </w:rPr>
        <w:t xml:space="preserve">[2014]26 </w:t>
      </w:r>
      <w:r>
        <w:rPr>
          <w:color w:val="000000"/>
          <w:spacing w:val="0"/>
          <w:w w:val="100"/>
          <w:position w:val="0"/>
        </w:rPr>
        <w:t>号）规定，自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l</w:t>
      </w:r>
      <w:r>
        <w:rPr>
          <w:color w:val="000000"/>
          <w:spacing w:val="0"/>
          <w:w w:val="100"/>
          <w:position w:val="0"/>
        </w:rPr>
        <w:t>日起至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日，对设在横琴新区、平潭综合实验区和前海深港现代服务业合作区的鼓励类 产业企业减按</w:t>
      </w:r>
      <w:r>
        <w:rPr>
          <w:color w:val="000000"/>
          <w:spacing w:val="0"/>
          <w:w w:val="100"/>
          <w:position w:val="0"/>
          <w:sz w:val="18"/>
          <w:szCs w:val="18"/>
        </w:rPr>
        <w:t>15%</w:t>
      </w:r>
      <w:r>
        <w:rPr>
          <w:color w:val="000000"/>
          <w:spacing w:val="0"/>
          <w:w w:val="100"/>
          <w:position w:val="0"/>
        </w:rPr>
        <w:t>的税率征收企业所得税（</w:t>
      </w:r>
      <w:r>
        <w:rPr>
          <w:color w:val="000000"/>
          <w:spacing w:val="0"/>
          <w:w w:val="100"/>
          <w:position w:val="0"/>
          <w:sz w:val="18"/>
          <w:szCs w:val="18"/>
        </w:rPr>
        <w:t>2021</w:t>
      </w:r>
      <w:r>
        <w:rPr>
          <w:color w:val="000000"/>
          <w:spacing w:val="0"/>
          <w:w w:val="100"/>
          <w:position w:val="0"/>
        </w:rPr>
        <w:t>年继续执行该优惠政策）。</w:t>
      </w:r>
      <w:r>
        <w:rPr>
          <w:color w:val="000000"/>
          <w:spacing w:val="0"/>
          <w:w w:val="100"/>
          <w:position w:val="0"/>
          <w:sz w:val="18"/>
          <w:szCs w:val="18"/>
        </w:rPr>
        <w:t>2021</w:t>
      </w:r>
      <w:r>
        <w:rPr>
          <w:color w:val="000000"/>
          <w:spacing w:val="0"/>
          <w:w w:val="100"/>
          <w:position w:val="0"/>
        </w:rPr>
        <w:t>年度享受</w:t>
      </w:r>
      <w:r>
        <w:rPr>
          <w:color w:val="000000"/>
          <w:spacing w:val="0"/>
          <w:w w:val="100"/>
          <w:position w:val="0"/>
          <w:sz w:val="18"/>
          <w:szCs w:val="18"/>
        </w:rPr>
        <w:t>15%</w:t>
      </w:r>
      <w:r>
        <w:rPr>
          <w:color w:val="000000"/>
          <w:spacing w:val="0"/>
          <w:w w:val="100"/>
          <w:position w:val="0"/>
        </w:rPr>
        <w:t>的企业所得税优惠税率。</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本公司之子公司烟台经典视线广告传媒有限公司（本期已注销）、福建经典视线文化传播有限公司、海口中行天策传媒 有限公司（本期已注销）、上海窗之外广告有限公司、北京北方窗外广告传媒有限公司、上海窗之景广告有限公司、深圳经 典视线文化传播有限公司、海南经典视线广告传媒有限公司、广东广旭整合营销传播有限公司、北京领先世广广告有限公司 （本期已注销）、广州韵翔广告有限公司、上海省广韵翔广告有限公司（本期已注销）、广州蓝门精睿数字商业有限公司、 上海御欣网络科技有限公司、珠海意合未来文化传播有限公司（本期已注销）、深圳前海省广资本管理有限公司、广州市绩 佳省广餐饮管理有限公司、广东三赢广告传播有限公司、广东赛铂互动传媒广告有限公司，根据《国家税务总局关于实施小 型微利企业普惠性所得税减免政策有关问题的公告》（国家税务总局公告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2</w:t>
      </w:r>
      <w:r>
        <w:rPr>
          <w:color w:val="000000"/>
          <w:spacing w:val="0"/>
          <w:w w:val="100"/>
          <w:position w:val="0"/>
        </w:rPr>
        <w:t>号）及《关于实施小微企业和个体工商户 所得税优惠政策的公告》（国家税务总局公告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12</w:t>
      </w:r>
      <w:r>
        <w:rPr>
          <w:color w:val="000000"/>
          <w:spacing w:val="0"/>
          <w:w w:val="100"/>
          <w:position w:val="0"/>
        </w:rPr>
        <w:t>号）规定，对小型微利企业年应纳税所得额不超过</w:t>
      </w:r>
      <w:r>
        <w:rPr>
          <w:color w:val="000000"/>
          <w:spacing w:val="0"/>
          <w:w w:val="100"/>
          <w:position w:val="0"/>
          <w:sz w:val="18"/>
          <w:szCs w:val="18"/>
        </w:rPr>
        <w:t>100</w:t>
      </w:r>
      <w:r>
        <w:rPr>
          <w:color w:val="000000"/>
          <w:spacing w:val="0"/>
          <w:w w:val="100"/>
          <w:position w:val="0"/>
        </w:rPr>
        <w:t>万元的部分， 减按</w:t>
      </w:r>
      <w:r>
        <w:rPr>
          <w:color w:val="000000"/>
          <w:spacing w:val="0"/>
          <w:w w:val="100"/>
          <w:position w:val="0"/>
          <w:sz w:val="18"/>
          <w:szCs w:val="18"/>
        </w:rPr>
        <w:t xml:space="preserve">12. </w:t>
      </w:r>
      <w:r>
        <w:rPr>
          <w:color w:val="000000"/>
          <w:spacing w:val="0"/>
          <w:w w:val="100"/>
          <w:position w:val="0"/>
          <w:sz w:val="18"/>
          <w:szCs w:val="18"/>
        </w:rPr>
        <w:t>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 xml:space="preserve">万元的部分，减按 </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r>
        <w:rPr>
          <w:color w:val="000000"/>
          <w:spacing w:val="0"/>
          <w:w w:val="100"/>
          <w:position w:val="0"/>
          <w:sz w:val="18"/>
          <w:szCs w:val="18"/>
        </w:rPr>
        <w:t>2021</w:t>
      </w:r>
      <w:r>
        <w:rPr>
          <w:color w:val="000000"/>
          <w:spacing w:val="0"/>
          <w:w w:val="100"/>
          <w:position w:val="0"/>
        </w:rPr>
        <w:t>年度享受</w:t>
      </w:r>
      <w:r>
        <w:rPr>
          <w:color w:val="000000"/>
          <w:spacing w:val="0"/>
          <w:w w:val="100"/>
          <w:position w:val="0"/>
          <w:sz w:val="18"/>
          <w:szCs w:val="18"/>
        </w:rPr>
        <w:t>20%</w:t>
      </w:r>
      <w:r>
        <w:rPr>
          <w:color w:val="000000"/>
          <w:spacing w:val="0"/>
          <w:w w:val="100"/>
          <w:position w:val="0"/>
        </w:rPr>
        <w:t>的企业所得税优惠税率。</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本公司之子公司国际整合营销传播集团控股有限公司根据香港《</w:t>
      </w:r>
      <w:r>
        <w:rPr>
          <w:color w:val="000000"/>
          <w:spacing w:val="0"/>
          <w:w w:val="100"/>
          <w:position w:val="0"/>
          <w:sz w:val="18"/>
          <w:szCs w:val="18"/>
        </w:rPr>
        <w:t>2018</w:t>
      </w:r>
      <w:r>
        <w:rPr>
          <w:color w:val="000000"/>
          <w:spacing w:val="0"/>
          <w:w w:val="100"/>
          <w:position w:val="0"/>
        </w:rPr>
        <w:t>年税务（修订</w:t>
      </w:r>
      <w:r>
        <w:rPr>
          <w:color w:val="000000"/>
          <w:spacing w:val="0"/>
          <w:w w:val="100"/>
          <w:position w:val="0"/>
          <w:sz w:val="18"/>
          <w:szCs w:val="18"/>
        </w:rPr>
        <w:t>）（</w:t>
      </w:r>
      <w:r>
        <w:rPr>
          <w:color w:val="000000"/>
          <w:spacing w:val="0"/>
          <w:w w:val="100"/>
          <w:position w:val="0"/>
        </w:rPr>
        <w:t>第</w:t>
      </w:r>
      <w:r>
        <w:rPr>
          <w:color w:val="000000"/>
          <w:spacing w:val="0"/>
          <w:w w:val="100"/>
          <w:position w:val="0"/>
          <w:sz w:val="18"/>
          <w:szCs w:val="18"/>
        </w:rPr>
        <w:t>3</w:t>
      </w:r>
      <w:r>
        <w:rPr>
          <w:color w:val="000000"/>
          <w:spacing w:val="0"/>
          <w:w w:val="100"/>
          <w:position w:val="0"/>
        </w:rPr>
        <w:t>号）条例》规定，利得税两级制 将适用于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日或之后开始的课税年度。法团首</w:t>
      </w:r>
      <w:r>
        <w:rPr>
          <w:color w:val="000000"/>
          <w:spacing w:val="0"/>
          <w:w w:val="100"/>
          <w:position w:val="0"/>
          <w:sz w:val="18"/>
          <w:szCs w:val="18"/>
        </w:rPr>
        <w:t>200</w:t>
      </w:r>
      <w:r>
        <w:rPr>
          <w:color w:val="000000"/>
          <w:spacing w:val="0"/>
          <w:w w:val="100"/>
          <w:position w:val="0"/>
        </w:rPr>
        <w:t>万元（港币）的利得税税率将降至</w:t>
      </w:r>
      <w:r>
        <w:rPr>
          <w:color w:val="000000"/>
          <w:spacing w:val="0"/>
          <w:w w:val="100"/>
          <w:position w:val="0"/>
          <w:sz w:val="18"/>
          <w:szCs w:val="18"/>
        </w:rPr>
        <w:t>8.25%，</w:t>
      </w:r>
      <w:r>
        <w:rPr>
          <w:color w:val="000000"/>
          <w:spacing w:val="0"/>
          <w:w w:val="100"/>
          <w:position w:val="0"/>
        </w:rPr>
        <w:t>其后的利润则继续按</w:t>
      </w:r>
      <w:r>
        <w:rPr>
          <w:color w:val="000000"/>
          <w:spacing w:val="0"/>
          <w:w w:val="100"/>
          <w:position w:val="0"/>
          <w:sz w:val="18"/>
          <w:szCs w:val="18"/>
        </w:rPr>
        <w:t xml:space="preserve">16.5% </w:t>
      </w:r>
      <w:r>
        <w:rPr>
          <w:color w:val="000000"/>
          <w:spacing w:val="0"/>
          <w:w w:val="100"/>
          <w:position w:val="0"/>
        </w:rPr>
        <w:t>征税。</w:t>
      </w:r>
      <w:r>
        <w:rPr>
          <w:color w:val="000000"/>
          <w:spacing w:val="0"/>
          <w:w w:val="100"/>
          <w:position w:val="0"/>
          <w:sz w:val="18"/>
          <w:szCs w:val="18"/>
        </w:rPr>
        <w:t>2021</w:t>
      </w:r>
      <w:r>
        <w:rPr>
          <w:color w:val="000000"/>
          <w:spacing w:val="0"/>
          <w:w w:val="100"/>
          <w:position w:val="0"/>
        </w:rPr>
        <w:t>年度按</w:t>
      </w:r>
      <w:r>
        <w:rPr>
          <w:color w:val="000000"/>
          <w:spacing w:val="0"/>
          <w:w w:val="100"/>
          <w:position w:val="0"/>
          <w:sz w:val="18"/>
          <w:szCs w:val="18"/>
        </w:rPr>
        <w:t>16.5%</w:t>
      </w:r>
      <w:r>
        <w:rPr>
          <w:color w:val="000000"/>
          <w:spacing w:val="0"/>
          <w:w w:val="100"/>
          <w:position w:val="0"/>
        </w:rPr>
        <w:t>税率缴纳企业所得税。</w:t>
      </w:r>
    </w:p>
    <w:p>
      <w:pPr>
        <w:pStyle w:val="Style19"/>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本公司之子公司香港拓畅信息技术有限公司根据香港《税务条例》，香港采用地域来源原则，向在香港经营任何行业、 专业或业务所得的利润征税。只有源自香港的利润才须在香港课税，即任何人在香港营商，但其利润是从香港以外的地方所 获得，则不须在香港就有关利润缴税，按照上述规定，报告期内本公司之子公司香港拓畅信息技术有限公司</w:t>
      </w:r>
      <w:r>
        <w:rPr>
          <w:color w:val="000000"/>
          <w:spacing w:val="0"/>
          <w:w w:val="100"/>
          <w:position w:val="0"/>
          <w:sz w:val="18"/>
          <w:szCs w:val="18"/>
        </w:rPr>
        <w:t>2021</w:t>
      </w:r>
      <w:r>
        <w:rPr>
          <w:color w:val="000000"/>
          <w:spacing w:val="0"/>
          <w:w w:val="100"/>
          <w:position w:val="0"/>
        </w:rPr>
        <w:t>年收入均来 自于香港以外的地方，因此，</w:t>
      </w:r>
      <w:r>
        <w:rPr>
          <w:color w:val="000000"/>
          <w:spacing w:val="0"/>
          <w:w w:val="100"/>
          <w:position w:val="0"/>
          <w:sz w:val="18"/>
          <w:szCs w:val="18"/>
        </w:rPr>
        <w:t>2021</w:t>
      </w:r>
      <w:r>
        <w:rPr>
          <w:color w:val="000000"/>
          <w:spacing w:val="0"/>
          <w:w w:val="100"/>
          <w:position w:val="0"/>
        </w:rPr>
        <w:t>年免征企业所得税。</w:t>
      </w:r>
    </w:p>
    <w:p>
      <w:pPr>
        <w:pStyle w:val="Style28"/>
        <w:keepNext/>
        <w:keepLines/>
        <w:widowControl w:val="0"/>
        <w:shd w:val="clear" w:color="auto" w:fill="auto"/>
        <w:bidi w:val="0"/>
        <w:spacing w:before="0" w:after="36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color w:val="000000"/>
          <w:spacing w:val="0"/>
          <w:w w:val="100"/>
          <w:position w:val="0"/>
        </w:rPr>
        <w:t>、其他</w:t>
      </w:r>
      <w:bookmarkEnd w:id="1000"/>
      <w:bookmarkEnd w:id="997"/>
      <w:bookmarkEnd w:id="998"/>
    </w:p>
    <w:p>
      <w:pPr>
        <w:pStyle w:val="Style22"/>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七</w:t>
      </w:r>
      <w:bookmarkEnd w:id="1003"/>
      <w:r>
        <w:rPr>
          <w:color w:val="000000"/>
          <w:spacing w:val="0"/>
          <w:w w:val="100"/>
          <w:position w:val="0"/>
        </w:rPr>
        <w:t>、合并财务报表项目注释</w:t>
      </w:r>
      <w:bookmarkEnd w:id="1001"/>
      <w:bookmarkEnd w:id="1002"/>
      <w:bookmarkEnd w:id="1004"/>
    </w:p>
    <w:p>
      <w:pPr>
        <w:pStyle w:val="Style28"/>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color w:val="000000"/>
          <w:spacing w:val="0"/>
          <w:w w:val="100"/>
          <w:position w:val="0"/>
        </w:rPr>
        <w:t>、货币资金</w:t>
      </w:r>
      <w:bookmarkEnd w:id="1005"/>
      <w:bookmarkEnd w:id="1006"/>
      <w:bookmarkEnd w:id="1008"/>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263,768.63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1,434,254,112.30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694,987,684.03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3,761,019.67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11,916,336.60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1,438,166,027.44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707,167,789.26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28,901,704.41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1,837,759.30</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其他货币资金情况</w:t>
      </w:r>
    </w:p>
    <w:tbl>
      <w:tblPr>
        <w:tblOverlap w:val="never"/>
        <w:jc w:val="center"/>
        <w:tblLayout w:type="fixed"/>
      </w:tblPr>
      <w:tblGrid>
        <w:gridCol w:w="4949"/>
        <w:gridCol w:w="2362"/>
        <w:gridCol w:w="236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1,603,189.76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10,471,331.21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支付宝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5,440.09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1,440,074.23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证券户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2,052,389.82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4,931.16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保函及投标保证金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3,761,019.67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11,916,336.60</w:t>
            </w:r>
          </w:p>
        </w:tc>
      </w:tr>
    </w:tbl>
    <w:p>
      <w:pPr>
        <w:pStyle w:val="Style24"/>
        <w:keepNext w:val="0"/>
        <w:keepLines w:val="0"/>
        <w:widowControl w:val="0"/>
        <w:shd w:val="clear" w:color="auto" w:fill="auto"/>
        <w:bidi w:val="0"/>
        <w:spacing w:before="0" w:after="0" w:line="240" w:lineRule="auto"/>
        <w:ind w:left="36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日，货币资金的受限情况</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本公司之子公司广州蓝门数字营销顾问有限公司为开具银行承兑汇票存放在银行的保证金</w:t>
      </w:r>
      <w:r>
        <w:rPr>
          <w:color w:val="000000"/>
          <w:spacing w:val="0"/>
          <w:w w:val="100"/>
          <w:position w:val="0"/>
          <w:sz w:val="18"/>
          <w:szCs w:val="18"/>
        </w:rPr>
        <w:t xml:space="preserve">1, 603, </w:t>
      </w:r>
      <w:r>
        <w:rPr>
          <w:color w:val="000000"/>
          <w:spacing w:val="0"/>
          <w:w w:val="100"/>
          <w:position w:val="0"/>
          <w:sz w:val="18"/>
          <w:szCs w:val="18"/>
        </w:rPr>
        <w:t xml:space="preserve">189. </w:t>
      </w:r>
      <w:r>
        <w:rPr>
          <w:color w:val="000000"/>
          <w:spacing w:val="0"/>
          <w:w w:val="100"/>
          <w:position w:val="0"/>
          <w:sz w:val="18"/>
          <w:szCs w:val="18"/>
        </w:rPr>
        <w:t>76</w:t>
      </w:r>
      <w:r>
        <w:rPr>
          <w:color w:val="000000"/>
          <w:spacing w:val="0"/>
          <w:w w:val="100"/>
          <w:position w:val="0"/>
        </w:rPr>
        <w:t>元。子公司深圳 经典视线文化传播有限公司因诉讼冻结货币资金</w:t>
      </w:r>
      <w:r>
        <w:rPr>
          <w:color w:val="000000"/>
          <w:spacing w:val="0"/>
          <w:w w:val="100"/>
          <w:position w:val="0"/>
          <w:sz w:val="18"/>
          <w:szCs w:val="18"/>
        </w:rPr>
        <w:t xml:space="preserve">388, </w:t>
      </w:r>
      <w:r>
        <w:rPr>
          <w:color w:val="000000"/>
          <w:spacing w:val="0"/>
          <w:w w:val="100"/>
          <w:position w:val="0"/>
          <w:sz w:val="18"/>
          <w:szCs w:val="18"/>
        </w:rPr>
        <w:t xml:space="preserve">212. </w:t>
      </w:r>
      <w:r>
        <w:rPr>
          <w:color w:val="000000"/>
          <w:spacing w:val="0"/>
          <w:w w:val="100"/>
          <w:position w:val="0"/>
          <w:sz w:val="18"/>
          <w:szCs w:val="18"/>
        </w:rPr>
        <w:t>00</w:t>
      </w:r>
      <w:r>
        <w:rPr>
          <w:color w:val="000000"/>
          <w:spacing w:val="0"/>
          <w:w w:val="100"/>
          <w:position w:val="0"/>
        </w:rPr>
        <w:t>元。子公司广东赛铂互动传媒广告有限公司因开具履约保函支付 保证金</w:t>
      </w: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除上述货币资金使用受限以外，年末公司货币资金余额中不存在其他使用受限制或被冻结或存在潜在回收风险的情况。</w:t>
      </w:r>
    </w:p>
    <w:p>
      <w:pPr>
        <w:pStyle w:val="Style28"/>
        <w:keepNext/>
        <w:keepLines/>
        <w:widowControl w:val="0"/>
        <w:shd w:val="clear" w:color="auto" w:fill="auto"/>
        <w:bidi w:val="0"/>
        <w:spacing w:before="0" w:line="240" w:lineRule="auto"/>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2</w:t>
      </w:r>
      <w:bookmarkEnd w:id="1011"/>
      <w:r>
        <w:rPr>
          <w:color w:val="000000"/>
          <w:spacing w:val="0"/>
          <w:w w:val="100"/>
          <w:position w:val="0"/>
        </w:rPr>
        <w:t>、交易性金融资产</w:t>
      </w:r>
      <w:bookmarkEnd w:id="1009"/>
      <w:bookmarkEnd w:id="1010"/>
      <w:bookmarkEnd w:id="101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8,600,000.00</w:t>
            </w:r>
          </w:p>
        </w:tc>
      </w:tr>
    </w:tbl>
    <w:p>
      <w:pPr>
        <w:widowControl w:val="0"/>
        <w:spacing w:after="319" w:line="1" w:lineRule="exact"/>
      </w:pPr>
    </w:p>
    <w:p>
      <w:pPr>
        <w:pStyle w:val="Style28"/>
        <w:keepNext/>
        <w:keepLines/>
        <w:widowControl w:val="0"/>
        <w:shd w:val="clear" w:color="auto" w:fill="auto"/>
        <w:tabs>
          <w:tab w:pos="378" w:val="left"/>
        </w:tabs>
        <w:bidi w:val="0"/>
        <w:spacing w:before="0" w:line="240"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color w:val="000000"/>
          <w:spacing w:val="0"/>
          <w:w w:val="100"/>
          <w:position w:val="0"/>
        </w:rPr>
        <w:t>、</w:t>
        <w:tab/>
        <w:t>衍生金融资产</w:t>
      </w:r>
      <w:bookmarkEnd w:id="1013"/>
      <w:bookmarkEnd w:id="1014"/>
      <w:bookmarkEnd w:id="1016"/>
    </w:p>
    <w:p>
      <w:pPr>
        <w:pStyle w:val="Style28"/>
        <w:keepNext/>
        <w:keepLines/>
        <w:widowControl w:val="0"/>
        <w:shd w:val="clear" w:color="auto" w:fill="auto"/>
        <w:tabs>
          <w:tab w:pos="378" w:val="left"/>
        </w:tabs>
        <w:bidi w:val="0"/>
        <w:spacing w:before="0" w:line="240" w:lineRule="auto"/>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color w:val="000000"/>
          <w:spacing w:val="0"/>
          <w:w w:val="100"/>
          <w:position w:val="0"/>
        </w:rPr>
        <w:t>、</w:t>
        <w:tab/>
        <w:t>应收票据</w:t>
      </w:r>
      <w:bookmarkEnd w:id="1017"/>
      <w:bookmarkEnd w:id="1018"/>
      <w:bookmarkEnd w:id="1020"/>
    </w:p>
    <w:p>
      <w:pPr>
        <w:pStyle w:val="Style32"/>
        <w:keepNext/>
        <w:keepLines/>
        <w:widowControl w:val="0"/>
        <w:shd w:val="clear" w:color="auto" w:fill="auto"/>
        <w:bidi w:val="0"/>
        <w:spacing w:before="0" w:line="240" w:lineRule="auto"/>
        <w:ind w:left="0" w:right="0" w:firstLine="0"/>
        <w:jc w:val="both"/>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21"/>
      <w:bookmarkEnd w:id="1022"/>
      <w:bookmarkEnd w:id="102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3,321,650.61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9,873,780.00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30,975,371.04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912,912.00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-155,132.86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34,141,888.79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10,782,127.44</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按单项计提坏账准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3,321,65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3,321,650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9,873,780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9,873,780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30,975,3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155,132.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30,820,23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912,912.0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908,347.4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34,297,0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155,132.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34,141,88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10,786,69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10,782,12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7.44</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3,321,650.61</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3,321,650.61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银行承兑汇票不计提坏 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3,321,650.61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155,132.86</w:t>
      </w:r>
    </w:p>
    <w:p>
      <w:pPr>
        <w:widowControl w:val="0"/>
        <w:spacing w:after="11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30,975,371.04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155,132.86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30,975,371.04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155,132.86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5"/>
      <w:bookmarkEnd w:id="1026"/>
      <w:bookmarkEnd w:id="1028"/>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151,996.86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155,132.86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151,996.86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155,132.86</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029"/>
      <w:bookmarkEnd w:id="1030"/>
      <w:bookmarkEnd w:id="1032"/>
    </w:p>
    <w:p>
      <w:pPr>
        <w:pStyle w:val="Style32"/>
        <w:keepNext/>
        <w:keepLines/>
        <w:widowControl w:val="0"/>
        <w:shd w:val="clear" w:color="auto" w:fill="auto"/>
        <w:tabs>
          <w:tab w:pos="493" w:val="left"/>
        </w:tabs>
        <w:bidi w:val="0"/>
        <w:spacing w:before="0" w:after="36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033"/>
      <w:bookmarkEnd w:id="1034"/>
      <w:bookmarkEnd w:id="1036"/>
    </w:p>
    <w:p>
      <w:pPr>
        <w:pStyle w:val="Style32"/>
        <w:keepNext/>
        <w:keepLines/>
        <w:widowControl w:val="0"/>
        <w:shd w:val="clear" w:color="auto" w:fill="auto"/>
        <w:tabs>
          <w:tab w:pos="493" w:val="left"/>
        </w:tabs>
        <w:bidi w:val="0"/>
        <w:spacing w:before="0" w:after="36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037"/>
      <w:bookmarkEnd w:id="1038"/>
      <w:bookmarkEnd w:id="1040"/>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84,855,512.59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84,855,512.59</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41"/>
      <w:bookmarkEnd w:id="1042"/>
      <w:bookmarkEnd w:id="1044"/>
    </w:p>
    <w:p>
      <w:pPr>
        <w:pStyle w:val="Style28"/>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5</w:t>
      </w:r>
      <w:bookmarkEnd w:id="1047"/>
      <w:r>
        <w:rPr>
          <w:color w:val="000000"/>
          <w:spacing w:val="0"/>
          <w:w w:val="100"/>
          <w:position w:val="0"/>
        </w:rPr>
        <w:t>、应收账款</w:t>
      </w:r>
      <w:bookmarkEnd w:id="1045"/>
      <w:bookmarkEnd w:id="1046"/>
      <w:bookmarkEnd w:id="1048"/>
    </w:p>
    <w:p>
      <w:pPr>
        <w:pStyle w:val="Style32"/>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49"/>
      <w:bookmarkEnd w:id="1050"/>
      <w:bookmarkEnd w:id="1052"/>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509,713,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509,713,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397,095,1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397,095,1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3,015,93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73,814,9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2,942,118 </w:t>
            </w:r>
            <w:r>
              <w:rPr>
                <w:color w:val="000000"/>
                <w:spacing w:val="0"/>
                <w:w w:val="100"/>
                <w:position w:val="0"/>
              </w:rPr>
              <w:t>,635.05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3,209,479 </w:t>
            </w:r>
            <w:r>
              <w:rPr>
                <w:color w:val="000000"/>
                <w:spacing w:val="0"/>
                <w:w w:val="100"/>
                <w:position w:val="0"/>
              </w:rPr>
              <w:t>,233.31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58,703,17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3,150,776,0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3,015,93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3,554.71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73,814,9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2,942,118 </w:t>
            </w:r>
            <w:r>
              <w:rPr>
                <w:color w:val="000000"/>
                <w:spacing w:val="0"/>
                <w:w w:val="100"/>
                <w:position w:val="0"/>
              </w:rPr>
              <w:t>,635.05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3,209,479 </w:t>
            </w:r>
            <w:r>
              <w:rPr>
                <w:color w:val="000000"/>
                <w:spacing w:val="0"/>
                <w:w w:val="100"/>
                <w:position w:val="0"/>
              </w:rPr>
              <w:t>,233.31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58,703,17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3,150,776,0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3,525,64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583,528,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2,942,118 ,635.05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3,606,574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455,798,2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3,150,776,0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58.74</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509,713,844.81</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华晨汽车集团控股有限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137,553,244.84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137,553,244.84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江苏苏宁易购电子商务</w:t>
            </w:r>
          </w:p>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117,240,499.16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117,240,499.16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重庆比速汽车销售有限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22,854,129.49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22,854,129.49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重庆北汽幻速汽车销售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21,912,181.50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21,912,181.50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乐视控股（北京）有限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20,171,240.00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杭州星推网络科技股份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湖南猎豹汽车股份有限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13,752,023.87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13,752,023.87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上海雅润文化传播有限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12,764,934.86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12,764,934.86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海南汉风科技有限公司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10,599,378.89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10,599,378.89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霍尔果斯潘达文化有限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8,351,335.99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8,351,335.99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浙江子也自动化设备有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兰州科天环保节能科技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深圳乐智游网络科技有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6,678,564.13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6,678,564.13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浙江青年莲花汽车有限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5,698,730.00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5,698,730.00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上海熊猫互娱文化有限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5,375,988.01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5,375,988.01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武汉道森媒体股份有限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上海巨蚁文化传播有限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4,621,512.00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4,621,512.00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常州淡墨堂广告有限公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温州百纳传媒有限公司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4,428,161.00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4,428,161.00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北京纵亚广告传媒有限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上海游族互娱网络科技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成都武侯华颜医疗美容 门诊部有限公司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3,276,910.00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3,276,910.00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上海思派恩广告有限公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3,257,760.00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3,257,760.00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北京合力唯胜体育发展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四川杰烽伟业房地产开 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南京乔恩广告传播有限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3,038,688.00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3,038,688.00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海南一汽海马汽车销售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3,011,662.57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3,011,662.57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索菲克天然乳品（上海）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上海尚恒广告有限公司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汕头市兽游互娱网络科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1,982,355.29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1,982,355.29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上海得嘉文化传媒中心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1,758,720.00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1,758,720.00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上海安娓贸易有限公司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1,744,900.00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暴风体育（北京）有限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1,543,075.46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1,543,075.46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乐视品牌营销策划（北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1,463,800.00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北京楚枫网络科技有限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1,444,046.13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1,444,046.13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南充市仁和春天投资有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1,398,561.24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1,398,561.24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上海新鲁广告有限公司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1,362,528.00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1,362,528.00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深圳市永秀医疗美容门 诊部有限公司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1,346,327.76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1,346,327.76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上海汉大卓银企业管理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1,343,450.00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1,343,450.00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阿仕利塔贸易（上海）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北京汇享合一信息技术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1,268,008.33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1,268,008.33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上海视家投资管理有限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1,122,719.54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1,122,719.54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苏宁易购集团股份有限 公司苏宁采购中心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1,051,092.87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1,051,092.87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浙江众泰汽车销售有限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1,012,951.35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1,012,951.35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20,250,364.53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20,250,364.53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509,713,844.81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509,713,844.81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73,814,919.66</w:t>
      </w:r>
    </w:p>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2,806,532,450.13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14,032,662.27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150,997,463.47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15,099,746.34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19,885,695.74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6,164,565.68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38,517,945.37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38,517,945.37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3,015,933,554.71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73,814,919.66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2,925,105,032.46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156,573,726.93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144,832,909.98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299,135,730.15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110,200,838.92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52,989,828.29</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135,945,062.94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3,525,647,399.52</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3"/>
      <w:bookmarkEnd w:id="1054"/>
      <w:bookmarkEnd w:id="1056"/>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455,798,284.77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155,330,724.81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22,610,111.10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-4,990,134.01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583,528,764.47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455,798,284.77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155,330,724.81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22,610,111.10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-4,990,134.01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583,528,764.47</w:t>
            </w:r>
          </w:p>
        </w:tc>
      </w:tr>
    </w:tbl>
    <w:p>
      <w:pPr>
        <w:widowControl w:val="0"/>
        <w:spacing w:after="339" w:line="1" w:lineRule="exact"/>
      </w:pPr>
    </w:p>
    <w:p>
      <w:pPr>
        <w:pStyle w:val="Style32"/>
        <w:keepNext/>
        <w:keepLines/>
        <w:widowControl w:val="0"/>
        <w:shd w:val="clear" w:color="auto" w:fill="auto"/>
        <w:tabs>
          <w:tab w:pos="493" w:val="left"/>
        </w:tabs>
        <w:bidi w:val="0"/>
        <w:spacing w:before="0" w:after="34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57"/>
      <w:bookmarkEnd w:id="1058"/>
      <w:bookmarkEnd w:id="1060"/>
    </w:p>
    <w:p>
      <w:pPr>
        <w:pStyle w:val="Style32"/>
        <w:keepNext/>
        <w:keepLines/>
        <w:widowControl w:val="0"/>
        <w:shd w:val="clear" w:color="auto" w:fill="auto"/>
        <w:tabs>
          <w:tab w:pos="493" w:val="left"/>
        </w:tabs>
        <w:bidi w:val="0"/>
        <w:spacing w:before="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61"/>
      <w:bookmarkEnd w:id="1062"/>
      <w:bookmarkEnd w:id="1064"/>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PINGME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148,432,732.21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742,163.66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华晨汽车集团控股有限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137,553,244.84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137,553,244.84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江苏苏宁易购电子商务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117,240,499.16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117,240,499.16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上汽通用汽车销售有限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120,293,120.91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601,465.60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WHATECH MOBILE</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CO.,LIMITED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117,086,753.75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585,433.77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640,606,350.87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tabs>
          <w:tab w:pos="493" w:val="left"/>
        </w:tabs>
        <w:bidi w:val="0"/>
        <w:spacing w:before="0" w:after="34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065"/>
      <w:bookmarkEnd w:id="1066"/>
      <w:bookmarkEnd w:id="1068"/>
    </w:p>
    <w:p>
      <w:pPr>
        <w:pStyle w:val="Style32"/>
        <w:keepNext/>
        <w:keepLines/>
        <w:widowControl w:val="0"/>
        <w:shd w:val="clear" w:color="auto" w:fill="auto"/>
        <w:tabs>
          <w:tab w:pos="493" w:val="left"/>
        </w:tabs>
        <w:bidi w:val="0"/>
        <w:spacing w:before="0" w:after="34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069"/>
      <w:bookmarkEnd w:id="1070"/>
      <w:bookmarkEnd w:id="1072"/>
    </w:p>
    <w:p>
      <w:pPr>
        <w:pStyle w:val="Style28"/>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6</w:t>
      </w:r>
      <w:bookmarkEnd w:id="1075"/>
      <w:r>
        <w:rPr>
          <w:color w:val="000000"/>
          <w:spacing w:val="0"/>
          <w:w w:val="100"/>
          <w:position w:val="0"/>
        </w:rPr>
        <w:t>、应收款项融资</w:t>
      </w:r>
      <w:bookmarkEnd w:id="1073"/>
      <w:bookmarkEnd w:id="1074"/>
      <w:bookmarkEnd w:id="1076"/>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74,876,546.87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122,189,561.46</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74,876,546.87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122,189,561.46</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7</w:t>
      </w:r>
      <w:bookmarkEnd w:id="1079"/>
      <w:r>
        <w:rPr>
          <w:color w:val="000000"/>
          <w:spacing w:val="0"/>
          <w:w w:val="100"/>
          <w:position w:val="0"/>
        </w:rPr>
        <w:t>、预付款项</w:t>
      </w:r>
      <w:bookmarkEnd w:id="1077"/>
      <w:bookmarkEnd w:id="1078"/>
      <w:bookmarkEnd w:id="1080"/>
    </w:p>
    <w:p>
      <w:pPr>
        <w:pStyle w:val="Style32"/>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1"/>
      <w:bookmarkEnd w:id="1082"/>
      <w:bookmarkEnd w:id="10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225,413,993.09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311,252,712.36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6,876,250.53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11,864,570.81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1,262,783.04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3,606,345.99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2,898,231.30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6,651,377.92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236,451,257.96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333,375,007.08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950"/>
        <w:gridCol w:w="1906"/>
        <w:gridCol w:w="1906"/>
        <w:gridCol w:w="1915"/>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未及时结算原因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成都市新都区交通运输局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2,474,194.80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C0C0C"/>
                <w:spacing w:val="0"/>
                <w:w w:val="100"/>
                <w:position w:val="0"/>
                <w:sz w:val="18"/>
                <w:szCs w:val="18"/>
              </w:rPr>
              <w:t>1-2</w:t>
            </w:r>
            <w:r>
              <w:rPr>
                <w:rFonts w:ascii="SimSun" w:eastAsia="SimSun" w:hAnsi="SimSun" w:cs="SimSun"/>
                <w:color w:val="0C0C0C"/>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未到结算期</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2,474,194.80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5"/>
      <w:bookmarkEnd w:id="1086"/>
      <w:bookmarkEnd w:id="1088"/>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本集团按预付对象归集的年末余额前五名预付账款汇总金额为</w:t>
      </w:r>
      <w:r>
        <w:rPr>
          <w:rFonts w:ascii="Times New Roman" w:eastAsia="Times New Roman" w:hAnsi="Times New Roman" w:cs="Times New Roman"/>
          <w:color w:val="000000"/>
          <w:spacing w:val="0"/>
          <w:w w:val="100"/>
          <w:position w:val="0"/>
          <w:sz w:val="18"/>
          <w:szCs w:val="18"/>
        </w:rPr>
        <w:t>164,194,874.06</w:t>
      </w:r>
      <w:r>
        <w:rPr>
          <w:color w:val="000000"/>
          <w:spacing w:val="0"/>
          <w:w w:val="100"/>
          <w:position w:val="0"/>
        </w:rPr>
        <w:t>元，占预付账款年末余额合计数的比例为</w:t>
      </w:r>
    </w:p>
    <w:p>
      <w:pPr>
        <w:pStyle w:val="Style45"/>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69.44%</w:t>
      </w:r>
      <w:r>
        <w:rPr>
          <w:rFonts w:ascii="SimSun" w:eastAsia="SimSun" w:hAnsi="SimSun" w:cs="SimSun"/>
          <w:color w:val="000000"/>
          <w:spacing w:val="0"/>
          <w:w w:val="100"/>
          <w:position w:val="0"/>
          <w:sz w:val="17"/>
          <w:szCs w:val="17"/>
        </w:rPr>
        <w:t>。</w:t>
      </w:r>
    </w:p>
    <w:p>
      <w:pPr>
        <w:pStyle w:val="Style28"/>
        <w:keepNext/>
        <w:keepLines/>
        <w:widowControl w:val="0"/>
        <w:shd w:val="clear" w:color="auto" w:fill="auto"/>
        <w:bidi w:val="0"/>
        <w:spacing w:before="0" w:after="36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8</w:t>
      </w:r>
      <w:bookmarkEnd w:id="1091"/>
      <w:r>
        <w:rPr>
          <w:color w:val="000000"/>
          <w:spacing w:val="0"/>
          <w:w w:val="100"/>
          <w:position w:val="0"/>
        </w:rPr>
        <w:t>、其他应收款</w:t>
      </w:r>
      <w:bookmarkEnd w:id="1089"/>
      <w:bookmarkEnd w:id="1090"/>
      <w:bookmarkEnd w:id="109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1,520,750.03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141,259,632.41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186,266,249.50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142,780,382.44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186,580,249.50</w:t>
            </w:r>
          </w:p>
        </w:tc>
      </w:tr>
    </w:tbl>
    <w:p>
      <w:pPr>
        <w:pStyle w:val="Style32"/>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93"/>
      <w:bookmarkEnd w:id="1094"/>
      <w:bookmarkEnd w:id="1096"/>
    </w:p>
    <w:p>
      <w:pPr>
        <w:pStyle w:val="Style48"/>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color w:val="000000"/>
          <w:spacing w:val="0"/>
          <w:w w:val="100"/>
          <w:position w:val="0"/>
        </w:rPr>
        <w:t>）应收利息分类</w:t>
      </w:r>
      <w:bookmarkEnd w:id="1097"/>
      <w:bookmarkEnd w:id="1098"/>
      <w:bookmarkEnd w:id="1100"/>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大额定期存单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1,520,750.03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1,520,750.03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widowControl w:val="0"/>
        <w:spacing w:after="359" w:line="1" w:lineRule="exact"/>
      </w:pPr>
    </w:p>
    <w:p>
      <w:pPr>
        <w:pStyle w:val="Style48"/>
        <w:keepNext/>
        <w:keepLines/>
        <w:widowControl w:val="0"/>
        <w:shd w:val="clear" w:color="auto" w:fill="auto"/>
        <w:tabs>
          <w:tab w:pos="392" w:val="left"/>
        </w:tabs>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color w:val="000000"/>
          <w:spacing w:val="0"/>
          <w:w w:val="100"/>
          <w:position w:val="0"/>
        </w:rPr>
        <w:t>）</w:t>
        <w:tab/>
        <w:t>重要逾期利息</w:t>
      </w:r>
      <w:bookmarkEnd w:id="1101"/>
      <w:bookmarkEnd w:id="1102"/>
      <w:bookmarkEnd w:id="1104"/>
    </w:p>
    <w:p>
      <w:pPr>
        <w:pStyle w:val="Style48"/>
        <w:keepNext/>
        <w:keepLines/>
        <w:widowControl w:val="0"/>
        <w:shd w:val="clear" w:color="auto" w:fill="auto"/>
        <w:tabs>
          <w:tab w:pos="392" w:val="left"/>
        </w:tabs>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color w:val="000000"/>
          <w:spacing w:val="0"/>
          <w:w w:val="100"/>
          <w:position w:val="0"/>
        </w:rPr>
        <w:t>）</w:t>
        <w:tab/>
        <w:t>坏账准备计提情况</w:t>
      </w:r>
      <w:bookmarkEnd w:id="1105"/>
      <w:bookmarkEnd w:id="1106"/>
      <w:bookmarkEnd w:id="1108"/>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09"/>
      <w:bookmarkEnd w:id="1110"/>
      <w:bookmarkEnd w:id="1112"/>
    </w:p>
    <w:p>
      <w:pPr>
        <w:pStyle w:val="Style48"/>
        <w:keepNext/>
        <w:keepLines/>
        <w:widowControl w:val="0"/>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color w:val="000000"/>
          <w:spacing w:val="0"/>
          <w:w w:val="100"/>
          <w:position w:val="0"/>
        </w:rPr>
        <w:t>）应收股利分类</w:t>
      </w:r>
      <w:bookmarkEnd w:id="1113"/>
      <w:bookmarkEnd w:id="1114"/>
      <w:bookmarkEnd w:id="111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314,000.00</w:t>
            </w:r>
          </w:p>
        </w:tc>
      </w:tr>
    </w:tbl>
    <w:p>
      <w:pPr>
        <w:widowControl w:val="0"/>
        <w:spacing w:after="359" w:line="1" w:lineRule="exact"/>
      </w:pPr>
    </w:p>
    <w:p>
      <w:pPr>
        <w:pStyle w:val="Style48"/>
        <w:keepNext/>
        <w:keepLines/>
        <w:widowControl w:val="0"/>
        <w:shd w:val="clear" w:color="auto" w:fill="auto"/>
        <w:tabs>
          <w:tab w:pos="392" w:val="left"/>
        </w:tabs>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bookmarkEnd w:id="1119"/>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17"/>
      <w:bookmarkEnd w:id="1118"/>
      <w:bookmarkEnd w:id="1120"/>
    </w:p>
    <w:p>
      <w:pPr>
        <w:pStyle w:val="Style48"/>
        <w:keepNext/>
        <w:keepLines/>
        <w:widowControl w:val="0"/>
        <w:shd w:val="clear" w:color="auto" w:fill="auto"/>
        <w:tabs>
          <w:tab w:pos="397" w:val="left"/>
        </w:tabs>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3</w:t>
      </w:r>
      <w:bookmarkEnd w:id="1123"/>
      <w:r>
        <w:rPr>
          <w:color w:val="000000"/>
          <w:spacing w:val="0"/>
          <w:w w:val="100"/>
          <w:position w:val="0"/>
        </w:rPr>
        <w:t>）</w:t>
        <w:tab/>
        <w:t>坏账准备计提情况</w:t>
      </w:r>
      <w:bookmarkEnd w:id="1121"/>
      <w:bookmarkEnd w:id="1122"/>
      <w:bookmarkEnd w:id="112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25"/>
      <w:bookmarkEnd w:id="1126"/>
      <w:bookmarkEnd w:id="1128"/>
    </w:p>
    <w:p>
      <w:pPr>
        <w:pStyle w:val="Style48"/>
        <w:keepNext/>
        <w:keepLines/>
        <w:widowControl w:val="0"/>
        <w:shd w:val="clear" w:color="auto" w:fill="auto"/>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color w:val="000000"/>
          <w:spacing w:val="0"/>
          <w:w w:val="100"/>
          <w:position w:val="0"/>
        </w:rPr>
        <w:t>）其他应收款按款项性质分类情况</w:t>
      </w:r>
      <w:bookmarkEnd w:id="1129"/>
      <w:bookmarkEnd w:id="1130"/>
      <w:bookmarkEnd w:id="1132"/>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342,080,499.83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270,417,052.95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115,880,488.34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132,967,489.00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12,424,500.00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118,194,500.00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8,197,603.43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8,774,893.61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其他代付款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359,243.07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283,968.57</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478,942,334.67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530,637,904.13</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color w:val="000000"/>
          <w:spacing w:val="0"/>
          <w:w w:val="100"/>
          <w:position w:val="0"/>
        </w:rPr>
        <w:t>）坏账准备计提情况</w:t>
      </w:r>
      <w:bookmarkEnd w:id="1133"/>
      <w:bookmarkEnd w:id="1134"/>
      <w:bookmarkEnd w:id="1136"/>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28,005,547.60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316,366,107.03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344,371,654.63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3,471,734.68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3,621,734.68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8,893,482.88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317,204.17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9,210,687.05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21,983,799.40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315,698,902.86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337,682,702.26</w:t>
            </w:r>
          </w:p>
        </w:tc>
      </w:tr>
    </w:tbl>
    <w:p>
      <w:pPr>
        <w:widowControl w:val="0"/>
        <w:spacing w:after="9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102,705,199.40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4,612,134.08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44,540,061.76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327,084,939.43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5,365,046.98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268,107,276.54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53,612,615.91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478,942,334.67</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3</w:t>
      </w:r>
      <w:bookmarkEnd w:id="1139"/>
      <w:r>
        <w:rPr>
          <w:color w:val="000000"/>
          <w:spacing w:val="0"/>
          <w:w w:val="100"/>
          <w:position w:val="0"/>
        </w:rPr>
        <w:t>）本期计提、收回或转回的坏账准备情况</w:t>
      </w:r>
      <w:bookmarkEnd w:id="1137"/>
      <w:bookmarkEnd w:id="1138"/>
      <w:bookmarkEnd w:id="1140"/>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344,371,654.6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3,621,734.68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9,210,687.05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337,072,702.26</w:t>
            </w:r>
          </w:p>
        </w:tc>
      </w:tr>
    </w:tbl>
    <w:p>
      <w:pPr>
        <w:widowControl w:val="0"/>
        <w:spacing w:line="1" w:lineRule="exact"/>
      </w:pPr>
      <w:r>
        <w:br w:type="page"/>
      </w:r>
    </w:p>
    <w:tbl>
      <w:tblPr>
        <w:tblOverlap w:val="never"/>
        <w:jc w:val="center"/>
        <w:tblLayout w:type="fixed"/>
      </w:tblPr>
      <w:tblGrid>
        <w:gridCol w:w="1426"/>
        <w:gridCol w:w="1094"/>
        <w:gridCol w:w="1195"/>
        <w:gridCol w:w="1306"/>
        <w:gridCol w:w="1090"/>
        <w:gridCol w:w="1738"/>
        <w:gridCol w:w="173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344,371,654.6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3,621,734.68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9,210,687.05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337,072,702.26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上海溢洋达奇广告有限公司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7,756,399.12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7,756,399.12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8"/>
        <w:keepNext/>
        <w:keepLines/>
        <w:widowControl w:val="0"/>
        <w:shd w:val="clear" w:color="auto" w:fill="auto"/>
        <w:tabs>
          <w:tab w:pos="392" w:val="left"/>
        </w:tabs>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4</w:t>
      </w:r>
      <w:bookmarkEnd w:id="1143"/>
      <w:r>
        <w:rPr>
          <w:color w:val="000000"/>
          <w:spacing w:val="0"/>
          <w:w w:val="100"/>
          <w:position w:val="0"/>
        </w:rPr>
        <w:t>）</w:t>
        <w:tab/>
        <w:t>本期实际核销的其他应收款情况</w:t>
      </w:r>
      <w:bookmarkEnd w:id="1141"/>
      <w:bookmarkEnd w:id="1142"/>
      <w:bookmarkEnd w:id="1144"/>
    </w:p>
    <w:p>
      <w:pPr>
        <w:pStyle w:val="Style1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本年无实际核销的其他应收款情况。</w:t>
      </w:r>
    </w:p>
    <w:p>
      <w:pPr>
        <w:pStyle w:val="Style48"/>
        <w:keepNext/>
        <w:keepLines/>
        <w:widowControl w:val="0"/>
        <w:shd w:val="clear" w:color="auto" w:fill="auto"/>
        <w:tabs>
          <w:tab w:pos="392" w:val="left"/>
        </w:tabs>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5</w:t>
      </w:r>
      <w:bookmarkEnd w:id="1147"/>
      <w:r>
        <w:rPr>
          <w:color w:val="000000"/>
          <w:spacing w:val="0"/>
          <w:w w:val="100"/>
          <w:position w:val="0"/>
        </w:rPr>
        <w:t>）</w:t>
        <w:tab/>
        <w:t>按欠款方归集的期末余额前五名的其他应收款情况</w:t>
      </w:r>
      <w:bookmarkEnd w:id="1145"/>
      <w:bookmarkEnd w:id="1146"/>
      <w:bookmarkEnd w:id="114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上海雅润文化传播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298,760,142.34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298,760,142.34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广州市一汽巴士有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13,694,460.00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2,738,892.00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重庆奇峰广告传媒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2,374,900.00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沈阳地铁集团有限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福州城市客运场站 运营有限公司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340,829,102.34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305,223,934.34</w:t>
            </w:r>
          </w:p>
        </w:tc>
      </w:tr>
    </w:tbl>
    <w:p>
      <w:pPr>
        <w:widowControl w:val="0"/>
        <w:spacing w:after="319" w:line="1" w:lineRule="exact"/>
      </w:pPr>
    </w:p>
    <w:p>
      <w:pPr>
        <w:pStyle w:val="Style48"/>
        <w:keepNext/>
        <w:keepLines/>
        <w:widowControl w:val="0"/>
        <w:shd w:val="clear" w:color="auto" w:fill="auto"/>
        <w:tabs>
          <w:tab w:pos="392" w:val="left"/>
        </w:tabs>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6</w:t>
      </w:r>
      <w:bookmarkEnd w:id="1151"/>
      <w:r>
        <w:rPr>
          <w:color w:val="000000"/>
          <w:spacing w:val="0"/>
          <w:w w:val="100"/>
          <w:position w:val="0"/>
        </w:rPr>
        <w:t>）</w:t>
        <w:tab/>
        <w:t>涉及政府补助的应收款项</w:t>
      </w:r>
      <w:bookmarkEnd w:id="1149"/>
      <w:bookmarkEnd w:id="1150"/>
      <w:bookmarkEnd w:id="1152"/>
    </w:p>
    <w:p>
      <w:pPr>
        <w:pStyle w:val="Style1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年末无涉及政府补助的应收款项。</w:t>
      </w:r>
    </w:p>
    <w:p>
      <w:pPr>
        <w:pStyle w:val="Style48"/>
        <w:keepNext/>
        <w:keepLines/>
        <w:widowControl w:val="0"/>
        <w:shd w:val="clear" w:color="auto" w:fill="auto"/>
        <w:tabs>
          <w:tab w:pos="387" w:val="left"/>
        </w:tabs>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7</w:t>
      </w:r>
      <w:bookmarkEnd w:id="1155"/>
      <w:r>
        <w:rPr>
          <w:color w:val="000000"/>
          <w:spacing w:val="0"/>
          <w:w w:val="100"/>
          <w:position w:val="0"/>
        </w:rPr>
        <w:t>）</w:t>
        <w:tab/>
        <w:t>因金融资产转移而终止确认的其他应收款</w:t>
      </w:r>
      <w:bookmarkEnd w:id="1153"/>
      <w:bookmarkEnd w:id="1154"/>
      <w:bookmarkEnd w:id="1156"/>
    </w:p>
    <w:p>
      <w:pPr>
        <w:pStyle w:val="Style19"/>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年末无因金融资产转移而终止确认的其他应收款。</w:t>
      </w:r>
    </w:p>
    <w:p>
      <w:pPr>
        <w:pStyle w:val="Style48"/>
        <w:keepNext/>
        <w:keepLines/>
        <w:widowControl w:val="0"/>
        <w:shd w:val="clear" w:color="auto" w:fill="auto"/>
        <w:tabs>
          <w:tab w:pos="392" w:val="left"/>
        </w:tabs>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8</w:t>
      </w:r>
      <w:bookmarkEnd w:id="1159"/>
      <w:r>
        <w:rPr>
          <w:color w:val="000000"/>
          <w:spacing w:val="0"/>
          <w:w w:val="100"/>
          <w:position w:val="0"/>
        </w:rPr>
        <w:t>）</w:t>
        <w:tab/>
        <w:t>转移其他应收款且继续涉入形成的资产、负债金额</w:t>
      </w:r>
      <w:bookmarkEnd w:id="1157"/>
      <w:bookmarkEnd w:id="1158"/>
      <w:bookmarkEnd w:id="1160"/>
    </w:p>
    <w:p>
      <w:pPr>
        <w:pStyle w:val="Style1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年末无转移其他应收款且继续涉入形成的资产、负债。</w:t>
      </w:r>
      <w:r>
        <w:br w:type="page"/>
      </w:r>
    </w:p>
    <w:p>
      <w:pPr>
        <w:pStyle w:val="Style28"/>
        <w:keepNext/>
        <w:keepLines/>
        <w:widowControl w:val="0"/>
        <w:shd w:val="clear" w:color="auto" w:fill="auto"/>
        <w:bidi w:val="0"/>
        <w:spacing w:before="0" w:after="22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9</w:t>
      </w:r>
      <w:bookmarkEnd w:id="1163"/>
      <w:r>
        <w:rPr>
          <w:color w:val="000000"/>
          <w:spacing w:val="0"/>
          <w:w w:val="100"/>
          <w:position w:val="0"/>
        </w:rPr>
        <w:t>、存货</w:t>
      </w:r>
      <w:bookmarkEnd w:id="1161"/>
      <w:bookmarkEnd w:id="1162"/>
      <w:bookmarkEnd w:id="1164"/>
    </w:p>
    <w:p>
      <w:pPr>
        <w:pStyle w:val="Style1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公司是否需要遵守房地产行业的披露要求 否</w:t>
      </w:r>
    </w:p>
    <w:p>
      <w:pPr>
        <w:pStyle w:val="Style32"/>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65"/>
      <w:bookmarkEnd w:id="1166"/>
      <w:bookmarkEnd w:id="11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存货跌价准备或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合同履约成本减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260,227.87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260,227.87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102,039.01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102,039.01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4,063,524.27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4,063,524.27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767,668.96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767,668.96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4,323,752.14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4,323,752.14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869,707.97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869,707.97</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存货跌价准备和合同履约成本减值准备</w:t>
      </w:r>
      <w:bookmarkEnd w:id="1169"/>
      <w:bookmarkEnd w:id="1170"/>
      <w:bookmarkEnd w:id="1172"/>
    </w:p>
    <w:p>
      <w:pPr>
        <w:pStyle w:val="Style1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年末无计提存货跌价准备。</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w:t>
      </w:r>
      <w:bookmarkEnd w:id="117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73"/>
      <w:bookmarkEnd w:id="1174"/>
      <w:bookmarkEnd w:id="1176"/>
    </w:p>
    <w:p>
      <w:pPr>
        <w:pStyle w:val="Style32"/>
        <w:keepNext/>
        <w:keepLines/>
        <w:widowControl w:val="0"/>
        <w:shd w:val="clear" w:color="auto" w:fill="auto"/>
        <w:tabs>
          <w:tab w:pos="493" w:val="left"/>
        </w:tabs>
        <w:bidi w:val="0"/>
        <w:spacing w:before="0" w:after="36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w:t>
      </w:r>
      <w:bookmarkEnd w:id="1179"/>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77"/>
      <w:bookmarkEnd w:id="1178"/>
      <w:bookmarkEnd w:id="1180"/>
    </w:p>
    <w:p>
      <w:pPr>
        <w:pStyle w:val="Style28"/>
        <w:keepNext/>
        <w:keepLines/>
        <w:widowControl w:val="0"/>
        <w:shd w:val="clear" w:color="auto" w:fill="auto"/>
        <w:bidi w:val="0"/>
        <w:spacing w:before="0" w:after="36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81"/>
      <w:bookmarkEnd w:id="1182"/>
      <w:bookmarkEnd w:id="1184"/>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13,233,114.30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13,233,114.30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15,392,109.69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13,636,737.59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1,755,372.10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13,233,114.30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13,233,114.30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15,392,109.69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13,636,737.59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1,755,372.10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）本年合同资产计提减值准备情况</w:t>
      </w:r>
    </w:p>
    <w:tbl>
      <w:tblPr>
        <w:tblOverlap w:val="never"/>
        <w:jc w:val="center"/>
        <w:tblLayout w:type="fixed"/>
      </w:tblPr>
      <w:tblGrid>
        <w:gridCol w:w="3034"/>
        <w:gridCol w:w="1656"/>
        <w:gridCol w:w="1661"/>
        <w:gridCol w:w="1661"/>
        <w:gridCol w:w="1666"/>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C0C0C"/>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第一阶段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第三阶段</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60"/>
              <w:jc w:val="left"/>
              <w:rPr>
                <w:sz w:val="17"/>
                <w:szCs w:val="17"/>
              </w:rPr>
            </w:pPr>
            <w:r>
              <w:rPr>
                <w:rFonts w:ascii="SimSun" w:eastAsia="SimSun" w:hAnsi="SimSun" w:cs="SimSun"/>
                <w:color w:val="0C0C0C"/>
                <w:spacing w:val="0"/>
                <w:w w:val="100"/>
                <w:position w:val="0"/>
                <w:sz w:val="17"/>
                <w:szCs w:val="17"/>
              </w:rPr>
              <w:t>合计</w:t>
            </w: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C0C0C"/>
                <w:spacing w:val="0"/>
                <w:w w:val="100"/>
                <w:position w:val="0"/>
                <w:sz w:val="17"/>
                <w:szCs w:val="17"/>
              </w:rPr>
              <w:t>未来</w:t>
            </w:r>
            <w:r>
              <w:rPr>
                <w:color w:val="0C0C0C"/>
                <w:spacing w:val="0"/>
                <w:w w:val="100"/>
                <w:position w:val="0"/>
                <w:sz w:val="18"/>
                <w:szCs w:val="18"/>
              </w:rPr>
              <w:t>12</w:t>
            </w:r>
            <w:r>
              <w:rPr>
                <w:rFonts w:ascii="SimSun" w:eastAsia="SimSun" w:hAnsi="SimSun" w:cs="SimSun"/>
                <w:color w:val="0C0C0C"/>
                <w:spacing w:val="0"/>
                <w:w w:val="100"/>
                <w:position w:val="0"/>
                <w:sz w:val="17"/>
                <w:szCs w:val="17"/>
              </w:rPr>
              <w:t>个月预期信用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C0C0C"/>
                <w:spacing w:val="0"/>
                <w:w w:val="100"/>
                <w:position w:val="0"/>
                <w:sz w:val="17"/>
                <w:szCs w:val="17"/>
              </w:rPr>
              <w:t>整个存续期预期信用 损失（未发生信用减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C0C0C"/>
                <w:spacing w:val="0"/>
                <w:w w:val="100"/>
                <w:position w:val="0"/>
                <w:sz w:val="17"/>
                <w:szCs w:val="17"/>
              </w:rPr>
              <w:t>整个存续期预期信用 损失（已发生信用减 值）</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C0C0C"/>
                <w:spacing w:val="0"/>
                <w:w w:val="100"/>
                <w:position w:val="0"/>
                <w:sz w:val="18"/>
                <w:szCs w:val="18"/>
              </w:rPr>
              <w:t>2021</w:t>
            </w:r>
            <w:r>
              <w:rPr>
                <w:rFonts w:ascii="SimSun" w:eastAsia="SimSun" w:hAnsi="SimSun" w:cs="SimSun"/>
                <w:color w:val="0C0C0C"/>
                <w:spacing w:val="0"/>
                <w:w w:val="100"/>
                <w:position w:val="0"/>
                <w:sz w:val="17"/>
                <w:szCs w:val="17"/>
              </w:rPr>
              <w:t>年</w:t>
            </w:r>
            <w:r>
              <w:rPr>
                <w:color w:val="0C0C0C"/>
                <w:spacing w:val="0"/>
                <w:w w:val="100"/>
                <w:position w:val="0"/>
                <w:sz w:val="18"/>
                <w:szCs w:val="18"/>
              </w:rPr>
              <w:t>1</w:t>
            </w:r>
            <w:r>
              <w:rPr>
                <w:rFonts w:ascii="SimSun" w:eastAsia="SimSun" w:hAnsi="SimSun" w:cs="SimSun"/>
                <w:color w:val="0C0C0C"/>
                <w:spacing w:val="0"/>
                <w:w w:val="100"/>
                <w:position w:val="0"/>
                <w:sz w:val="17"/>
                <w:szCs w:val="17"/>
              </w:rPr>
              <w:t>月</w:t>
            </w:r>
            <w:r>
              <w:rPr>
                <w:color w:val="0C0C0C"/>
                <w:spacing w:val="0"/>
                <w:w w:val="100"/>
                <w:position w:val="0"/>
                <w:sz w:val="18"/>
                <w:szCs w:val="18"/>
              </w:rPr>
              <w:t>1</w:t>
            </w:r>
            <w:r>
              <w:rPr>
                <w:rFonts w:ascii="SimSun" w:eastAsia="SimSun" w:hAnsi="SimSun" w:cs="SimSun"/>
                <w:color w:val="0C0C0C"/>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C0C0C"/>
                <w:spacing w:val="0"/>
                <w:w w:val="100"/>
                <w:position w:val="0"/>
              </w:rPr>
              <w:t>5,830,657.59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C0C0C"/>
                <w:spacing w:val="0"/>
                <w:w w:val="100"/>
                <w:position w:val="0"/>
              </w:rPr>
              <w:t>7,806,080.00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C0C0C"/>
                <w:spacing w:val="0"/>
                <w:w w:val="100"/>
                <w:position w:val="0"/>
              </w:rPr>
              <w:t>13,636,737.59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C0C0C"/>
                <w:spacing w:val="0"/>
                <w:w w:val="100"/>
                <w:position w:val="0"/>
                <w:sz w:val="18"/>
                <w:szCs w:val="18"/>
              </w:rPr>
              <w:t>2021</w:t>
            </w:r>
            <w:r>
              <w:rPr>
                <w:rFonts w:ascii="SimSun" w:eastAsia="SimSun" w:hAnsi="SimSun" w:cs="SimSun"/>
                <w:color w:val="0C0C0C"/>
                <w:spacing w:val="0"/>
                <w:w w:val="100"/>
                <w:position w:val="0"/>
                <w:sz w:val="17"/>
                <w:szCs w:val="17"/>
              </w:rPr>
              <w:t>年</w:t>
            </w:r>
            <w:r>
              <w:rPr>
                <w:color w:val="0C0C0C"/>
                <w:spacing w:val="0"/>
                <w:w w:val="100"/>
                <w:position w:val="0"/>
                <w:sz w:val="18"/>
                <w:szCs w:val="18"/>
              </w:rPr>
              <w:t>1</w:t>
            </w:r>
            <w:r>
              <w:rPr>
                <w:rFonts w:ascii="SimSun" w:eastAsia="SimSun" w:hAnsi="SimSun" w:cs="SimSun"/>
                <w:color w:val="0C0C0C"/>
                <w:spacing w:val="0"/>
                <w:w w:val="100"/>
                <w:position w:val="0"/>
                <w:sz w:val="17"/>
                <w:szCs w:val="17"/>
              </w:rPr>
              <w:t>月</w:t>
            </w:r>
            <w:r>
              <w:rPr>
                <w:color w:val="0C0C0C"/>
                <w:spacing w:val="0"/>
                <w:w w:val="100"/>
                <w:position w:val="0"/>
                <w:sz w:val="18"/>
                <w:szCs w:val="18"/>
              </w:rPr>
              <w:t>1</w:t>
            </w:r>
            <w:r>
              <w:rPr>
                <w:rFonts w:ascii="SimSun" w:eastAsia="SimSun" w:hAnsi="SimSun" w:cs="SimSun"/>
                <w:color w:val="0C0C0C"/>
                <w:spacing w:val="0"/>
                <w:w w:val="100"/>
                <w:position w:val="0"/>
                <w:sz w:val="17"/>
                <w:szCs w:val="17"/>
              </w:rPr>
              <w:t>日余额在本年：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34"/>
        <w:gridCol w:w="1656"/>
        <w:gridCol w:w="1661"/>
        <w:gridCol w:w="1661"/>
        <w:gridCol w:w="166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C0C0C"/>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C0C0C"/>
                <w:spacing w:val="0"/>
                <w:w w:val="100"/>
                <w:position w:val="0"/>
                <w:sz w:val="18"/>
                <w:szCs w:val="18"/>
              </w:rPr>
              <w:t>—</w:t>
            </w:r>
            <w:r>
              <w:rPr>
                <w:rFonts w:ascii="SimSun" w:eastAsia="SimSun" w:hAnsi="SimSun" w:cs="SimSun"/>
                <w:color w:val="0C0C0C"/>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C0C0C"/>
                <w:spacing w:val="0"/>
                <w:w w:val="100"/>
                <w:position w:val="0"/>
                <w:sz w:val="18"/>
                <w:szCs w:val="18"/>
              </w:rPr>
              <w:t>—</w:t>
            </w:r>
            <w:r>
              <w:rPr>
                <w:rFonts w:ascii="SimSun" w:eastAsia="SimSun" w:hAnsi="SimSun" w:cs="SimSun"/>
                <w:color w:val="0C0C0C"/>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C0C0C"/>
                <w:spacing w:val="0"/>
                <w:w w:val="100"/>
                <w:position w:val="0"/>
                <w:sz w:val="18"/>
                <w:szCs w:val="18"/>
              </w:rPr>
              <w:t>—</w:t>
            </w:r>
            <w:r>
              <w:rPr>
                <w:rFonts w:ascii="SimSun" w:eastAsia="SimSun" w:hAnsi="SimSun" w:cs="SimSun"/>
                <w:color w:val="0C0C0C"/>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C0C0C"/>
                <w:spacing w:val="0"/>
                <w:w w:val="100"/>
                <w:position w:val="0"/>
                <w:sz w:val="17"/>
                <w:szCs w:val="17"/>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C0C0C"/>
                <w:spacing w:val="0"/>
                <w:w w:val="100"/>
                <w:position w:val="0"/>
                <w:sz w:val="17"/>
                <w:szCs w:val="17"/>
              </w:rPr>
              <w:t>本年转回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C0C0C"/>
                <w:spacing w:val="0"/>
                <w:w w:val="100"/>
                <w:position w:val="0"/>
                <w:sz w:val="17"/>
                <w:szCs w:val="17"/>
              </w:rPr>
              <w:t>本年转销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C0C0C"/>
                <w:spacing w:val="0"/>
                <w:w w:val="100"/>
                <w:position w:val="0"/>
                <w:sz w:val="17"/>
                <w:szCs w:val="17"/>
              </w:rPr>
              <w:t>本年核销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C0C0C"/>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C0C0C"/>
                <w:spacing w:val="0"/>
                <w:w w:val="100"/>
                <w:position w:val="0"/>
              </w:rPr>
              <w:t>-403,623.29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C0C0C"/>
                <w:spacing w:val="0"/>
                <w:w w:val="100"/>
                <w:position w:val="0"/>
              </w:rPr>
              <w:t>-403,623.29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C0C0C"/>
                <w:spacing w:val="0"/>
                <w:w w:val="100"/>
                <w:position w:val="0"/>
                <w:sz w:val="18"/>
                <w:szCs w:val="18"/>
              </w:rPr>
              <w:t>2021</w:t>
            </w:r>
            <w:r>
              <w:rPr>
                <w:rFonts w:ascii="SimSun" w:eastAsia="SimSun" w:hAnsi="SimSun" w:cs="SimSun"/>
                <w:color w:val="0C0C0C"/>
                <w:spacing w:val="0"/>
                <w:w w:val="100"/>
                <w:position w:val="0"/>
                <w:sz w:val="17"/>
                <w:szCs w:val="17"/>
              </w:rPr>
              <w:t>年</w:t>
            </w:r>
            <w:r>
              <w:rPr>
                <w:color w:val="0C0C0C"/>
                <w:spacing w:val="0"/>
                <w:w w:val="100"/>
                <w:position w:val="0"/>
                <w:sz w:val="18"/>
                <w:szCs w:val="18"/>
              </w:rPr>
              <w:t>12</w:t>
            </w:r>
            <w:r>
              <w:rPr>
                <w:rFonts w:ascii="SimSun" w:eastAsia="SimSun" w:hAnsi="SimSun" w:cs="SimSun"/>
                <w:color w:val="0C0C0C"/>
                <w:spacing w:val="0"/>
                <w:w w:val="100"/>
                <w:position w:val="0"/>
                <w:sz w:val="17"/>
                <w:szCs w:val="17"/>
              </w:rPr>
              <w:t>月</w:t>
            </w:r>
            <w:r>
              <w:rPr>
                <w:color w:val="0C0C0C"/>
                <w:spacing w:val="0"/>
                <w:w w:val="100"/>
                <w:position w:val="0"/>
                <w:sz w:val="18"/>
                <w:szCs w:val="18"/>
              </w:rPr>
              <w:t>31</w:t>
            </w:r>
            <w:r>
              <w:rPr>
                <w:rFonts w:ascii="SimSun" w:eastAsia="SimSun" w:hAnsi="SimSun" w:cs="SimSun"/>
                <w:color w:val="0C0C0C"/>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5,427,034.30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C0C0C"/>
                <w:spacing w:val="0"/>
                <w:w w:val="100"/>
                <w:position w:val="0"/>
              </w:rPr>
              <w:t>7,806,080.00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C0C0C"/>
                <w:spacing w:val="0"/>
                <w:w w:val="100"/>
                <w:position w:val="0"/>
              </w:rPr>
              <w:t>13,233,114.30</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）年末单项计提坏账准备的合同资产</w:t>
      </w:r>
    </w:p>
    <w:p>
      <w:pPr>
        <w:widowControl w:val="0"/>
        <w:spacing w:after="59" w:line="1" w:lineRule="exact"/>
      </w:pPr>
    </w:p>
    <w:p>
      <w:pPr>
        <w:widowControl w:val="0"/>
        <w:spacing w:line="1" w:lineRule="exact"/>
      </w:pPr>
    </w:p>
    <w:tbl>
      <w:tblPr>
        <w:tblOverlap w:val="never"/>
        <w:jc w:val="center"/>
        <w:tblLayout w:type="fixed"/>
      </w:tblPr>
      <w:tblGrid>
        <w:gridCol w:w="3024"/>
        <w:gridCol w:w="1661"/>
        <w:gridCol w:w="1670"/>
        <w:gridCol w:w="1656"/>
        <w:gridCol w:w="1666"/>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应收账款（按单位）</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计提比例（</w:t>
            </w:r>
            <w:r>
              <w:rPr>
                <w:rFonts w:ascii="SimSun" w:eastAsia="SimSun" w:hAnsi="SimSun" w:cs="SimSun"/>
                <w:color w:val="0C0C0C"/>
                <w:spacing w:val="0"/>
                <w:w w:val="100"/>
                <w:position w:val="0"/>
                <w:sz w:val="18"/>
                <w:szCs w:val="18"/>
              </w:rPr>
              <w:t>％</w:t>
            </w:r>
            <w:r>
              <w:rPr>
                <w:rFonts w:ascii="SimSun" w:eastAsia="SimSun" w:hAnsi="SimSun" w:cs="SimSun"/>
                <w:color w:val="0C0C0C"/>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计提理由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杭州希游旅游发展有限公司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C0C0C"/>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上海安菲旅游发展有限公司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C0C0C"/>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北京博达悦途文化交流有限公司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766,999.00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766,999.00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C0C0C"/>
                <w:spacing w:val="0"/>
                <w:w w:val="100"/>
                <w:position w:val="0"/>
                <w:sz w:val="17"/>
                <w:szCs w:val="17"/>
              </w:rPr>
              <w:t>预计无法收回</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上海乐瑞广告有限公司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406,000.00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406,000.00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C0C0C"/>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上海智敏特广告传播有限公司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C0C0C"/>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深圳市精零视界科技有限公司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30,244.00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30,244.00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C0C0C"/>
                <w:spacing w:val="0"/>
                <w:w w:val="100"/>
                <w:position w:val="0"/>
                <w:sz w:val="17"/>
                <w:szCs w:val="17"/>
              </w:rPr>
              <w:t>预计无法收回</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威睿（北京）广告有限公司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22,837.00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22,837.00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C0C0C"/>
                <w:spacing w:val="0"/>
                <w:w w:val="100"/>
                <w:position w:val="0"/>
                <w:sz w:val="17"/>
                <w:szCs w:val="17"/>
              </w:rPr>
              <w:t>预计无法收回</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7,806,080.00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7,806,080.00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C0C0C"/>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本期合同资产计提减值准备情况</w:t>
      </w:r>
    </w:p>
    <w:p>
      <w:pPr>
        <w:widowControl w:val="0"/>
        <w:spacing w:after="59" w:line="1" w:lineRule="exact"/>
      </w:pPr>
    </w:p>
    <w:p>
      <w:pPr>
        <w:widowControl w:val="0"/>
        <w:spacing w:line="1" w:lineRule="exact"/>
      </w:pPr>
    </w:p>
    <w:tbl>
      <w:tblPr>
        <w:tblOverlap w:val="never"/>
        <w:jc w:val="center"/>
        <w:tblLayout w:type="fixed"/>
      </w:tblPr>
      <w:tblGrid>
        <w:gridCol w:w="1517"/>
        <w:gridCol w:w="1517"/>
        <w:gridCol w:w="1392"/>
        <w:gridCol w:w="1248"/>
        <w:gridCol w:w="1224"/>
        <w:gridCol w:w="1085"/>
        <w:gridCol w:w="1694"/>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类别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本年变动金额</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年末余额</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收回或转回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转销或核销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其他变动</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13,636,737.59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403,623.29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13,233,114.30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13,636,737.59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403,623.29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13,233,114.30</w:t>
            </w:r>
          </w:p>
        </w:tc>
      </w:tr>
    </w:tbl>
    <w:p>
      <w:pPr>
        <w:widowControl w:val="0"/>
        <w:spacing w:after="339" w:line="1" w:lineRule="exact"/>
      </w:pPr>
    </w:p>
    <w:p>
      <w:pPr>
        <w:pStyle w:val="Style28"/>
        <w:keepNext/>
        <w:keepLines/>
        <w:widowControl w:val="0"/>
        <w:shd w:val="clear" w:color="auto" w:fill="auto"/>
        <w:tabs>
          <w:tab w:pos="474" w:val="left"/>
        </w:tabs>
        <w:bidi w:val="0"/>
        <w:spacing w:before="0" w:after="34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185"/>
      <w:bookmarkEnd w:id="1186"/>
      <w:bookmarkEnd w:id="1188"/>
    </w:p>
    <w:p>
      <w:pPr>
        <w:pStyle w:val="Style28"/>
        <w:keepNext/>
        <w:keepLines/>
        <w:widowControl w:val="0"/>
        <w:shd w:val="clear" w:color="auto" w:fill="auto"/>
        <w:tabs>
          <w:tab w:pos="474" w:val="left"/>
        </w:tabs>
        <w:bidi w:val="0"/>
        <w:spacing w:before="0" w:after="34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89"/>
      <w:bookmarkEnd w:id="1190"/>
      <w:bookmarkEnd w:id="1192"/>
    </w:p>
    <w:p>
      <w:pPr>
        <w:pStyle w:val="Style28"/>
        <w:keepNext/>
        <w:keepLines/>
        <w:widowControl w:val="0"/>
        <w:shd w:val="clear" w:color="auto" w:fill="auto"/>
        <w:tabs>
          <w:tab w:pos="474" w:val="left"/>
        </w:tabs>
        <w:bidi w:val="0"/>
        <w:spacing w:before="0" w:after="40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193"/>
      <w:bookmarkEnd w:id="1194"/>
      <w:bookmarkEnd w:id="1196"/>
    </w:p>
    <w:p>
      <w:pPr>
        <w:pStyle w:val="Style1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待认证、抵扣进项税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159,203,193.47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124,184,032.94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21,509,663.54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26,107,231.87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4,205,322.11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2,603,896.06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184,918,179.12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628,895,160.87</w:t>
            </w:r>
          </w:p>
        </w:tc>
      </w:tr>
    </w:tbl>
    <w:p>
      <w:pPr>
        <w:pStyle w:val="Style28"/>
        <w:keepNext/>
        <w:keepLines/>
        <w:widowControl w:val="0"/>
        <w:shd w:val="clear" w:color="auto" w:fill="auto"/>
        <w:tabs>
          <w:tab w:pos="474" w:val="left"/>
        </w:tabs>
        <w:bidi w:val="0"/>
        <w:spacing w:before="0" w:line="240" w:lineRule="auto"/>
        <w:ind w:left="0" w:right="0" w:firstLine="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197"/>
      <w:bookmarkEnd w:id="1198"/>
      <w:bookmarkEnd w:id="1200"/>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74" w:val="left"/>
        </w:tabs>
        <w:bidi w:val="0"/>
        <w:spacing w:before="0" w:line="240" w:lineRule="auto"/>
        <w:ind w:left="0" w:right="0" w:firstLine="0"/>
        <w:jc w:val="both"/>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01"/>
      <w:bookmarkEnd w:id="1202"/>
      <w:bookmarkEnd w:id="1204"/>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74" w:val="left"/>
        </w:tabs>
        <w:bidi w:val="0"/>
        <w:spacing w:before="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05"/>
      <w:bookmarkEnd w:id="1206"/>
      <w:bookmarkEnd w:id="1208"/>
    </w:p>
    <w:p>
      <w:pPr>
        <w:pStyle w:val="Style32"/>
        <w:keepNext/>
        <w:keepLines/>
        <w:widowControl w:val="0"/>
        <w:shd w:val="clear" w:color="auto" w:fill="auto"/>
        <w:tabs>
          <w:tab w:pos="493" w:val="left"/>
        </w:tabs>
        <w:bidi w:val="0"/>
        <w:spacing w:before="0" w:line="240" w:lineRule="auto"/>
        <w:ind w:left="0" w:right="0" w:firstLine="0"/>
        <w:jc w:val="both"/>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209"/>
      <w:bookmarkEnd w:id="1210"/>
      <w:bookmarkEnd w:id="1212"/>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13"/>
      <w:bookmarkEnd w:id="1214"/>
      <w:bookmarkEnd w:id="1216"/>
    </w:p>
    <w:p>
      <w:pPr>
        <w:pStyle w:val="Style32"/>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17"/>
      <w:bookmarkEnd w:id="1218"/>
      <w:bookmarkEnd w:id="1220"/>
    </w:p>
    <w:p>
      <w:pPr>
        <w:pStyle w:val="Style28"/>
        <w:keepNext/>
        <w:keepLines/>
        <w:widowControl w:val="0"/>
        <w:shd w:val="clear" w:color="auto" w:fill="auto"/>
        <w:tabs>
          <w:tab w:pos="474" w:val="left"/>
        </w:tabs>
        <w:bidi w:val="0"/>
        <w:spacing w:before="0" w:line="240" w:lineRule="auto"/>
        <w:ind w:left="0" w:right="0" w:firstLine="0"/>
        <w:jc w:val="both"/>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221"/>
      <w:bookmarkEnd w:id="1222"/>
      <w:bookmarkEnd w:id="12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一、合营企业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省广博报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堂整合营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销有限公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59,799,55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22,460,74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62,260,30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代博广告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营销有限</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33,659,72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2,514,407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675,000.0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35,499,13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93,459,28</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24,975,15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20,675,00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97,759,43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二、联营企业</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673,007,0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9,927,233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6,993,266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4,247,684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2,185,529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-1,256,11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674,641,3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766,466,3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1,250,000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9,927,233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31,968,42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4,247,684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22,860,52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-1,256,11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772,400,7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148,000,0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25"/>
      <w:bookmarkEnd w:id="1226"/>
      <w:bookmarkEnd w:id="122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广州骏伯网络科技股份有限公司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28,795,640.79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28,795,640.79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深圳九宇银河智能互联投资基金</w:t>
            </w:r>
            <w:r>
              <w:rPr>
                <w:color w:val="000000"/>
                <w:spacing w:val="0"/>
                <w:w w:val="100"/>
                <w:position w:val="0"/>
              </w:rPr>
              <w:t>（</w:t>
            </w:r>
            <w:r>
              <w:rPr>
                <w:rFonts w:ascii="SimSun" w:eastAsia="SimSun" w:hAnsi="SimSun" w:cs="SimSun"/>
                <w:color w:val="000000"/>
                <w:spacing w:val="0"/>
                <w:w w:val="100"/>
                <w:position w:val="0"/>
                <w:sz w:val="17"/>
                <w:szCs w:val="17"/>
              </w:rPr>
              <w:t>有限合 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19,003,570.33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19,003,570.33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易简传媒科技集团股份有限公司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5,697,795.14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5,697,795.14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广东省轻工进出口股份有限公司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众泰控股集团有限公司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9,039,987.00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62,737,008.26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53,697,021.26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其他综合收益转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入留存收益的原 因</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广州骏伯网络科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战略投资长期持 股，不是以近期 出售短期获利为 目的。投资不符 合本金加利息的 合同现金流量特 征</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 xml:space="preserve">深圳九宇银河智 能互联投资基金 </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战略投资长期持 股，不是以近期 出售短期获利为 目的。投资不符 合本金加利息的 合同现金流量特 征</w:t>
            </w: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易简传媒科技集 团股份有限公司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战略投资长期持 股，不是以近期 出售短期获利为 目的。投资不符 合本金加利息的 合同现金流量特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征</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广东省轻工进出 口股份有限公司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战略投资长期持 股，不是以近期 出售短期获利为 目的。投资不符 合本金加利息的 合同现金流量特 征</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众泰控股集团有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战略投资长期持 股，不是以近期 出售短期获利为 目的。投资不符 合本金加利息的 合同现金流量特 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29"/>
      <w:bookmarkEnd w:id="1230"/>
      <w:bookmarkEnd w:id="123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分类以公允价值计量且其变动计入当期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247,325,896.01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202,325,896.00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247,325,896.01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202,325,896.00</w:t>
            </w:r>
          </w:p>
        </w:tc>
      </w:tr>
    </w:tbl>
    <w:p>
      <w:pPr>
        <w:pStyle w:val="Style51"/>
        <w:keepNext w:val="0"/>
        <w:keepLines w:val="0"/>
        <w:widowControl w:val="0"/>
        <w:numPr>
          <w:ilvl w:val="0"/>
          <w:numId w:val="45"/>
        </w:numPr>
        <w:shd w:val="clear" w:color="auto" w:fill="auto"/>
        <w:bidi w:val="0"/>
        <w:spacing w:before="0" w:after="0" w:line="240" w:lineRule="auto"/>
        <w:ind w:left="0" w:right="0" w:firstLine="0"/>
        <w:jc w:val="both"/>
      </w:pPr>
      <w:bookmarkStart w:id="1233" w:name="bookmark1233"/>
      <w:bookmarkEnd w:id="1233"/>
      <w:r>
        <w:rPr>
          <w:spacing w:val="0"/>
          <w:w w:val="100"/>
          <w:position w:val="0"/>
        </w:rPr>
        <w:t>权益工具投资情况</w:t>
      </w:r>
    </w:p>
    <w:tbl>
      <w:tblPr>
        <w:tblOverlap w:val="never"/>
        <w:jc w:val="center"/>
        <w:tblLayout w:type="fixed"/>
      </w:tblPr>
      <w:tblGrid>
        <w:gridCol w:w="1915"/>
        <w:gridCol w:w="1517"/>
        <w:gridCol w:w="1416"/>
        <w:gridCol w:w="1018"/>
        <w:gridCol w:w="1522"/>
        <w:gridCol w:w="2290"/>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本年增加投资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C0C0C"/>
                <w:spacing w:val="0"/>
                <w:w w:val="100"/>
                <w:position w:val="0"/>
                <w:sz w:val="17"/>
                <w:szCs w:val="17"/>
              </w:rPr>
              <w:t>本年公允价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年末金额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C0C0C"/>
                <w:spacing w:val="0"/>
                <w:w w:val="100"/>
                <w:position w:val="0"/>
                <w:sz w:val="17"/>
                <w:szCs w:val="17"/>
              </w:rPr>
              <w:t>指定为以公允价值计量且其 变动计入当期损益的原因</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C0C0C"/>
                <w:spacing w:val="0"/>
                <w:w w:val="100"/>
                <w:position w:val="0"/>
                <w:sz w:val="17"/>
                <w:szCs w:val="17"/>
              </w:rPr>
              <w:t>博泰车联网科技（上海）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140,825,896.00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140,825,896.00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C0C0C"/>
                <w:spacing w:val="0"/>
                <w:w w:val="100"/>
                <w:position w:val="0"/>
                <w:sz w:val="17"/>
                <w:szCs w:val="17"/>
              </w:rPr>
              <w:t>战略投资长期持股，不是以近 期出售短期获利为目的。投资 不符合本金加利息的合同现 金流量特征</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C0C0C"/>
                <w:spacing w:val="0"/>
                <w:w w:val="100"/>
                <w:position w:val="0"/>
                <w:sz w:val="17"/>
                <w:szCs w:val="17"/>
              </w:rPr>
              <w:t>深圳市东信时代信息技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C0C0C"/>
                <w:spacing w:val="0"/>
                <w:w w:val="100"/>
                <w:position w:val="0"/>
              </w:rPr>
              <w:t>61,500,000.00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C0C0C"/>
                <w:spacing w:val="0"/>
                <w:w w:val="100"/>
                <w:position w:val="0"/>
              </w:rPr>
              <w:t>45,000,000.01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C0C0C"/>
                <w:spacing w:val="0"/>
                <w:w w:val="100"/>
                <w:position w:val="0"/>
              </w:rPr>
              <w:t>106,500,000.01</w:t>
            </w: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34"/>
      <w:bookmarkEnd w:id="1235"/>
      <w:bookmarkEnd w:id="1237"/>
    </w:p>
    <w:p>
      <w:pPr>
        <w:pStyle w:val="Style32"/>
        <w:keepNext/>
        <w:keepLines/>
        <w:widowControl w:val="0"/>
        <w:shd w:val="clear" w:color="auto" w:fill="auto"/>
        <w:tabs>
          <w:tab w:pos="493" w:val="left"/>
        </w:tabs>
        <w:bidi w:val="0"/>
        <w:spacing w:before="0" w:line="240" w:lineRule="auto"/>
        <w:ind w:left="0" w:right="0" w:firstLine="0"/>
        <w:jc w:val="both"/>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38"/>
      <w:bookmarkEnd w:id="1239"/>
      <w:bookmarkEnd w:id="1241"/>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both"/>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42"/>
      <w:bookmarkEnd w:id="1243"/>
      <w:bookmarkEnd w:id="1245"/>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261,527,461.56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261,527,461.56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二、本期变动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r>
              <w:rPr>
                <w:color w:val="000000"/>
                <w:spacing w:val="0"/>
                <w:w w:val="100"/>
                <w:position w:val="0"/>
                <w:sz w:val="18"/>
                <w:szCs w:val="18"/>
              </w:rPr>
              <w:t>'</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三、期末余额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257,488,242.56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257,488,242.56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46"/>
      <w:bookmarkEnd w:id="1247"/>
      <w:bookmarkEnd w:id="1249"/>
    </w:p>
    <w:p>
      <w:pPr>
        <w:pStyle w:val="Style28"/>
        <w:keepNext/>
        <w:keepLines/>
        <w:widowControl w:val="0"/>
        <w:shd w:val="clear" w:color="auto" w:fill="auto"/>
        <w:bidi w:val="0"/>
        <w:spacing w:before="0" w:after="36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50"/>
      <w:bookmarkEnd w:id="1251"/>
      <w:bookmarkEnd w:id="125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669,241,767.11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664,585,144.03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669,241,767.11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664,585,144.03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4"/>
      <w:bookmarkEnd w:id="1255"/>
      <w:bookmarkEnd w:id="1257"/>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699,215,130.07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12,852,830.68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67,524,045.54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535,079.30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780,127,085.59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25,458,695.33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1,012,558.41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5,769,850.76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32,241,104.50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1,012,558.41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5,234,771.46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6,247,329.87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25,458,695.33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25,458,695.33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535,079.30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535,079.30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516,109.20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1,927,563.75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16,339,321.50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535,079.30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19,318,073.75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516,109.20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1,894,845.86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15,919,913.79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18,330,868.85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419,407.71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452,125.60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535,079.30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535,079.30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724,157,716.20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11,937,825.34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56,954,574.80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793,050,116.34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54,747,154.26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10,315,449.16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50,188,555.63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290,782.51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115,541,941.56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16,951,090.40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488,693.90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8,949,857.56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26,389,641.86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16,951,090.40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488,693.90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8,659,075.05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26,098,859.35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290,782.51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290,782.51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516,109.20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1,618,547.65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15,697,794.83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290,782.51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18,123,234.19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516,109.20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1,586,682.23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15,301,817.51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17,404,608.94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395,977.32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427,842.74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290,782.51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290,782.51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71,182,135.46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9,185,595.41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43,440,618.36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123,808,349.23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652,975,580.74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2,752,229.93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13,513,956.44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669,241,767.11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644,467,975.81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2,537,381.52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17,335,489.91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244,296.79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664,585,144.03</w:t>
            </w:r>
          </w:p>
        </w:tc>
      </w:tr>
    </w:tbl>
    <w:p>
      <w:pPr>
        <w:widowControl w:val="0"/>
        <w:spacing w:after="339" w:line="1" w:lineRule="exact"/>
      </w:pPr>
    </w:p>
    <w:p>
      <w:pPr>
        <w:pStyle w:val="Style32"/>
        <w:keepNext/>
        <w:keepLines/>
        <w:widowControl w:val="0"/>
        <w:shd w:val="clear" w:color="auto" w:fill="auto"/>
        <w:tabs>
          <w:tab w:pos="493" w:val="left"/>
        </w:tabs>
        <w:bidi w:val="0"/>
        <w:spacing w:before="0" w:after="34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258"/>
      <w:bookmarkEnd w:id="1259"/>
      <w:bookmarkEnd w:id="1261"/>
    </w:p>
    <w:p>
      <w:pPr>
        <w:pStyle w:val="Style32"/>
        <w:keepNext/>
        <w:keepLines/>
        <w:widowControl w:val="0"/>
        <w:shd w:val="clear" w:color="auto" w:fill="auto"/>
        <w:tabs>
          <w:tab w:pos="493" w:val="left"/>
        </w:tabs>
        <w:bidi w:val="0"/>
        <w:spacing w:before="0" w:after="34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262"/>
      <w:bookmarkEnd w:id="1263"/>
      <w:bookmarkEnd w:id="1265"/>
    </w:p>
    <w:p>
      <w:pPr>
        <w:pStyle w:val="Style32"/>
        <w:keepNext/>
        <w:keepLines/>
        <w:widowControl w:val="0"/>
        <w:shd w:val="clear" w:color="auto" w:fill="auto"/>
        <w:tabs>
          <w:tab w:pos="493" w:val="left"/>
        </w:tabs>
        <w:bidi w:val="0"/>
        <w:spacing w:before="0" w:after="34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266"/>
      <w:bookmarkEnd w:id="1267"/>
      <w:bookmarkEnd w:id="1269"/>
    </w:p>
    <w:tbl>
      <w:tblPr>
        <w:tblOverlap w:val="never"/>
        <w:jc w:val="center"/>
        <w:tblLayout w:type="fixed"/>
      </w:tblPr>
      <w:tblGrid>
        <w:gridCol w:w="3293"/>
        <w:gridCol w:w="3283"/>
        <w:gridCol w:w="3293"/>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东悦荟房产项目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25,458,695.33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已经提交相关资料，尚在办理中</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25,458,695.33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70"/>
      <w:bookmarkEnd w:id="1271"/>
      <w:bookmarkEnd w:id="1273"/>
    </w:p>
    <w:p>
      <w:pPr>
        <w:pStyle w:val="Style28"/>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74"/>
      <w:bookmarkEnd w:id="1275"/>
      <w:bookmarkEnd w:id="127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8"/>
      <w:bookmarkEnd w:id="1279"/>
      <w:bookmarkEnd w:id="12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东悦荟房产项目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22,237,184.40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82"/>
      <w:bookmarkEnd w:id="1283"/>
      <w:bookmarkEnd w:id="128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本期增</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本期其</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他减少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息资本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东悦荟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房产项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22,237,1</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3,221,51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25,458,6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28,000,0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22,237,1</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3,221,51</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25,458,6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286"/>
      <w:bookmarkEnd w:id="1287"/>
      <w:bookmarkEnd w:id="1289"/>
    </w:p>
    <w:p>
      <w:pPr>
        <w:pStyle w:val="Style32"/>
        <w:keepNext/>
        <w:keepLines/>
        <w:widowControl w:val="0"/>
        <w:shd w:val="clear" w:color="auto" w:fill="auto"/>
        <w:tabs>
          <w:tab w:pos="493" w:val="left"/>
        </w:tabs>
        <w:bidi w:val="0"/>
        <w:spacing w:before="0" w:after="36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290"/>
      <w:bookmarkEnd w:id="1291"/>
      <w:bookmarkEnd w:id="1293"/>
    </w:p>
    <w:p>
      <w:pPr>
        <w:pStyle w:val="Style28"/>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294"/>
      <w:bookmarkEnd w:id="1295"/>
      <w:bookmarkEnd w:id="1297"/>
    </w:p>
    <w:p>
      <w:pPr>
        <w:pStyle w:val="Style32"/>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298"/>
      <w:bookmarkEnd w:id="1299"/>
      <w:bookmarkEnd w:id="1301"/>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302"/>
      <w:bookmarkEnd w:id="1303"/>
      <w:bookmarkEnd w:id="130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06"/>
      <w:bookmarkEnd w:id="1307"/>
      <w:bookmarkEnd w:id="130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10"/>
      <w:bookmarkEnd w:id="1311"/>
      <w:bookmarkEnd w:id="131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22,734,632.21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22,734,632.21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15,056,997.94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15,056,997.94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15,056,997.94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15,056,997.94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37,791,630.15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37,791,630.15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12,959,608.01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12,959,608.01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12,959,608.01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12,959,608.01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12,959,608.01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12,959,608.01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24,832,022.14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24,832,022.14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22,734,632.21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22,734,632.21</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14"/>
      <w:bookmarkEnd w:id="1315"/>
      <w:bookmarkEnd w:id="1317"/>
    </w:p>
    <w:p>
      <w:pPr>
        <w:pStyle w:val="Style32"/>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8"/>
      <w:bookmarkEnd w:id="1319"/>
      <w:bookmarkEnd w:id="132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数字化运营系 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23,537,369.19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98,813,534.95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25,786,802.33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148,137,706.47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84,527,662.59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108,910.90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84,636,573.49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84,527,662.59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108,910.90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84,636,573.49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182,290.60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1,699,670.60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182,290.60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1,699,670.60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23,537,369.19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183,158,906.94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24,378,333.23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231,074,609.36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8,918,208.93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61,729,762.02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9,594,563.38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80,242,534.33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2,218,852.40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18,552,494.63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255,881.89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21,027,228.92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2,218,852.40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18,552,494.63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255,881.89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21,027,228.92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166,145.40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1,024,231.23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1,190,376.63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166,145.40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1,024,231.23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1,190,376.63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11,137,061.33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80,116,111.25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8,826,214.04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100,079,386.62</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18,853,508.02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15,314,962.50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34,168,470.52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18,853,508.02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15,314,962.50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34,168,470.52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12,400,307.86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84,189,287.67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237,156.69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96,826,752.22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14,619,160.26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18,230,264.91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877,276.45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33,726,701.62</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22"/>
      <w:bookmarkEnd w:id="1323"/>
      <w:bookmarkEnd w:id="1325"/>
    </w:p>
    <w:p>
      <w:pPr>
        <w:pStyle w:val="Style28"/>
        <w:keepNext/>
        <w:keepLines/>
        <w:widowControl w:val="0"/>
        <w:shd w:val="clear" w:color="auto" w:fill="auto"/>
        <w:tabs>
          <w:tab w:pos="483" w:val="left"/>
        </w:tabs>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7</w:t>
      </w:r>
      <w:r>
        <w:rPr>
          <w:color w:val="000000"/>
          <w:spacing w:val="0"/>
          <w:w w:val="100"/>
          <w:position w:val="0"/>
        </w:rPr>
        <w:t>、</w:t>
        <w:tab/>
        <w:t>开发支出</w:t>
      </w:r>
      <w:bookmarkEnd w:id="1326"/>
      <w:bookmarkEnd w:id="1327"/>
      <w:bookmarkEnd w:id="1329"/>
    </w:p>
    <w:p>
      <w:pPr>
        <w:pStyle w:val="Style28"/>
        <w:keepNext/>
        <w:keepLines/>
        <w:widowControl w:val="0"/>
        <w:shd w:val="clear" w:color="auto" w:fill="auto"/>
        <w:tabs>
          <w:tab w:pos="483" w:val="left"/>
        </w:tabs>
        <w:bidi w:val="0"/>
        <w:spacing w:before="0" w:after="36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30"/>
      <w:bookmarkEnd w:id="1331"/>
      <w:bookmarkEnd w:id="1333"/>
    </w:p>
    <w:p>
      <w:pPr>
        <w:pStyle w:val="Style32"/>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4"/>
      <w:bookmarkEnd w:id="1335"/>
      <w:bookmarkEnd w:id="133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上海窗之外广告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25,815,101.75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25,815,101.75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省广先锋（青岛）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26,440,493.06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26,440,493.06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北京领先世广广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122,384.78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122,384.78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省广合众（北京） 国际传媒广告有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112,027,895.14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112,027,895.14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广州旗智企业管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2,559,258.18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2,559,258.18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上海传漾数字科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520,114,284.92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520,114,284.92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上海韵翔广告有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225,560,316.51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225,560,316.51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广州蓝门数字营 销顾问有限公司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64,406,683.44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64,406,683.44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上海晋拓文化传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618,227,060.56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618,227,060.56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安徽沃达网络技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211,837.04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211,837.04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海口中行天策传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14,471,700.50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14,471,700.50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上海拓畅信息技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438,543,814.63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438,543,814.63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广州市绩佳省广 餐饮管理有限公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440,566.78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440,566.78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2,048,941,397.29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14,805,922.32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2,034,135,474.97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38"/>
      <w:bookmarkEnd w:id="1339"/>
      <w:bookmarkEnd w:id="1341"/>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上海窗之外广告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25,815,101.75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25,815,101.75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rPr>
                <w:sz w:val="17"/>
                <w:szCs w:val="17"/>
              </w:rPr>
            </w:pPr>
            <w:r>
              <w:rPr>
                <w:rFonts w:ascii="SimSun" w:eastAsia="SimSun" w:hAnsi="SimSun" w:cs="SimSun"/>
                <w:color w:val="000000"/>
                <w:spacing w:val="0"/>
                <w:w w:val="100"/>
                <w:position w:val="0"/>
                <w:sz w:val="17"/>
                <w:szCs w:val="17"/>
              </w:rPr>
              <w:t>省广先锋（青岛）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26,440,493.06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26,440,493.06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北京领先世广广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122,384.78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122,384.78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省广合众（北京） 国际传媒广告有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112,027,895.14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112,027,895.14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广州旗智企业管 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上海传漾数字科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371,500,000.00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448,100,000.00</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上海韵翔广告有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广州蓝门数字营 销顾问有限公司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14,106,683.44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64,406,683.44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上海晋拓文化传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562,400,000.00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安徽沃达网络技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211,837.04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211,837.04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海口中行天策传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上海拓畅信息技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107,600,000.00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广州市绩佳省广 餐饮管理有限公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1,466,317,711.77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98,506,683.44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11,634,221.82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1,553,190,173.39</w:t>
            </w:r>
          </w:p>
        </w:tc>
      </w:tr>
    </w:tbl>
    <w:p>
      <w:pPr>
        <w:pStyle w:val="Style24"/>
        <w:keepNext w:val="0"/>
        <w:keepLines w:val="0"/>
        <w:widowControl w:val="0"/>
        <w:shd w:val="clear" w:color="auto" w:fill="auto"/>
        <w:bidi w:val="0"/>
        <w:spacing w:before="0" w:after="0" w:line="240" w:lineRule="auto"/>
        <w:ind w:left="350" w:right="0" w:firstLine="0"/>
        <w:jc w:val="left"/>
      </w:pPr>
      <w:r>
        <w:rPr>
          <w:color w:val="000000"/>
          <w:spacing w:val="0"/>
          <w:w w:val="100"/>
          <w:position w:val="0"/>
        </w:rPr>
        <w:t>商誉所在资产组或资产组组合的相关信息</w:t>
      </w:r>
    </w:p>
    <w:p>
      <w:pPr>
        <w:widowControl w:val="0"/>
        <w:spacing w:line="1" w:lineRule="exact"/>
      </w:pPr>
    </w:p>
    <w:tbl>
      <w:tblPr>
        <w:tblOverlap w:val="never"/>
        <w:jc w:val="center"/>
        <w:tblLayout w:type="fixed"/>
      </w:tblPr>
      <w:tblGrid>
        <w:gridCol w:w="4834"/>
        <w:gridCol w:w="484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资产评估报告号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广州旗智企业管理咨询有限公司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天昊资评报字【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0046</w:t>
            </w:r>
            <w:r>
              <w:rPr>
                <w:rFonts w:ascii="SimSun" w:eastAsia="SimSun" w:hAnsi="SimSun" w:cs="SimSun"/>
                <w:color w:val="000000"/>
                <w:spacing w:val="0"/>
                <w:w w:val="100"/>
                <w:position w:val="0"/>
                <w:sz w:val="17"/>
                <w:szCs w:val="17"/>
              </w:rPr>
              <w:t>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上海传漾数字科技有限公司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天昊资评报字【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0047</w:t>
            </w:r>
            <w:r>
              <w:rPr>
                <w:rFonts w:ascii="SimSun" w:eastAsia="SimSun" w:hAnsi="SimSun" w:cs="SimSun"/>
                <w:color w:val="000000"/>
                <w:spacing w:val="0"/>
                <w:w w:val="100"/>
                <w:position w:val="0"/>
                <w:sz w:val="17"/>
                <w:szCs w:val="17"/>
              </w:rPr>
              <w:t>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天昊资评报字【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0050</w:t>
            </w:r>
            <w:r>
              <w:rPr>
                <w:rFonts w:ascii="SimSun" w:eastAsia="SimSun" w:hAnsi="SimSun" w:cs="SimSun"/>
                <w:color w:val="000000"/>
                <w:spacing w:val="0"/>
                <w:w w:val="100"/>
                <w:position w:val="0"/>
                <w:sz w:val="17"/>
                <w:szCs w:val="17"/>
              </w:rPr>
              <w:t>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广州蓝门数字营销顾问有限公司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天昊资评报字【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0045</w:t>
            </w:r>
            <w:r>
              <w:rPr>
                <w:rFonts w:ascii="SimSun" w:eastAsia="SimSun" w:hAnsi="SimSun" w:cs="SimSun"/>
                <w:color w:val="000000"/>
                <w:spacing w:val="0"/>
                <w:w w:val="100"/>
                <w:position w:val="0"/>
                <w:sz w:val="17"/>
                <w:szCs w:val="17"/>
              </w:rPr>
              <w:t>号</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上海晋拓文化传播有限公司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天昊资评报字【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0048</w:t>
            </w:r>
            <w:r>
              <w:rPr>
                <w:rFonts w:ascii="SimSun" w:eastAsia="SimSun" w:hAnsi="SimSun" w:cs="SimSun"/>
                <w:color w:val="000000"/>
                <w:spacing w:val="0"/>
                <w:w w:val="100"/>
                <w:position w:val="0"/>
                <w:sz w:val="17"/>
                <w:szCs w:val="17"/>
              </w:rPr>
              <w:t>号</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上海拓畅信息技术有限公司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天昊资评报字【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0049</w:t>
            </w:r>
            <w:r>
              <w:rPr>
                <w:rFonts w:ascii="SimSun" w:eastAsia="SimSun" w:hAnsi="SimSun" w:cs="SimSun"/>
                <w:color w:val="000000"/>
                <w:spacing w:val="0"/>
                <w:w w:val="100"/>
                <w:position w:val="0"/>
                <w:sz w:val="17"/>
                <w:szCs w:val="17"/>
              </w:rPr>
              <w:t>号</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广州市绩佳省广餐饮管理有限公司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天昊资评报字【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0044</w:t>
            </w:r>
            <w:r>
              <w:rPr>
                <w:rFonts w:ascii="SimSun" w:eastAsia="SimSun" w:hAnsi="SimSun" w:cs="SimSun"/>
                <w:color w:val="000000"/>
                <w:spacing w:val="0"/>
                <w:w w:val="100"/>
                <w:position w:val="0"/>
                <w:sz w:val="17"/>
                <w:szCs w:val="17"/>
              </w:rPr>
              <w:t>号</w:t>
            </w:r>
          </w:p>
        </w:tc>
      </w:tr>
    </w:tbl>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本集团对上述商誉所在资产组进行了减值测试，确定了与商誉相关的资产组，以全部资产负债剔除非经营性资产、溢余 资产、非经营性负债和负息负债作为与商誉相关的资产组，资产组与商誉的初始确认及以后年度进行减值测试时的资产组业 务内涵相同，保持了一致性。本集团聘请天昊国际房地产土地资产评估集团有限公司对上述资产组可收回金额进行了评估并 出具评估报告，本期对商誉进行减值测试时，可收回金额按照评估结果确定。</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注：应充分披露商誉所在资产组或资产组组合的相关信息，包括该资产组或资产组组合的构成、账面金额、确定方法， 并明确说明该资产组或资产组组合是否与购买日、以前年度商誉减值测试时所确定的资产组或资产组组合一致。如果资产组 或资产组组合的构成发生变化，应在披露前后会计期间资产组或资产组组合构成的同时，充分披露导致其变化的主要事实与 依据。</w:t>
      </w:r>
    </w:p>
    <w:p>
      <w:pPr>
        <w:pStyle w:val="Style19"/>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24"/>
        <w:keepNext w:val="0"/>
        <w:keepLines w:val="0"/>
        <w:widowControl w:val="0"/>
        <w:shd w:val="clear" w:color="auto" w:fill="auto"/>
        <w:bidi w:val="0"/>
        <w:spacing w:before="0" w:after="0" w:line="240" w:lineRule="auto"/>
        <w:ind w:left="370" w:right="0" w:firstLine="0"/>
        <w:jc w:val="left"/>
      </w:pPr>
      <w:r>
        <w:rPr>
          <w:color w:val="000000"/>
          <w:spacing w:val="0"/>
          <w:w w:val="100"/>
          <w:position w:val="0"/>
          <w:sz w:val="18"/>
          <w:szCs w:val="18"/>
        </w:rPr>
        <w:t>1</w:t>
      </w:r>
      <w:r>
        <w:rPr>
          <w:color w:val="000000"/>
          <w:spacing w:val="0"/>
          <w:w w:val="100"/>
          <w:position w:val="0"/>
        </w:rPr>
        <w:t>、商誉的减值测试过程:</w:t>
      </w:r>
    </w:p>
    <w:tbl>
      <w:tblPr>
        <w:tblOverlap w:val="never"/>
        <w:jc w:val="center"/>
        <w:tblLayout w:type="fixed"/>
      </w:tblPr>
      <w:tblGrid>
        <w:gridCol w:w="2861"/>
        <w:gridCol w:w="1286"/>
        <w:gridCol w:w="1838"/>
        <w:gridCol w:w="1838"/>
        <w:gridCol w:w="18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计算过程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上海拓畅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广州旗智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上海传漾</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438,543,814.63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2,559,258.18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520,114,284.92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商誉减值准备余额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371,500,000.00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330,943,814.63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2,559,258.18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148,614,284.92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未确认归属于少数股东权益的商誉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82,860,355.19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2,460,863.79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37,210,581.74</w:t>
            </w:r>
          </w:p>
        </w:tc>
      </w:tr>
    </w:tbl>
    <w:p>
      <w:pPr>
        <w:widowControl w:val="0"/>
        <w:spacing w:line="1" w:lineRule="exact"/>
      </w:pPr>
      <w:r>
        <w:br w:type="page"/>
      </w:r>
    </w:p>
    <w:tbl>
      <w:tblPr>
        <w:tblOverlap w:val="never"/>
        <w:jc w:val="center"/>
        <w:tblLayout w:type="fixed"/>
      </w:tblPr>
      <w:tblGrid>
        <w:gridCol w:w="2861"/>
        <w:gridCol w:w="1286"/>
        <w:gridCol w:w="1838"/>
        <w:gridCol w:w="1838"/>
        <w:gridCol w:w="18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商誉整体价值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e=c+d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413,804,169.82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5,020,121.97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185,824,866.66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285,870,800.00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96,120,500.00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104,200,869.75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包含整体商誉的资产组价值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g=e+f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699,674,900.00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101,140,600.00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290,025,736.41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715,012,600.00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115,416,600.00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194,270,700.00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i=g-h </w:t>
            </w:r>
            <w:r>
              <w:rPr>
                <w:rFonts w:ascii="SimSun" w:eastAsia="SimSun" w:hAnsi="SimSun" w:cs="SimSun"/>
                <w:color w:val="000000"/>
                <w:spacing w:val="0"/>
                <w:w w:val="100"/>
                <w:position w:val="0"/>
                <w:sz w:val="17"/>
                <w:szCs w:val="17"/>
              </w:rPr>
              <w:t>（大于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95,755,036.41</w:t>
            </w:r>
          </w:p>
        </w:tc>
      </w:tr>
      <w:tr>
        <w:trPr>
          <w:trHeight w:val="9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归属于母公司的商誉减值损失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按持股比例取整</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（以商誉账面余 额为限）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76,600,000.00</w:t>
            </w:r>
          </w:p>
        </w:tc>
      </w:tr>
    </w:tbl>
    <w:p>
      <w:pPr>
        <w:widowControl w:val="0"/>
        <w:spacing w:after="39" w:line="1" w:lineRule="exact"/>
      </w:pPr>
    </w:p>
    <w:p>
      <w:pPr>
        <w:pStyle w:val="Style51"/>
        <w:keepNext w:val="0"/>
        <w:keepLines w:val="0"/>
        <w:widowControl w:val="0"/>
        <w:shd w:val="clear" w:color="auto" w:fill="auto"/>
        <w:bidi w:val="0"/>
        <w:spacing w:before="0" w:after="40" w:line="240" w:lineRule="auto"/>
        <w:ind w:left="0" w:right="0" w:firstLine="440"/>
        <w:jc w:val="left"/>
      </w:pPr>
      <w:r>
        <w:rPr>
          <w:color w:val="000000"/>
          <w:spacing w:val="0"/>
          <w:w w:val="100"/>
          <w:position w:val="0"/>
        </w:rPr>
        <w:t>（续）</w:t>
      </w:r>
    </w:p>
    <w:tbl>
      <w:tblPr>
        <w:tblOverlap w:val="never"/>
        <w:jc w:val="center"/>
        <w:tblLayout w:type="fixed"/>
      </w:tblPr>
      <w:tblGrid>
        <w:gridCol w:w="2861"/>
        <w:gridCol w:w="1286"/>
        <w:gridCol w:w="1838"/>
        <w:gridCol w:w="1838"/>
        <w:gridCol w:w="18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计算过程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上海韵翔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广州蓝门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上海晋拓</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225,560,316.51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64,406,683.44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618,227,060.56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商誉减值准备余额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562,400,000.00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26,960,316.51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14,106,683.44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55,827,060.56</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未确认归属于少数股东权益的商誉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22,297,783.49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13,710,797.46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14,196,361.73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商誉整体价值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e=c+d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49,258,100.00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27,817,480.90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70,023,422.29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72,717,700.00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43,840,025.55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317,751,000.00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包含整体商誉的资产组价值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g=e+f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121,975,800.00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71,657,506.45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387,774,400.00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107,910,000.00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43,959,700.00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398,575,700.00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i=g-h </w:t>
            </w:r>
            <w:r>
              <w:rPr>
                <w:rFonts w:ascii="SimSun" w:eastAsia="SimSun" w:hAnsi="SimSun" w:cs="SimSun"/>
                <w:color w:val="000000"/>
                <w:spacing w:val="0"/>
                <w:w w:val="100"/>
                <w:position w:val="0"/>
                <w:sz w:val="17"/>
                <w:szCs w:val="17"/>
              </w:rPr>
              <w:t>（大于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14,065,800.00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27,697,806.45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9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归属于母公司的商誉减值损失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按持股比例取整 （以商誉账面余 额为限）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14,106,683.44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 w:line="1" w:lineRule="exact"/>
      </w:pPr>
    </w:p>
    <w:p>
      <w:pPr>
        <w:pStyle w:val="Style51"/>
        <w:keepNext w:val="0"/>
        <w:keepLines w:val="0"/>
        <w:widowControl w:val="0"/>
        <w:shd w:val="clear" w:color="auto" w:fill="auto"/>
        <w:bidi w:val="0"/>
        <w:spacing w:before="0" w:after="40" w:line="240" w:lineRule="auto"/>
        <w:ind w:left="0" w:right="0" w:firstLine="440"/>
        <w:jc w:val="left"/>
      </w:pPr>
      <w:r>
        <w:rPr>
          <w:color w:val="000000"/>
          <w:spacing w:val="0"/>
          <w:w w:val="100"/>
          <w:position w:val="0"/>
        </w:rPr>
        <w:t>（续）</w:t>
      </w:r>
    </w:p>
    <w:tbl>
      <w:tblPr>
        <w:tblOverlap w:val="never"/>
        <w:jc w:val="center"/>
        <w:tblLayout w:type="fixed"/>
      </w:tblPr>
      <w:tblGrid>
        <w:gridCol w:w="4594"/>
        <w:gridCol w:w="2102"/>
        <w:gridCol w:w="2981"/>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计算过程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广州绩佳</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440,566.78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商誉减值准备余额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440,566.78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未确认归属于少数股东权益的商誉价值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135,230.40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商誉整体价值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e=c+d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575,797.18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4,098,613.40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包含整体商誉的资产组价值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g=e+f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4,674,410.58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资产组可收回金额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14,798,100.00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i=g-h </w:t>
            </w:r>
            <w:r>
              <w:rPr>
                <w:rFonts w:ascii="SimSun" w:eastAsia="SimSun" w:hAnsi="SimSun" w:cs="SimSun"/>
                <w:color w:val="000000"/>
                <w:spacing w:val="0"/>
                <w:w w:val="100"/>
                <w:position w:val="0"/>
                <w:sz w:val="17"/>
                <w:szCs w:val="17"/>
              </w:rPr>
              <w:t>（大于</w:t>
            </w:r>
            <w:r>
              <w:rPr>
                <w:color w:val="000000"/>
                <w:spacing w:val="0"/>
                <w:w w:val="100"/>
                <w:position w:val="0"/>
                <w:sz w:val="18"/>
                <w:szCs w:val="18"/>
              </w:rPr>
              <w:t>0</w:t>
            </w:r>
            <w:r>
              <w:rPr>
                <w:rFonts w:ascii="SimSun" w:eastAsia="SimSun" w:hAnsi="SimSun" w:cs="SimSun"/>
                <w:color w:val="000000"/>
                <w:spacing w:val="0"/>
                <w:w w:val="100"/>
                <w:position w:val="0"/>
                <w:sz w:val="17"/>
                <w:szCs w:val="17"/>
              </w:rPr>
              <w:t>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归属于母公司的商誉减值损失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按持股比例取整（以商誉账 面余额为限）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360" w:right="0" w:firstLine="0"/>
        <w:jc w:val="left"/>
      </w:pPr>
      <w:r>
        <w:rPr>
          <w:color w:val="000000"/>
          <w:spacing w:val="0"/>
          <w:w w:val="100"/>
          <w:position w:val="0"/>
          <w:sz w:val="18"/>
          <w:szCs w:val="18"/>
        </w:rPr>
        <w:t>2</w:t>
      </w:r>
      <w:r>
        <w:rPr>
          <w:color w:val="000000"/>
          <w:spacing w:val="0"/>
          <w:w w:val="100"/>
          <w:position w:val="0"/>
        </w:rPr>
        <w:t>、关键参数:</w:t>
      </w:r>
    </w:p>
    <w:p>
      <w:pPr>
        <w:pStyle w:val="Style19"/>
        <w:keepNext w:val="0"/>
        <w:keepLines w:val="0"/>
        <w:widowControl w:val="0"/>
        <w:shd w:val="clear" w:color="auto" w:fill="auto"/>
        <w:bidi w:val="0"/>
        <w:spacing w:before="0" w:after="0" w:line="305" w:lineRule="exact"/>
        <w:ind w:left="0" w:right="0" w:firstLine="360"/>
        <w:jc w:val="both"/>
      </w:pPr>
      <w:r>
        <w:rPr>
          <w:color w:val="000000"/>
          <w:spacing w:val="0"/>
          <w:w w:val="100"/>
          <w:position w:val="0"/>
        </w:rPr>
        <w:t>评估报告基于资产组过去的业绩、公司对市场发展的预期估计等预测该资产组未来现金流量，将</w:t>
      </w:r>
      <w:r>
        <w:rPr>
          <w:color w:val="000000"/>
          <w:spacing w:val="0"/>
          <w:w w:val="100"/>
          <w:position w:val="0"/>
          <w:sz w:val="18"/>
          <w:szCs w:val="18"/>
        </w:rPr>
        <w:t>2022</w:t>
      </w:r>
      <w:r>
        <w:rPr>
          <w:color w:val="000000"/>
          <w:spacing w:val="0"/>
          <w:w w:val="100"/>
          <w:position w:val="0"/>
        </w:rPr>
        <w:t>年至</w:t>
      </w:r>
      <w:r>
        <w:rPr>
          <w:color w:val="000000"/>
          <w:spacing w:val="0"/>
          <w:w w:val="100"/>
          <w:position w:val="0"/>
          <w:sz w:val="18"/>
          <w:szCs w:val="18"/>
        </w:rPr>
        <w:t>2026</w:t>
      </w:r>
      <w:r>
        <w:rPr>
          <w:color w:val="000000"/>
          <w:spacing w:val="0"/>
          <w:w w:val="100"/>
          <w:position w:val="0"/>
        </w:rPr>
        <w:t>年确定为 明确的预测期，</w:t>
      </w:r>
      <w:r>
        <w:rPr>
          <w:color w:val="000000"/>
          <w:spacing w:val="0"/>
          <w:w w:val="100"/>
          <w:position w:val="0"/>
          <w:sz w:val="18"/>
          <w:szCs w:val="18"/>
        </w:rPr>
        <w:t>2026</w:t>
      </w:r>
      <w:r>
        <w:rPr>
          <w:color w:val="000000"/>
          <w:spacing w:val="0"/>
          <w:w w:val="100"/>
          <w:position w:val="0"/>
        </w:rPr>
        <w:t xml:space="preserve">年后为稳定期，计算未来现金流量现值所采用的税前折现率（预测期/稳定期）分别为：广州旗智 </w:t>
      </w:r>
      <w:r>
        <w:rPr>
          <w:color w:val="000000"/>
          <w:spacing w:val="0"/>
          <w:w w:val="100"/>
          <w:position w:val="0"/>
          <w:sz w:val="18"/>
          <w:szCs w:val="18"/>
        </w:rPr>
        <w:t>16.46%/16.46%</w:t>
      </w:r>
      <w:r>
        <w:rPr>
          <w:color w:val="000000"/>
          <w:spacing w:val="0"/>
          <w:w w:val="100"/>
          <w:position w:val="0"/>
        </w:rPr>
        <w:t xml:space="preserve">、上海传漾 </w:t>
      </w:r>
      <w:r>
        <w:rPr>
          <w:color w:val="000000"/>
          <w:spacing w:val="0"/>
          <w:w w:val="100"/>
          <w:position w:val="0"/>
          <w:sz w:val="18"/>
          <w:szCs w:val="18"/>
        </w:rPr>
        <w:t>12.34%/12.31%</w:t>
      </w:r>
      <w:r>
        <w:rPr>
          <w:color w:val="000000"/>
          <w:spacing w:val="0"/>
          <w:w w:val="100"/>
          <w:position w:val="0"/>
        </w:rPr>
        <w:t xml:space="preserve">、上海韵翔 </w:t>
      </w:r>
      <w:r>
        <w:rPr>
          <w:color w:val="000000"/>
          <w:spacing w:val="0"/>
          <w:w w:val="100"/>
          <w:position w:val="0"/>
          <w:sz w:val="18"/>
          <w:szCs w:val="18"/>
        </w:rPr>
        <w:t>16.19%/16.19%</w:t>
      </w:r>
      <w:r>
        <w:rPr>
          <w:color w:val="000000"/>
          <w:spacing w:val="0"/>
          <w:w w:val="100"/>
          <w:position w:val="0"/>
        </w:rPr>
        <w:t xml:space="preserve">、广州蓝门 </w:t>
      </w:r>
      <w:r>
        <w:rPr>
          <w:color w:val="000000"/>
          <w:spacing w:val="0"/>
          <w:w w:val="100"/>
          <w:position w:val="0"/>
          <w:sz w:val="18"/>
          <w:szCs w:val="18"/>
        </w:rPr>
        <w:t>12.41%/12.34%</w:t>
      </w:r>
      <w:r>
        <w:rPr>
          <w:color w:val="000000"/>
          <w:spacing w:val="0"/>
          <w:w w:val="100"/>
          <w:position w:val="0"/>
        </w:rPr>
        <w:t xml:space="preserve">、上海晋拓 </w:t>
      </w:r>
      <w:r>
        <w:rPr>
          <w:color w:val="000000"/>
          <w:spacing w:val="0"/>
          <w:w w:val="100"/>
          <w:position w:val="0"/>
          <w:sz w:val="18"/>
          <w:szCs w:val="18"/>
        </w:rPr>
        <w:t>11.73%/11.73%</w:t>
      </w:r>
      <w:r>
        <w:rPr>
          <w:color w:val="000000"/>
          <w:spacing w:val="0"/>
          <w:w w:val="100"/>
          <w:position w:val="0"/>
        </w:rPr>
        <w:t xml:space="preserve">、 </w:t>
      </w:r>
      <w:r>
        <w:rPr>
          <w:color w:val="000000"/>
          <w:spacing w:val="0"/>
          <w:w w:val="100"/>
          <w:position w:val="0"/>
        </w:rPr>
        <w:t>上海拓畅</w:t>
      </w:r>
      <w:r>
        <w:rPr>
          <w:color w:val="000000"/>
          <w:spacing w:val="0"/>
          <w:w w:val="100"/>
          <w:position w:val="0"/>
          <w:sz w:val="18"/>
          <w:szCs w:val="18"/>
        </w:rPr>
        <w:t xml:space="preserve">11. </w:t>
      </w:r>
      <w:r>
        <w:rPr>
          <w:color w:val="000000"/>
          <w:spacing w:val="0"/>
          <w:w w:val="100"/>
          <w:position w:val="0"/>
          <w:sz w:val="18"/>
          <w:szCs w:val="18"/>
        </w:rPr>
        <w:t>56%/11.49%</w:t>
      </w:r>
      <w:r>
        <w:rPr>
          <w:color w:val="000000"/>
          <w:spacing w:val="0"/>
          <w:w w:val="100"/>
          <w:position w:val="0"/>
        </w:rPr>
        <w:t>、广州绩佳</w:t>
      </w:r>
      <w:r>
        <w:rPr>
          <w:color w:val="000000"/>
          <w:spacing w:val="0"/>
          <w:w w:val="100"/>
          <w:position w:val="0"/>
          <w:sz w:val="18"/>
          <w:szCs w:val="18"/>
        </w:rPr>
        <w:t xml:space="preserve">11. </w:t>
      </w:r>
      <w:r>
        <w:rPr>
          <w:color w:val="000000"/>
          <w:spacing w:val="0"/>
          <w:w w:val="100"/>
          <w:position w:val="0"/>
          <w:sz w:val="18"/>
          <w:szCs w:val="18"/>
        </w:rPr>
        <w:t>06%/11. 06%；</w:t>
      </w:r>
      <w:r>
        <w:rPr>
          <w:color w:val="000000"/>
          <w:spacing w:val="0"/>
          <w:w w:val="100"/>
          <w:position w:val="0"/>
        </w:rPr>
        <w:t>预测</w:t>
      </w:r>
      <w:r>
        <w:rPr>
          <w:color w:val="000000"/>
          <w:spacing w:val="0"/>
          <w:w w:val="100"/>
          <w:position w:val="0"/>
          <w:sz w:val="18"/>
          <w:szCs w:val="18"/>
        </w:rPr>
        <w:t>2022</w:t>
      </w:r>
      <w:r>
        <w:rPr>
          <w:color w:val="000000"/>
          <w:spacing w:val="0"/>
          <w:w w:val="100"/>
          <w:position w:val="0"/>
        </w:rPr>
        <w:t>年至</w:t>
      </w:r>
      <w:r>
        <w:rPr>
          <w:color w:val="000000"/>
          <w:spacing w:val="0"/>
          <w:w w:val="100"/>
          <w:position w:val="0"/>
          <w:sz w:val="18"/>
          <w:szCs w:val="18"/>
        </w:rPr>
        <w:t>2026</w:t>
      </w:r>
      <w:r>
        <w:rPr>
          <w:color w:val="000000"/>
          <w:spacing w:val="0"/>
          <w:w w:val="100"/>
          <w:position w:val="0"/>
        </w:rPr>
        <w:t>年营业收入的增长率分别为：广州旗智</w:t>
      </w:r>
      <w:r>
        <w:rPr>
          <w:color w:val="000000"/>
          <w:spacing w:val="0"/>
          <w:w w:val="100"/>
          <w:position w:val="0"/>
          <w:sz w:val="18"/>
          <w:szCs w:val="18"/>
        </w:rPr>
        <w:t xml:space="preserve">1. </w:t>
      </w:r>
      <w:r>
        <w:rPr>
          <w:color w:val="000000"/>
          <w:spacing w:val="0"/>
          <w:w w:val="100"/>
          <w:position w:val="0"/>
          <w:sz w:val="18"/>
          <w:szCs w:val="18"/>
        </w:rPr>
        <w:t>87%-13.44%</w:t>
      </w:r>
      <w:r>
        <w:rPr>
          <w:color w:val="000000"/>
          <w:spacing w:val="0"/>
          <w:w w:val="100"/>
          <w:position w:val="0"/>
        </w:rPr>
        <w:t>、 上海传漾</w:t>
      </w:r>
      <w:r>
        <w:rPr>
          <w:color w:val="000000"/>
          <w:spacing w:val="0"/>
          <w:w w:val="100"/>
          <w:position w:val="0"/>
          <w:sz w:val="18"/>
          <w:szCs w:val="18"/>
        </w:rPr>
        <w:t>0.00%-9.94%</w:t>
      </w:r>
      <w:r>
        <w:rPr>
          <w:color w:val="000000"/>
          <w:spacing w:val="0"/>
          <w:w w:val="100"/>
          <w:position w:val="0"/>
        </w:rPr>
        <w:t>、上海韵翔</w:t>
      </w:r>
      <w:r>
        <w:rPr>
          <w:color w:val="000000"/>
          <w:spacing w:val="0"/>
          <w:w w:val="100"/>
          <w:position w:val="0"/>
          <w:sz w:val="18"/>
          <w:szCs w:val="18"/>
        </w:rPr>
        <w:t xml:space="preserve">3. </w:t>
      </w:r>
      <w:r>
        <w:rPr>
          <w:color w:val="000000"/>
          <w:spacing w:val="0"/>
          <w:w w:val="100"/>
          <w:position w:val="0"/>
          <w:sz w:val="18"/>
          <w:szCs w:val="18"/>
        </w:rPr>
        <w:t>00%-15. 00%</w:t>
      </w:r>
      <w:r>
        <w:rPr>
          <w:color w:val="000000"/>
          <w:spacing w:val="0"/>
          <w:w w:val="100"/>
          <w:position w:val="0"/>
        </w:rPr>
        <w:t xml:space="preserve">、广州蓝门 </w:t>
      </w:r>
      <w:r>
        <w:rPr>
          <w:color w:val="000000"/>
          <w:spacing w:val="0"/>
          <w:w w:val="100"/>
          <w:position w:val="0"/>
          <w:sz w:val="18"/>
          <w:szCs w:val="18"/>
        </w:rPr>
        <w:t>1.35%-8.64%</w:t>
      </w:r>
      <w:r>
        <w:rPr>
          <w:color w:val="000000"/>
          <w:spacing w:val="0"/>
          <w:w w:val="100"/>
          <w:position w:val="0"/>
        </w:rPr>
        <w:t>、上海晋拓</w:t>
      </w:r>
      <w:r>
        <w:rPr>
          <w:color w:val="000000"/>
          <w:spacing w:val="0"/>
          <w:w w:val="100"/>
          <w:position w:val="0"/>
          <w:sz w:val="18"/>
          <w:szCs w:val="18"/>
        </w:rPr>
        <w:t>3.00%-15.00%</w:t>
      </w:r>
      <w:r>
        <w:rPr>
          <w:color w:val="000000"/>
          <w:spacing w:val="0"/>
          <w:w w:val="100"/>
          <w:position w:val="0"/>
        </w:rPr>
        <w:t xml:space="preserve">、上海拓畅 </w:t>
      </w:r>
      <w:r>
        <w:rPr>
          <w:color w:val="000000"/>
          <w:spacing w:val="0"/>
          <w:w w:val="100"/>
          <w:position w:val="0"/>
          <w:sz w:val="18"/>
          <w:szCs w:val="18"/>
        </w:rPr>
        <w:t>1.53%-9.11%</w:t>
      </w:r>
      <w:r>
        <w:rPr>
          <w:color w:val="000000"/>
          <w:spacing w:val="0"/>
          <w:w w:val="100"/>
          <w:position w:val="0"/>
        </w:rPr>
        <w:t>、 广州绩佳</w:t>
      </w:r>
      <w:r>
        <w:rPr>
          <w:color w:val="000000"/>
          <w:spacing w:val="0"/>
          <w:w w:val="100"/>
          <w:position w:val="0"/>
          <w:sz w:val="18"/>
          <w:szCs w:val="18"/>
        </w:rPr>
        <w:t xml:space="preserve">2. </w:t>
      </w:r>
      <w:r>
        <w:rPr>
          <w:color w:val="000000"/>
          <w:spacing w:val="0"/>
          <w:w w:val="100"/>
          <w:position w:val="0"/>
          <w:sz w:val="18"/>
          <w:szCs w:val="18"/>
        </w:rPr>
        <w:t>00%-19. 96%</w:t>
      </w:r>
      <w:r>
        <w:rPr>
          <w:color w:val="000000"/>
          <w:spacing w:val="0"/>
          <w:w w:val="100"/>
          <w:position w:val="0"/>
        </w:rPr>
        <w:t>。稳定期增长率均为</w:t>
      </w:r>
      <w:r>
        <w:rPr>
          <w:color w:val="000000"/>
          <w:spacing w:val="0"/>
          <w:w w:val="100"/>
          <w:position w:val="0"/>
          <w:sz w:val="18"/>
          <w:szCs w:val="18"/>
        </w:rPr>
        <w:t>0</w:t>
      </w:r>
      <w:r>
        <w:rPr>
          <w:color w:val="000000"/>
          <w:spacing w:val="0"/>
          <w:w w:val="100"/>
          <w:position w:val="0"/>
        </w:rPr>
        <w:t>。</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sz w:val="18"/>
          <w:szCs w:val="18"/>
        </w:rPr>
        <w:t>3</w:t>
      </w:r>
      <w:r>
        <w:rPr>
          <w:color w:val="000000"/>
          <w:spacing w:val="0"/>
          <w:w w:val="100"/>
          <w:position w:val="0"/>
        </w:rPr>
        <w:t>、可收回金额的确定方法</w:t>
      </w:r>
    </w:p>
    <w:p>
      <w:pPr>
        <w:pStyle w:val="Style19"/>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根据《企业会计准则第</w:t>
      </w:r>
      <w:r>
        <w:rPr>
          <w:color w:val="000000"/>
          <w:spacing w:val="0"/>
          <w:w w:val="100"/>
          <w:position w:val="0"/>
          <w:sz w:val="18"/>
          <w:szCs w:val="18"/>
        </w:rPr>
        <w:t>8</w:t>
      </w:r>
      <w:r>
        <w:rPr>
          <w:color w:val="000000"/>
          <w:spacing w:val="0"/>
          <w:w w:val="100"/>
          <w:position w:val="0"/>
        </w:rPr>
        <w:t>号-资产减值》规定：“资产存在减值迹象的，应当估计其可收回金额。可收回金额应当根据资 产的公允价值减去处置费用后的净额与资产预计未来现金流量的现值两者之间较高者确定”。</w:t>
      </w:r>
    </w:p>
    <w:p>
      <w:pPr>
        <w:pStyle w:val="Style28"/>
        <w:keepNext/>
        <w:keepLines/>
        <w:widowControl w:val="0"/>
        <w:shd w:val="clear" w:color="auto" w:fill="auto"/>
        <w:bidi w:val="0"/>
        <w:spacing w:before="0" w:after="36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42"/>
      <w:bookmarkEnd w:id="1343"/>
      <w:bookmarkEnd w:id="134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候车厅安装费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10,463,578.18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4,525,305.20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5,471,968.82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9,516,914.56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3,254,835.09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127,243.26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1,984,587.48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1,397,490.87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信息系统构建支出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1,147,479.46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215,161.04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1,095,126.99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267,513.51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广告灯箱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654,381.05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463,565.19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206,614.19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新办公楼房租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50,596.88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其他需分摊支出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32,563.83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25,767.75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15,612,961.48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4,883,507.83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9,031,571.55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11,464,897.76</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6"/>
      <w:bookmarkEnd w:id="1347"/>
      <w:bookmarkEnd w:id="1349"/>
    </w:p>
    <w:p>
      <w:pPr>
        <w:pStyle w:val="Style32"/>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50"/>
      <w:bookmarkEnd w:id="1351"/>
      <w:bookmarkEnd w:id="13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919,390,836.88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150,025,593.03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787,178,328.78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133,137,955.13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66,820,162.86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8,912,672.79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33,024,017.21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4,003,667.62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预提工资费用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2,822,741.13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423,411.17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8,137,846.87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1,220,677.03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19,173,472.87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2,473,878.25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994,348,846.61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160,158,942.85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842,198,559.99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140,038,912.17</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4"/>
      <w:bookmarkEnd w:id="1355"/>
      <w:bookmarkEnd w:id="1357"/>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20,985.00</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投资性房地产公允价值 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105,433,617.40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15,815,042.60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104,754,532.99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15,713,179.95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105,433,617.40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15,815,042.60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104,894,432.99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15,734,164.95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58"/>
      <w:bookmarkEnd w:id="1359"/>
      <w:bookmarkEnd w:id="13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160,158,942.85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140,038,912.17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15,815,042.60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15,734,164.95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62"/>
      <w:bookmarkEnd w:id="1363"/>
      <w:bookmarkEnd w:id="136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197,111,502.87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192,074,763.67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62,204,555.04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60,793,187.83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259,316,057.91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252,867,951.50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66"/>
      <w:bookmarkEnd w:id="1367"/>
      <w:bookmarkEnd w:id="136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175,065.76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3,390,816.43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4,723,248.77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14,737,537.35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6,491,202.64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14,886,713.80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7,687,810.32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23,654,898.91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43,127,227.55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4,042,069.07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81,152.27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62,204,555.04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60,793,187.83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keepLines/>
        <w:widowControl w:val="0"/>
        <w:shd w:val="clear" w:color="auto" w:fill="auto"/>
        <w:tabs>
          <w:tab w:pos="483" w:val="left"/>
        </w:tabs>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w:t>
        <w:tab/>
        <w:t>其他非流动资产</w:t>
      </w:r>
      <w:bookmarkEnd w:id="1370"/>
      <w:bookmarkEnd w:id="1371"/>
      <w:bookmarkEnd w:id="1373"/>
    </w:p>
    <w:p>
      <w:pPr>
        <w:pStyle w:val="Style28"/>
        <w:keepNext/>
        <w:keepLines/>
        <w:widowControl w:val="0"/>
        <w:shd w:val="clear" w:color="auto" w:fill="auto"/>
        <w:tabs>
          <w:tab w:pos="483" w:val="left"/>
        </w:tabs>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374"/>
      <w:bookmarkEnd w:id="1375"/>
      <w:bookmarkEnd w:id="1377"/>
    </w:p>
    <w:p>
      <w:pPr>
        <w:pStyle w:val="Style32"/>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8"/>
      <w:bookmarkEnd w:id="1379"/>
      <w:bookmarkEnd w:id="1381"/>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44,076,725.07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293,647,932.55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157,712.80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337,882,370.42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9"/>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本公司之子公司上海晋拓文化传播有限公司与中国银行股份有限公司上海市闵行支行签订了合同号为闵行</w:t>
      </w:r>
      <w:r>
        <w:rPr>
          <w:color w:val="000000"/>
          <w:spacing w:val="0"/>
          <w:w w:val="100"/>
          <w:position w:val="0"/>
          <w:sz w:val="18"/>
          <w:szCs w:val="18"/>
        </w:rPr>
        <w:t>2021</w:t>
      </w:r>
      <w:r>
        <w:rPr>
          <w:color w:val="000000"/>
          <w:spacing w:val="0"/>
          <w:w w:val="100"/>
          <w:position w:val="0"/>
        </w:rPr>
        <w:t>年流字 第</w:t>
      </w:r>
      <w:r>
        <w:rPr>
          <w:color w:val="000000"/>
          <w:spacing w:val="0"/>
          <w:w w:val="100"/>
          <w:position w:val="0"/>
          <w:sz w:val="18"/>
          <w:szCs w:val="18"/>
        </w:rPr>
        <w:t>21286900-0</w:t>
      </w:r>
      <w:r>
        <w:rPr>
          <w:color w:val="000000"/>
          <w:spacing w:val="0"/>
          <w:w w:val="100"/>
          <w:position w:val="0"/>
          <w:sz w:val="18"/>
          <w:szCs w:val="18"/>
        </w:rPr>
        <w:t>1</w:t>
      </w:r>
      <w:r>
        <w:rPr>
          <w:color w:val="000000"/>
          <w:spacing w:val="0"/>
          <w:w w:val="100"/>
          <w:position w:val="0"/>
        </w:rPr>
        <w:t>号的《流动资金贷款合同》，取得贷款</w:t>
      </w: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32"/>
        <w:keepNext/>
        <w:keepLines/>
        <w:widowControl w:val="0"/>
        <w:shd w:val="clear" w:color="auto" w:fill="auto"/>
        <w:bidi w:val="0"/>
        <w:spacing w:before="0" w:after="30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82"/>
      <w:bookmarkEnd w:id="1383"/>
      <w:bookmarkEnd w:id="1385"/>
    </w:p>
    <w:p>
      <w:pPr>
        <w:pStyle w:val="Style19"/>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19"/>
        <w:keepNext w:val="0"/>
        <w:keepLines w:val="0"/>
        <w:widowControl w:val="0"/>
        <w:shd w:val="clear" w:color="auto" w:fill="auto"/>
        <w:bidi w:val="0"/>
        <w:spacing w:before="0" w:after="380" w:line="302" w:lineRule="exact"/>
        <w:ind w:left="0" w:right="0" w:firstLine="380"/>
        <w:jc w:val="left"/>
      </w:pPr>
      <w:r>
        <w:rPr>
          <w:color w:val="000000"/>
          <w:spacing w:val="0"/>
          <w:w w:val="100"/>
          <w:position w:val="0"/>
        </w:rPr>
        <w:t>报告期无已逾期未偿还的短期借款。</w:t>
      </w:r>
    </w:p>
    <w:p>
      <w:pPr>
        <w:pStyle w:val="Style28"/>
        <w:keepNext/>
        <w:keepLines/>
        <w:widowControl w:val="0"/>
        <w:shd w:val="clear" w:color="auto" w:fill="auto"/>
        <w:tabs>
          <w:tab w:pos="483" w:val="left"/>
        </w:tabs>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386"/>
      <w:bookmarkEnd w:id="1387"/>
      <w:bookmarkEnd w:id="1389"/>
    </w:p>
    <w:p>
      <w:pPr>
        <w:pStyle w:val="Style28"/>
        <w:keepNext/>
        <w:keepLines/>
        <w:widowControl w:val="0"/>
        <w:shd w:val="clear" w:color="auto" w:fill="auto"/>
        <w:tabs>
          <w:tab w:pos="483" w:val="left"/>
        </w:tabs>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390"/>
      <w:bookmarkEnd w:id="1391"/>
      <w:bookmarkEnd w:id="1393"/>
    </w:p>
    <w:p>
      <w:pPr>
        <w:pStyle w:val="Style28"/>
        <w:keepNext/>
        <w:keepLines/>
        <w:widowControl w:val="0"/>
        <w:shd w:val="clear" w:color="auto" w:fill="auto"/>
        <w:tabs>
          <w:tab w:pos="483" w:val="left"/>
        </w:tabs>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394"/>
      <w:bookmarkEnd w:id="1395"/>
      <w:bookmarkEnd w:id="1397"/>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227,821,495.46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193,532,908.80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227,821,495.46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193,532,908.80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98"/>
      <w:bookmarkEnd w:id="1399"/>
      <w:bookmarkEnd w:id="1401"/>
    </w:p>
    <w:p>
      <w:pPr>
        <w:pStyle w:val="Style32"/>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02"/>
      <w:bookmarkEnd w:id="1403"/>
      <w:bookmarkEnd w:id="1405"/>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2,023,442,998.00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2,137,754,326.32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140,445,374.80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77,733,087.57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19,286,585.61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17,016,918.30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33,521,828.60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38,021,383.43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2,216,696,787.01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2,270,525,715.62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06"/>
      <w:bookmarkEnd w:id="1407"/>
      <w:bookmarkEnd w:id="1409"/>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众成就娱乐传媒有限公司上海分公司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必喜品牌管理（北京）有限公司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2,519,151.09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北京来去互联科技有限公司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广东省广影股份有限公司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1,851,723.50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上海源腾广告设计制作有限公司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1,772,917.00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16,573,791.59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10"/>
      <w:bookmarkEnd w:id="1411"/>
      <w:bookmarkEnd w:id="1413"/>
    </w:p>
    <w:p>
      <w:pPr>
        <w:pStyle w:val="Style32"/>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14"/>
      <w:bookmarkEnd w:id="1415"/>
      <w:bookmarkEnd w:id="1417"/>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586,589.48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946,308.14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586,589.48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946,308.14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18"/>
      <w:bookmarkEnd w:id="1419"/>
      <w:bookmarkEnd w:id="142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不存在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22"/>
      <w:bookmarkEnd w:id="1423"/>
      <w:bookmarkEnd w:id="142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预收客户款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248,800,532.45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182,620,512.02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248,800,532.45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182,620,512.02</w:t>
            </w:r>
          </w:p>
        </w:tc>
      </w:tr>
    </w:tbl>
    <w:p>
      <w:pPr>
        <w:spacing w:lineRule="exact" w:line="1"/>
        <w:rPr>
          <w:sz w:val="2"/>
          <w:szCs w:val="2"/>
        </w:rPr>
      </w:pPr>
      <w:r>
        <w:br w:type="page"/>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报告期内账面价值发生重大变动的金额和原因</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26"/>
      <w:bookmarkEnd w:id="1427"/>
      <w:bookmarkEnd w:id="1429"/>
    </w:p>
    <w:p>
      <w:pPr>
        <w:pStyle w:val="Style32"/>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30"/>
      <w:bookmarkEnd w:id="1431"/>
      <w:bookmarkEnd w:id="14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131,528,980.54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710,305,770.20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728,179,904.58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113,654,846.16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1,495,854.48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72,231,361.38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71,528,201.40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2,199,014.46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1,446,757.62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15,241,794.92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15,284,297.54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1,404,255.00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134,471,592.64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797,778,926.50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814,992,403.52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117,258,115.62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34"/>
      <w:bookmarkEnd w:id="1435"/>
      <w:bookmarkEnd w:id="143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126,214,229.92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632,491,731.75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650,037,045.62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108,668,916.05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199,545.00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17,869,105.67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17,869,105.67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199,545.00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610,464.11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28,275,265.77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28,205,116.28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680,613.60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563,322.15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25,034,325.44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25,000,397.22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597,250.37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673,064.16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664,658.01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26,327.76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29,220.35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1,897,666.37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1,906,385.87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670,209.80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633,675.18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36,534.62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1,555,963.61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26,838,987.98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27,000,856.79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1,394,094.80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2,948,777.90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4,797,837.00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5,034,938.19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2,711,676.71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32,842.03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131,528,980.54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710,305,770.20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728,179,904.58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113,654,846.16</w:t>
            </w:r>
          </w:p>
        </w:tc>
      </w:tr>
    </w:tbl>
    <w:p>
      <w:pPr>
        <w:spacing w:lineRule="exact" w:line="1"/>
        <w:rPr>
          <w:sz w:val="2"/>
          <w:szCs w:val="2"/>
        </w:rPr>
      </w:pPr>
      <w:r>
        <w:br w:type="page"/>
      </w:r>
    </w:p>
    <w:p>
      <w:pPr>
        <w:pStyle w:val="Style32"/>
        <w:keepNext/>
        <w:keepLines/>
        <w:widowControl w:val="0"/>
        <w:shd w:val="clear" w:color="auto" w:fill="auto"/>
        <w:bidi w:val="0"/>
        <w:spacing w:before="0" w:after="40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38"/>
      <w:bookmarkEnd w:id="1439"/>
      <w:bookmarkEnd w:id="14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695,011.34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57,933,878.98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57,276,955.42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1,351,934.90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18,077.02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1,890,573.05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1,861,058.55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47,591.52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782,766.12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12,406,909.35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12,390,187.43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799,488.04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1,495,854.48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72,231,361.38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71,528,201.40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2,199,014.46</w:t>
            </w:r>
          </w:p>
        </w:tc>
      </w:tr>
    </w:tbl>
    <w:p>
      <w:pPr>
        <w:widowControl w:val="0"/>
        <w:spacing w:after="299" w:line="1" w:lineRule="exact"/>
      </w:pPr>
    </w:p>
    <w:p>
      <w:pPr>
        <w:pStyle w:val="Style28"/>
        <w:keepNext/>
        <w:keepLines/>
        <w:widowControl w:val="0"/>
        <w:shd w:val="clear" w:color="auto" w:fill="auto"/>
        <w:bidi w:val="0"/>
        <w:spacing w:before="0" w:after="40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42"/>
      <w:bookmarkEnd w:id="1443"/>
      <w:bookmarkEnd w:id="144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7,226,880.98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14,813,009.79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64,064,489.37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48,944,788.03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19,122,105.74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25,831,817.89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328,640.61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528,164.61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153,004.93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237,442.57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97,642.71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156,172.90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561,927.44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3,328,982.61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2,425,036.78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契税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92,084.76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46,042.38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243,881.34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82,435.27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17,677.59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7,276.62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7,276.62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94,666,459.75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93,651,795.66</w:t>
            </w:r>
          </w:p>
        </w:tc>
      </w:tr>
    </w:tbl>
    <w:p>
      <w:pPr>
        <w:widowControl w:val="0"/>
        <w:spacing w:after="299" w:line="1" w:lineRule="exact"/>
      </w:pPr>
    </w:p>
    <w:p>
      <w:pPr>
        <w:pStyle w:val="Style28"/>
        <w:keepNext/>
        <w:keepLines/>
        <w:widowControl w:val="0"/>
        <w:shd w:val="clear" w:color="auto" w:fill="auto"/>
        <w:bidi w:val="0"/>
        <w:spacing w:before="0" w:after="40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46"/>
      <w:bookmarkEnd w:id="1447"/>
      <w:bookmarkEnd w:id="144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71,333,013.93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85,544,190.19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73,133,013.93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92,294,190.19</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both"/>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50"/>
      <w:bookmarkEnd w:id="1451"/>
      <w:bookmarkEnd w:id="145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54"/>
      <w:bookmarkEnd w:id="1455"/>
      <w:bookmarkEnd w:id="1457"/>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6,750,000.00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58"/>
      <w:bookmarkEnd w:id="1459"/>
      <w:bookmarkEnd w:id="1461"/>
    </w:p>
    <w:p>
      <w:pPr>
        <w:pStyle w:val="Style48"/>
        <w:keepNext/>
        <w:keepLines/>
        <w:widowControl w:val="0"/>
        <w:shd w:val="clear" w:color="auto" w:fill="auto"/>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color w:val="000000"/>
          <w:spacing w:val="0"/>
          <w:w w:val="100"/>
          <w:position w:val="0"/>
        </w:rPr>
        <w:t>）按款项性质列示其他应付款</w:t>
      </w:r>
      <w:bookmarkEnd w:id="1462"/>
      <w:bookmarkEnd w:id="1463"/>
      <w:bookmarkEnd w:id="146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8,208,434.20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5,671,720.64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14,642,385.39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13,066,778.14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22,344,997.12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10,291,592.92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3,381,101.41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3,380,216.10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其他应付员工工资社保公积金款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2,315,332.89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2,062,833.51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8,540,762.92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8,071,048.88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71,333,013.93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85,544,190.19</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bookmarkEnd w:id="146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66"/>
      <w:bookmarkEnd w:id="1467"/>
      <w:bookmarkEnd w:id="146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重庆年度广告传媒有限公司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6,028,900.00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上海渠聚广告有限公司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优刻得科技股份有限公司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TAI HE TIANXIA TECHNOLOGY CO</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1,611,850.00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未到结算期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13,253,150.00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8"/>
        <w:keepNext/>
        <w:keepLines/>
        <w:widowControl w:val="0"/>
        <w:shd w:val="clear" w:color="auto" w:fill="auto"/>
        <w:tabs>
          <w:tab w:pos="483" w:val="left"/>
        </w:tabs>
        <w:bidi w:val="0"/>
        <w:spacing w:before="0" w:after="3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470"/>
      <w:bookmarkEnd w:id="1471"/>
      <w:bookmarkEnd w:id="1473"/>
    </w:p>
    <w:p>
      <w:pPr>
        <w:pStyle w:val="Style28"/>
        <w:keepNext/>
        <w:keepLines/>
        <w:widowControl w:val="0"/>
        <w:shd w:val="clear" w:color="auto" w:fill="auto"/>
        <w:tabs>
          <w:tab w:pos="483" w:val="left"/>
        </w:tabs>
        <w:bidi w:val="0"/>
        <w:spacing w:before="0" w:after="36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74"/>
      <w:bookmarkEnd w:id="1475"/>
      <w:bookmarkEnd w:id="147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15,361,555.58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9,887,817.02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15,361,555.58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9,887,817.02</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78"/>
      <w:bookmarkEnd w:id="1479"/>
      <w:bookmarkEnd w:id="148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96,537,256.57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94,629,391.81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96,537,256.57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94,629,391.81</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82"/>
      <w:bookmarkEnd w:id="1483"/>
      <w:bookmarkEnd w:id="1485"/>
    </w:p>
    <w:p>
      <w:pPr>
        <w:pStyle w:val="Style32"/>
        <w:keepNext/>
        <w:keepLines/>
        <w:widowControl w:val="0"/>
        <w:shd w:val="clear" w:color="auto" w:fill="auto"/>
        <w:bidi w:val="0"/>
        <w:spacing w:before="0" w:after="36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86"/>
      <w:bookmarkEnd w:id="1487"/>
      <w:bookmarkEnd w:id="1489"/>
    </w:p>
    <w:p>
      <w:pPr>
        <w:pStyle w:val="Style28"/>
        <w:keepNext/>
        <w:keepLines/>
        <w:widowControl w:val="0"/>
        <w:shd w:val="clear" w:color="auto" w:fill="auto"/>
        <w:tabs>
          <w:tab w:pos="483" w:val="left"/>
        </w:tabs>
        <w:bidi w:val="0"/>
        <w:spacing w:before="0" w:after="36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90"/>
      <w:bookmarkEnd w:id="1491"/>
      <w:bookmarkEnd w:id="1493"/>
    </w:p>
    <w:p>
      <w:pPr>
        <w:pStyle w:val="Style32"/>
        <w:keepNext/>
        <w:keepLines/>
        <w:widowControl w:val="0"/>
        <w:shd w:val="clear" w:color="auto" w:fill="auto"/>
        <w:tabs>
          <w:tab w:pos="493" w:val="left"/>
        </w:tabs>
        <w:bidi w:val="0"/>
        <w:spacing w:before="0" w:after="36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494"/>
      <w:bookmarkEnd w:id="1495"/>
      <w:bookmarkEnd w:id="1497"/>
    </w:p>
    <w:p>
      <w:pPr>
        <w:pStyle w:val="Style32"/>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98"/>
      <w:bookmarkEnd w:id="1499"/>
      <w:bookmarkEnd w:id="1501"/>
    </w:p>
    <w:p>
      <w:pPr>
        <w:pStyle w:val="Style32"/>
        <w:keepNext/>
        <w:keepLines/>
        <w:widowControl w:val="0"/>
        <w:shd w:val="clear" w:color="auto" w:fill="auto"/>
        <w:tabs>
          <w:tab w:pos="493" w:val="left"/>
        </w:tabs>
        <w:bidi w:val="0"/>
        <w:spacing w:before="0" w:after="360" w:line="240" w:lineRule="auto"/>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w:t>
      </w:r>
      <w:bookmarkEnd w:id="1504"/>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02"/>
      <w:bookmarkEnd w:id="1503"/>
      <w:bookmarkEnd w:id="1505"/>
    </w:p>
    <w:p>
      <w:pPr>
        <w:pStyle w:val="Style32"/>
        <w:keepNext/>
        <w:keepLines/>
        <w:widowControl w:val="0"/>
        <w:shd w:val="clear" w:color="auto" w:fill="auto"/>
        <w:tabs>
          <w:tab w:pos="493" w:val="left"/>
        </w:tabs>
        <w:bidi w:val="0"/>
        <w:spacing w:before="0" w:after="360" w:line="240" w:lineRule="auto"/>
        <w:ind w:left="0" w:right="0" w:firstLine="0"/>
        <w:jc w:val="left"/>
      </w:pPr>
      <w:bookmarkStart w:id="1506" w:name="bookmark1506"/>
      <w:bookmarkStart w:id="1507" w:name="bookmark1507"/>
      <w:bookmarkStart w:id="1508" w:name="bookmark1508"/>
      <w:bookmarkStart w:id="1509" w:name="bookmark1509"/>
      <w:r>
        <w:rPr>
          <w:color w:val="000000"/>
          <w:spacing w:val="0"/>
          <w:w w:val="100"/>
          <w:position w:val="0"/>
        </w:rPr>
        <w:t>（</w:t>
      </w:r>
      <w:bookmarkEnd w:id="1508"/>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06"/>
      <w:bookmarkEnd w:id="1507"/>
      <w:bookmarkEnd w:id="1509"/>
    </w:p>
    <w:p>
      <w:pPr>
        <w:pStyle w:val="Style28"/>
        <w:keepNext/>
        <w:keepLines/>
        <w:widowControl w:val="0"/>
        <w:shd w:val="clear" w:color="auto" w:fill="auto"/>
        <w:tabs>
          <w:tab w:pos="483" w:val="left"/>
        </w:tabs>
        <w:bidi w:val="0"/>
        <w:spacing w:before="0" w:after="36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10"/>
      <w:bookmarkEnd w:id="1511"/>
      <w:bookmarkEnd w:id="151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24,956,622.84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22,734,632.21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-15,361,555.58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-9,887,817.02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9,595,067.26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12,846,815.19</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其中：未确认融资费用</w:t>
      </w:r>
      <w:r>
        <w:rPr>
          <w:rFonts w:ascii="Times New Roman" w:eastAsia="Times New Roman" w:hAnsi="Times New Roman" w:cs="Times New Roman"/>
          <w:color w:val="000000"/>
          <w:spacing w:val="0"/>
          <w:w w:val="100"/>
          <w:position w:val="0"/>
          <w:sz w:val="18"/>
          <w:szCs w:val="18"/>
        </w:rPr>
        <w:t>993,645.06</w:t>
      </w:r>
      <w:r>
        <w:rPr>
          <w:color w:val="000000"/>
          <w:spacing w:val="0"/>
          <w:w w:val="100"/>
          <w:position w:val="0"/>
        </w:rPr>
        <w:t>元。</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本集团对租赁负债的流动性风险管理措施，以及年末租赁负债的到期期限分析参见本附注十、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483" w:val="left"/>
        </w:tabs>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14"/>
      <w:bookmarkEnd w:id="1515"/>
      <w:bookmarkEnd w:id="1517"/>
    </w:p>
    <w:p>
      <w:pPr>
        <w:pStyle w:val="Style32"/>
        <w:keepNext/>
        <w:keepLines/>
        <w:widowControl w:val="0"/>
        <w:shd w:val="clear" w:color="auto" w:fill="auto"/>
        <w:tabs>
          <w:tab w:pos="493" w:val="left"/>
        </w:tabs>
        <w:bidi w:val="0"/>
        <w:spacing w:before="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1</w:t>
      </w:r>
      <w:r>
        <w:rPr>
          <w:color w:val="000000"/>
          <w:spacing w:val="0"/>
          <w:w w:val="100"/>
          <w:position w:val="0"/>
        </w:rPr>
        <w:t>）</w:t>
        <w:tab/>
        <w:t>按款项性质列示长期应付款</w:t>
      </w:r>
      <w:bookmarkEnd w:id="1518"/>
      <w:bookmarkEnd w:id="1519"/>
      <w:bookmarkEnd w:id="1521"/>
    </w:p>
    <w:p>
      <w:pPr>
        <w:pStyle w:val="Style32"/>
        <w:keepNext/>
        <w:keepLines/>
        <w:widowControl w:val="0"/>
        <w:shd w:val="clear" w:color="auto" w:fill="auto"/>
        <w:tabs>
          <w:tab w:pos="493" w:val="left"/>
        </w:tabs>
        <w:bidi w:val="0"/>
        <w:spacing w:before="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bookmarkEnd w:id="1522"/>
      <w:bookmarkEnd w:id="1523"/>
      <w:bookmarkEnd w:id="1525"/>
    </w:p>
    <w:p>
      <w:pPr>
        <w:pStyle w:val="Style28"/>
        <w:keepNext/>
        <w:keepLines/>
        <w:widowControl w:val="0"/>
        <w:shd w:val="clear" w:color="auto" w:fill="auto"/>
        <w:tabs>
          <w:tab w:pos="483" w:val="left"/>
        </w:tabs>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26"/>
      <w:bookmarkEnd w:id="1527"/>
      <w:bookmarkEnd w:id="1529"/>
    </w:p>
    <w:p>
      <w:pPr>
        <w:pStyle w:val="Style32"/>
        <w:keepNext/>
        <w:keepLines/>
        <w:widowControl w:val="0"/>
        <w:shd w:val="clear" w:color="auto" w:fill="auto"/>
        <w:tabs>
          <w:tab w:pos="493" w:val="left"/>
        </w:tabs>
        <w:bidi w:val="0"/>
        <w:spacing w:before="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530"/>
      <w:bookmarkEnd w:id="1531"/>
      <w:bookmarkEnd w:id="1533"/>
    </w:p>
    <w:p>
      <w:pPr>
        <w:pStyle w:val="Style32"/>
        <w:keepNext/>
        <w:keepLines/>
        <w:widowControl w:val="0"/>
        <w:shd w:val="clear" w:color="auto" w:fill="auto"/>
        <w:tabs>
          <w:tab w:pos="493" w:val="left"/>
        </w:tabs>
        <w:bidi w:val="0"/>
        <w:spacing w:before="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534"/>
      <w:bookmarkEnd w:id="1535"/>
      <w:bookmarkEnd w:id="1537"/>
    </w:p>
    <w:p>
      <w:pPr>
        <w:pStyle w:val="Style28"/>
        <w:keepNext/>
        <w:keepLines/>
        <w:widowControl w:val="0"/>
        <w:shd w:val="clear" w:color="auto" w:fill="auto"/>
        <w:tabs>
          <w:tab w:pos="483" w:val="left"/>
        </w:tabs>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5</w:t>
      </w:r>
      <w:bookmarkEnd w:id="1540"/>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38"/>
      <w:bookmarkEnd w:id="1539"/>
      <w:bookmarkEnd w:id="1541"/>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收购股权的或有对价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25,873,030.74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119,819,580.71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25,873,030.74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119,819,580.71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收购股权的或有对价项目</w:t>
      </w:r>
    </w:p>
    <w:p>
      <w:pPr>
        <w:pStyle w:val="Style24"/>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根据公司收购股权与交易对手签订附条件合同约定，所收购标的公司经营达到一定的目标后，由公司向交易对手支付相 关的股权转让款。在收购标的公司时，预期标的公司很可能实现经营目标，因此将预计未来很可能支付的股权转让款项计入 预计负债。报告期末，由于收购标的公司暂未实现经营业绩的约定条件而未支付的股权转让款情况如下：</w:t>
      </w:r>
    </w:p>
    <w:tbl>
      <w:tblPr>
        <w:tblOverlap w:val="never"/>
        <w:jc w:val="center"/>
        <w:tblLayout w:type="fixed"/>
      </w:tblPr>
      <w:tblGrid>
        <w:gridCol w:w="4584"/>
        <w:gridCol w:w="2611"/>
        <w:gridCol w:w="248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收购的标的公司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年初余额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收购省广先锋（青岛）广告有限公司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15,270,757.28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15,270,757.28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收购上海传漾数字科技有限公司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4,520,000.00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9,520,000.00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收购广州旗智企业管理咨询有限公司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3,917,674.56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3,917,674.56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收购中懋（广州）广告有限公司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1,849,893.36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1,849,893.36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收购省广合众（北京）国际传媒广告有限公司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314,705.54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13,238,930.05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收购上海拓畅信息技术有限公司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75,488,400.00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收购上海晋拓文化传播有限公司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532,539.53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收购广州蓝门数字营销顾问有限公司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1,385.93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C0C0C"/>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25,873,030.74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C0C0C"/>
                <w:spacing w:val="0"/>
                <w:w w:val="100"/>
                <w:position w:val="0"/>
              </w:rPr>
              <w:t>119,819,580.71</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42"/>
      <w:bookmarkEnd w:id="1543"/>
      <w:bookmarkEnd w:id="1545"/>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266,666.32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政府拨款项目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266,666.32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"GDAD</w:t>
            </w:r>
            <w:r>
              <w:rPr>
                <w:rFonts w:ascii="SimSun" w:eastAsia="SimSun" w:hAnsi="SimSun" w:cs="SimSun"/>
                <w:color w:val="000000"/>
                <w:spacing w:val="0"/>
                <w:w w:val="100"/>
                <w:position w:val="0"/>
                <w:sz w:val="17"/>
                <w:szCs w:val="17"/>
              </w:rPr>
              <w:t>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字化品牌引</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擎建设项目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专项补助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266,666.32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200,000.04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66,666.28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bl>
    <w:p>
      <w:pPr>
        <w:widowControl w:val="0"/>
        <w:spacing w:after="359" w:line="1" w:lineRule="exact"/>
      </w:pPr>
    </w:p>
    <w:p>
      <w:pPr>
        <w:pStyle w:val="Style28"/>
        <w:keepNext/>
        <w:keepLines/>
        <w:widowControl w:val="0"/>
        <w:shd w:val="clear" w:color="auto" w:fill="auto"/>
        <w:tabs>
          <w:tab w:pos="483" w:val="left"/>
        </w:tabs>
        <w:bidi w:val="0"/>
        <w:spacing w:before="0" w:after="36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46"/>
      <w:bookmarkEnd w:id="1547"/>
      <w:bookmarkEnd w:id="1549"/>
    </w:p>
    <w:p>
      <w:pPr>
        <w:pStyle w:val="Style28"/>
        <w:keepNext/>
        <w:keepLines/>
        <w:widowControl w:val="0"/>
        <w:shd w:val="clear" w:color="auto" w:fill="auto"/>
        <w:tabs>
          <w:tab w:pos="483" w:val="left"/>
        </w:tabs>
        <w:bidi w:val="0"/>
        <w:spacing w:before="0" w:after="36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50"/>
      <w:bookmarkEnd w:id="1551"/>
      <w:bookmarkEnd w:id="1553"/>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1,743,337,128.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1,743,337,128.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54"/>
      <w:bookmarkEnd w:id="1555"/>
      <w:bookmarkEnd w:id="1557"/>
    </w:p>
    <w:p>
      <w:pPr>
        <w:pStyle w:val="Style32"/>
        <w:keepNext/>
        <w:keepLines/>
        <w:widowControl w:val="0"/>
        <w:shd w:val="clear" w:color="auto" w:fill="auto"/>
        <w:tabs>
          <w:tab w:pos="493" w:val="left"/>
        </w:tabs>
        <w:bidi w:val="0"/>
        <w:spacing w:before="0" w:after="36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58"/>
      <w:bookmarkEnd w:id="1559"/>
      <w:bookmarkEnd w:id="1561"/>
    </w:p>
    <w:p>
      <w:pPr>
        <w:pStyle w:val="Style32"/>
        <w:keepNext/>
        <w:keepLines/>
        <w:widowControl w:val="0"/>
        <w:shd w:val="clear" w:color="auto" w:fill="auto"/>
        <w:tabs>
          <w:tab w:pos="493" w:val="left"/>
        </w:tabs>
        <w:bidi w:val="0"/>
        <w:spacing w:before="0" w:after="36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62"/>
      <w:bookmarkEnd w:id="1563"/>
      <w:bookmarkEnd w:id="1565"/>
    </w:p>
    <w:p>
      <w:pPr>
        <w:pStyle w:val="Style28"/>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66"/>
      <w:bookmarkEnd w:id="1567"/>
      <w:bookmarkEnd w:id="15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1,374,544,453.01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1,374,544,453.01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23,894,507.27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4,243,606.19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28,138,113.46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1,398,438,960.28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4,243,606.19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1,402,682,566.47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1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由于其他股东增资，本公司计算应享有联营企业的净资产份额调整增加资本公积（其他资本公积）</w:t>
      </w:r>
      <w:r>
        <w:rPr>
          <w:rFonts w:ascii="Times New Roman" w:eastAsia="Times New Roman" w:hAnsi="Times New Roman" w:cs="Times New Roman"/>
          <w:color w:val="000000"/>
          <w:spacing w:val="0"/>
          <w:w w:val="100"/>
          <w:position w:val="0"/>
          <w:sz w:val="18"/>
          <w:szCs w:val="18"/>
        </w:rPr>
        <w:t>4,243,606.19</w:t>
      </w:r>
      <w:r>
        <w:rPr>
          <w:color w:val="000000"/>
          <w:spacing w:val="0"/>
          <w:w w:val="100"/>
          <w:position w:val="0"/>
        </w:rPr>
        <w:t>元。</w:t>
      </w:r>
    </w:p>
    <w:p>
      <w:pPr>
        <w:pStyle w:val="Style28"/>
        <w:keepNext/>
        <w:keepLines/>
        <w:widowControl w:val="0"/>
        <w:shd w:val="clear" w:color="auto" w:fill="auto"/>
        <w:tabs>
          <w:tab w:pos="483" w:val="left"/>
        </w:tabs>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570"/>
      <w:bookmarkEnd w:id="1571"/>
      <w:bookmarkEnd w:id="1573"/>
    </w:p>
    <w:p>
      <w:pPr>
        <w:pStyle w:val="Style28"/>
        <w:keepNext/>
        <w:keepLines/>
        <w:widowControl w:val="0"/>
        <w:shd w:val="clear" w:color="auto" w:fill="auto"/>
        <w:tabs>
          <w:tab w:pos="483"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74"/>
      <w:bookmarkEnd w:id="1575"/>
      <w:bookmarkEnd w:id="157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税前发生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于少数股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-996,429.67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-996,429</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其他权益工具投资公允价值变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-996,429.67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-996,429</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73,350,709.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-530,472.5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95,284.48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-625,757.0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73,445,9</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-14,960.96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-14,960.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-2,362,889.5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-530,472.5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95,284.48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-625,757.0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-2,267,6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05.10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自有房产重分类为以公允价值 计量的投资性房地产计入其他 综合收益的金额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75,728,559.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75,728,5</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59.96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72,354,279.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-530,472.5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95,284.48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-625,757.0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72,449,5</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64.23</w:t>
            </w:r>
          </w:p>
        </w:tc>
      </w:tr>
    </w:tbl>
    <w:p>
      <w:pPr>
        <w:widowControl w:val="0"/>
        <w:spacing w:after="319" w:line="1" w:lineRule="exact"/>
      </w:pPr>
    </w:p>
    <w:p>
      <w:pPr>
        <w:pStyle w:val="Style28"/>
        <w:keepNext/>
        <w:keepLines/>
        <w:widowControl w:val="0"/>
        <w:shd w:val="clear" w:color="auto" w:fill="auto"/>
        <w:tabs>
          <w:tab w:pos="483"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w:t>
      </w:r>
      <w:bookmarkEnd w:id="1580"/>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78"/>
      <w:bookmarkEnd w:id="1579"/>
      <w:bookmarkEnd w:id="1581"/>
    </w:p>
    <w:p>
      <w:pPr>
        <w:pStyle w:val="Style28"/>
        <w:keepNext/>
        <w:keepLines/>
        <w:widowControl w:val="0"/>
        <w:shd w:val="clear" w:color="auto" w:fill="auto"/>
        <w:tabs>
          <w:tab w:pos="483" w:val="left"/>
        </w:tabs>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582"/>
      <w:bookmarkEnd w:id="1583"/>
      <w:bookmarkEnd w:id="158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171,592,134.30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10,145,119.56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181,737,253.86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171,592,134.30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10,145,119.56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181,737,253.86</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盈余公积说明，包括本期增减变动情况、变动原因说明：</w:t>
      </w:r>
    </w:p>
    <w:p>
      <w:pPr>
        <w:pStyle w:val="Style19"/>
        <w:keepNext w:val="0"/>
        <w:keepLines w:val="0"/>
        <w:widowControl w:val="0"/>
        <w:shd w:val="clear" w:color="auto" w:fill="auto"/>
        <w:bidi w:val="0"/>
        <w:spacing w:before="0" w:line="240" w:lineRule="auto"/>
        <w:ind w:left="0" w:right="0" w:firstLine="380"/>
        <w:jc w:val="left"/>
      </w:pPr>
      <w:r>
        <w:rPr>
          <w:color w:val="000000"/>
          <w:spacing w:val="0"/>
          <w:w w:val="100"/>
          <w:position w:val="0"/>
        </w:rPr>
        <w:t>注：根据《公司法》公司章程的规定，本公司按净利润的</w:t>
      </w:r>
      <w:r>
        <w:rPr>
          <w:color w:val="000000"/>
          <w:spacing w:val="0"/>
          <w:w w:val="100"/>
          <w:position w:val="0"/>
          <w:sz w:val="18"/>
          <w:szCs w:val="18"/>
        </w:rPr>
        <w:t>10%</w:t>
      </w:r>
      <w:r>
        <w:rPr>
          <w:color w:val="000000"/>
          <w:spacing w:val="0"/>
          <w:w w:val="100"/>
          <w:position w:val="0"/>
        </w:rPr>
        <w:t xml:space="preserve">提取法定盈余公积。法定盈余公积累计额达到本公司注册 </w:t>
      </w:r>
      <w:r>
        <w:rPr>
          <w:color w:val="000000"/>
          <w:spacing w:val="0"/>
          <w:w w:val="100"/>
          <w:position w:val="0"/>
        </w:rPr>
        <w:t>资本</w:t>
      </w:r>
      <w:r>
        <w:rPr>
          <w:color w:val="000000"/>
          <w:spacing w:val="0"/>
          <w:w w:val="100"/>
          <w:position w:val="0"/>
          <w:sz w:val="18"/>
          <w:szCs w:val="18"/>
        </w:rPr>
        <w:t>50%</w:t>
      </w:r>
      <w:r>
        <w:rPr>
          <w:color w:val="000000"/>
          <w:spacing w:val="0"/>
          <w:w w:val="100"/>
          <w:position w:val="0"/>
        </w:rPr>
        <w:t>以上的，不再提取。</w:t>
      </w:r>
    </w:p>
    <w:p>
      <w:pPr>
        <w:pStyle w:val="Style19"/>
        <w:keepNext w:val="0"/>
        <w:keepLines w:val="0"/>
        <w:widowControl w:val="0"/>
        <w:shd w:val="clear" w:color="auto" w:fill="auto"/>
        <w:bidi w:val="0"/>
        <w:spacing w:before="0" w:after="340" w:line="240" w:lineRule="auto"/>
        <w:ind w:left="0" w:right="0" w:firstLine="380"/>
        <w:jc w:val="left"/>
      </w:pPr>
      <w:r>
        <w:rPr>
          <w:color w:val="000000"/>
          <w:spacing w:val="0"/>
          <w:w w:val="100"/>
          <w:position w:val="0"/>
        </w:rPr>
        <w:t>本公司在提取法定盈余公积金后，可提取任意盈余公积金。经批准，任意盈余公积金可用于弥补以前年度亏损或增加股</w:t>
      </w:r>
    </w:p>
    <w:p>
      <w:pPr>
        <w:pStyle w:val="Style19"/>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w:t>
      </w:r>
    </w:p>
    <w:p>
      <w:pPr>
        <w:pStyle w:val="Style28"/>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6</w:t>
      </w:r>
      <w:bookmarkEnd w:id="158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86"/>
      <w:bookmarkEnd w:id="1587"/>
      <w:bookmarkEnd w:id="158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1,035,196,597.22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1,985,493,591.27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1,035,196,597.22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1,985,493,591.27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183,865,233.91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-932,266,939.80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10,145,119.56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40,096,718.85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-21,348,660.12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-22,066,664.60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1,230,265,371.69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1,035,196,597.22</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30" w:val="left"/>
        </w:tabs>
        <w:bidi w:val="0"/>
        <w:spacing w:before="0" w:line="240" w:lineRule="auto"/>
        <w:ind w:left="0" w:right="0" w:firstLine="0"/>
        <w:jc w:val="left"/>
      </w:pPr>
      <w:bookmarkStart w:id="1590" w:name="bookmark1590"/>
      <w:r>
        <w:rPr>
          <w:rFonts w:ascii="Times New Roman" w:eastAsia="Times New Roman" w:hAnsi="Times New Roman" w:cs="Times New Roman"/>
          <w:color w:val="000000"/>
          <w:spacing w:val="0"/>
          <w:w w:val="100"/>
          <w:position w:val="0"/>
          <w:sz w:val="18"/>
          <w:szCs w:val="18"/>
        </w:rPr>
        <w:t>1</w:t>
      </w:r>
      <w:bookmarkEnd w:id="159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line="240" w:lineRule="auto"/>
        <w:ind w:left="0" w:right="0" w:firstLine="0"/>
        <w:jc w:val="left"/>
      </w:pPr>
      <w:bookmarkStart w:id="1591" w:name="bookmark1591"/>
      <w:r>
        <w:rPr>
          <w:rFonts w:ascii="Times New Roman" w:eastAsia="Times New Roman" w:hAnsi="Times New Roman" w:cs="Times New Roman"/>
          <w:color w:val="000000"/>
          <w:spacing w:val="0"/>
          <w:w w:val="100"/>
          <w:position w:val="0"/>
          <w:sz w:val="18"/>
          <w:szCs w:val="18"/>
        </w:rPr>
        <w:t>2</w:t>
      </w:r>
      <w:bookmarkEnd w:id="15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line="240" w:lineRule="auto"/>
        <w:ind w:left="0" w:right="0" w:firstLine="0"/>
        <w:jc w:val="left"/>
      </w:pPr>
      <w:bookmarkStart w:id="1592" w:name="bookmark1592"/>
      <w:r>
        <w:rPr>
          <w:rFonts w:ascii="Times New Roman" w:eastAsia="Times New Roman" w:hAnsi="Times New Roman" w:cs="Times New Roman"/>
          <w:color w:val="000000"/>
          <w:spacing w:val="0"/>
          <w:w w:val="100"/>
          <w:position w:val="0"/>
          <w:sz w:val="18"/>
          <w:szCs w:val="18"/>
        </w:rPr>
        <w:t>3</w:t>
      </w:r>
      <w:bookmarkEnd w:id="15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line="240" w:lineRule="auto"/>
        <w:ind w:left="0" w:right="0" w:firstLine="0"/>
        <w:jc w:val="left"/>
      </w:pPr>
      <w:bookmarkStart w:id="1593" w:name="bookmark1593"/>
      <w:r>
        <w:rPr>
          <w:rFonts w:ascii="Times New Roman" w:eastAsia="Times New Roman" w:hAnsi="Times New Roman" w:cs="Times New Roman"/>
          <w:color w:val="000000"/>
          <w:spacing w:val="0"/>
          <w:w w:val="100"/>
          <w:position w:val="0"/>
          <w:sz w:val="18"/>
          <w:szCs w:val="18"/>
        </w:rPr>
        <w:t>4</w:t>
      </w:r>
      <w:bookmarkEnd w:id="15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380" w:line="240" w:lineRule="auto"/>
        <w:ind w:left="0" w:right="0" w:firstLine="0"/>
        <w:jc w:val="left"/>
      </w:pPr>
      <w:bookmarkStart w:id="1594" w:name="bookmark1594"/>
      <w:r>
        <w:rPr>
          <w:rFonts w:ascii="Times New Roman" w:eastAsia="Times New Roman" w:hAnsi="Times New Roman" w:cs="Times New Roman"/>
          <w:color w:val="000000"/>
          <w:spacing w:val="0"/>
          <w:w w:val="100"/>
          <w:position w:val="0"/>
          <w:sz w:val="18"/>
          <w:szCs w:val="18"/>
        </w:rPr>
        <w:t>5</w:t>
      </w:r>
      <w:bookmarkEnd w:id="15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6</w:t>
      </w:r>
      <w:bookmarkEnd w:id="159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95"/>
      <w:bookmarkEnd w:id="1596"/>
      <w:bookmarkEnd w:id="1598"/>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12,995,205,056.89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11,686,334,346.69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13,284,449,286.38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11,912,357,729.32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7,795,238.14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1,117,663.89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6,818,381.95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861,806.46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13,003,000,295.03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11,687,452,010.58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13,291,267,668.33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11,913,219,535.78</w:t>
            </w:r>
          </w:p>
        </w:tc>
      </w:tr>
    </w:tbl>
    <w:p>
      <w:pPr>
        <w:pStyle w:val="Style19"/>
        <w:keepNext w:val="0"/>
        <w:keepLines w:val="0"/>
        <w:widowControl w:val="0"/>
        <w:shd w:val="clear" w:color="auto" w:fill="auto"/>
        <w:bidi w:val="0"/>
        <w:spacing w:before="0" w:line="312" w:lineRule="exact"/>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390,000,000.00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390,000,000.00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年度确认收入，元预计将于年度确认收入，元预计将于年度确认收入。</w:t>
      </w:r>
      <w:r>
        <w:br w:type="page"/>
      </w:r>
    </w:p>
    <w:p>
      <w:pPr>
        <w:pStyle w:val="Style28"/>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6</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99"/>
      <w:bookmarkEnd w:id="1600"/>
      <w:bookmarkEnd w:id="1602"/>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1,996,352.55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2,560,262.96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881,078.67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1,124,202.51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7,684,503.19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5,743,499.93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29,687.98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13,346,144.87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12,898,967.42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585,769.75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751,880.34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27,894.44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文化事业建设费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-589,048.74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57,818.99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23,977,664.75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23,216,474.57</w:t>
            </w:r>
          </w:p>
        </w:tc>
      </w:tr>
    </w:tbl>
    <w:p>
      <w:pPr>
        <w:widowControl w:val="0"/>
        <w:spacing w:after="939" w:line="1" w:lineRule="exact"/>
      </w:pPr>
    </w:p>
    <w:p>
      <w:pPr>
        <w:pStyle w:val="Style28"/>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6</w:t>
      </w:r>
      <w:bookmarkEnd w:id="160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03"/>
      <w:bookmarkEnd w:id="1604"/>
      <w:bookmarkEnd w:id="1606"/>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451,279,747.72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436,668,263.19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60,238,011.78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49,890,875.38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房租水电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14,972,974.70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11,568,177.26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9,686,154.23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9,760,383.69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3,616,062.42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7,384,282.71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539,792,950.85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515,271,982.23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6</w:t>
      </w:r>
      <w:bookmarkEnd w:id="160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07"/>
      <w:bookmarkEnd w:id="1608"/>
      <w:bookmarkEnd w:id="1610"/>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120,612,630.20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112,542,090.57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房租水电费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24,145,323.89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28,795,020.34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20,960,249.03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21,440,776.99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业务及差旅费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11,461,735.07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10,372,156.67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6,725,995.98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9,784,769.29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1,670,897.70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13,378,891.30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聘请中介机构费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7,915,639.82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8,108,961.36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2,591,654.68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4,107,093.86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23,430,427.65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21,827,211.95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219,514,554.02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230,356,972.33</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w:t>
      </w:r>
      <w:bookmarkEnd w:id="161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11"/>
      <w:bookmarkEnd w:id="1612"/>
      <w:bookmarkEnd w:id="1614"/>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225,459,374.97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204,281,890.42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17,768,905.17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20,152,805.78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24,618,525.38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14,148,539.80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36,879,060.91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25,686,855.46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304,725,866.43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264,270,091.46</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15"/>
      <w:bookmarkEnd w:id="1616"/>
      <w:bookmarkEnd w:id="161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7,353,956.63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17,731,531.47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9,546,281.81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15,751,266.23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力口：银彳丁手续费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878,922.49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1,232,403.26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567,198.46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1,025,887.68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5,211,787.02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2,847,798.90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4,465,582.79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7,086,355.08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19"/>
      <w:bookmarkEnd w:id="1620"/>
      <w:bookmarkEnd w:id="1622"/>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108,235,192.11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115,901,357.15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23"/>
      <w:bookmarkEnd w:id="1624"/>
      <w:bookmarkEnd w:id="1626"/>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31,968,421.95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-30,678,275.87</w:t>
            </w:r>
          </w:p>
        </w:tc>
      </w:tr>
    </w:tbl>
    <w:p>
      <w:pPr>
        <w:widowControl w:val="0"/>
        <w:spacing w:line="1" w:lineRule="exact"/>
      </w:pPr>
      <w:r>
        <w:br w:type="page"/>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9,269,547.47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5,217,738.29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939,837.40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处置其他非流动金融资产取得的投资收益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8,116,589.94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12,873,639.41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债务重组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8,600,387.70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1,761,665.03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-657,426.88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44,454,947.06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-10,542,822.62</w:t>
            </w:r>
          </w:p>
        </w:tc>
      </w:tr>
    </w:tbl>
    <w:p>
      <w:pPr>
        <w:widowControl w:val="0"/>
        <w:spacing w:after="319" w:line="1" w:lineRule="exact"/>
      </w:pPr>
    </w:p>
    <w:p>
      <w:pPr>
        <w:pStyle w:val="Style28"/>
        <w:keepNext/>
        <w:keepLines/>
        <w:widowControl w:val="0"/>
        <w:shd w:val="clear" w:color="auto" w:fill="auto"/>
        <w:tabs>
          <w:tab w:pos="483" w:val="left"/>
        </w:tabs>
        <w:bidi w:val="0"/>
        <w:spacing w:before="0" w:after="32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27"/>
      <w:bookmarkEnd w:id="1628"/>
      <w:bookmarkEnd w:id="1630"/>
    </w:p>
    <w:p>
      <w:pPr>
        <w:pStyle w:val="Style28"/>
        <w:keepNext/>
        <w:keepLines/>
        <w:widowControl w:val="0"/>
        <w:shd w:val="clear" w:color="auto" w:fill="auto"/>
        <w:tabs>
          <w:tab w:pos="478" w:val="left"/>
        </w:tabs>
        <w:bidi w:val="0"/>
        <w:spacing w:before="0" w:after="40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7</w:t>
      </w:r>
      <w:bookmarkEnd w:id="1633"/>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31"/>
      <w:bookmarkEnd w:id="1632"/>
      <w:bookmarkEnd w:id="163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按公允价值计量的投资性房地产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7</w:t>
      </w:r>
      <w:bookmarkEnd w:id="163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35"/>
      <w:bookmarkEnd w:id="1636"/>
      <w:bookmarkEnd w:id="163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6,088,952.37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-6,903,121.57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-150,568.30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-1,607.96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-142,574,778.95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-171,138,501.96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应收款项融资减值损失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-136,636,394.88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-178,040,231.49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7</w:t>
      </w:r>
      <w:bookmarkEnd w:id="164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39"/>
      <w:bookmarkEnd w:id="1640"/>
      <w:bookmarkEnd w:id="1642"/>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-1,476,312.24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-34,168,470.52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-98,506,683.44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-1,097,948,301.75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-10,174,569.51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-98,506,683.44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-1,143,767,654.02</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7</w:t>
      </w:r>
      <w:bookmarkEnd w:id="164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43"/>
      <w:bookmarkEnd w:id="1644"/>
      <w:bookmarkEnd w:id="164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处置未划分为持有待售的固定资产而产 生的处置利得或损失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-444,564.36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263,555.36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7</w:t>
      </w:r>
      <w:bookmarkEnd w:id="164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47"/>
      <w:bookmarkEnd w:id="1648"/>
      <w:bookmarkEnd w:id="1650"/>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209,364.13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25,602.90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209,364.13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94,057,962.97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3,640,803.17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94,057,962.97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11,843,489.17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458,067.23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11,843,489.17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无法支付的应付款项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157,174.33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500,738.43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633,338.45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500,738.43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106,611,554.70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4,914,986.08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106,611,554.70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增值税加计 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增值税加计 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97,149,306.7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82,338,840.1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278,962.38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17,644,560.1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产业或地方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产业或地方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914,811.19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6,692,815.70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财政补贴或</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财政补贴或</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3,313,697.38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3,548,705.49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所得税退还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所得税退还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个税手续费 等返还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个税手续费 等返还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846,503.41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1,288,435.69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业认定受理</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高新技术企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业认定受理</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26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1,853,311.00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科技专项资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科技专项资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26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51"/>
      <w:bookmarkEnd w:id="1652"/>
      <w:bookmarkEnd w:id="165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12,279.60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650,510.25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86,785.17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650,510.25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违约赔偿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6,735,437.99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842,672.37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6,735,437.99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259,319.60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202,938.34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259,319.60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2,294,691.87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189,620.46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2,294,691.87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9,976,759.71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1,334,295.94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9,976,759.71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55"/>
      <w:bookmarkEnd w:id="1656"/>
      <w:bookmarkEnd w:id="1658"/>
    </w:p>
    <w:p>
      <w:pPr>
        <w:pStyle w:val="Style32"/>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59"/>
      <w:bookmarkEnd w:id="1660"/>
      <w:bookmarkEnd w:id="166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59,860,292.15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58,485,288.20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-20,039,153.03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-34,828,505.53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39,821,139.12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23,656,782.67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62"/>
      <w:bookmarkEnd w:id="1663"/>
      <w:bookmarkEnd w:id="166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232,910,093.44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34,936,514.02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15,080,469.37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1,631,113.33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-21,699,652.30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4,001,548.94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-269,332.35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967,215.96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5,194,315.45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39,821,139.12</w:t>
            </w:r>
          </w:p>
        </w:tc>
      </w:tr>
    </w:tbl>
    <w:p>
      <w:pPr>
        <w:widowControl w:val="0"/>
        <w:spacing w:after="319" w:line="1" w:lineRule="exact"/>
      </w:pPr>
    </w:p>
    <w:p>
      <w:pPr>
        <w:pStyle w:val="Style28"/>
        <w:keepNext/>
        <w:keepLines/>
        <w:widowControl w:val="0"/>
        <w:shd w:val="clear" w:color="auto" w:fill="auto"/>
        <w:tabs>
          <w:tab w:pos="478" w:val="left"/>
        </w:tabs>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65"/>
      <w:bookmarkEnd w:id="1666"/>
      <w:bookmarkEnd w:id="166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详见附注六、</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r>
    </w:p>
    <w:p>
      <w:pPr>
        <w:pStyle w:val="Style28"/>
        <w:keepNext/>
        <w:keepLines/>
        <w:widowControl w:val="0"/>
        <w:shd w:val="clear" w:color="auto" w:fill="auto"/>
        <w:tabs>
          <w:tab w:pos="478" w:val="left"/>
        </w:tabs>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7</w:t>
      </w:r>
      <w:bookmarkEnd w:id="167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69"/>
      <w:bookmarkEnd w:id="1670"/>
      <w:bookmarkEnd w:id="1672"/>
    </w:p>
    <w:p>
      <w:pPr>
        <w:pStyle w:val="Style32"/>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73"/>
      <w:bookmarkEnd w:id="1674"/>
      <w:bookmarkEnd w:id="167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56,799,086.65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33,376,917.64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313,735.29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725,839.68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存款利息收入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9,549,932.85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15,749,918.36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126,047,753.27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234,711,362.30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192,710,508.06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284,564,037.98</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76"/>
      <w:bookmarkEnd w:id="1677"/>
      <w:bookmarkEnd w:id="1678"/>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支付的各项运营费用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199,723,721.18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175,298,910.96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支付的营业外支出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7,828,146.98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264,771.82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付其他款项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250,173,495.96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307,289,895.34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457,725,364.12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482,853,578.12</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79"/>
      <w:bookmarkEnd w:id="1680"/>
      <w:bookmarkEnd w:id="1682"/>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255,143.14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收到股权转让款利息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349,303.80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349,303.80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255,143.14</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683"/>
      <w:bookmarkEnd w:id="1684"/>
      <w:bookmarkEnd w:id="1686"/>
    </w:p>
    <w:p>
      <w:pPr>
        <w:pStyle w:val="Style32"/>
        <w:keepNext/>
        <w:keepLines/>
        <w:widowControl w:val="0"/>
        <w:shd w:val="clear" w:color="auto" w:fill="auto"/>
        <w:tabs>
          <w:tab w:pos="493" w:val="left"/>
        </w:tabs>
        <w:bidi w:val="0"/>
        <w:spacing w:before="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687"/>
      <w:bookmarkEnd w:id="1688"/>
      <w:bookmarkEnd w:id="1690"/>
    </w:p>
    <w:p>
      <w:pPr>
        <w:pStyle w:val="Style32"/>
        <w:keepNext/>
        <w:keepLines/>
        <w:widowControl w:val="0"/>
        <w:shd w:val="clear" w:color="auto" w:fill="auto"/>
        <w:tabs>
          <w:tab w:pos="493" w:val="left"/>
        </w:tabs>
        <w:bidi w:val="0"/>
        <w:spacing w:before="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691"/>
      <w:bookmarkEnd w:id="1692"/>
      <w:bookmarkEnd w:id="1694"/>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租赁负债支付的现金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16,833,244.77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30,632.78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16,833,244.77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30,632.78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95"/>
      <w:bookmarkEnd w:id="1696"/>
      <w:bookmarkEnd w:id="1698"/>
    </w:p>
    <w:p>
      <w:pPr>
        <w:pStyle w:val="Style32"/>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99"/>
      <w:bookmarkEnd w:id="1700"/>
      <w:bookmarkEnd w:id="170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192,948,598.97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-901,190,484.87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98,506,683.44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1,143,767,654.02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136,636,394.88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178,040,231.49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39,336,516.68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27,496,051.17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21,027,228.92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20,042,629.06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9,031,571.55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7,547,873.02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处置固定资产、无形资产和其他长期资产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444,564.36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-263,555.36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441,146.12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78,382.27</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2,774,853.60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7,921,155.09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18,757,419.14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-44,454,947.06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10,542,822.62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-20,120,030.68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-33,135,569.43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80,877.65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-1,692,936.10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-3,454,044.17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-643,094.75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328,440,400.76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-927,813,693.88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-175,469,590.44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828,379,259.91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595,355,745.07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372,687,841.91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1,436,074,625.68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695,712,208.55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695,712,208.55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1,377,114,193.95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740,362,417.13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-681,401,985.40</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02"/>
      <w:bookmarkEnd w:id="1703"/>
      <w:bookmarkEnd w:id="170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无本期支付的取得子公司的现金净额</w:t>
      </w:r>
    </w:p>
    <w:p>
      <w:pPr>
        <w:pStyle w:val="Style32"/>
        <w:keepNext/>
        <w:keepLines/>
        <w:widowControl w:val="0"/>
        <w:shd w:val="clear" w:color="auto" w:fill="auto"/>
        <w:tabs>
          <w:tab w:pos="493"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06"/>
      <w:bookmarkEnd w:id="1707"/>
      <w:bookmarkEnd w:id="1709"/>
    </w:p>
    <w:p>
      <w:pPr>
        <w:pStyle w:val="Style19"/>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无本期收到的处置子公司的现金净额。</w:t>
      </w:r>
    </w:p>
    <w:p>
      <w:pPr>
        <w:pStyle w:val="Style32"/>
        <w:keepNext/>
        <w:keepLines/>
        <w:widowControl w:val="0"/>
        <w:shd w:val="clear" w:color="auto" w:fill="auto"/>
        <w:tabs>
          <w:tab w:pos="493" w:val="left"/>
        </w:tabs>
        <w:bidi w:val="0"/>
        <w:spacing w:before="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10"/>
      <w:bookmarkEnd w:id="1711"/>
      <w:bookmarkEnd w:id="171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1,436,074,625.68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695,712,208.55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150,895.47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263,768.63</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1,433,865,900.30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694,003,434.53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2,057,829.91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1,445,005.39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1,436,074,625.68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695,712,208.55</w:t>
            </w:r>
          </w:p>
        </w:tc>
      </w:tr>
    </w:tbl>
    <w:p>
      <w:pPr>
        <w:widowControl w:val="0"/>
        <w:spacing w:after="639" w:line="1" w:lineRule="exact"/>
      </w:pPr>
    </w:p>
    <w:p>
      <w:pPr>
        <w:pStyle w:val="Style28"/>
        <w:keepNext/>
        <w:keepLines/>
        <w:widowControl w:val="0"/>
        <w:shd w:val="clear" w:color="auto" w:fill="auto"/>
        <w:tabs>
          <w:tab w:pos="483" w:val="left"/>
        </w:tabs>
        <w:bidi w:val="0"/>
        <w:spacing w:before="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8</w:t>
      </w:r>
      <w:bookmarkEnd w:id="171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14"/>
      <w:bookmarkEnd w:id="1715"/>
      <w:bookmarkEnd w:id="1717"/>
    </w:p>
    <w:p>
      <w:pPr>
        <w:pStyle w:val="Style28"/>
        <w:keepNext/>
        <w:keepLines/>
        <w:widowControl w:val="0"/>
        <w:shd w:val="clear" w:color="auto" w:fill="auto"/>
        <w:tabs>
          <w:tab w:pos="483" w:val="left"/>
        </w:tabs>
        <w:bidi w:val="0"/>
        <w:spacing w:before="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8</w:t>
      </w:r>
      <w:bookmarkEnd w:id="172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18"/>
      <w:bookmarkEnd w:id="1719"/>
      <w:bookmarkEnd w:id="172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2,091,401.76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银行承兑汇票保证金等</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2,091,401.76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8</w:t>
      </w:r>
      <w:bookmarkEnd w:id="172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22"/>
      <w:bookmarkEnd w:id="1723"/>
      <w:bookmarkEnd w:id="1725"/>
    </w:p>
    <w:p>
      <w:pPr>
        <w:pStyle w:val="Style32"/>
        <w:keepNext/>
        <w:keepLines/>
        <w:widowControl w:val="0"/>
        <w:shd w:val="clear" w:color="auto" w:fill="auto"/>
        <w:bidi w:val="0"/>
        <w:spacing w:before="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26"/>
      <w:bookmarkEnd w:id="1727"/>
      <w:bookmarkEnd w:id="1728"/>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4,842,375.00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30,873,530.29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1,801,531.34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1,472,932.02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80,356,867.40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512,331,279.48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100,811,940.75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642,746,690.64</w:t>
            </w:r>
          </w:p>
        </w:tc>
      </w:tr>
    </w:tbl>
    <w:p>
      <w:pPr>
        <w:pStyle w:val="Style32"/>
        <w:keepNext/>
        <w:keepLines/>
        <w:widowControl w:val="0"/>
        <w:shd w:val="clear" w:color="auto" w:fill="auto"/>
        <w:bidi w:val="0"/>
        <w:spacing w:before="0" w:after="360" w:line="336" w:lineRule="exact"/>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29"/>
      <w:bookmarkEnd w:id="1730"/>
      <w:bookmarkEnd w:id="1731"/>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3" w:val="left"/>
        </w:tabs>
        <w:bidi w:val="0"/>
        <w:spacing w:before="0" w:after="280" w:line="336" w:lineRule="exact"/>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8</w:t>
      </w:r>
      <w:bookmarkEnd w:id="173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32"/>
      <w:bookmarkEnd w:id="1733"/>
      <w:bookmarkEnd w:id="1735"/>
    </w:p>
    <w:p>
      <w:pPr>
        <w:pStyle w:val="Style28"/>
        <w:keepNext/>
        <w:keepLines/>
        <w:widowControl w:val="0"/>
        <w:shd w:val="clear" w:color="auto" w:fill="auto"/>
        <w:tabs>
          <w:tab w:pos="483" w:val="left"/>
        </w:tabs>
        <w:bidi w:val="0"/>
        <w:spacing w:before="0" w:after="280" w:line="336" w:lineRule="exact"/>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8</w:t>
      </w:r>
      <w:bookmarkEnd w:id="173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36"/>
      <w:bookmarkEnd w:id="1737"/>
      <w:bookmarkEnd w:id="1739"/>
    </w:p>
    <w:p>
      <w:pPr>
        <w:pStyle w:val="Style32"/>
        <w:keepNext/>
        <w:keepLines/>
        <w:widowControl w:val="0"/>
        <w:shd w:val="clear" w:color="auto" w:fill="auto"/>
        <w:bidi w:val="0"/>
        <w:spacing w:before="0" w:after="360" w:line="336" w:lineRule="exact"/>
        <w:ind w:left="0" w:right="0" w:firstLine="0"/>
        <w:jc w:val="left"/>
      </w:pPr>
      <w:bookmarkStart w:id="1740" w:name="bookmark1740"/>
      <w:bookmarkStart w:id="1741" w:name="bookmark1741"/>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40"/>
      <w:bookmarkEnd w:id="1741"/>
      <w:bookmarkEnd w:id="174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97,149,306.75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97,149,306.75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财政补贴或奖励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3,313,697.38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3,313,697.38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科技专项资金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1,853,311.00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1,853,311.00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高新技术企业认定受理补贴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产业或地方扶持资金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914,811.19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914,811.19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个税手续费等返还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846,503.41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846,503.41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所得税退还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278,962.38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278,962.38</w:t>
            </w:r>
          </w:p>
        </w:tc>
      </w:tr>
    </w:tbl>
    <w:p>
      <w:pPr>
        <w:widowControl w:val="0"/>
        <w:spacing w:after="279" w:line="1" w:lineRule="exact"/>
      </w:pPr>
    </w:p>
    <w:p>
      <w:pPr>
        <w:pStyle w:val="Style32"/>
        <w:keepNext/>
        <w:keepLines/>
        <w:widowControl w:val="0"/>
        <w:shd w:val="clear" w:color="auto" w:fill="auto"/>
        <w:bidi w:val="0"/>
        <w:spacing w:before="0" w:after="360" w:line="240" w:lineRule="auto"/>
        <w:ind w:left="0" w:right="0" w:firstLine="0"/>
        <w:jc w:val="left"/>
      </w:pPr>
      <w:bookmarkStart w:id="1743" w:name="bookmark1743"/>
      <w:bookmarkStart w:id="1744" w:name="bookmark1744"/>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43"/>
      <w:bookmarkEnd w:id="1744"/>
      <w:bookmarkEnd w:id="1745"/>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46"/>
      <w:bookmarkEnd w:id="1747"/>
      <w:bookmarkEnd w:id="1748"/>
    </w:p>
    <w:p>
      <w:pPr>
        <w:pStyle w:val="Style22"/>
        <w:keepNext/>
        <w:keepLines/>
        <w:widowControl w:val="0"/>
        <w:shd w:val="clear" w:color="auto" w:fill="auto"/>
        <w:bidi w:val="0"/>
        <w:spacing w:before="0" w:after="36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八</w:t>
      </w:r>
      <w:bookmarkEnd w:id="1751"/>
      <w:r>
        <w:rPr>
          <w:color w:val="000000"/>
          <w:spacing w:val="0"/>
          <w:w w:val="100"/>
          <w:position w:val="0"/>
        </w:rPr>
        <w:t>、合并范围的变更</w:t>
      </w:r>
      <w:bookmarkEnd w:id="1749"/>
      <w:bookmarkEnd w:id="1750"/>
      <w:bookmarkEnd w:id="1752"/>
    </w:p>
    <w:p>
      <w:pPr>
        <w:pStyle w:val="Style28"/>
        <w:keepNext/>
        <w:keepLines/>
        <w:widowControl w:val="0"/>
        <w:shd w:val="clear" w:color="auto" w:fill="auto"/>
        <w:bidi w:val="0"/>
        <w:spacing w:before="0" w:after="36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1</w:t>
      </w:r>
      <w:bookmarkEnd w:id="1755"/>
      <w:r>
        <w:rPr>
          <w:color w:val="000000"/>
          <w:spacing w:val="0"/>
          <w:w w:val="100"/>
          <w:position w:val="0"/>
        </w:rPr>
        <w:t>、非同一控制下企业合并</w:t>
      </w:r>
      <w:bookmarkEnd w:id="1753"/>
      <w:bookmarkEnd w:id="1754"/>
      <w:bookmarkEnd w:id="1756"/>
    </w:p>
    <w:p>
      <w:pPr>
        <w:pStyle w:val="Style32"/>
        <w:keepNext/>
        <w:keepLines/>
        <w:widowControl w:val="0"/>
        <w:shd w:val="clear" w:color="auto" w:fill="auto"/>
        <w:tabs>
          <w:tab w:pos="493" w:val="left"/>
        </w:tabs>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757"/>
      <w:bookmarkEnd w:id="1758"/>
      <w:bookmarkEnd w:id="1760"/>
    </w:p>
    <w:p>
      <w:pPr>
        <w:pStyle w:val="Style32"/>
        <w:keepNext/>
        <w:keepLines/>
        <w:widowControl w:val="0"/>
        <w:shd w:val="clear" w:color="auto" w:fill="auto"/>
        <w:tabs>
          <w:tab w:pos="493" w:val="left"/>
        </w:tabs>
        <w:bidi w:val="0"/>
        <w:spacing w:before="0" w:after="36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761"/>
      <w:bookmarkEnd w:id="1762"/>
      <w:bookmarkEnd w:id="1764"/>
    </w:p>
    <w:p>
      <w:pPr>
        <w:pStyle w:val="Style32"/>
        <w:keepNext/>
        <w:keepLines/>
        <w:widowControl w:val="0"/>
        <w:shd w:val="clear" w:color="auto" w:fill="auto"/>
        <w:tabs>
          <w:tab w:pos="493" w:val="left"/>
        </w:tabs>
        <w:bidi w:val="0"/>
        <w:spacing w:before="0" w:after="36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765"/>
      <w:bookmarkEnd w:id="1766"/>
      <w:bookmarkEnd w:id="1768"/>
    </w:p>
    <w:p>
      <w:pPr>
        <w:pStyle w:val="Style32"/>
        <w:keepNext/>
        <w:keepLines/>
        <w:widowControl w:val="0"/>
        <w:shd w:val="clear" w:color="auto" w:fill="auto"/>
        <w:tabs>
          <w:tab w:pos="493" w:val="left"/>
        </w:tabs>
        <w:bidi w:val="0"/>
        <w:spacing w:before="0" w:after="36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69"/>
      <w:bookmarkEnd w:id="1770"/>
      <w:bookmarkEnd w:id="1772"/>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51"/>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32"/>
        <w:keepNext/>
        <w:keepLines/>
        <w:widowControl w:val="0"/>
        <w:shd w:val="clear" w:color="auto" w:fill="auto"/>
        <w:bidi w:val="0"/>
        <w:spacing w:before="0" w:after="36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73"/>
      <w:bookmarkEnd w:id="1774"/>
      <w:bookmarkEnd w:id="1776"/>
    </w:p>
    <w:p>
      <w:pPr>
        <w:pStyle w:val="Style32"/>
        <w:keepNext/>
        <w:keepLines/>
        <w:widowControl w:val="0"/>
        <w:shd w:val="clear" w:color="auto" w:fill="auto"/>
        <w:tabs>
          <w:tab w:pos="493" w:val="left"/>
        </w:tabs>
        <w:bidi w:val="0"/>
        <w:spacing w:before="0" w:after="36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77"/>
      <w:bookmarkEnd w:id="1778"/>
      <w:bookmarkEnd w:id="1780"/>
    </w:p>
    <w:p>
      <w:pPr>
        <w:pStyle w:val="Style28"/>
        <w:keepNext/>
        <w:keepLines/>
        <w:widowControl w:val="0"/>
        <w:shd w:val="clear" w:color="auto" w:fill="auto"/>
        <w:tabs>
          <w:tab w:pos="378" w:val="left"/>
        </w:tabs>
        <w:bidi w:val="0"/>
        <w:spacing w:before="0" w:after="36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2</w:t>
      </w:r>
      <w:bookmarkEnd w:id="1783"/>
      <w:r>
        <w:rPr>
          <w:color w:val="000000"/>
          <w:spacing w:val="0"/>
          <w:w w:val="100"/>
          <w:position w:val="0"/>
        </w:rPr>
        <w:t>、</w:t>
        <w:tab/>
        <w:t>同一控制下企业合并</w:t>
      </w:r>
      <w:bookmarkEnd w:id="1781"/>
      <w:bookmarkEnd w:id="1782"/>
      <w:bookmarkEnd w:id="1784"/>
    </w:p>
    <w:p>
      <w:pPr>
        <w:pStyle w:val="Style32"/>
        <w:keepNext/>
        <w:keepLines/>
        <w:widowControl w:val="0"/>
        <w:shd w:val="clear" w:color="auto" w:fill="auto"/>
        <w:tabs>
          <w:tab w:pos="493" w:val="left"/>
        </w:tabs>
        <w:bidi w:val="0"/>
        <w:spacing w:before="0" w:after="36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785"/>
      <w:bookmarkEnd w:id="1786"/>
      <w:bookmarkEnd w:id="1788"/>
    </w:p>
    <w:p>
      <w:pPr>
        <w:pStyle w:val="Style32"/>
        <w:keepNext/>
        <w:keepLines/>
        <w:widowControl w:val="0"/>
        <w:shd w:val="clear" w:color="auto" w:fill="auto"/>
        <w:tabs>
          <w:tab w:pos="493" w:val="left"/>
        </w:tabs>
        <w:bidi w:val="0"/>
        <w:spacing w:before="0" w:after="36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789"/>
      <w:bookmarkEnd w:id="1790"/>
      <w:bookmarkEnd w:id="1792"/>
    </w:p>
    <w:p>
      <w:pPr>
        <w:pStyle w:val="Style32"/>
        <w:keepNext/>
        <w:keepLines/>
        <w:widowControl w:val="0"/>
        <w:shd w:val="clear" w:color="auto" w:fill="auto"/>
        <w:tabs>
          <w:tab w:pos="493" w:val="left"/>
        </w:tabs>
        <w:bidi w:val="0"/>
        <w:spacing w:before="0" w:after="36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793"/>
      <w:bookmarkEnd w:id="1794"/>
      <w:bookmarkEnd w:id="1796"/>
    </w:p>
    <w:p>
      <w:pPr>
        <w:pStyle w:val="Style28"/>
        <w:keepNext/>
        <w:keepLines/>
        <w:widowControl w:val="0"/>
        <w:shd w:val="clear" w:color="auto" w:fill="auto"/>
        <w:tabs>
          <w:tab w:pos="378" w:val="left"/>
        </w:tabs>
        <w:bidi w:val="0"/>
        <w:spacing w:before="0" w:after="36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3</w:t>
      </w:r>
      <w:bookmarkEnd w:id="1799"/>
      <w:r>
        <w:rPr>
          <w:color w:val="000000"/>
          <w:spacing w:val="0"/>
          <w:w w:val="100"/>
          <w:position w:val="0"/>
        </w:rPr>
        <w:t>、</w:t>
        <w:tab/>
        <w:t>反向购买</w:t>
      </w:r>
      <w:bookmarkEnd w:id="1797"/>
      <w:bookmarkEnd w:id="1798"/>
      <w:bookmarkEnd w:id="1800"/>
    </w:p>
    <w:p>
      <w:pPr>
        <w:pStyle w:val="Style28"/>
        <w:keepNext/>
        <w:keepLines/>
        <w:widowControl w:val="0"/>
        <w:shd w:val="clear" w:color="auto" w:fill="auto"/>
        <w:tabs>
          <w:tab w:pos="378" w:val="left"/>
        </w:tabs>
        <w:bidi w:val="0"/>
        <w:spacing w:before="0" w:after="36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4</w:t>
      </w:r>
      <w:bookmarkEnd w:id="1803"/>
      <w:r>
        <w:rPr>
          <w:color w:val="000000"/>
          <w:spacing w:val="0"/>
          <w:w w:val="100"/>
          <w:position w:val="0"/>
        </w:rPr>
        <w:t>、</w:t>
        <w:tab/>
        <w:t>处置子公司</w:t>
      </w:r>
      <w:bookmarkEnd w:id="1801"/>
      <w:bookmarkEnd w:id="1802"/>
      <w:bookmarkEnd w:id="1804"/>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5</w:t>
      </w:r>
      <w:bookmarkEnd w:id="1807"/>
      <w:r>
        <w:rPr>
          <w:color w:val="000000"/>
          <w:spacing w:val="0"/>
          <w:w w:val="100"/>
          <w:position w:val="0"/>
        </w:rPr>
        <w:t>、</w:t>
        <w:tab/>
        <w:t>其他原因的合并范围变动</w:t>
      </w:r>
      <w:bookmarkEnd w:id="1805"/>
      <w:bookmarkEnd w:id="1806"/>
      <w:bookmarkEnd w:id="1808"/>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本年新增子公司情况</w:t>
      </w:r>
    </w:p>
    <w:tbl>
      <w:tblPr>
        <w:tblOverlap w:val="never"/>
        <w:jc w:val="center"/>
        <w:tblLayout w:type="fixed"/>
      </w:tblPr>
      <w:tblGrid>
        <w:gridCol w:w="3806"/>
        <w:gridCol w:w="1954"/>
        <w:gridCol w:w="1949"/>
        <w:gridCol w:w="196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上海极漾数字科技有限公司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投资设立</w:t>
            </w:r>
          </w:p>
        </w:tc>
      </w:tr>
    </w:tbl>
    <w:p>
      <w:pPr>
        <w:widowControl w:val="0"/>
        <w:spacing w:line="1" w:lineRule="exact"/>
      </w:pPr>
    </w:p>
    <w:p>
      <w:pPr>
        <w:pStyle w:val="Style24"/>
        <w:keepNext w:val="0"/>
        <w:keepLines w:val="0"/>
        <w:widowControl w:val="0"/>
        <w:shd w:val="clear" w:color="auto" w:fill="auto"/>
        <w:bidi w:val="0"/>
        <w:spacing w:before="0" w:after="0" w:line="240" w:lineRule="auto"/>
        <w:ind w:left="379" w:right="0" w:firstLine="0"/>
        <w:jc w:val="left"/>
      </w:pPr>
      <w:r>
        <w:rPr>
          <w:color w:val="000000"/>
          <w:spacing w:val="0"/>
          <w:w w:val="100"/>
          <w:position w:val="0"/>
          <w:sz w:val="18"/>
          <w:szCs w:val="18"/>
        </w:rPr>
        <w:t>（2）</w:t>
      </w:r>
      <w:r>
        <w:rPr>
          <w:color w:val="000000"/>
          <w:spacing w:val="0"/>
          <w:w w:val="100"/>
          <w:position w:val="0"/>
        </w:rPr>
        <w:t>本年因工商注销或移交清算而减少的子公司情况</w:t>
      </w:r>
    </w:p>
    <w:tbl>
      <w:tblPr>
        <w:tblOverlap w:val="never"/>
        <w:jc w:val="center"/>
        <w:tblLayout w:type="fixed"/>
      </w:tblPr>
      <w:tblGrid>
        <w:gridCol w:w="5558"/>
        <w:gridCol w:w="2054"/>
        <w:gridCol w:w="206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原持股比例（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烟台经典视线广告传媒有限公司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海口中行天策传媒有限公司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北京领先世广广告有限公司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上海省广韵翔广告有限公司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上海御泽信息技术有限公司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安徽沃达网络技术有限公司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珠海意合未来文化传播有限公司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广州指标品牌管理咨询有限公司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北京拓畅信息技术有限公司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北京合力唯胜体育发展有限公司（本期已移交清算）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省广诺时（广东）信息服务有限公司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75.00</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6</w:t>
      </w:r>
      <w:bookmarkEnd w:id="1811"/>
      <w:r>
        <w:rPr>
          <w:color w:val="000000"/>
          <w:spacing w:val="0"/>
          <w:w w:val="100"/>
          <w:position w:val="0"/>
        </w:rPr>
        <w:t>、其他</w:t>
      </w:r>
      <w:bookmarkEnd w:id="1809"/>
      <w:bookmarkEnd w:id="1810"/>
      <w:bookmarkEnd w:id="1812"/>
    </w:p>
    <w:p>
      <w:pPr>
        <w:pStyle w:val="Style22"/>
        <w:keepNext/>
        <w:keepLines/>
        <w:widowControl w:val="0"/>
        <w:shd w:val="clear" w:color="auto" w:fill="auto"/>
        <w:bidi w:val="0"/>
        <w:spacing w:before="0" w:after="34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九</w:t>
      </w:r>
      <w:bookmarkEnd w:id="1815"/>
      <w:r>
        <w:rPr>
          <w:color w:val="000000"/>
          <w:spacing w:val="0"/>
          <w:w w:val="100"/>
          <w:position w:val="0"/>
        </w:rPr>
        <w:t>、在其他主体中的权益</w:t>
      </w:r>
      <w:bookmarkEnd w:id="1813"/>
      <w:bookmarkEnd w:id="1814"/>
      <w:bookmarkEnd w:id="1816"/>
    </w:p>
    <w:p>
      <w:pPr>
        <w:pStyle w:val="Style28"/>
        <w:keepNext/>
        <w:keepLines/>
        <w:widowControl w:val="0"/>
        <w:shd w:val="clear" w:color="auto" w:fill="auto"/>
        <w:bidi w:val="0"/>
        <w:spacing w:before="0" w:after="340" w:line="240" w:lineRule="auto"/>
        <w:ind w:left="0" w:right="0" w:firstLine="0"/>
        <w:jc w:val="left"/>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7"/>
      <w:bookmarkEnd w:id="1818"/>
      <w:bookmarkEnd w:id="1819"/>
    </w:p>
    <w:p>
      <w:pPr>
        <w:pStyle w:val="Style32"/>
        <w:keepNext/>
        <w:keepLines/>
        <w:widowControl w:val="0"/>
        <w:shd w:val="clear" w:color="auto" w:fill="auto"/>
        <w:bidi w:val="0"/>
        <w:spacing w:before="0" w:after="340" w:line="240" w:lineRule="auto"/>
        <w:ind w:left="0" w:right="0" w:firstLine="0"/>
        <w:jc w:val="left"/>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0"/>
      <w:bookmarkEnd w:id="1821"/>
      <w:bookmarkEnd w:id="182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17"/>
                <w:szCs w:val="17"/>
              </w:rPr>
            </w:pPr>
            <w:r>
              <w:rPr>
                <w:rFonts w:ascii="SimSun" w:eastAsia="SimSun" w:hAnsi="SimSun" w:cs="SimSun"/>
                <w:color w:val="000000"/>
                <w:spacing w:val="0"/>
                <w:w w:val="100"/>
                <w:position w:val="0"/>
                <w:sz w:val="17"/>
                <w:szCs w:val="17"/>
              </w:rPr>
              <w:t>成都经典视线广 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福建经典视线文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省广易为（上海） 文化传媒有限公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文化艺术业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沈阳地铁易为传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上海窗之外广告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广告发布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上海窗外广告有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广告发布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北京北方窗外广 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上海窗之景广告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代理广告及形象 策划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深圳经典视线文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海南经典视线广 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广告业务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广东广旭整合营 销传播有限公司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广州旗智企业管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企业管理咨询、</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文化交流活动策</w:t>
            </w:r>
          </w:p>
          <w:p>
            <w:pPr>
              <w:pStyle w:val="Style2"/>
              <w:keepNext w:val="0"/>
              <w:keepLines w:val="0"/>
              <w:widowControl w:val="0"/>
              <w:shd w:val="clear" w:color="auto" w:fill="auto"/>
              <w:bidi w:val="0"/>
              <w:spacing w:before="0" w:after="120" w:line="240" w:lineRule="auto"/>
              <w:ind w:left="0" w:right="0" w:firstLine="320"/>
              <w:jc w:val="left"/>
              <w:rPr>
                <w:sz w:val="17"/>
                <w:szCs w:val="17"/>
              </w:rPr>
            </w:pPr>
            <w:r>
              <w:rPr>
                <w:rFonts w:ascii="SimSun" w:eastAsia="SimSun" w:hAnsi="SimSun" w:cs="SimSun"/>
                <w:color w:val="000000"/>
                <w:spacing w:val="0"/>
                <w:w w:val="100"/>
                <w:position w:val="0"/>
                <w:sz w:val="17"/>
                <w:szCs w:val="17"/>
              </w:rPr>
              <w:t>划、广告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140" w:right="0" w:hanging="140"/>
              <w:jc w:val="both"/>
              <w:rPr>
                <w:sz w:val="17"/>
                <w:szCs w:val="17"/>
              </w:rPr>
            </w:pPr>
            <w:r>
              <w:rPr>
                <w:rFonts w:ascii="SimSun" w:eastAsia="SimSun" w:hAnsi="SimSun" w:cs="SimSun"/>
                <w:color w:val="000000"/>
                <w:spacing w:val="0"/>
                <w:w w:val="100"/>
                <w:position w:val="0"/>
                <w:sz w:val="17"/>
                <w:szCs w:val="17"/>
              </w:rPr>
              <w:t>省广先锋（青岛）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收购</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上海美瀛联媒文</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化传播有限公司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策划、广告、咨 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省广合众（北京） 国际传媒广告有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省广合众文化传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上海传漾数字科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上海极漾数字科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上海韵翔广告有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广州韵翔广告有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珠海市省广韵翔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广州蓝门数字营 销顾问有限公司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广州蓝门精睿数</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字商业有限公司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广州蓝门信息科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上海晋拓文化传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上海御明信息技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上海御欣网络科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深圳前海省广资</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广州市绩佳省广 餐饮管理有限公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国际整合营销传</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播集团控股有限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营销活动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上海拓畅信息技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香港拓畅信息技 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营销活动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收购</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上海晶炙信息技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上海泓信信息技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上海胤熹信息技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珠海市省广益松 新动力投资合伙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center"/>
              <w:rPr>
                <w:sz w:val="17"/>
                <w:szCs w:val="17"/>
              </w:rPr>
            </w:pPr>
            <w:r>
              <w:rPr>
                <w:rFonts w:ascii="SimSun" w:eastAsia="SimSun" w:hAnsi="SimSun" w:cs="SimSun"/>
                <w:color w:val="000000"/>
                <w:spacing w:val="0"/>
                <w:w w:val="100"/>
                <w:position w:val="0"/>
                <w:sz w:val="17"/>
                <w:szCs w:val="17"/>
              </w:rPr>
              <w:t>珠海市省广益松 壹号文化传媒合 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上海辰彩信息技</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其他广告服务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省广营销集团有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营销活动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广东三赢广告传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广告代理制作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广东赛铂互动传 媒广告有限公司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广告代理发布、 网络开发网站设 计；市场分析调 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省广营销（贵州）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贵阳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贵阳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零售业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23"/>
      <w:bookmarkEnd w:id="1824"/>
      <w:bookmarkEnd w:id="182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上海晋拓文化传播有限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5,915,556.13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63,759,652.75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上海拓畅信息技术有限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8,054,129.64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30,011,336.76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26"/>
      <w:bookmarkEnd w:id="1827"/>
      <w:bookmarkEnd w:id="182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4416"/>
        <w:gridCol w:w="442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负债合</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拓文化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581,058,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15,096,9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596,155,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275,407,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1,950,43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277,357,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765,305,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12,799,7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778,104,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361,565,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361,565,</w:t>
            </w:r>
          </w:p>
        </w:tc>
      </w:tr>
      <w:tr>
        <w:trPr>
          <w:trHeight w:val="2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传播有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901.99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880.42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616.74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850.79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805.34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805.34</w:t>
            </w: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畅信息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955,063,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15,072,2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970,135,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815,967,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694,929.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816,662,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958,060,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9,612,44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967,672,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865,991,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1,077,21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867,069,</w:t>
            </w:r>
          </w:p>
        </w:tc>
      </w:tr>
      <w:tr>
        <w:trPr>
          <w:trHeight w:val="28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631.07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433.38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668.94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814.49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026.25</w:t>
            </w:r>
          </w:p>
        </w:tc>
      </w:tr>
      <w:tr>
        <w:trPr>
          <w:trHeight w:val="374"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上海晋拓文</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化传播有限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1,699,264,76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31,252,518.8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31,252,518.8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140,723,240.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2,470,537,91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39,611,863.5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39,611,863.5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136,395,560.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上海拓畅信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息技术有限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3,156,923,13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53,407,281.2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53,407,281.2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76,615,802.1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3,710,187,18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48,652,408.1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46,997,365.7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51,973,154.9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bl>
    <w:p>
      <w:pPr>
        <w:widowControl w:val="0"/>
        <w:spacing w:after="33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30"/>
      <w:bookmarkEnd w:id="1831"/>
      <w:bookmarkEnd w:id="183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93" w:val="left"/>
        </w:tabs>
        <w:bidi w:val="0"/>
        <w:spacing w:before="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34"/>
      <w:bookmarkEnd w:id="1835"/>
      <w:bookmarkEnd w:id="183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2</w:t>
      </w:r>
      <w:bookmarkEnd w:id="1840"/>
      <w:r>
        <w:rPr>
          <w:color w:val="000000"/>
          <w:spacing w:val="0"/>
          <w:w w:val="100"/>
          <w:position w:val="0"/>
        </w:rPr>
        <w:t>、</w:t>
        <w:tab/>
        <w:t>在子公司的所有者权益份额发生变化且仍控制子公司的交易</w:t>
      </w:r>
      <w:bookmarkEnd w:id="1838"/>
      <w:bookmarkEnd w:id="1839"/>
      <w:bookmarkEnd w:id="1841"/>
    </w:p>
    <w:p>
      <w:pPr>
        <w:pStyle w:val="Style32"/>
        <w:keepNext/>
        <w:keepLines/>
        <w:widowControl w:val="0"/>
        <w:shd w:val="clear" w:color="auto" w:fill="auto"/>
        <w:tabs>
          <w:tab w:pos="493" w:val="left"/>
        </w:tabs>
        <w:bidi w:val="0"/>
        <w:spacing w:before="0" w:after="34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42"/>
      <w:bookmarkEnd w:id="1843"/>
      <w:bookmarkEnd w:id="1845"/>
    </w:p>
    <w:p>
      <w:pPr>
        <w:pStyle w:val="Style32"/>
        <w:keepNext/>
        <w:keepLines/>
        <w:widowControl w:val="0"/>
        <w:shd w:val="clear" w:color="auto" w:fill="auto"/>
        <w:tabs>
          <w:tab w:pos="493" w:val="left"/>
        </w:tabs>
        <w:bidi w:val="0"/>
        <w:spacing w:before="0" w:after="34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46"/>
      <w:bookmarkEnd w:id="1847"/>
      <w:bookmarkEnd w:id="1849"/>
    </w:p>
    <w:p>
      <w:pPr>
        <w:pStyle w:val="Style28"/>
        <w:keepNext/>
        <w:keepLines/>
        <w:widowControl w:val="0"/>
        <w:shd w:val="clear" w:color="auto" w:fill="auto"/>
        <w:tabs>
          <w:tab w:pos="378" w:val="left"/>
        </w:tabs>
        <w:bidi w:val="0"/>
        <w:spacing w:before="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3</w:t>
      </w:r>
      <w:bookmarkEnd w:id="1852"/>
      <w:r>
        <w:rPr>
          <w:color w:val="000000"/>
          <w:spacing w:val="0"/>
          <w:w w:val="100"/>
          <w:position w:val="0"/>
        </w:rPr>
        <w:t>、</w:t>
        <w:tab/>
        <w:t>在合营安排或联营企业中的权益</w:t>
      </w:r>
      <w:bookmarkEnd w:id="1850"/>
      <w:bookmarkEnd w:id="1851"/>
      <w:bookmarkEnd w:id="1853"/>
    </w:p>
    <w:p>
      <w:pPr>
        <w:pStyle w:val="Style32"/>
        <w:keepNext/>
        <w:keepLines/>
        <w:widowControl w:val="0"/>
        <w:shd w:val="clear" w:color="auto" w:fill="auto"/>
        <w:bidi w:val="0"/>
        <w:spacing w:before="0" w:after="340" w:line="240" w:lineRule="auto"/>
        <w:ind w:left="0" w:right="0" w:firstLine="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54"/>
      <w:bookmarkEnd w:id="1855"/>
      <w:bookmarkEnd w:id="1856"/>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省广博报堂整合 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广东省广代博广 告营销有限公司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w:t>
            </w:r>
          </w:p>
        </w:tc>
      </w:tr>
    </w:tbl>
    <w:p>
      <w:pPr>
        <w:widowControl w:val="0"/>
        <w:spacing w:after="679" w:line="1" w:lineRule="exact"/>
      </w:pPr>
    </w:p>
    <w:p>
      <w:pPr>
        <w:pStyle w:val="Style32"/>
        <w:keepNext/>
        <w:keepLines/>
        <w:widowControl w:val="0"/>
        <w:shd w:val="clear" w:color="auto" w:fill="auto"/>
        <w:bidi w:val="0"/>
        <w:spacing w:before="0" w:after="360" w:line="240" w:lineRule="auto"/>
        <w:ind w:left="0" w:right="0" w:firstLine="0"/>
        <w:jc w:val="left"/>
      </w:pPr>
      <w:bookmarkStart w:id="1857" w:name="bookmark1857"/>
      <w:bookmarkStart w:id="1858" w:name="bookmark1858"/>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57"/>
      <w:bookmarkEnd w:id="1858"/>
      <w:bookmarkEnd w:id="18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省广博报堂整合营销有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广东省广代博广告营销 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省广博报堂整合营销有 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广东省广代博广告营销 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323,753,671.10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194,027,389.26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421,750,765.69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223,559,999.23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其中：现金和现金等价 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207,179,933.81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49,583,524.79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209,698,264.95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44,499,502.36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11,412,167.32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11,004,905.35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2,160,419.20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2,566,999.97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335,165,838.42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205,032,294.61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423,911,184.89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226,126,999.20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205,709,320.31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129,390,079.91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304,312,069.38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158,803,680.12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4,935,906.42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4,640,082.19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210,645,226.73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134,030,162.10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304,312,069.38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158,803,680.12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124,520,611.69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71,002,133.51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119,599,115.51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67,323,319.08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62,260,305.85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35,501,066.76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59,799,557.76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33,661,659.54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对合营企业权益投资的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62,260,305.85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35,499,130.47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59,799,557.76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33,659,723.26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1,152,844,108.74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614,813,022.45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1,441,985,133.25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528,446,032.02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-1,687,264.33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56,066.15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-1,117,661.76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-548,219.63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15,156,787.85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1,860,387.26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16,175,640.73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1,007,724.52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44,921,496.18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5,028,814.43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48,450,723.77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2,701,418.87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44,921,496.18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5,028,814.43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48,450,723.77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2,701,418.87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本年度收到的来自合营 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w:t>
            </w:r>
          </w:p>
        </w:tc>
      </w:tr>
    </w:tbl>
    <w:p>
      <w:pPr>
        <w:widowControl w:val="0"/>
        <w:spacing w:after="339" w:line="1" w:lineRule="exact"/>
      </w:pPr>
    </w:p>
    <w:p>
      <w:pPr>
        <w:pStyle w:val="Style32"/>
        <w:keepNext/>
        <w:keepLines/>
        <w:widowControl w:val="0"/>
        <w:shd w:val="clear" w:color="auto" w:fill="auto"/>
        <w:tabs>
          <w:tab w:pos="493" w:val="left"/>
        </w:tabs>
        <w:bidi w:val="0"/>
        <w:spacing w:before="0" w:after="34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60"/>
      <w:bookmarkEnd w:id="1861"/>
      <w:bookmarkEnd w:id="1863"/>
    </w:p>
    <w:p>
      <w:pPr>
        <w:pStyle w:val="Style32"/>
        <w:keepNext/>
        <w:keepLines/>
        <w:widowControl w:val="0"/>
        <w:shd w:val="clear" w:color="auto" w:fill="auto"/>
        <w:tabs>
          <w:tab w:pos="493" w:val="left"/>
        </w:tabs>
        <w:bidi w:val="0"/>
        <w:spacing w:before="0" w:after="40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64"/>
      <w:bookmarkEnd w:id="1865"/>
      <w:bookmarkEnd w:id="186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526,641,322.14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523,530,712.32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6,993,266.65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-56,254,347.20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6,993,266.65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-56,254,347.20</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868" w:name="bookmark1868"/>
      <w:bookmarkStart w:id="1869" w:name="bookmark1869"/>
      <w:bookmarkStart w:id="1870" w:name="bookmark1870"/>
      <w:r>
        <w:rPr>
          <w:color w:val="000000"/>
          <w:spacing w:val="0"/>
          <w:w w:val="100"/>
          <w:position w:val="0"/>
        </w:rPr>
        <w:t>⑸合营企业或联营企业向本公司转移资金的能力存在重大限制的说明</w:t>
      </w:r>
      <w:bookmarkEnd w:id="1868"/>
      <w:bookmarkEnd w:id="1869"/>
      <w:bookmarkEnd w:id="1870"/>
    </w:p>
    <w:p>
      <w:pPr>
        <w:pStyle w:val="Style19"/>
        <w:keepNext w:val="0"/>
        <w:keepLines w:val="0"/>
        <w:widowControl w:val="0"/>
        <w:shd w:val="clear" w:color="auto" w:fill="auto"/>
        <w:bidi w:val="0"/>
        <w:spacing w:before="0" w:after="400" w:line="240" w:lineRule="auto"/>
        <w:ind w:left="0" w:right="0" w:firstLine="360"/>
        <w:jc w:val="left"/>
      </w:pPr>
      <w:r>
        <w:rPr>
          <w:color w:val="000000"/>
          <w:spacing w:val="0"/>
          <w:w w:val="100"/>
          <w:position w:val="0"/>
        </w:rPr>
        <w:t>合营企业或联营企业向本集团转移资金的能力不存在重大限制。</w:t>
      </w:r>
    </w:p>
    <w:p>
      <w:pPr>
        <w:pStyle w:val="Style32"/>
        <w:keepNext/>
        <w:keepLines/>
        <w:widowControl w:val="0"/>
        <w:shd w:val="clear" w:color="auto" w:fill="auto"/>
        <w:bidi w:val="0"/>
        <w:spacing w:before="0" w:after="40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871"/>
      <w:bookmarkEnd w:id="1872"/>
      <w:bookmarkEnd w:id="187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 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媒捷（中国）有限公司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-153,822.45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-78,195.31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-232,017.76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珠海市省广凯酷传媒有限公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-377,634.39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-377,634.39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中懋（广州）广告有限公司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-23,136,740.05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-23,136,740.05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北京省广阳光传媒有限公司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-1,258,564.61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13,161.20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-1,245,403.41</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7</w:t>
      </w:r>
      <w:r>
        <w:rPr>
          <w:color w:val="000000"/>
          <w:spacing w:val="0"/>
          <w:w w:val="100"/>
          <w:position w:val="0"/>
        </w:rPr>
        <w:t>）与合营企业投资相关的未确认承诺</w:t>
      </w:r>
      <w:bookmarkEnd w:id="1875"/>
      <w:bookmarkEnd w:id="1876"/>
      <w:bookmarkEnd w:id="1878"/>
    </w:p>
    <w:p>
      <w:pPr>
        <w:pStyle w:val="Style19"/>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不存在与合营企业投资相关的未确认承诺。</w:t>
      </w:r>
    </w:p>
    <w:p>
      <w:pPr>
        <w:pStyle w:val="Style32"/>
        <w:keepNext/>
        <w:keepLines/>
        <w:widowControl w:val="0"/>
        <w:shd w:val="clear" w:color="auto" w:fill="auto"/>
        <w:bidi w:val="0"/>
        <w:spacing w:before="0" w:after="280" w:line="312" w:lineRule="exact"/>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8</w:t>
      </w:r>
      <w:r>
        <w:rPr>
          <w:color w:val="000000"/>
          <w:spacing w:val="0"/>
          <w:w w:val="100"/>
          <w:position w:val="0"/>
        </w:rPr>
        <w:t>）与合营企业或联营企业投资相关的或有负债</w:t>
      </w:r>
      <w:bookmarkEnd w:id="1879"/>
      <w:bookmarkEnd w:id="1880"/>
      <w:bookmarkEnd w:id="1882"/>
    </w:p>
    <w:p>
      <w:pPr>
        <w:pStyle w:val="Style19"/>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不存在与合营企业或联营企业投资相关的或有负债。</w:t>
      </w:r>
    </w:p>
    <w:p>
      <w:pPr>
        <w:pStyle w:val="Style28"/>
        <w:keepNext/>
        <w:keepLines/>
        <w:widowControl w:val="0"/>
        <w:shd w:val="clear" w:color="auto" w:fill="auto"/>
        <w:tabs>
          <w:tab w:pos="378" w:val="left"/>
        </w:tabs>
        <w:bidi w:val="0"/>
        <w:spacing w:before="0" w:after="280" w:line="312" w:lineRule="exact"/>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4</w:t>
      </w:r>
      <w:bookmarkEnd w:id="1885"/>
      <w:r>
        <w:rPr>
          <w:color w:val="000000"/>
          <w:spacing w:val="0"/>
          <w:w w:val="100"/>
          <w:position w:val="0"/>
        </w:rPr>
        <w:t>、</w:t>
        <w:tab/>
        <w:t>重要的共同经营</w:t>
      </w:r>
      <w:bookmarkEnd w:id="1883"/>
      <w:bookmarkEnd w:id="1884"/>
      <w:bookmarkEnd w:id="1886"/>
    </w:p>
    <w:p>
      <w:pPr>
        <w:pStyle w:val="Style28"/>
        <w:keepNext/>
        <w:keepLines/>
        <w:widowControl w:val="0"/>
        <w:shd w:val="clear" w:color="auto" w:fill="auto"/>
        <w:tabs>
          <w:tab w:pos="378" w:val="left"/>
        </w:tabs>
        <w:bidi w:val="0"/>
        <w:spacing w:before="0" w:after="280" w:line="312" w:lineRule="exact"/>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5</w:t>
      </w:r>
      <w:bookmarkEnd w:id="1889"/>
      <w:r>
        <w:rPr>
          <w:color w:val="000000"/>
          <w:spacing w:val="0"/>
          <w:w w:val="100"/>
          <w:position w:val="0"/>
        </w:rPr>
        <w:t>、</w:t>
        <w:tab/>
        <w:t>在未纳入合并财务报表范围的结构化主体中的权益</w:t>
      </w:r>
      <w:bookmarkEnd w:id="1887"/>
      <w:bookmarkEnd w:id="1888"/>
      <w:bookmarkEnd w:id="1890"/>
    </w:p>
    <w:p>
      <w:pPr>
        <w:pStyle w:val="Style28"/>
        <w:keepNext/>
        <w:keepLines/>
        <w:widowControl w:val="0"/>
        <w:shd w:val="clear" w:color="auto" w:fill="auto"/>
        <w:tabs>
          <w:tab w:pos="378" w:val="left"/>
        </w:tabs>
        <w:bidi w:val="0"/>
        <w:spacing w:before="0" w:after="360" w:line="312" w:lineRule="exact"/>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6</w:t>
      </w:r>
      <w:bookmarkEnd w:id="1893"/>
      <w:r>
        <w:rPr>
          <w:color w:val="000000"/>
          <w:spacing w:val="0"/>
          <w:w w:val="100"/>
          <w:position w:val="0"/>
        </w:rPr>
        <w:t>、</w:t>
        <w:tab/>
        <w:t>其他</w:t>
      </w:r>
      <w:bookmarkEnd w:id="1891"/>
      <w:bookmarkEnd w:id="1892"/>
      <w:bookmarkEnd w:id="1894"/>
    </w:p>
    <w:p>
      <w:pPr>
        <w:pStyle w:val="Style22"/>
        <w:keepNext/>
        <w:keepLines/>
        <w:widowControl w:val="0"/>
        <w:shd w:val="clear" w:color="auto" w:fill="auto"/>
        <w:bidi w:val="0"/>
        <w:spacing w:before="0" w:after="280" w:line="240" w:lineRule="auto"/>
        <w:ind w:left="0" w:right="0" w:firstLine="0"/>
        <w:jc w:val="left"/>
      </w:pPr>
      <w:bookmarkStart w:id="1895" w:name="bookmark1895"/>
      <w:bookmarkStart w:id="1896" w:name="bookmark1896"/>
      <w:bookmarkStart w:id="1897" w:name="bookmark1897"/>
      <w:r>
        <w:rPr>
          <w:color w:val="000000"/>
          <w:spacing w:val="0"/>
          <w:w w:val="100"/>
          <w:position w:val="0"/>
        </w:rPr>
        <w:t>十、与金融工具相关的风险</w:t>
      </w:r>
      <w:bookmarkEnd w:id="1895"/>
      <w:bookmarkEnd w:id="1896"/>
      <w:bookmarkEnd w:id="1897"/>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本集团的主要金融工具包括股权投资、借款、应收账款、应付账款等，各项金融工具的详细情况说明见本附注六相关项 目。与这些金融工具有关的风险，以及本集团为降低这些风险所采取的风险管理政策如下所述。本集团管理层对这些风险敞 口进行管理和监控以确保将上述风险控制在限定的范围之内。</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51"/>
        <w:keepNext w:val="0"/>
        <w:keepLines w:val="0"/>
        <w:widowControl w:val="0"/>
        <w:shd w:val="clear" w:color="auto" w:fill="auto"/>
        <w:bidi w:val="0"/>
        <w:spacing w:before="0" w:after="0" w:line="312" w:lineRule="exact"/>
        <w:ind w:left="0" w:right="0" w:firstLine="0"/>
        <w:jc w:val="left"/>
      </w:pPr>
      <w:bookmarkStart w:id="1898" w:name="bookmark1898"/>
      <w:r>
        <w:rPr>
          <w:b/>
          <w:bCs/>
          <w:color w:val="000000"/>
          <w:spacing w:val="0"/>
          <w:w w:val="100"/>
          <w:position w:val="0"/>
        </w:rPr>
        <w:t>（</w:t>
      </w:r>
      <w:bookmarkEnd w:id="1898"/>
      <w:r>
        <w:rPr>
          <w:b/>
          <w:bCs/>
          <w:color w:val="000000"/>
          <w:spacing w:val="0"/>
          <w:w w:val="100"/>
          <w:position w:val="0"/>
        </w:rPr>
        <w:t>一）风险管理目标和政策</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本集团从事风险管理的目标是在风险和收益之间取得适当的平衡，将风险对本集团经营业绩的负面影响降低到最低水 平，使股东及其其他权益投资者的利益最大化。基于该风险管理目标，本集团风险管理的基本策略是确定和分析本集团所面 临的各种风险，建立适当的风险承受底线和进行风险管理，并及时可靠地对各种风险进行监督，将风险控制在限定的范围之 内。</w:t>
      </w:r>
    </w:p>
    <w:p>
      <w:pPr>
        <w:pStyle w:val="Style19"/>
        <w:keepNext w:val="0"/>
        <w:keepLines w:val="0"/>
        <w:widowControl w:val="0"/>
        <w:shd w:val="clear" w:color="auto" w:fill="auto"/>
        <w:bidi w:val="0"/>
        <w:spacing w:before="0" w:after="0" w:line="312" w:lineRule="exact"/>
        <w:ind w:left="0" w:right="0" w:firstLine="380"/>
        <w:jc w:val="both"/>
      </w:pPr>
      <w:bookmarkStart w:id="1899" w:name="bookmark1899"/>
      <w:r>
        <w:rPr>
          <w:color w:val="000000"/>
          <w:spacing w:val="0"/>
          <w:w w:val="100"/>
          <w:position w:val="0"/>
          <w:sz w:val="18"/>
          <w:szCs w:val="18"/>
        </w:rPr>
        <w:t>1</w:t>
      </w:r>
      <w:bookmarkEnd w:id="1899"/>
      <w:r>
        <w:rPr>
          <w:color w:val="000000"/>
          <w:spacing w:val="0"/>
          <w:w w:val="100"/>
          <w:position w:val="0"/>
        </w:rPr>
        <w:t>、市场风险</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1.</w:t>
      </w:r>
      <w:r>
        <w:rPr>
          <w:color w:val="000000"/>
          <w:spacing w:val="0"/>
          <w:w w:val="100"/>
          <w:position w:val="0"/>
        </w:rPr>
        <w:t>外汇风险</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外汇风险指因汇率变动产生损失的风险。本集团承受外汇风险主要与美元、港元有关，除本集团的几个下属子公司以美 元、港元进行采购和销售外，本集团的其他主要业务活动以人民币计价结算。于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日，除下表所述资产或负债为 美元、港元余额外，本集团的资产及负债均为人民币余额。该等外币余额的资产和负债产生的外汇风险可能对本集团的经营 业绩产生影响。</w:t>
      </w:r>
    </w:p>
    <w:tbl>
      <w:tblPr>
        <w:tblOverlap w:val="never"/>
        <w:jc w:val="center"/>
        <w:tblLayout w:type="fixed"/>
      </w:tblPr>
      <w:tblGrid>
        <w:gridCol w:w="2434"/>
        <w:gridCol w:w="2501"/>
        <w:gridCol w:w="2227"/>
        <w:gridCol w:w="2515"/>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4,842,375.00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1,074,019.16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1,074,019.16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1,801,531.34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5,912.12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80,356,867.40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52,525,015.18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52,525,015.18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100,811,940.75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46,952,179.20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46,952,179.20</w:t>
            </w:r>
          </w:p>
        </w:tc>
      </w:tr>
    </w:tbl>
    <w:p>
      <w:pPr>
        <w:pStyle w:val="Style24"/>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本集团密切关注汇率变动对本集团外汇风险的影响。本集团目前并未采取任何措施规避外汇风险。</w:t>
      </w:r>
    </w:p>
    <w:p>
      <w:pPr>
        <w:pStyle w:val="Style24"/>
        <w:keepNext w:val="0"/>
        <w:keepLines w:val="0"/>
        <w:widowControl w:val="0"/>
        <w:shd w:val="clear" w:color="auto" w:fill="auto"/>
        <w:bidi w:val="0"/>
        <w:spacing w:before="0" w:after="100" w:line="240" w:lineRule="auto"/>
        <w:ind w:left="360" w:right="0" w:firstLine="0"/>
        <w:jc w:val="left"/>
      </w:pPr>
      <w:r>
        <w:rPr>
          <w:color w:val="000000"/>
          <w:spacing w:val="0"/>
          <w:w w:val="100"/>
          <w:position w:val="0"/>
          <w:sz w:val="18"/>
          <w:szCs w:val="18"/>
        </w:rPr>
        <w:t>2.</w:t>
      </w:r>
      <w:r>
        <w:rPr>
          <w:color w:val="000000"/>
          <w:spacing w:val="0"/>
          <w:w w:val="100"/>
          <w:position w:val="0"/>
        </w:rPr>
        <w:t>利率风险一现金流量变动风险</w:t>
      </w:r>
    </w:p>
    <w:p>
      <w:pPr>
        <w:pStyle w:val="Style24"/>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本集团因利率变动引起金融工具现金流量变动的风险主要与浮动利率银行借款（详见本附注六、</w:t>
      </w:r>
      <w:r>
        <w:rPr>
          <w:color w:val="000000"/>
          <w:spacing w:val="0"/>
          <w:w w:val="100"/>
          <w:position w:val="0"/>
          <w:sz w:val="18"/>
          <w:szCs w:val="18"/>
        </w:rPr>
        <w:t>22）</w:t>
      </w:r>
      <w:r>
        <w:rPr>
          <w:color w:val="000000"/>
          <w:spacing w:val="0"/>
          <w:w w:val="100"/>
          <w:position w:val="0"/>
        </w:rPr>
        <w:t>有关。本集团的政策</w:t>
      </w:r>
    </w:p>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是保持这些借款的浮动利率。</w:t>
      </w:r>
    </w:p>
    <w:p>
      <w:pPr>
        <w:pStyle w:val="Style19"/>
        <w:keepNext w:val="0"/>
        <w:keepLines w:val="0"/>
        <w:widowControl w:val="0"/>
        <w:shd w:val="clear" w:color="auto" w:fill="auto"/>
        <w:bidi w:val="0"/>
        <w:spacing w:before="0" w:after="0" w:line="326" w:lineRule="exact"/>
        <w:ind w:left="0" w:right="0" w:firstLine="380"/>
        <w:jc w:val="both"/>
      </w:pPr>
      <w:bookmarkStart w:id="1900" w:name="bookmark1900"/>
      <w:r>
        <w:rPr>
          <w:color w:val="000000"/>
          <w:spacing w:val="0"/>
          <w:w w:val="100"/>
          <w:position w:val="0"/>
          <w:sz w:val="18"/>
          <w:szCs w:val="18"/>
        </w:rPr>
        <w:t>2</w:t>
      </w:r>
      <w:bookmarkEnd w:id="1900"/>
      <w:r>
        <w:rPr>
          <w:color w:val="000000"/>
          <w:spacing w:val="0"/>
          <w:w w:val="100"/>
          <w:position w:val="0"/>
        </w:rPr>
        <w:t>、信用风险</w:t>
      </w:r>
    </w:p>
    <w:p>
      <w:pPr>
        <w:pStyle w:val="Style19"/>
        <w:keepNext w:val="0"/>
        <w:keepLines w:val="0"/>
        <w:widowControl w:val="0"/>
        <w:shd w:val="clear" w:color="auto" w:fill="auto"/>
        <w:bidi w:val="0"/>
        <w:spacing w:before="0" w:after="280" w:line="326"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日，可能引起本集团财务损失的最大信用风险敞口主要来自于合同另一方未能履行义务而导致本集团金融 资产产生的损失以及本集团承担的财务担保，具体包括：</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本附注六、</w:t>
      </w:r>
      <w:r>
        <w:rPr>
          <w:color w:val="000000"/>
          <w:spacing w:val="0"/>
          <w:w w:val="100"/>
          <w:position w:val="0"/>
          <w:sz w:val="18"/>
          <w:szCs w:val="18"/>
        </w:rPr>
        <w:t xml:space="preserve">22 </w:t>
      </w:r>
      <w:r>
        <w:rPr>
          <w:color w:val="000000"/>
          <w:spacing w:val="0"/>
          <w:w w:val="100"/>
          <w:position w:val="0"/>
        </w:rPr>
        <w:t>“短期借款”中披露的本公司借款及担保情况。</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为降低信用风险，本集团成立了一个小组负责确定信用额度、进行信用审批，并执行其他监控程序以确保采取必要的措 施回收过期债权。此外，本集团于每个资产负债表日审核每一单项应收款的回收情况，以确保就无法回收的款项计提充分的 坏账准备。因此，本集团管理层认为本集团所承担的信用风险已经大为降低。</w:t>
      </w:r>
    </w:p>
    <w:p>
      <w:pPr>
        <w:pStyle w:val="Style1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本集团的流动资金存放在信用评级较高的银行，故流动资金的信用风险较低。</w:t>
      </w:r>
    </w:p>
    <w:p>
      <w:pPr>
        <w:pStyle w:val="Style19"/>
        <w:keepNext w:val="0"/>
        <w:keepLines w:val="0"/>
        <w:widowControl w:val="0"/>
        <w:shd w:val="clear" w:color="auto" w:fill="auto"/>
        <w:bidi w:val="0"/>
        <w:spacing w:before="0" w:after="0" w:line="312" w:lineRule="exact"/>
        <w:ind w:left="0" w:right="0" w:firstLine="380"/>
        <w:jc w:val="both"/>
      </w:pPr>
      <w:bookmarkStart w:id="1901" w:name="bookmark1901"/>
      <w:r>
        <w:rPr>
          <w:color w:val="000000"/>
          <w:spacing w:val="0"/>
          <w:w w:val="100"/>
          <w:position w:val="0"/>
          <w:sz w:val="18"/>
          <w:szCs w:val="18"/>
        </w:rPr>
        <w:t>3</w:t>
      </w:r>
      <w:bookmarkEnd w:id="1901"/>
      <w:r>
        <w:rPr>
          <w:color w:val="000000"/>
          <w:spacing w:val="0"/>
          <w:w w:val="100"/>
          <w:position w:val="0"/>
        </w:rPr>
        <w:t>、流动风险</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管理流动风险时，本集团保持管理层认为充分的现金及现金等价物并对其进行监控，以满足本集团经营需要，并降低现 金流量波动的影响。本集团管理层对银行借款的使用情况进行监控并确保遵守借款协议。</w:t>
      </w:r>
    </w:p>
    <w:p>
      <w:pPr>
        <w:pStyle w:val="Style51"/>
        <w:keepNext w:val="0"/>
        <w:keepLines w:val="0"/>
        <w:widowControl w:val="0"/>
        <w:shd w:val="clear" w:color="auto" w:fill="auto"/>
        <w:tabs>
          <w:tab w:pos="610" w:val="left"/>
        </w:tabs>
        <w:bidi w:val="0"/>
        <w:spacing w:before="0" w:after="60" w:line="312" w:lineRule="exact"/>
        <w:ind w:left="0" w:right="0" w:firstLine="0"/>
        <w:jc w:val="left"/>
      </w:pPr>
      <w:bookmarkStart w:id="1902" w:name="bookmark1902"/>
      <w:r>
        <w:rPr>
          <w:b/>
          <w:bCs/>
          <w:color w:val="000000"/>
          <w:spacing w:val="0"/>
          <w:w w:val="100"/>
          <w:position w:val="0"/>
        </w:rPr>
        <w:t>（</w:t>
      </w:r>
      <w:bookmarkEnd w:id="1902"/>
      <w:r>
        <w:rPr>
          <w:b/>
          <w:bCs/>
          <w:color w:val="000000"/>
          <w:spacing w:val="0"/>
          <w:w w:val="100"/>
          <w:position w:val="0"/>
        </w:rPr>
        <w:t>二）</w:t>
        <w:tab/>
        <w:t>金融资产转移</w:t>
      </w:r>
    </w:p>
    <w:p>
      <w:pPr>
        <w:pStyle w:val="Style51"/>
        <w:keepNext w:val="0"/>
        <w:keepLines w:val="0"/>
        <w:widowControl w:val="0"/>
        <w:shd w:val="clear" w:color="auto" w:fill="auto"/>
        <w:tabs>
          <w:tab w:pos="361" w:val="left"/>
        </w:tabs>
        <w:bidi w:val="0"/>
        <w:spacing w:before="0" w:after="0" w:line="326" w:lineRule="auto"/>
        <w:ind w:left="0" w:right="0" w:firstLine="0"/>
        <w:jc w:val="left"/>
      </w:pPr>
      <w:bookmarkStart w:id="1903" w:name="bookmark1903"/>
      <w:r>
        <w:rPr>
          <w:rFonts w:ascii="Times New Roman" w:eastAsia="Times New Roman" w:hAnsi="Times New Roman" w:cs="Times New Roman"/>
          <w:b/>
          <w:bCs/>
          <w:color w:val="000000"/>
          <w:spacing w:val="0"/>
          <w:w w:val="100"/>
          <w:position w:val="0"/>
        </w:rPr>
        <w:t>1</w:t>
      </w:r>
      <w:bookmarkEnd w:id="1903"/>
      <w:r>
        <w:rPr>
          <w:b/>
          <w:bCs/>
          <w:color w:val="000000"/>
          <w:spacing w:val="0"/>
          <w:w w:val="100"/>
          <w:position w:val="0"/>
        </w:rPr>
        <w:t>、</w:t>
        <w:tab/>
        <w:t>已转移但未整体终止确认的金融资产</w:t>
      </w:r>
    </w:p>
    <w:p>
      <w:pPr>
        <w:pStyle w:val="Style19"/>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无。</w:t>
      </w:r>
    </w:p>
    <w:p>
      <w:pPr>
        <w:pStyle w:val="Style51"/>
        <w:keepNext w:val="0"/>
        <w:keepLines w:val="0"/>
        <w:widowControl w:val="0"/>
        <w:shd w:val="clear" w:color="auto" w:fill="auto"/>
        <w:tabs>
          <w:tab w:pos="373" w:val="left"/>
        </w:tabs>
        <w:bidi w:val="0"/>
        <w:spacing w:before="0" w:after="0" w:line="326" w:lineRule="auto"/>
        <w:ind w:left="0" w:right="0" w:firstLine="0"/>
        <w:jc w:val="left"/>
      </w:pPr>
      <w:bookmarkStart w:id="1904" w:name="bookmark1904"/>
      <w:r>
        <w:rPr>
          <w:rFonts w:ascii="Times New Roman" w:eastAsia="Times New Roman" w:hAnsi="Times New Roman" w:cs="Times New Roman"/>
          <w:b/>
          <w:bCs/>
          <w:color w:val="000000"/>
          <w:spacing w:val="0"/>
          <w:w w:val="100"/>
          <w:position w:val="0"/>
        </w:rPr>
        <w:t>2</w:t>
      </w:r>
      <w:bookmarkEnd w:id="1904"/>
      <w:r>
        <w:rPr>
          <w:b/>
          <w:bCs/>
          <w:color w:val="000000"/>
          <w:spacing w:val="0"/>
          <w:w w:val="100"/>
          <w:position w:val="0"/>
        </w:rPr>
        <w:t>、</w:t>
        <w:tab/>
        <w:t>已整体终止确认但转出方继续涉入已转移金融资产</w:t>
      </w:r>
    </w:p>
    <w:p>
      <w:pPr>
        <w:pStyle w:val="Style19"/>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无。</w:t>
      </w:r>
    </w:p>
    <w:p>
      <w:pPr>
        <w:pStyle w:val="Style51"/>
        <w:keepNext w:val="0"/>
        <w:keepLines w:val="0"/>
        <w:widowControl w:val="0"/>
        <w:shd w:val="clear" w:color="auto" w:fill="auto"/>
        <w:tabs>
          <w:tab w:pos="594" w:val="left"/>
        </w:tabs>
        <w:bidi w:val="0"/>
        <w:spacing w:before="0" w:after="60" w:line="312" w:lineRule="exact"/>
        <w:ind w:left="0" w:right="0" w:firstLine="0"/>
        <w:jc w:val="left"/>
      </w:pPr>
      <w:bookmarkStart w:id="1905" w:name="bookmark1905"/>
      <w:r>
        <w:rPr>
          <w:b/>
          <w:bCs/>
          <w:color w:val="000000"/>
          <w:spacing w:val="0"/>
          <w:w w:val="100"/>
          <w:position w:val="0"/>
        </w:rPr>
        <w:t>（</w:t>
      </w:r>
      <w:bookmarkEnd w:id="1905"/>
      <w:r>
        <w:rPr>
          <w:b/>
          <w:bCs/>
          <w:color w:val="000000"/>
          <w:spacing w:val="0"/>
          <w:w w:val="100"/>
          <w:position w:val="0"/>
        </w:rPr>
        <w:t>三）</w:t>
        <w:tab/>
        <w:t>金融资产与金融负债的抵销</w:t>
      </w:r>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22"/>
        <w:keepNext/>
        <w:keepLines/>
        <w:widowControl w:val="0"/>
        <w:shd w:val="clear" w:color="auto" w:fill="auto"/>
        <w:bidi w:val="0"/>
        <w:spacing w:before="0" w:after="380" w:line="240" w:lineRule="auto"/>
        <w:ind w:left="0" w:right="0" w:firstLine="0"/>
        <w:jc w:val="left"/>
      </w:pPr>
      <w:bookmarkStart w:id="1906" w:name="bookmark1906"/>
      <w:bookmarkStart w:id="1907" w:name="bookmark1907"/>
      <w:bookmarkStart w:id="1908" w:name="bookmark1908"/>
      <w:r>
        <w:rPr>
          <w:color w:val="000000"/>
          <w:spacing w:val="0"/>
          <w:w w:val="100"/>
          <w:position w:val="0"/>
        </w:rPr>
        <w:t>十一、公允价值的披露</w:t>
      </w:r>
      <w:bookmarkEnd w:id="1906"/>
      <w:bookmarkEnd w:id="1907"/>
      <w:bookmarkEnd w:id="1908"/>
    </w:p>
    <w:p>
      <w:pPr>
        <w:pStyle w:val="Style28"/>
        <w:keepNext/>
        <w:keepLines/>
        <w:widowControl w:val="0"/>
        <w:shd w:val="clear" w:color="auto" w:fill="auto"/>
        <w:bidi w:val="0"/>
        <w:spacing w:before="0" w:after="280" w:line="326" w:lineRule="auto"/>
        <w:ind w:left="0" w:right="0" w:firstLine="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09"/>
      <w:bookmarkEnd w:id="1910"/>
      <w:bookmarkEnd w:id="191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9,039,987.00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53,697,021.26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62,737,008.26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257,488,242.56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257,488,242.56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257,488,242.56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257,488,242.56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（五）应收款项融资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74,876,546.87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74,876,546.87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9,039,987.00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257,488,242.56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377,699,464.14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644,227,693.70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2</w:t>
      </w:r>
      <w:bookmarkEnd w:id="1914"/>
      <w:r>
        <w:rPr>
          <w:color w:val="000000"/>
          <w:spacing w:val="0"/>
          <w:w w:val="100"/>
          <w:position w:val="0"/>
        </w:rPr>
        <w:t>、</w:t>
        <w:tab/>
        <w:t>持续和非持续第一层次公允价值计量项目市价的确定依据</w:t>
      </w:r>
      <w:bookmarkEnd w:id="1912"/>
      <w:bookmarkEnd w:id="1913"/>
      <w:bookmarkEnd w:id="1915"/>
    </w:p>
    <w:p>
      <w:pPr>
        <w:pStyle w:val="Style28"/>
        <w:keepNext/>
        <w:keepLines/>
        <w:widowControl w:val="0"/>
        <w:shd w:val="clear" w:color="auto" w:fill="auto"/>
        <w:tabs>
          <w:tab w:pos="378" w:val="left"/>
        </w:tabs>
        <w:bidi w:val="0"/>
        <w:spacing w:before="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3</w:t>
      </w:r>
      <w:bookmarkEnd w:id="1918"/>
      <w:r>
        <w:rPr>
          <w:color w:val="000000"/>
          <w:spacing w:val="0"/>
          <w:w w:val="100"/>
          <w:position w:val="0"/>
        </w:rPr>
        <w:t>、</w:t>
        <w:tab/>
        <w:t>持续和非持续第二层次公允价值计量项目，采用的估值技术和重要参数的定性及定量信息</w:t>
      </w:r>
      <w:bookmarkEnd w:id="1916"/>
      <w:bookmarkEnd w:id="1917"/>
      <w:bookmarkEnd w:id="1919"/>
    </w:p>
    <w:p>
      <w:pPr>
        <w:pStyle w:val="Style1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对于类似房地产交易活跃的投资性房地产，本公司采用估值技术确定其公允价值。所采用估值技术为比较法和收益法。</w:t>
      </w:r>
    </w:p>
    <w:p>
      <w:pPr>
        <w:pStyle w:val="Style19"/>
        <w:keepNext w:val="0"/>
        <w:keepLines w:val="0"/>
        <w:widowControl w:val="0"/>
        <w:shd w:val="clear" w:color="auto" w:fill="auto"/>
        <w:bidi w:val="0"/>
        <w:spacing w:before="0" w:after="700" w:line="240" w:lineRule="auto"/>
        <w:ind w:left="0" w:right="0" w:firstLine="0"/>
        <w:jc w:val="left"/>
      </w:pPr>
      <w:r>
        <w:rPr>
          <w:color w:val="000000"/>
          <w:spacing w:val="0"/>
          <w:w w:val="100"/>
          <w:position w:val="0"/>
        </w:rPr>
        <w:t>估值技术的输入值主要包括交易日期、交易情况、区域因素、个别因素等。</w:t>
      </w:r>
    </w:p>
    <w:p>
      <w:pPr>
        <w:pStyle w:val="Style28"/>
        <w:keepNext/>
        <w:keepLines/>
        <w:widowControl w:val="0"/>
        <w:shd w:val="clear" w:color="auto" w:fill="auto"/>
        <w:tabs>
          <w:tab w:pos="378" w:val="left"/>
        </w:tabs>
        <w:bidi w:val="0"/>
        <w:spacing w:before="0" w:after="28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4</w:t>
      </w:r>
      <w:bookmarkEnd w:id="1922"/>
      <w:r>
        <w:rPr>
          <w:color w:val="000000"/>
          <w:spacing w:val="0"/>
          <w:w w:val="100"/>
          <w:position w:val="0"/>
        </w:rPr>
        <w:t>、</w:t>
        <w:tab/>
        <w:t>持续和非持续第三层次公允价值计量项目，采用的估值技术和重要参数的定性及定量信息</w:t>
      </w:r>
      <w:bookmarkEnd w:id="1920"/>
      <w:bookmarkEnd w:id="1921"/>
      <w:bookmarkEnd w:id="1923"/>
    </w:p>
    <w:p>
      <w:pPr>
        <w:pStyle w:val="Style19"/>
        <w:keepNext w:val="0"/>
        <w:keepLines w:val="0"/>
        <w:widowControl w:val="0"/>
        <w:shd w:val="clear" w:color="auto" w:fill="auto"/>
        <w:tabs>
          <w:tab w:pos="901" w:val="left"/>
        </w:tabs>
        <w:bidi w:val="0"/>
        <w:spacing w:before="0" w:after="0" w:line="307" w:lineRule="exact"/>
        <w:ind w:left="0" w:right="0" w:firstLine="380"/>
        <w:jc w:val="both"/>
      </w:pPr>
      <w:bookmarkStart w:id="1924" w:name="bookmark1924"/>
      <w:r>
        <w:rPr>
          <w:color w:val="000000"/>
          <w:spacing w:val="0"/>
          <w:w w:val="100"/>
          <w:position w:val="0"/>
          <w:sz w:val="18"/>
          <w:szCs w:val="18"/>
        </w:rPr>
        <w:t>（</w:t>
      </w:r>
      <w:bookmarkEnd w:id="1924"/>
      <w:r>
        <w:rPr>
          <w:color w:val="000000"/>
          <w:spacing w:val="0"/>
          <w:w w:val="100"/>
          <w:position w:val="0"/>
          <w:sz w:val="18"/>
          <w:szCs w:val="18"/>
        </w:rPr>
        <w:t>1）</w:t>
        <w:tab/>
      </w:r>
      <w:r>
        <w:rPr>
          <w:color w:val="000000"/>
          <w:spacing w:val="0"/>
          <w:w w:val="100"/>
          <w:position w:val="0"/>
        </w:rPr>
        <w:t>第三层次公允价值计量的交易性金融资产为银行理财产品，因不存在活跃的交易市场，其公允价值不能持续可靠 取得，且预计对财务报表影响不重大，本公司以投资成本作为公允价值。</w:t>
      </w:r>
    </w:p>
    <w:p>
      <w:pPr>
        <w:pStyle w:val="Style19"/>
        <w:keepNext w:val="0"/>
        <w:keepLines w:val="0"/>
        <w:widowControl w:val="0"/>
        <w:shd w:val="clear" w:color="auto" w:fill="auto"/>
        <w:tabs>
          <w:tab w:pos="901" w:val="left"/>
        </w:tabs>
        <w:bidi w:val="0"/>
        <w:spacing w:before="0" w:after="0" w:line="307" w:lineRule="exact"/>
        <w:ind w:left="0" w:right="0" w:firstLine="380"/>
        <w:jc w:val="both"/>
      </w:pPr>
      <w:bookmarkStart w:id="1925" w:name="bookmark1925"/>
      <w:r>
        <w:rPr>
          <w:color w:val="000000"/>
          <w:spacing w:val="0"/>
          <w:w w:val="100"/>
          <w:position w:val="0"/>
          <w:sz w:val="18"/>
          <w:szCs w:val="18"/>
        </w:rPr>
        <w:t>（</w:t>
      </w:r>
      <w:bookmarkEnd w:id="1925"/>
      <w:r>
        <w:rPr>
          <w:color w:val="000000"/>
          <w:spacing w:val="0"/>
          <w:w w:val="100"/>
          <w:position w:val="0"/>
          <w:sz w:val="18"/>
          <w:szCs w:val="18"/>
        </w:rPr>
        <w:t>2）</w:t>
        <w:tab/>
      </w:r>
      <w:r>
        <w:rPr>
          <w:color w:val="000000"/>
          <w:spacing w:val="0"/>
          <w:w w:val="100"/>
          <w:position w:val="0"/>
        </w:rPr>
        <w:t>第三层次公允价值计量的应收款项融资系本公司持有的应收票据，主要为银行承兑汇票，其信用风险可以忽略不 计，且剩余期限较短（小于</w:t>
      </w:r>
      <w:r>
        <w:rPr>
          <w:color w:val="000000"/>
          <w:spacing w:val="0"/>
          <w:w w:val="100"/>
          <w:position w:val="0"/>
          <w:sz w:val="18"/>
          <w:szCs w:val="18"/>
        </w:rPr>
        <w:t>12</w:t>
      </w:r>
      <w:r>
        <w:rPr>
          <w:color w:val="000000"/>
          <w:spacing w:val="0"/>
          <w:w w:val="100"/>
          <w:position w:val="0"/>
        </w:rPr>
        <w:t>个月），账面价值与公允价值相近，本公司以账面价值作为公允价值。</w:t>
      </w:r>
    </w:p>
    <w:p>
      <w:pPr>
        <w:pStyle w:val="Style19"/>
        <w:keepNext w:val="0"/>
        <w:keepLines w:val="0"/>
        <w:widowControl w:val="0"/>
        <w:shd w:val="clear" w:color="auto" w:fill="auto"/>
        <w:tabs>
          <w:tab w:pos="901" w:val="left"/>
        </w:tabs>
        <w:bidi w:val="0"/>
        <w:spacing w:before="0" w:after="400" w:line="307" w:lineRule="exact"/>
        <w:ind w:left="0" w:right="0" w:firstLine="380"/>
        <w:jc w:val="both"/>
      </w:pPr>
      <w:bookmarkStart w:id="1926" w:name="bookmark1926"/>
      <w:r>
        <w:rPr>
          <w:color w:val="000000"/>
          <w:spacing w:val="0"/>
          <w:w w:val="100"/>
          <w:position w:val="0"/>
          <w:sz w:val="18"/>
          <w:szCs w:val="18"/>
        </w:rPr>
        <w:t>（</w:t>
      </w:r>
      <w:bookmarkEnd w:id="1926"/>
      <w:r>
        <w:rPr>
          <w:color w:val="000000"/>
          <w:spacing w:val="0"/>
          <w:w w:val="100"/>
          <w:position w:val="0"/>
          <w:sz w:val="18"/>
          <w:szCs w:val="18"/>
        </w:rPr>
        <w:t>3）</w:t>
        <w:tab/>
      </w:r>
      <w:r>
        <w:rPr>
          <w:color w:val="000000"/>
          <w:spacing w:val="0"/>
          <w:w w:val="100"/>
          <w:position w:val="0"/>
        </w:rPr>
        <w:t>第三层次公允价值计量的其他权益工具投资、其他非流动金融资产为公司持有的非上市公司的股权，如被投资公 司在接近报告日进行了股权融资，本公司以此次融资价格作为公允价值；如被投资公司在接近报告日无可参考的股权融资价 格，本公司以按照权益法核算的结果或投资成本作为公允价值。</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5</w:t>
      </w:r>
      <w:bookmarkEnd w:id="1929"/>
      <w:r>
        <w:rPr>
          <w:color w:val="000000"/>
          <w:spacing w:val="0"/>
          <w:w w:val="100"/>
          <w:position w:val="0"/>
        </w:rPr>
        <w:t>、</w:t>
        <w:tab/>
        <w:t>持续的第三层次公允价值计量项目，期初与期末账面价值间的调节信息及不可观察参数敏感性分析</w:t>
      </w:r>
      <w:bookmarkEnd w:id="1927"/>
      <w:bookmarkEnd w:id="1928"/>
      <w:bookmarkEnd w:id="1930"/>
    </w:p>
    <w:p>
      <w:pPr>
        <w:pStyle w:val="Style28"/>
        <w:keepNext/>
        <w:keepLines/>
        <w:widowControl w:val="0"/>
        <w:shd w:val="clear" w:color="auto" w:fill="auto"/>
        <w:tabs>
          <w:tab w:pos="378" w:val="left"/>
        </w:tabs>
        <w:bidi w:val="0"/>
        <w:spacing w:before="0" w:after="36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6</w:t>
      </w:r>
      <w:bookmarkEnd w:id="1933"/>
      <w:r>
        <w:rPr>
          <w:color w:val="000000"/>
          <w:spacing w:val="0"/>
          <w:w w:val="100"/>
          <w:position w:val="0"/>
        </w:rPr>
        <w:t>、</w:t>
        <w:tab/>
        <w:t>持续的公允价值计量项目，本期内发生各层级之间转换的，转换的原因及确定转换时点的政策</w:t>
      </w:r>
      <w:bookmarkEnd w:id="1931"/>
      <w:bookmarkEnd w:id="1932"/>
      <w:bookmarkEnd w:id="1934"/>
    </w:p>
    <w:p>
      <w:pPr>
        <w:pStyle w:val="Style28"/>
        <w:keepNext/>
        <w:keepLines/>
        <w:widowControl w:val="0"/>
        <w:shd w:val="clear" w:color="auto" w:fill="auto"/>
        <w:tabs>
          <w:tab w:pos="378" w:val="left"/>
        </w:tabs>
        <w:bidi w:val="0"/>
        <w:spacing w:before="0" w:after="36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7</w:t>
      </w:r>
      <w:bookmarkEnd w:id="1937"/>
      <w:r>
        <w:rPr>
          <w:color w:val="000000"/>
          <w:spacing w:val="0"/>
          <w:w w:val="100"/>
          <w:position w:val="0"/>
        </w:rPr>
        <w:t>、</w:t>
        <w:tab/>
        <w:t>本期内发生的估值技术变更及变更原因</w:t>
      </w:r>
      <w:bookmarkEnd w:id="1935"/>
      <w:bookmarkEnd w:id="1936"/>
      <w:bookmarkEnd w:id="1938"/>
    </w:p>
    <w:p>
      <w:pPr>
        <w:pStyle w:val="Style28"/>
        <w:keepNext/>
        <w:keepLines/>
        <w:widowControl w:val="0"/>
        <w:shd w:val="clear" w:color="auto" w:fill="auto"/>
        <w:tabs>
          <w:tab w:pos="378" w:val="left"/>
        </w:tabs>
        <w:bidi w:val="0"/>
        <w:spacing w:before="0" w:after="28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8</w:t>
      </w:r>
      <w:bookmarkEnd w:id="1941"/>
      <w:r>
        <w:rPr>
          <w:color w:val="000000"/>
          <w:spacing w:val="0"/>
          <w:w w:val="100"/>
          <w:position w:val="0"/>
        </w:rPr>
        <w:t>、</w:t>
        <w:tab/>
        <w:t>不以公允价值计量的金融资产和金融负债的公允价值情况</w:t>
      </w:r>
      <w:bookmarkEnd w:id="1939"/>
      <w:bookmarkEnd w:id="1940"/>
      <w:bookmarkEnd w:id="1942"/>
    </w:p>
    <w:p>
      <w:pPr>
        <w:pStyle w:val="Style19"/>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本公司以摊余成本计量的金融资产和金融负债主要包括：货币资金、应收票据、应收账款、其他应收款、应付票据、应 付账款、其他应付款等。</w:t>
      </w:r>
    </w:p>
    <w:p>
      <w:pPr>
        <w:pStyle w:val="Style28"/>
        <w:keepNext/>
        <w:keepLines/>
        <w:widowControl w:val="0"/>
        <w:shd w:val="clear" w:color="auto" w:fill="auto"/>
        <w:bidi w:val="0"/>
        <w:spacing w:before="0" w:after="36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9</w:t>
      </w:r>
      <w:bookmarkEnd w:id="1945"/>
      <w:r>
        <w:rPr>
          <w:color w:val="000000"/>
          <w:spacing w:val="0"/>
          <w:w w:val="100"/>
          <w:position w:val="0"/>
        </w:rPr>
        <w:t>、其他</w:t>
      </w:r>
      <w:bookmarkEnd w:id="1943"/>
      <w:bookmarkEnd w:id="1944"/>
      <w:bookmarkEnd w:id="1946"/>
    </w:p>
    <w:p>
      <w:pPr>
        <w:pStyle w:val="Style22"/>
        <w:keepNext/>
        <w:keepLines/>
        <w:widowControl w:val="0"/>
        <w:shd w:val="clear" w:color="auto" w:fill="auto"/>
        <w:bidi w:val="0"/>
        <w:spacing w:before="0" w:after="360" w:line="240" w:lineRule="auto"/>
        <w:ind w:left="0" w:right="0" w:firstLine="0"/>
        <w:jc w:val="left"/>
      </w:pPr>
      <w:bookmarkStart w:id="1947" w:name="bookmark1947"/>
      <w:bookmarkStart w:id="1948" w:name="bookmark1948"/>
      <w:bookmarkStart w:id="1949" w:name="bookmark1949"/>
      <w:r>
        <w:rPr>
          <w:color w:val="000000"/>
          <w:spacing w:val="0"/>
          <w:w w:val="100"/>
          <w:position w:val="0"/>
        </w:rPr>
        <w:t>十二、关联方及关联交易</w:t>
      </w:r>
      <w:bookmarkEnd w:id="1947"/>
      <w:bookmarkEnd w:id="1948"/>
      <w:bookmarkEnd w:id="1949"/>
    </w:p>
    <w:p>
      <w:pPr>
        <w:pStyle w:val="Style28"/>
        <w:keepNext/>
        <w:keepLines/>
        <w:widowControl w:val="0"/>
        <w:shd w:val="clear" w:color="auto" w:fill="auto"/>
        <w:bidi w:val="0"/>
        <w:spacing w:before="0" w:after="280" w:line="240" w:lineRule="auto"/>
        <w:ind w:left="0" w:right="0" w:firstLine="0"/>
        <w:jc w:val="left"/>
      </w:pPr>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50"/>
      <w:bookmarkEnd w:id="1951"/>
      <w:bookmarkEnd w:id="1952"/>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广东省广新控股集 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股权管理、资本运营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18.78%</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本企业最终控制方是广东省人民政府。</w:t>
      </w:r>
    </w:p>
    <w:p>
      <w:pPr>
        <w:pStyle w:val="Style28"/>
        <w:keepNext/>
        <w:keepLines/>
        <w:widowControl w:val="0"/>
        <w:shd w:val="clear" w:color="auto" w:fill="auto"/>
        <w:bidi w:val="0"/>
        <w:spacing w:before="0" w:after="400" w:line="240" w:lineRule="auto"/>
        <w:ind w:left="0" w:right="0" w:firstLine="0"/>
        <w:jc w:val="left"/>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953"/>
      <w:bookmarkEnd w:id="1954"/>
      <w:bookmarkEnd w:id="195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28"/>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3</w:t>
      </w:r>
      <w:bookmarkEnd w:id="1958"/>
      <w:r>
        <w:rPr>
          <w:color w:val="000000"/>
          <w:spacing w:val="0"/>
          <w:w w:val="100"/>
          <w:position w:val="0"/>
        </w:rPr>
        <w:t>、本企业合营和联营企业情况</w:t>
      </w:r>
      <w:bookmarkEnd w:id="1956"/>
      <w:bookmarkEnd w:id="1957"/>
      <w:bookmarkEnd w:id="1959"/>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、在合营企业或联营企业中的权益。</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省广博报堂整合营销有限公司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广东省广代博广告营销有限公司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北京省广阳光传媒有限公司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广州多触电商传媒有限公司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联营企业（本期已处置）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广州开合科技有限公司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联营企业（本期已处置）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广州梦洁宝贝蓝门数字商业有限公司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联营企业（本期已处置）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合宝文娱集团有限公司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深圳钛铂新媒体营销股份有限公司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省广翰威（上海）广告有限公司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省广聚合（北京）数字技术有限公司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中懋（广州）广告有限公司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珠海博纳思品牌管理咨询有限公司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珠海市省广华屹智能数字营销有限公司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联营企业（本期已处置）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珠海市省广凯酷传媒有限公司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珠海市省广盛世体验营销有限公司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珠海市省广星美达文化传媒有限公司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优美国际电子商务（广州）有限公司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w:t>
            </w:r>
          </w:p>
        </w:tc>
      </w:tr>
    </w:tbl>
    <w:p>
      <w:pPr>
        <w:widowControl w:val="0"/>
        <w:spacing w:after="679" w:line="1" w:lineRule="exact"/>
      </w:pPr>
    </w:p>
    <w:p>
      <w:pPr>
        <w:pStyle w:val="Style28"/>
        <w:keepNext/>
        <w:keepLines/>
        <w:widowControl w:val="0"/>
        <w:shd w:val="clear" w:color="auto" w:fill="auto"/>
        <w:bidi w:val="0"/>
        <w:spacing w:before="0" w:after="32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4</w:t>
      </w:r>
      <w:bookmarkEnd w:id="1962"/>
      <w:r>
        <w:rPr>
          <w:color w:val="000000"/>
          <w:spacing w:val="0"/>
          <w:w w:val="100"/>
          <w:position w:val="0"/>
        </w:rPr>
        <w:t>、其他关联方情况</w:t>
      </w:r>
      <w:bookmarkEnd w:id="1960"/>
      <w:bookmarkEnd w:id="1961"/>
      <w:bookmarkEnd w:id="196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广东珠江桥生物科技股份有限公司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广东广新跨境新零售有限公司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佛山佛塑科技集团股份有限公司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珠海省广纳思博报堂广告有限公司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联营企业之合营企业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北京畅思互娱科技合伙企业（有限合伙）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公司子公司之少数股东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珠海市诺利市场服务有限合伙企业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公司子公司之少数股东</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株式会社 </w:t>
            </w:r>
            <w:r>
              <w:rPr>
                <w:color w:val="000000"/>
                <w:spacing w:val="0"/>
                <w:w w:val="100"/>
                <w:position w:val="0"/>
              </w:rPr>
              <w:t>ADK MARKETING SOLUTIONS</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公司子公司之少数股东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深圳东信时代信息技术有限公司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少数股东之配偶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公司孙公司之法定代表人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姚继红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公司孙公司之法定代表人之配偶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陈钿隆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本公司董事长、股东、党委书记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何滨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本公司副董事长、股东、党委副书记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胡镇南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廖浩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董事、副总经理、董秘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杨远征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姚文骏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党委副书记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袁志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陈小振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向奕帆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许益昊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副总经理</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5</w:t>
      </w:r>
      <w:bookmarkEnd w:id="1966"/>
      <w:r>
        <w:rPr>
          <w:color w:val="000000"/>
          <w:spacing w:val="0"/>
          <w:w w:val="100"/>
          <w:position w:val="0"/>
        </w:rPr>
        <w:t>、关联交易情况</w:t>
      </w:r>
      <w:bookmarkEnd w:id="1964"/>
      <w:bookmarkEnd w:id="1965"/>
      <w:bookmarkEnd w:id="1967"/>
    </w:p>
    <w:p>
      <w:pPr>
        <w:pStyle w:val="Style32"/>
        <w:keepNext/>
        <w:keepLines/>
        <w:widowControl w:val="0"/>
        <w:shd w:val="clear" w:color="auto" w:fill="auto"/>
        <w:bidi w:val="0"/>
        <w:spacing w:before="0" w:line="240" w:lineRule="auto"/>
        <w:ind w:left="0" w:right="0" w:firstLine="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68"/>
      <w:bookmarkEnd w:id="1969"/>
      <w:bookmarkEnd w:id="1970"/>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广东省广汽车数字 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244,112,420.67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64,657,124.13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1,075,283.02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省广翰威（上海） 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17,757,979.93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12,534,397.27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广东省广影业股份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15,937,252.19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49,927,901.87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珠海市省广星美达 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14,193,155.65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21,575,046.04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 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13,250,962.30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98,972,491.12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珠海市省广盛世体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3,681,266.05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1,657,211.10</w:t>
            </w:r>
          </w:p>
        </w:tc>
      </w:tr>
    </w:tbl>
    <w:p>
      <w:pPr>
        <w:widowControl w:val="0"/>
        <w:spacing w:line="1" w:lineRule="exact"/>
      </w:pPr>
      <w:r>
        <w:br w:type="page"/>
      </w:r>
    </w:p>
    <w:tbl>
      <w:tblPr>
        <w:tblOverlap w:val="never"/>
        <w:jc w:val="center"/>
        <w:tblLayout w:type="fixed"/>
      </w:tblPr>
      <w:tblGrid>
        <w:gridCol w:w="1550"/>
        <w:gridCol w:w="1454"/>
        <w:gridCol w:w="1450"/>
        <w:gridCol w:w="1709"/>
        <w:gridCol w:w="1709"/>
        <w:gridCol w:w="171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验营销有限公司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1,913,772.76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771,796.88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广州开合科技有限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5,271,698.11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省广博报堂整合营 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18,102,151.95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珠海省广纳思博报 堂广告有限公司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9,689,753.50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省广聚合（北京） 数字技术有限公司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1,116,981.14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优美国际电子商务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 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226,415.08</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省广博报堂整合营销有限公司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765,627,518.61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1,020,317,001.69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广东省广代博广告营销有限公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284,273,002.84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230,524,104.07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58,020,348.58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18,328,139.24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珠海省广纳思博报堂广告有限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27,745,903.55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89,708,007.28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21,306,443.26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23,246,308.71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26,362,888.38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8,668,509.09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27,782,209.48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6,421,647.49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3,374,890.84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5,911,158.60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23,864,121.10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1,323,434.51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1,495,283.00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珠海市省广盛世体验营销有限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1,030,683.47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99,279.28</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珠海市省广凯酷传媒有限公司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640,452.57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583,659.97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广东广新跨境新零售有限公司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239,744.81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5,312,750.87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珠海市省广星美达文化传媒有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44,339,622.62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广东珠江桥生物科技股份有限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503,667.90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广州梦洁宝贝蓝门数字商业有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71,540.56</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971" w:name="bookmark1971"/>
      <w:bookmarkStart w:id="1972" w:name="bookmark1972"/>
      <w:bookmarkStart w:id="1973" w:name="bookmark1973"/>
      <w:bookmarkStart w:id="1974" w:name="bookmark1974"/>
      <w:r>
        <w:rPr>
          <w:color w:val="000000"/>
          <w:spacing w:val="0"/>
          <w:w w:val="100"/>
          <w:position w:val="0"/>
        </w:rPr>
        <w:t>（</w:t>
      </w:r>
      <w:bookmarkEnd w:id="197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71"/>
      <w:bookmarkEnd w:id="1972"/>
      <w:bookmarkEnd w:id="1974"/>
    </w:p>
    <w:p>
      <w:pPr>
        <w:pStyle w:val="Style32"/>
        <w:keepNext/>
        <w:keepLines/>
        <w:widowControl w:val="0"/>
        <w:shd w:val="clear" w:color="auto" w:fill="auto"/>
        <w:tabs>
          <w:tab w:pos="493" w:val="left"/>
        </w:tabs>
        <w:bidi w:val="0"/>
        <w:spacing w:before="0" w:line="240" w:lineRule="auto"/>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w:t>
      </w:r>
      <w:bookmarkEnd w:id="197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75"/>
      <w:bookmarkEnd w:id="1976"/>
      <w:bookmarkEnd w:id="1978"/>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上期确认的租赁收入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省广众烁数字营销有限公司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1,360,381.23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1,210,590.11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423,079.08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142,428.61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130,392.89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202,021.98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珠海市省广盛世体验营销有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92,949.58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89,626.69</w:t>
            </w:r>
          </w:p>
        </w:tc>
      </w:tr>
    </w:tbl>
    <w:p>
      <w:pPr>
        <w:pStyle w:val="Style19"/>
        <w:keepNext w:val="0"/>
        <w:keepLines w:val="0"/>
        <w:widowControl w:val="0"/>
        <w:shd w:val="clear" w:color="auto" w:fill="auto"/>
        <w:bidi w:val="0"/>
        <w:spacing w:before="0" w:after="740" w:line="346" w:lineRule="exact"/>
        <w:ind w:left="0" w:right="0" w:firstLine="0"/>
        <w:jc w:val="left"/>
      </w:pPr>
      <w:r>
        <w:rPr>
          <w:color w:val="000000"/>
          <w:spacing w:val="0"/>
          <w:w w:val="100"/>
          <w:position w:val="0"/>
        </w:rPr>
        <w:t>关联租赁情况说明 无。</w:t>
      </w:r>
    </w:p>
    <w:p>
      <w:pPr>
        <w:pStyle w:val="Style32"/>
        <w:keepNext/>
        <w:keepLines/>
        <w:widowControl w:val="0"/>
        <w:shd w:val="clear" w:color="auto" w:fill="auto"/>
        <w:bidi w:val="0"/>
        <w:spacing w:before="0" w:line="240" w:lineRule="auto"/>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79"/>
      <w:bookmarkEnd w:id="1980"/>
      <w:bookmarkEnd w:id="1982"/>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本公司作为被担保方</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刘浩宇、史舒海、胡文 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14,266,725.07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刘浩宇、史舒海、胡文 恺、胡茜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李健、姚继红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83"/>
      <w:bookmarkEnd w:id="1984"/>
      <w:bookmarkEnd w:id="1986"/>
    </w:p>
    <w:p>
      <w:pPr>
        <w:pStyle w:val="Style32"/>
        <w:keepNext/>
        <w:keepLines/>
        <w:widowControl w:val="0"/>
        <w:shd w:val="clear" w:color="auto" w:fill="auto"/>
        <w:tabs>
          <w:tab w:pos="493" w:val="left"/>
        </w:tabs>
        <w:bidi w:val="0"/>
        <w:spacing w:before="0" w:after="36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987"/>
      <w:bookmarkEnd w:id="1988"/>
      <w:bookmarkEnd w:id="1990"/>
    </w:p>
    <w:p>
      <w:pPr>
        <w:pStyle w:val="Style32"/>
        <w:keepNext/>
        <w:keepLines/>
        <w:widowControl w:val="0"/>
        <w:shd w:val="clear" w:color="auto" w:fill="auto"/>
        <w:tabs>
          <w:tab w:pos="493" w:val="left"/>
        </w:tabs>
        <w:bidi w:val="0"/>
        <w:spacing w:before="0" w:after="36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91"/>
      <w:bookmarkEnd w:id="1992"/>
      <w:bookmarkEnd w:id="199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21,966,935.84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7,768,700.00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95"/>
      <w:bookmarkEnd w:id="1996"/>
      <w:bookmarkEnd w:id="1998"/>
    </w:p>
    <w:p>
      <w:pPr>
        <w:pStyle w:val="Style19"/>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本集团本报告期无其他关联交易事项。</w:t>
      </w:r>
    </w:p>
    <w:p>
      <w:pPr>
        <w:pStyle w:val="Style28"/>
        <w:keepNext/>
        <w:keepLines/>
        <w:widowControl w:val="0"/>
        <w:shd w:val="clear" w:color="auto" w:fill="auto"/>
        <w:bidi w:val="0"/>
        <w:spacing w:before="0" w:after="360" w:line="240" w:lineRule="auto"/>
        <w:ind w:left="0" w:right="0" w:firstLine="0"/>
        <w:jc w:val="both"/>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6</w:t>
      </w:r>
      <w:bookmarkEnd w:id="2001"/>
      <w:r>
        <w:rPr>
          <w:color w:val="000000"/>
          <w:spacing w:val="0"/>
          <w:w w:val="100"/>
          <w:position w:val="0"/>
        </w:rPr>
        <w:t>、关联方应收应付款项</w:t>
      </w:r>
      <w:bookmarkEnd w:id="1999"/>
      <w:bookmarkEnd w:id="2000"/>
      <w:bookmarkEnd w:id="2002"/>
    </w:p>
    <w:p>
      <w:pPr>
        <w:pStyle w:val="Style32"/>
        <w:keepNext/>
        <w:keepLines/>
        <w:widowControl w:val="0"/>
        <w:shd w:val="clear" w:color="auto" w:fill="auto"/>
        <w:bidi w:val="0"/>
        <w:spacing w:before="0" w:after="360" w:line="240" w:lineRule="auto"/>
        <w:ind w:left="0" w:right="0" w:firstLine="0"/>
        <w:jc w:val="both"/>
      </w:pPr>
      <w:bookmarkStart w:id="2003" w:name="bookmark2003"/>
      <w:bookmarkStart w:id="2004" w:name="bookmark2004"/>
      <w:bookmarkStart w:id="2005" w:name="bookmark20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03"/>
      <w:bookmarkEnd w:id="2004"/>
      <w:bookmarkEnd w:id="200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省广博报堂整合营 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114,225,375.42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571,126.88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176,362,501.98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881,812.51</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广东省广代博广告 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66,658,984.68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333,294.92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85,830,052.65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429,150.26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珠海省广纳思博报 堂广告有限公司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28,393,207.21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141,966.04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70,519,945.89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352,599.73</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 字技术有限公司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18,388,879.33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1,140,243.13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14,941,964.30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69,309.82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广东省广汽车数字 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6,399,869.94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45,962.33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 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1,719,926.83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8,599.63</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 字营销有限公司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1,350,544.11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62,761.93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907,086.00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108,783.20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543.92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 验营销有限公司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167,214.69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136,498.58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682.49</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中懋（广州）广告有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106,087.04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21,217.41</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3,161,972.00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15,809.86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240,695,248.42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2,433,953.77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352,887,732.47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1,779,725.63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广东省广汽车数字 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53,895.79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珠海市省广星美达 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811,079.53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 验营销有限公司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686,566.36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287,924.51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 字营销有限公司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3,191,509.43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广东省广影业股份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188,679.25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42,468.30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1,551,541.68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3,710,581.49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广东省广汽车数字 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中懋（广州）广告有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507,113.81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313,199.81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507,113.81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59,408.06</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北京省广阳光传媒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90,420.62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90,420.62</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 验营销有限公司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24,921.59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佛山佛塑科技集团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 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2,064,177.29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10,320.89</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 理咨询有限公司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1,241,900.36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21,739.50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 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34,765.09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173.83</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1,560,573.05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422,685.63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3,938,377.17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182,062.90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006" w:name="bookmark2006"/>
      <w:bookmarkStart w:id="2007" w:name="bookmark2007"/>
      <w:bookmarkStart w:id="2008" w:name="bookmark20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06"/>
      <w:bookmarkEnd w:id="2007"/>
      <w:bookmarkEnd w:id="200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珠海博纳思品牌管理咨询有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34,266,930.52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4,446,484.78</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广东省广汽车数字营销有限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16,969,519.16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5,111,594.77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2,214,521.75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2,361,796.48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1,851,723.50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2,911,723.50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143,954.55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811,671.74</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珠海市省广盛世体验营销有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118,916.00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省广博报堂整合营销有限公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18,444.00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省广翰威（上海）广告有限公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5,238,784.00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珠海省广纳思博报堂广告有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4,926,627.60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珠海市省广星美达文化传媒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2,126,296.00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省广聚合（北京）数字技术有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1,184,000.00</w:t>
            </w: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珠海市省广凯酷传媒有限公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60,576,688.25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24,127,384.10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深圳东信时代信息技术有限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268,879.25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34,028.28</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珠海市省广凯酷传媒有限公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263,744.33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1,617,022.78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省广翰威（上海）广告有限公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广州骏伯网络科技股份有限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106,698.11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1,532,623.58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1,909,749.17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珠海市省广众烁数字营销有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246,666.34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161,392.08</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省广聚合（北京）数字技术有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珠海市省广盛世体验营销有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54,931.00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广东省广影业股份有限公司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34,499.38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中懋（广州）广告有限公司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396,596.72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276,823.08</w:t>
            </w:r>
          </w:p>
        </w:tc>
      </w:tr>
    </w:tbl>
    <w:p>
      <w:pPr>
        <w:widowControl w:val="0"/>
        <w:spacing w:after="359" w:line="1" w:lineRule="exact"/>
      </w:pPr>
    </w:p>
    <w:p>
      <w:pPr>
        <w:pStyle w:val="Style28"/>
        <w:keepNext/>
        <w:keepLines/>
        <w:widowControl w:val="0"/>
        <w:shd w:val="clear" w:color="auto" w:fill="auto"/>
        <w:tabs>
          <w:tab w:pos="373" w:val="left"/>
        </w:tabs>
        <w:bidi w:val="0"/>
        <w:spacing w:before="0" w:after="36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7</w:t>
      </w:r>
      <w:bookmarkEnd w:id="2011"/>
      <w:r>
        <w:rPr>
          <w:color w:val="000000"/>
          <w:spacing w:val="0"/>
          <w:w w:val="100"/>
          <w:position w:val="0"/>
        </w:rPr>
        <w:t>、</w:t>
        <w:tab/>
        <w:t>关联方承诺</w:t>
      </w:r>
      <w:bookmarkEnd w:id="2009"/>
      <w:bookmarkEnd w:id="2010"/>
      <w:bookmarkEnd w:id="2012"/>
    </w:p>
    <w:p>
      <w:pPr>
        <w:pStyle w:val="Style28"/>
        <w:keepNext/>
        <w:keepLines/>
        <w:widowControl w:val="0"/>
        <w:shd w:val="clear" w:color="auto" w:fill="auto"/>
        <w:tabs>
          <w:tab w:pos="378" w:val="left"/>
        </w:tabs>
        <w:bidi w:val="0"/>
        <w:spacing w:before="0" w:after="36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8</w:t>
      </w:r>
      <w:bookmarkEnd w:id="2015"/>
      <w:r>
        <w:rPr>
          <w:color w:val="000000"/>
          <w:spacing w:val="0"/>
          <w:w w:val="100"/>
          <w:position w:val="0"/>
        </w:rPr>
        <w:t>、</w:t>
        <w:tab/>
        <w:t>其他</w:t>
      </w:r>
      <w:bookmarkEnd w:id="2013"/>
      <w:bookmarkEnd w:id="2014"/>
      <w:bookmarkEnd w:id="2016"/>
    </w:p>
    <w:p>
      <w:pPr>
        <w:pStyle w:val="Style22"/>
        <w:keepNext/>
        <w:keepLines/>
        <w:widowControl w:val="0"/>
        <w:shd w:val="clear" w:color="auto" w:fill="auto"/>
        <w:bidi w:val="0"/>
        <w:spacing w:before="0" w:after="360" w:line="240" w:lineRule="auto"/>
        <w:ind w:left="0" w:right="0" w:firstLine="0"/>
        <w:jc w:val="left"/>
      </w:pPr>
      <w:bookmarkStart w:id="2017" w:name="bookmark2017"/>
      <w:bookmarkStart w:id="2018" w:name="bookmark2018"/>
      <w:bookmarkStart w:id="2019" w:name="bookmark2019"/>
      <w:r>
        <w:rPr>
          <w:color w:val="000000"/>
          <w:spacing w:val="0"/>
          <w:w w:val="100"/>
          <w:position w:val="0"/>
        </w:rPr>
        <w:t>十三、股份支付</w:t>
      </w:r>
      <w:bookmarkEnd w:id="2017"/>
      <w:bookmarkEnd w:id="2018"/>
      <w:bookmarkEnd w:id="2019"/>
    </w:p>
    <w:p>
      <w:pPr>
        <w:pStyle w:val="Style28"/>
        <w:keepNext/>
        <w:keepLines/>
        <w:widowControl w:val="0"/>
        <w:shd w:val="clear" w:color="auto" w:fill="auto"/>
        <w:tabs>
          <w:tab w:pos="368" w:val="left"/>
        </w:tabs>
        <w:bidi w:val="0"/>
        <w:spacing w:before="0" w:after="36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bookmarkEnd w:id="2022"/>
      <w:r>
        <w:rPr>
          <w:color w:val="000000"/>
          <w:spacing w:val="0"/>
          <w:w w:val="100"/>
          <w:position w:val="0"/>
        </w:rPr>
        <w:t>、</w:t>
        <w:tab/>
        <w:t>股份支付总体情况</w:t>
      </w:r>
      <w:bookmarkEnd w:id="2020"/>
      <w:bookmarkEnd w:id="2021"/>
      <w:bookmarkEnd w:id="2023"/>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both"/>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2</w:t>
      </w:r>
      <w:bookmarkEnd w:id="2026"/>
      <w:r>
        <w:rPr>
          <w:color w:val="000000"/>
          <w:spacing w:val="0"/>
          <w:w w:val="100"/>
          <w:position w:val="0"/>
        </w:rPr>
        <w:t>、</w:t>
        <w:tab/>
        <w:t>以权益结算的股份支付情况</w:t>
      </w:r>
      <w:bookmarkEnd w:id="2024"/>
      <w:bookmarkEnd w:id="2025"/>
      <w:bookmarkEnd w:id="2027"/>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3</w:t>
      </w:r>
      <w:bookmarkEnd w:id="2030"/>
      <w:r>
        <w:rPr>
          <w:color w:val="000000"/>
          <w:spacing w:val="0"/>
          <w:w w:val="100"/>
          <w:position w:val="0"/>
        </w:rPr>
        <w:t>、</w:t>
        <w:tab/>
        <w:t>以现金结算的股份支付情况</w:t>
      </w:r>
      <w:bookmarkEnd w:id="2028"/>
      <w:bookmarkEnd w:id="2029"/>
      <w:bookmarkEnd w:id="2031"/>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4</w:t>
      </w:r>
      <w:bookmarkEnd w:id="2034"/>
      <w:r>
        <w:rPr>
          <w:color w:val="000000"/>
          <w:spacing w:val="0"/>
          <w:w w:val="100"/>
          <w:position w:val="0"/>
        </w:rPr>
        <w:t>、</w:t>
        <w:tab/>
        <w:t>股份支付的修改、终止情况</w:t>
      </w:r>
      <w:bookmarkEnd w:id="2032"/>
      <w:bookmarkEnd w:id="2033"/>
      <w:bookmarkEnd w:id="2035"/>
    </w:p>
    <w:p>
      <w:pPr>
        <w:pStyle w:val="Style28"/>
        <w:keepNext/>
        <w:keepLines/>
        <w:widowControl w:val="0"/>
        <w:shd w:val="clear" w:color="auto" w:fill="auto"/>
        <w:tabs>
          <w:tab w:pos="378" w:val="left"/>
        </w:tabs>
        <w:bidi w:val="0"/>
        <w:spacing w:before="0" w:after="36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5</w:t>
      </w:r>
      <w:bookmarkEnd w:id="2038"/>
      <w:r>
        <w:rPr>
          <w:color w:val="000000"/>
          <w:spacing w:val="0"/>
          <w:w w:val="100"/>
          <w:position w:val="0"/>
        </w:rPr>
        <w:t>、</w:t>
        <w:tab/>
        <w:t>其他</w:t>
      </w:r>
      <w:bookmarkEnd w:id="2036"/>
      <w:bookmarkEnd w:id="2037"/>
      <w:bookmarkEnd w:id="2039"/>
    </w:p>
    <w:p>
      <w:pPr>
        <w:pStyle w:val="Style22"/>
        <w:keepNext/>
        <w:keepLines/>
        <w:widowControl w:val="0"/>
        <w:shd w:val="clear" w:color="auto" w:fill="auto"/>
        <w:bidi w:val="0"/>
        <w:spacing w:before="0" w:after="360" w:line="240" w:lineRule="auto"/>
        <w:ind w:left="0" w:right="0" w:firstLine="0"/>
        <w:jc w:val="left"/>
      </w:pPr>
      <w:bookmarkStart w:id="2040" w:name="bookmark2040"/>
      <w:bookmarkStart w:id="2041" w:name="bookmark2041"/>
      <w:bookmarkStart w:id="2042" w:name="bookmark2042"/>
      <w:r>
        <w:rPr>
          <w:color w:val="000000"/>
          <w:spacing w:val="0"/>
          <w:w w:val="100"/>
          <w:position w:val="0"/>
        </w:rPr>
        <w:t>十四、承诺及或有事项</w:t>
      </w:r>
      <w:bookmarkEnd w:id="2040"/>
      <w:bookmarkEnd w:id="2041"/>
      <w:bookmarkEnd w:id="2042"/>
    </w:p>
    <w:p>
      <w:pPr>
        <w:pStyle w:val="Style28"/>
        <w:keepNext/>
        <w:keepLines/>
        <w:widowControl w:val="0"/>
        <w:shd w:val="clear" w:color="auto" w:fill="auto"/>
        <w:tabs>
          <w:tab w:pos="368" w:val="left"/>
        </w:tabs>
        <w:bidi w:val="0"/>
        <w:spacing w:before="0" w:after="36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1</w:t>
      </w:r>
      <w:bookmarkEnd w:id="2045"/>
      <w:r>
        <w:rPr>
          <w:color w:val="000000"/>
          <w:spacing w:val="0"/>
          <w:w w:val="100"/>
          <w:position w:val="0"/>
        </w:rPr>
        <w:t>、</w:t>
        <w:tab/>
        <w:t>重要承诺事项</w:t>
      </w:r>
      <w:bookmarkEnd w:id="2043"/>
      <w:bookmarkEnd w:id="2044"/>
      <w:bookmarkEnd w:id="2046"/>
    </w:p>
    <w:p>
      <w:pPr>
        <w:pStyle w:val="Style19"/>
        <w:keepNext w:val="0"/>
        <w:keepLines w:val="0"/>
        <w:widowControl w:val="0"/>
        <w:shd w:val="clear" w:color="auto" w:fill="auto"/>
        <w:bidi w:val="0"/>
        <w:spacing w:before="0" w:after="720" w:line="240" w:lineRule="auto"/>
        <w:ind w:left="0" w:right="0" w:firstLine="38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日，本集团无需要披露重大承诺事项。</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2</w:t>
      </w:r>
      <w:bookmarkEnd w:id="2049"/>
      <w:r>
        <w:rPr>
          <w:color w:val="000000"/>
          <w:spacing w:val="0"/>
          <w:w w:val="100"/>
          <w:position w:val="0"/>
        </w:rPr>
        <w:t>、</w:t>
        <w:tab/>
        <w:t>或有事项</w:t>
      </w:r>
      <w:bookmarkEnd w:id="2047"/>
      <w:bookmarkEnd w:id="2048"/>
      <w:bookmarkEnd w:id="2050"/>
    </w:p>
    <w:p>
      <w:pPr>
        <w:pStyle w:val="Style32"/>
        <w:keepNext/>
        <w:keepLines/>
        <w:widowControl w:val="0"/>
        <w:shd w:val="clear" w:color="auto" w:fill="auto"/>
        <w:tabs>
          <w:tab w:pos="493" w:val="left"/>
        </w:tabs>
        <w:bidi w:val="0"/>
        <w:spacing w:before="0" w:after="36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51"/>
      <w:bookmarkEnd w:id="2052"/>
      <w:bookmarkEnd w:id="2054"/>
    </w:p>
    <w:p>
      <w:pPr>
        <w:pStyle w:val="Style19"/>
        <w:keepNext w:val="0"/>
        <w:keepLines w:val="0"/>
        <w:widowControl w:val="0"/>
        <w:shd w:val="clear" w:color="auto" w:fill="auto"/>
        <w:bidi w:val="0"/>
        <w:spacing w:before="0" w:after="720" w:line="240" w:lineRule="auto"/>
        <w:ind w:left="0" w:right="0" w:firstLine="38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日，本集团无需要披露的重大或有事项。</w:t>
      </w:r>
    </w:p>
    <w:p>
      <w:pPr>
        <w:pStyle w:val="Style32"/>
        <w:keepNext/>
        <w:keepLines/>
        <w:widowControl w:val="0"/>
        <w:shd w:val="clear" w:color="auto" w:fill="auto"/>
        <w:tabs>
          <w:tab w:pos="493" w:val="left"/>
        </w:tabs>
        <w:bidi w:val="0"/>
        <w:spacing w:before="0" w:after="360" w:line="240" w:lineRule="auto"/>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55"/>
      <w:bookmarkEnd w:id="2056"/>
      <w:bookmarkEnd w:id="2058"/>
    </w:p>
    <w:p>
      <w:pPr>
        <w:pStyle w:val="Style1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公司不存在需要披露的重要或有事项。</w:t>
      </w:r>
    </w:p>
    <w:p>
      <w:pPr>
        <w:pStyle w:val="Style28"/>
        <w:keepNext/>
        <w:keepLines/>
        <w:widowControl w:val="0"/>
        <w:shd w:val="clear" w:color="auto" w:fill="auto"/>
        <w:tabs>
          <w:tab w:pos="378" w:val="left"/>
        </w:tabs>
        <w:bidi w:val="0"/>
        <w:spacing w:before="0" w:after="36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3</w:t>
      </w:r>
      <w:bookmarkEnd w:id="2061"/>
      <w:r>
        <w:rPr>
          <w:color w:val="000000"/>
          <w:spacing w:val="0"/>
          <w:w w:val="100"/>
          <w:position w:val="0"/>
        </w:rPr>
        <w:t>、</w:t>
        <w:tab/>
        <w:t>其他</w:t>
      </w:r>
      <w:bookmarkEnd w:id="2059"/>
      <w:bookmarkEnd w:id="2060"/>
      <w:bookmarkEnd w:id="2062"/>
    </w:p>
    <w:p>
      <w:pPr>
        <w:pStyle w:val="Style22"/>
        <w:keepNext/>
        <w:keepLines/>
        <w:widowControl w:val="0"/>
        <w:shd w:val="clear" w:color="auto" w:fill="auto"/>
        <w:bidi w:val="0"/>
        <w:spacing w:before="0" w:after="360" w:line="240" w:lineRule="auto"/>
        <w:ind w:left="0" w:right="0" w:firstLine="0"/>
        <w:jc w:val="left"/>
      </w:pPr>
      <w:bookmarkStart w:id="2063" w:name="bookmark2063"/>
      <w:bookmarkStart w:id="2064" w:name="bookmark2064"/>
      <w:bookmarkStart w:id="2065" w:name="bookmark2065"/>
      <w:r>
        <w:rPr>
          <w:color w:val="000000"/>
          <w:spacing w:val="0"/>
          <w:w w:val="100"/>
          <w:position w:val="0"/>
        </w:rPr>
        <w:t>十五、资产负债表日后事项</w:t>
      </w:r>
      <w:bookmarkEnd w:id="2063"/>
      <w:bookmarkEnd w:id="2064"/>
      <w:bookmarkEnd w:id="2065"/>
    </w:p>
    <w:p>
      <w:pPr>
        <w:pStyle w:val="Style28"/>
        <w:keepNext/>
        <w:keepLines/>
        <w:widowControl w:val="0"/>
        <w:shd w:val="clear" w:color="auto" w:fill="auto"/>
        <w:tabs>
          <w:tab w:pos="368" w:val="left"/>
        </w:tabs>
        <w:bidi w:val="0"/>
        <w:spacing w:before="0" w:after="36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1</w:t>
      </w:r>
      <w:bookmarkEnd w:id="2068"/>
      <w:r>
        <w:rPr>
          <w:color w:val="000000"/>
          <w:spacing w:val="0"/>
          <w:w w:val="100"/>
          <w:position w:val="0"/>
        </w:rPr>
        <w:t>、</w:t>
        <w:tab/>
        <w:t>重要的非调整事项</w:t>
      </w:r>
      <w:bookmarkEnd w:id="2066"/>
      <w:bookmarkEnd w:id="2067"/>
      <w:bookmarkEnd w:id="2069"/>
    </w:p>
    <w:p>
      <w:pPr>
        <w:pStyle w:val="Style28"/>
        <w:keepNext/>
        <w:keepLines/>
        <w:widowControl w:val="0"/>
        <w:shd w:val="clear" w:color="auto" w:fill="auto"/>
        <w:tabs>
          <w:tab w:pos="378" w:val="left"/>
        </w:tabs>
        <w:bidi w:val="0"/>
        <w:spacing w:before="0" w:after="360" w:line="240" w:lineRule="auto"/>
        <w:ind w:left="0" w:right="0" w:firstLine="0"/>
        <w:jc w:val="both"/>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2</w:t>
      </w:r>
      <w:bookmarkEnd w:id="2072"/>
      <w:r>
        <w:rPr>
          <w:color w:val="000000"/>
          <w:spacing w:val="0"/>
          <w:w w:val="100"/>
          <w:position w:val="0"/>
        </w:rPr>
        <w:t>、</w:t>
        <w:tab/>
        <w:t>利润分配情况</w:t>
      </w:r>
      <w:bookmarkEnd w:id="2070"/>
      <w:bookmarkEnd w:id="2071"/>
      <w:bookmarkEnd w:id="2073"/>
    </w:p>
    <w:p>
      <w:pPr>
        <w:pStyle w:val="Style19"/>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pgSz w:w="11900" w:h="16840"/>
          <w:pgMar w:top="1332" w:right="1024" w:bottom="1468" w:left="1008" w:header="0" w:footer="3" w:gutter="0"/>
          <w:cols w:space="720"/>
          <w:noEndnote/>
          <w:rtlGutter w:val="0"/>
          <w:docGrid w:linePitch="360"/>
        </w:sectPr>
      </w:pPr>
      <w:r>
        <w:rPr>
          <w:color w:val="000000"/>
          <w:spacing w:val="0"/>
          <w:w w:val="100"/>
          <w:position w:val="0"/>
        </w:rPr>
        <w:t>单位：元</w:t>
      </w:r>
    </w:p>
    <w:p>
      <w:pPr>
        <w:pStyle w:val="Style28"/>
        <w:keepNext/>
        <w:keepLines/>
        <w:widowControl w:val="0"/>
        <w:shd w:val="clear" w:color="auto" w:fill="auto"/>
        <w:tabs>
          <w:tab w:pos="378" w:val="left"/>
        </w:tabs>
        <w:bidi w:val="0"/>
        <w:spacing w:before="420" w:after="36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3</w:t>
      </w:r>
      <w:bookmarkEnd w:id="2076"/>
      <w:r>
        <w:rPr>
          <w:color w:val="000000"/>
          <w:spacing w:val="0"/>
          <w:w w:val="100"/>
          <w:position w:val="0"/>
        </w:rPr>
        <w:t>、</w:t>
        <w:tab/>
        <w:t>销售退回</w:t>
      </w:r>
      <w:bookmarkEnd w:id="2074"/>
      <w:bookmarkEnd w:id="2075"/>
      <w:bookmarkEnd w:id="2077"/>
    </w:p>
    <w:p>
      <w:pPr>
        <w:pStyle w:val="Style28"/>
        <w:keepNext/>
        <w:keepLines/>
        <w:widowControl w:val="0"/>
        <w:shd w:val="clear" w:color="auto" w:fill="auto"/>
        <w:tabs>
          <w:tab w:pos="378" w:val="left"/>
        </w:tabs>
        <w:bidi w:val="0"/>
        <w:spacing w:before="0" w:after="36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4</w:t>
      </w:r>
      <w:bookmarkEnd w:id="2080"/>
      <w:r>
        <w:rPr>
          <w:color w:val="000000"/>
          <w:spacing w:val="0"/>
          <w:w w:val="100"/>
          <w:position w:val="0"/>
        </w:rPr>
        <w:t>、</w:t>
        <w:tab/>
        <w:t>其他资产负债表日后事项说明</w:t>
      </w:r>
      <w:bookmarkEnd w:id="2078"/>
      <w:bookmarkEnd w:id="2079"/>
      <w:bookmarkEnd w:id="2081"/>
    </w:p>
    <w:p>
      <w:pPr>
        <w:pStyle w:val="Style22"/>
        <w:keepNext/>
        <w:keepLines/>
        <w:widowControl w:val="0"/>
        <w:shd w:val="clear" w:color="auto" w:fill="auto"/>
        <w:bidi w:val="0"/>
        <w:spacing w:before="0" w:after="360" w:line="240" w:lineRule="auto"/>
        <w:ind w:left="0" w:right="0" w:firstLine="0"/>
        <w:jc w:val="left"/>
      </w:pPr>
      <w:bookmarkStart w:id="2082" w:name="bookmark2082"/>
      <w:bookmarkStart w:id="2083" w:name="bookmark2083"/>
      <w:bookmarkStart w:id="2084" w:name="bookmark2084"/>
      <w:r>
        <w:rPr>
          <w:color w:val="000000"/>
          <w:spacing w:val="0"/>
          <w:w w:val="100"/>
          <w:position w:val="0"/>
        </w:rPr>
        <w:t>十六、其他重要事项</w:t>
      </w:r>
      <w:bookmarkEnd w:id="2082"/>
      <w:bookmarkEnd w:id="2083"/>
      <w:bookmarkEnd w:id="2084"/>
    </w:p>
    <w:p>
      <w:pPr>
        <w:pStyle w:val="Style28"/>
        <w:keepNext/>
        <w:keepLines/>
        <w:widowControl w:val="0"/>
        <w:shd w:val="clear" w:color="auto" w:fill="auto"/>
        <w:tabs>
          <w:tab w:pos="368" w:val="left"/>
        </w:tabs>
        <w:bidi w:val="0"/>
        <w:spacing w:before="0" w:after="3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1</w:t>
      </w:r>
      <w:bookmarkEnd w:id="2087"/>
      <w:r>
        <w:rPr>
          <w:color w:val="000000"/>
          <w:spacing w:val="0"/>
          <w:w w:val="100"/>
          <w:position w:val="0"/>
        </w:rPr>
        <w:t>、</w:t>
        <w:tab/>
        <w:t>前期会计差错更正</w:t>
      </w:r>
      <w:bookmarkEnd w:id="2085"/>
      <w:bookmarkEnd w:id="2086"/>
      <w:bookmarkEnd w:id="2088"/>
    </w:p>
    <w:p>
      <w:pPr>
        <w:pStyle w:val="Style32"/>
        <w:keepNext/>
        <w:keepLines/>
        <w:widowControl w:val="0"/>
        <w:shd w:val="clear" w:color="auto" w:fill="auto"/>
        <w:tabs>
          <w:tab w:pos="493" w:val="left"/>
        </w:tabs>
        <w:bidi w:val="0"/>
        <w:spacing w:before="0" w:after="360" w:line="240" w:lineRule="auto"/>
        <w:ind w:left="0" w:right="0" w:firstLine="0"/>
        <w:jc w:val="left"/>
      </w:pPr>
      <w:bookmarkStart w:id="2089" w:name="bookmark2089"/>
      <w:bookmarkStart w:id="2090" w:name="bookmark2090"/>
      <w:bookmarkStart w:id="2091" w:name="bookmark2091"/>
      <w:bookmarkStart w:id="2092" w:name="bookmark2092"/>
      <w:r>
        <w:rPr>
          <w:color w:val="000000"/>
          <w:spacing w:val="0"/>
          <w:w w:val="100"/>
          <w:position w:val="0"/>
        </w:rPr>
        <w:t>（</w:t>
      </w:r>
      <w:bookmarkEnd w:id="2091"/>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2089"/>
      <w:bookmarkEnd w:id="2090"/>
      <w:bookmarkEnd w:id="2092"/>
    </w:p>
    <w:p>
      <w:pPr>
        <w:pStyle w:val="Style32"/>
        <w:keepNext/>
        <w:keepLines/>
        <w:widowControl w:val="0"/>
        <w:shd w:val="clear" w:color="auto" w:fill="auto"/>
        <w:tabs>
          <w:tab w:pos="493" w:val="left"/>
        </w:tabs>
        <w:bidi w:val="0"/>
        <w:spacing w:before="0" w:after="360" w:line="240" w:lineRule="auto"/>
        <w:ind w:left="0" w:right="0" w:firstLine="0"/>
        <w:jc w:val="left"/>
      </w:pPr>
      <w:bookmarkStart w:id="2093" w:name="bookmark2093"/>
      <w:bookmarkStart w:id="2094" w:name="bookmark2094"/>
      <w:bookmarkStart w:id="2095" w:name="bookmark2095"/>
      <w:bookmarkStart w:id="2096" w:name="bookmark2096"/>
      <w:r>
        <w:rPr>
          <w:color w:val="000000"/>
          <w:spacing w:val="0"/>
          <w:w w:val="100"/>
          <w:position w:val="0"/>
        </w:rPr>
        <w:t>（</w:t>
      </w:r>
      <w:bookmarkEnd w:id="2095"/>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2093"/>
      <w:bookmarkEnd w:id="2094"/>
      <w:bookmarkEnd w:id="2096"/>
    </w:p>
    <w:p>
      <w:pPr>
        <w:pStyle w:val="Style28"/>
        <w:keepNext/>
        <w:keepLines/>
        <w:widowControl w:val="0"/>
        <w:shd w:val="clear" w:color="auto" w:fill="auto"/>
        <w:tabs>
          <w:tab w:pos="378" w:val="left"/>
        </w:tabs>
        <w:bidi w:val="0"/>
        <w:spacing w:before="0" w:after="360" w:line="240" w:lineRule="auto"/>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2</w:t>
      </w:r>
      <w:bookmarkEnd w:id="2099"/>
      <w:r>
        <w:rPr>
          <w:color w:val="000000"/>
          <w:spacing w:val="0"/>
          <w:w w:val="100"/>
          <w:position w:val="0"/>
        </w:rPr>
        <w:t>、</w:t>
        <w:tab/>
        <w:t>债务重组</w:t>
      </w:r>
      <w:bookmarkEnd w:id="2097"/>
      <w:bookmarkEnd w:id="2098"/>
      <w:bookmarkEnd w:id="2100"/>
    </w:p>
    <w:p>
      <w:pPr>
        <w:pStyle w:val="Style28"/>
        <w:keepNext/>
        <w:keepLines/>
        <w:widowControl w:val="0"/>
        <w:shd w:val="clear" w:color="auto" w:fill="auto"/>
        <w:tabs>
          <w:tab w:pos="378" w:val="left"/>
        </w:tabs>
        <w:bidi w:val="0"/>
        <w:spacing w:before="0" w:after="360" w:line="240" w:lineRule="auto"/>
        <w:ind w:left="0" w:right="0" w:firstLine="0"/>
        <w:jc w:val="left"/>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3</w:t>
      </w:r>
      <w:bookmarkEnd w:id="2103"/>
      <w:r>
        <w:rPr>
          <w:color w:val="000000"/>
          <w:spacing w:val="0"/>
          <w:w w:val="100"/>
          <w:position w:val="0"/>
        </w:rPr>
        <w:t>、</w:t>
        <w:tab/>
        <w:t>资产置换</w:t>
      </w:r>
      <w:bookmarkEnd w:id="2101"/>
      <w:bookmarkEnd w:id="2102"/>
      <w:bookmarkEnd w:id="2104"/>
    </w:p>
    <w:p>
      <w:pPr>
        <w:pStyle w:val="Style32"/>
        <w:keepNext/>
        <w:keepLines/>
        <w:widowControl w:val="0"/>
        <w:shd w:val="clear" w:color="auto" w:fill="auto"/>
        <w:tabs>
          <w:tab w:pos="493" w:val="left"/>
        </w:tabs>
        <w:bidi w:val="0"/>
        <w:spacing w:before="0" w:after="36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05"/>
      <w:bookmarkEnd w:id="2106"/>
      <w:bookmarkEnd w:id="2108"/>
    </w:p>
    <w:p>
      <w:pPr>
        <w:pStyle w:val="Style32"/>
        <w:keepNext/>
        <w:keepLines/>
        <w:widowControl w:val="0"/>
        <w:shd w:val="clear" w:color="auto" w:fill="auto"/>
        <w:tabs>
          <w:tab w:pos="493" w:val="left"/>
        </w:tabs>
        <w:bidi w:val="0"/>
        <w:spacing w:before="0" w:after="360" w:line="240" w:lineRule="auto"/>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w:t>
      </w:r>
      <w:bookmarkEnd w:id="211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09"/>
      <w:bookmarkEnd w:id="2110"/>
      <w:bookmarkEnd w:id="2112"/>
    </w:p>
    <w:p>
      <w:pPr>
        <w:pStyle w:val="Style28"/>
        <w:keepNext/>
        <w:keepLines/>
        <w:widowControl w:val="0"/>
        <w:shd w:val="clear" w:color="auto" w:fill="auto"/>
        <w:tabs>
          <w:tab w:pos="378" w:val="left"/>
        </w:tabs>
        <w:bidi w:val="0"/>
        <w:spacing w:before="0" w:after="36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4</w:t>
      </w:r>
      <w:bookmarkEnd w:id="2115"/>
      <w:r>
        <w:rPr>
          <w:color w:val="000000"/>
          <w:spacing w:val="0"/>
          <w:w w:val="100"/>
          <w:position w:val="0"/>
        </w:rPr>
        <w:t>、</w:t>
        <w:tab/>
        <w:t>年金计划</w:t>
      </w:r>
      <w:bookmarkEnd w:id="2113"/>
      <w:bookmarkEnd w:id="2114"/>
      <w:bookmarkEnd w:id="2116"/>
    </w:p>
    <w:p>
      <w:pPr>
        <w:pStyle w:val="Style28"/>
        <w:keepNext/>
        <w:keepLines/>
        <w:widowControl w:val="0"/>
        <w:shd w:val="clear" w:color="auto" w:fill="auto"/>
        <w:tabs>
          <w:tab w:pos="378" w:val="left"/>
        </w:tabs>
        <w:bidi w:val="0"/>
        <w:spacing w:before="0" w:after="36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5</w:t>
      </w:r>
      <w:bookmarkEnd w:id="2119"/>
      <w:r>
        <w:rPr>
          <w:color w:val="000000"/>
          <w:spacing w:val="0"/>
          <w:w w:val="100"/>
          <w:position w:val="0"/>
        </w:rPr>
        <w:t>、</w:t>
        <w:tab/>
        <w:t>终止经营</w:t>
      </w:r>
      <w:bookmarkEnd w:id="2117"/>
      <w:bookmarkEnd w:id="2118"/>
      <w:bookmarkEnd w:id="2120"/>
    </w:p>
    <w:p>
      <w:pPr>
        <w:pStyle w:val="Style28"/>
        <w:keepNext/>
        <w:keepLines/>
        <w:widowControl w:val="0"/>
        <w:shd w:val="clear" w:color="auto" w:fill="auto"/>
        <w:tabs>
          <w:tab w:pos="378" w:val="left"/>
        </w:tabs>
        <w:bidi w:val="0"/>
        <w:spacing w:before="0" w:after="36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6</w:t>
      </w:r>
      <w:bookmarkEnd w:id="2123"/>
      <w:r>
        <w:rPr>
          <w:color w:val="000000"/>
          <w:spacing w:val="0"/>
          <w:w w:val="100"/>
          <w:position w:val="0"/>
        </w:rPr>
        <w:t>、</w:t>
        <w:tab/>
        <w:t>分部信息</w:t>
      </w:r>
      <w:bookmarkEnd w:id="2121"/>
      <w:bookmarkEnd w:id="2122"/>
      <w:bookmarkEnd w:id="2124"/>
    </w:p>
    <w:p>
      <w:pPr>
        <w:pStyle w:val="Style32"/>
        <w:keepNext/>
        <w:keepLines/>
        <w:widowControl w:val="0"/>
        <w:shd w:val="clear" w:color="auto" w:fill="auto"/>
        <w:tabs>
          <w:tab w:pos="493" w:val="left"/>
        </w:tabs>
        <w:bidi w:val="0"/>
        <w:spacing w:before="0" w:after="360" w:line="240" w:lineRule="auto"/>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25"/>
      <w:bookmarkEnd w:id="2126"/>
      <w:bookmarkEnd w:id="2128"/>
    </w:p>
    <w:p>
      <w:pPr>
        <w:pStyle w:val="Style32"/>
        <w:keepNext/>
        <w:keepLines/>
        <w:widowControl w:val="0"/>
        <w:shd w:val="clear" w:color="auto" w:fill="auto"/>
        <w:tabs>
          <w:tab w:pos="493" w:val="left"/>
        </w:tabs>
        <w:bidi w:val="0"/>
        <w:spacing w:before="0" w:after="360" w:line="240" w:lineRule="auto"/>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29"/>
      <w:bookmarkEnd w:id="2130"/>
      <w:bookmarkEnd w:id="2132"/>
    </w:p>
    <w:p>
      <w:pPr>
        <w:pStyle w:val="Style32"/>
        <w:keepNext/>
        <w:keepLines/>
        <w:widowControl w:val="0"/>
        <w:shd w:val="clear" w:color="auto" w:fill="auto"/>
        <w:tabs>
          <w:tab w:pos="493" w:val="left"/>
        </w:tabs>
        <w:bidi w:val="0"/>
        <w:spacing w:before="0" w:after="36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w:t>
      </w:r>
      <w:bookmarkEnd w:id="213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33"/>
      <w:bookmarkEnd w:id="2134"/>
      <w:bookmarkEnd w:id="2136"/>
    </w:p>
    <w:p>
      <w:pPr>
        <w:pStyle w:val="Style32"/>
        <w:keepNext/>
        <w:keepLines/>
        <w:widowControl w:val="0"/>
        <w:shd w:val="clear" w:color="auto" w:fill="auto"/>
        <w:tabs>
          <w:tab w:pos="493" w:val="left"/>
        </w:tabs>
        <w:bidi w:val="0"/>
        <w:spacing w:before="0" w:after="36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37"/>
      <w:bookmarkEnd w:id="2138"/>
      <w:bookmarkEnd w:id="2140"/>
    </w:p>
    <w:p>
      <w:pPr>
        <w:pStyle w:val="Style28"/>
        <w:keepNext/>
        <w:keepLines/>
        <w:widowControl w:val="0"/>
        <w:shd w:val="clear" w:color="auto" w:fill="auto"/>
        <w:tabs>
          <w:tab w:pos="373" w:val="left"/>
        </w:tabs>
        <w:bidi w:val="0"/>
        <w:spacing w:before="0" w:after="36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7</w:t>
      </w:r>
      <w:bookmarkEnd w:id="2143"/>
      <w:r>
        <w:rPr>
          <w:color w:val="000000"/>
          <w:spacing w:val="0"/>
          <w:w w:val="100"/>
          <w:position w:val="0"/>
        </w:rPr>
        <w:t>、</w:t>
        <w:tab/>
        <w:t>其他对投资者决策有影响的重要交易和事项</w:t>
      </w:r>
      <w:bookmarkEnd w:id="2141"/>
      <w:bookmarkEnd w:id="2142"/>
      <w:bookmarkEnd w:id="2144"/>
    </w:p>
    <w:p>
      <w:pPr>
        <w:pStyle w:val="Style28"/>
        <w:keepNext/>
        <w:keepLines/>
        <w:widowControl w:val="0"/>
        <w:shd w:val="clear" w:color="auto" w:fill="auto"/>
        <w:tabs>
          <w:tab w:pos="378" w:val="left"/>
        </w:tabs>
        <w:bidi w:val="0"/>
        <w:spacing w:before="0" w:after="36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8</w:t>
      </w:r>
      <w:bookmarkEnd w:id="2147"/>
      <w:r>
        <w:rPr>
          <w:color w:val="000000"/>
          <w:spacing w:val="0"/>
          <w:w w:val="100"/>
          <w:position w:val="0"/>
        </w:rPr>
        <w:t>、</w:t>
        <w:tab/>
        <w:t>其他</w:t>
      </w:r>
      <w:bookmarkEnd w:id="2145"/>
      <w:bookmarkEnd w:id="2146"/>
      <w:bookmarkEnd w:id="2148"/>
    </w:p>
    <w:p>
      <w:pPr>
        <w:pStyle w:val="Style22"/>
        <w:keepNext/>
        <w:keepLines/>
        <w:widowControl w:val="0"/>
        <w:shd w:val="clear" w:color="auto" w:fill="auto"/>
        <w:bidi w:val="0"/>
        <w:spacing w:before="0" w:after="360" w:line="240" w:lineRule="auto"/>
        <w:ind w:left="0" w:right="0" w:firstLine="0"/>
        <w:jc w:val="left"/>
      </w:pPr>
      <w:bookmarkStart w:id="2149" w:name="bookmark2149"/>
      <w:bookmarkStart w:id="2150" w:name="bookmark2150"/>
      <w:bookmarkStart w:id="2151" w:name="bookmark2151"/>
      <w:r>
        <w:rPr>
          <w:color w:val="000000"/>
          <w:spacing w:val="0"/>
          <w:w w:val="100"/>
          <w:position w:val="0"/>
        </w:rPr>
        <w:t>十七、母公司财务报表主要项目注释</w:t>
      </w:r>
      <w:bookmarkEnd w:id="2149"/>
      <w:bookmarkEnd w:id="2150"/>
      <w:bookmarkEnd w:id="2151"/>
    </w:p>
    <w:p>
      <w:pPr>
        <w:pStyle w:val="Style28"/>
        <w:keepNext/>
        <w:keepLines/>
        <w:widowControl w:val="0"/>
        <w:shd w:val="clear" w:color="auto" w:fill="auto"/>
        <w:bidi w:val="0"/>
        <w:spacing w:before="0" w:after="360" w:line="240" w:lineRule="auto"/>
        <w:ind w:left="0" w:right="0" w:firstLine="0"/>
        <w:jc w:val="left"/>
      </w:pPr>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52"/>
      <w:bookmarkEnd w:id="2153"/>
      <w:bookmarkEnd w:id="2154"/>
    </w:p>
    <w:p>
      <w:pPr>
        <w:pStyle w:val="Style32"/>
        <w:keepNext/>
        <w:keepLines/>
        <w:widowControl w:val="0"/>
        <w:shd w:val="clear" w:color="auto" w:fill="auto"/>
        <w:bidi w:val="0"/>
        <w:spacing w:before="0" w:after="360" w:line="240" w:lineRule="auto"/>
        <w:ind w:left="0" w:right="0" w:firstLine="0"/>
        <w:jc w:val="left"/>
      </w:pPr>
      <w:bookmarkStart w:id="2155" w:name="bookmark2155"/>
      <w:bookmarkStart w:id="2156" w:name="bookmark2156"/>
      <w:bookmarkStart w:id="2157" w:name="bookmark21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55"/>
      <w:bookmarkEnd w:id="2156"/>
      <w:bookmarkEnd w:id="2157"/>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318,473,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318,473,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210,376,3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210,376,3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1,023,78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7,670.03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16,589,6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1,007,197 </w:t>
            </w:r>
            <w:r>
              <w:rPr>
                <w:color w:val="000000"/>
                <w:spacing w:val="0"/>
                <w:w w:val="100"/>
                <w:position w:val="0"/>
              </w:rPr>
              <w:t>,979.67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1,052,557 </w:t>
            </w:r>
            <w:r>
              <w:rPr>
                <w:color w:val="000000"/>
                <w:spacing w:val="0"/>
                <w:w w:val="100"/>
                <w:position w:val="0"/>
              </w:rPr>
              <w:t>,859.80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20,160,56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1,032,397,2</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1,023,78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7,670.03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16,589,6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1,007,197 </w:t>
            </w:r>
            <w:r>
              <w:rPr>
                <w:color w:val="000000"/>
                <w:spacing w:val="0"/>
                <w:w w:val="100"/>
                <w:position w:val="0"/>
              </w:rPr>
              <w:t>,979.67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1,052,557 </w:t>
            </w:r>
            <w:r>
              <w:rPr>
                <w:color w:val="000000"/>
                <w:spacing w:val="0"/>
                <w:w w:val="100"/>
                <w:position w:val="0"/>
              </w:rPr>
              <w:t>,859.80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20,160,56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1,032,397,2</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92.62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1,342,26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0,960.02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335,062,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1,007,197 ,979.67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1,262,934 </w:t>
            </w:r>
            <w:r>
              <w:rPr>
                <w:color w:val="000000"/>
                <w:spacing w:val="0"/>
                <w:w w:val="100"/>
                <w:position w:val="0"/>
              </w:rPr>
              <w:t>,208.65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230,536,9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1,032,397,2</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92.62</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318,473,289.99</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华晨汽车集团控股有限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120,895,811.84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120,895,811.84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江苏苏宁易购电子商务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117,240,499.16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117,240,499.16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重庆比速汽车销售有限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22,854,129.49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22,854,129.49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重庆北汽幻速汽车销售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21,912,181.50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21,912,181.50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上海雅润文化传播有限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12,764,934.86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12,764,934.86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浙江子也自动化设备有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湖南猎豹汽车股份有限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7,041,793.87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7,041,793.87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浙江青年莲花汽车有限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5,698,730.00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5,698,730.00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浙江众泰汽车销售有限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1,012,951.35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1,012,951.35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苏宁易购集团股份有限 公司苏宁采购中心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1,051,092.87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1,051,092.87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成都保荣商贸有限公司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318,473,289.99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318,473,289.99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16,589,690.36</w:t>
      </w:r>
    </w:p>
    <w:p>
      <w:pPr>
        <w:widowControl w:val="0"/>
        <w:spacing w:after="119" w:line="1" w:lineRule="exact"/>
      </w:pP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1,003,145,006.25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5,015,725.03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8,627,576.21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862,757.62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1,629,849.83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325,969.97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10,385,237.74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10,385,237.74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1,023,787,670.03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16,589,690.36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1,121,436,598.28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11,434,206.91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76,494,138.03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132,896,016.80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132,896,016.80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1,342,260,960.02</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both"/>
      </w:pPr>
      <w:bookmarkStart w:id="2158" w:name="bookmark2158"/>
      <w:bookmarkStart w:id="2159" w:name="bookmark2159"/>
      <w:bookmarkStart w:id="2160" w:name="bookmark21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8"/>
      <w:bookmarkEnd w:id="2159"/>
      <w:bookmarkEnd w:id="2160"/>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230,536,916.03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115,052,499.02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9,491,421.71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1,035,012.99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335,062,980.35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230,536,916.03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115,052,499.02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9,491,421.71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1,035,012.99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335,062,980.35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9"/>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spacing w:lineRule="exact" w:line="1"/>
        <w:rPr>
          <w:sz w:val="2"/>
          <w:szCs w:val="2"/>
        </w:rPr>
      </w:pPr>
      <w:r>
        <w:br w:type="page"/>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众泰控股集团有限公司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9,039,987.00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债务重组收回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浙江众泰汽车销售有限公司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债务重组现金收回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重庆北汽幻速汽车销售有限公司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上海雅润文化传播有限公司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19,650.90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9,359,637.90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161"/>
      <w:bookmarkEnd w:id="2162"/>
      <w:bookmarkEnd w:id="2164"/>
    </w:p>
    <w:p>
      <w:pPr>
        <w:pStyle w:val="Style1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本年无实际核销的应收账款情况。</w:t>
      </w:r>
    </w:p>
    <w:p>
      <w:pPr>
        <w:pStyle w:val="Style32"/>
        <w:keepNext/>
        <w:keepLines/>
        <w:widowControl w:val="0"/>
        <w:shd w:val="clear" w:color="auto" w:fill="auto"/>
        <w:tabs>
          <w:tab w:pos="493" w:val="left"/>
        </w:tabs>
        <w:bidi w:val="0"/>
        <w:spacing w:before="0" w:line="240" w:lineRule="auto"/>
        <w:ind w:left="0" w:right="0" w:firstLine="0"/>
        <w:jc w:val="left"/>
      </w:pPr>
      <w:bookmarkStart w:id="2165" w:name="bookmark2165"/>
      <w:bookmarkStart w:id="2166" w:name="bookmark2166"/>
      <w:bookmarkStart w:id="2167" w:name="bookmark2167"/>
      <w:bookmarkStart w:id="2168" w:name="bookmark2168"/>
      <w:r>
        <w:rPr>
          <w:color w:val="000000"/>
          <w:spacing w:val="0"/>
          <w:w w:val="100"/>
          <w:position w:val="0"/>
        </w:rPr>
        <w:t>（</w:t>
      </w:r>
      <w:bookmarkEnd w:id="216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65"/>
      <w:bookmarkEnd w:id="2166"/>
      <w:bookmarkEnd w:id="216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华晨汽车集团控股有限公司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120,895,811.84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120,895,811.84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上汽通用汽车销售有限公司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120,293,120.91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601,465.60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江苏苏宁易购电子商务有限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117,240,499.16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117,240,499.16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广汽传祺汽车销售有限公司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115,868,454.90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579,342.27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重庆哈弗汽车有限公司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63,599,338.30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317,996.69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537,897,225.11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2169" w:name="bookmark2169"/>
      <w:bookmarkStart w:id="2170" w:name="bookmark2170"/>
      <w:bookmarkStart w:id="2171" w:name="bookmark2171"/>
      <w:bookmarkStart w:id="2172" w:name="bookmark2172"/>
      <w:r>
        <w:rPr>
          <w:color w:val="000000"/>
          <w:spacing w:val="0"/>
          <w:w w:val="100"/>
          <w:position w:val="0"/>
        </w:rPr>
        <w:t>（</w:t>
      </w:r>
      <w:bookmarkEnd w:id="2171"/>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169"/>
      <w:bookmarkEnd w:id="2170"/>
      <w:bookmarkEnd w:id="2172"/>
    </w:p>
    <w:p>
      <w:pPr>
        <w:pStyle w:val="Style1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年末无转移应收账款且继续涉入形成的资产、负债的金额。</w:t>
      </w:r>
    </w:p>
    <w:p>
      <w:pPr>
        <w:pStyle w:val="Style32"/>
        <w:keepNext/>
        <w:keepLines/>
        <w:widowControl w:val="0"/>
        <w:shd w:val="clear" w:color="auto" w:fill="auto"/>
        <w:tabs>
          <w:tab w:pos="493" w:val="left"/>
        </w:tabs>
        <w:bidi w:val="0"/>
        <w:spacing w:before="0" w:line="240" w:lineRule="auto"/>
        <w:ind w:left="0" w:right="0" w:firstLine="0"/>
        <w:jc w:val="left"/>
      </w:pPr>
      <w:bookmarkStart w:id="2173" w:name="bookmark2173"/>
      <w:bookmarkStart w:id="2174" w:name="bookmark2174"/>
      <w:bookmarkStart w:id="2175" w:name="bookmark2175"/>
      <w:bookmarkStart w:id="2176" w:name="bookmark2176"/>
      <w:r>
        <w:rPr>
          <w:color w:val="000000"/>
          <w:spacing w:val="0"/>
          <w:w w:val="100"/>
          <w:position w:val="0"/>
        </w:rPr>
        <w:t>（</w:t>
      </w:r>
      <w:bookmarkEnd w:id="2175"/>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173"/>
      <w:bookmarkEnd w:id="2174"/>
      <w:bookmarkEnd w:id="2176"/>
    </w:p>
    <w:p>
      <w:pPr>
        <w:pStyle w:val="Style19"/>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年末无因金融资产转移而终止确认的应收账款。</w:t>
      </w:r>
    </w:p>
    <w:p>
      <w:pPr>
        <w:pStyle w:val="Style28"/>
        <w:keepNext/>
        <w:keepLines/>
        <w:widowControl w:val="0"/>
        <w:shd w:val="clear" w:color="auto" w:fill="auto"/>
        <w:bidi w:val="0"/>
        <w:spacing w:before="0" w:line="240" w:lineRule="auto"/>
        <w:ind w:left="0" w:right="0" w:firstLine="0"/>
        <w:jc w:val="left"/>
      </w:pPr>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77"/>
      <w:bookmarkEnd w:id="2178"/>
      <w:bookmarkEnd w:id="217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1,994,376.00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811,543.56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250,319,648.10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307,076,000.00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216,220,204.11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166,005,706.16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468,534,228.21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473,893,249.72</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2180" w:name="bookmark2180"/>
      <w:bookmarkStart w:id="2181" w:name="bookmark2181"/>
      <w:bookmarkStart w:id="2182" w:name="bookmark21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80"/>
      <w:bookmarkEnd w:id="2181"/>
      <w:bookmarkEnd w:id="2182"/>
    </w:p>
    <w:p>
      <w:pPr>
        <w:pStyle w:val="Style48"/>
        <w:keepNext/>
        <w:keepLines/>
        <w:widowControl w:val="0"/>
        <w:shd w:val="clear" w:color="auto" w:fill="auto"/>
        <w:bidi w:val="0"/>
        <w:spacing w:before="0" w:after="36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1</w:t>
      </w:r>
      <w:bookmarkEnd w:id="2185"/>
      <w:r>
        <w:rPr>
          <w:color w:val="000000"/>
          <w:spacing w:val="0"/>
          <w:w w:val="100"/>
          <w:position w:val="0"/>
        </w:rPr>
        <w:t>）应收利息分类</w:t>
      </w:r>
      <w:bookmarkEnd w:id="2183"/>
      <w:bookmarkEnd w:id="2184"/>
      <w:bookmarkEnd w:id="218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1,994,376.00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811,543.56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1,994,376.00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811,543.56</w:t>
            </w:r>
          </w:p>
        </w:tc>
      </w:tr>
    </w:tbl>
    <w:p>
      <w:pPr>
        <w:widowControl w:val="0"/>
        <w:spacing w:after="359" w:line="1" w:lineRule="exact"/>
      </w:pPr>
    </w:p>
    <w:p>
      <w:pPr>
        <w:pStyle w:val="Style48"/>
        <w:keepNext/>
        <w:keepLines/>
        <w:widowControl w:val="0"/>
        <w:shd w:val="clear" w:color="auto" w:fill="auto"/>
        <w:tabs>
          <w:tab w:pos="392" w:val="left"/>
        </w:tabs>
        <w:bidi w:val="0"/>
        <w:spacing w:before="0" w:after="360" w:line="240"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2</w:t>
      </w:r>
      <w:bookmarkEnd w:id="2189"/>
      <w:r>
        <w:rPr>
          <w:color w:val="000000"/>
          <w:spacing w:val="0"/>
          <w:w w:val="100"/>
          <w:position w:val="0"/>
        </w:rPr>
        <w:t>）</w:t>
        <w:tab/>
        <w:t>重要逾期利息</w:t>
      </w:r>
      <w:bookmarkEnd w:id="2187"/>
      <w:bookmarkEnd w:id="2188"/>
      <w:bookmarkEnd w:id="2190"/>
    </w:p>
    <w:p>
      <w:pPr>
        <w:pStyle w:val="Style48"/>
        <w:keepNext/>
        <w:keepLines/>
        <w:widowControl w:val="0"/>
        <w:shd w:val="clear" w:color="auto" w:fill="auto"/>
        <w:tabs>
          <w:tab w:pos="392" w:val="left"/>
        </w:tabs>
        <w:bidi w:val="0"/>
        <w:spacing w:before="0" w:after="36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3</w:t>
      </w:r>
      <w:bookmarkEnd w:id="2193"/>
      <w:r>
        <w:rPr>
          <w:color w:val="000000"/>
          <w:spacing w:val="0"/>
          <w:w w:val="100"/>
          <w:position w:val="0"/>
        </w:rPr>
        <w:t>）</w:t>
        <w:tab/>
        <w:t>坏账准备计提情况</w:t>
      </w:r>
      <w:bookmarkEnd w:id="2191"/>
      <w:bookmarkEnd w:id="2192"/>
      <w:bookmarkEnd w:id="2194"/>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2195" w:name="bookmark2195"/>
      <w:bookmarkStart w:id="2196" w:name="bookmark2196"/>
      <w:bookmarkStart w:id="2197" w:name="bookmark21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95"/>
      <w:bookmarkEnd w:id="2196"/>
      <w:bookmarkEnd w:id="2197"/>
    </w:p>
    <w:p>
      <w:pPr>
        <w:pStyle w:val="Style48"/>
        <w:keepNext/>
        <w:keepLines/>
        <w:widowControl w:val="0"/>
        <w:shd w:val="clear" w:color="auto" w:fill="auto"/>
        <w:bidi w:val="0"/>
        <w:spacing w:before="0" w:after="36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1</w:t>
      </w:r>
      <w:bookmarkEnd w:id="2200"/>
      <w:r>
        <w:rPr>
          <w:color w:val="000000"/>
          <w:spacing w:val="0"/>
          <w:w w:val="100"/>
          <w:position w:val="0"/>
        </w:rPr>
        <w:t>）应收股利分类</w:t>
      </w:r>
      <w:bookmarkEnd w:id="2198"/>
      <w:bookmarkEnd w:id="2199"/>
      <w:bookmarkEnd w:id="220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深圳经典视线文化传播有限公司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省广合众（北京）国际传媒广告有限公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上海传漾数字科技有限公司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42,119,648.10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76,826,000.00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海南经典视线广告传媒有限公司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成都经典视线广告传媒有限公司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上海拓畅信息技术有限公司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250,319,648.10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307,076,000.00</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2202" w:name="bookmark2202"/>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2</w:t>
      </w:r>
      <w:bookmarkEnd w:id="220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02"/>
      <w:bookmarkEnd w:id="2203"/>
      <w:bookmarkEnd w:id="2205"/>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是否发生减值及其判断 依据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上海韵翔广告有限公司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业务发展，暂时性资金 需求较大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不减值，公司欠其往来 款大于应收股利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上海传漾数字科技有限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42,119,648.10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业务拓展，暂时性资金 需求较多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不减值，公司欠其往来 款大于应收股利</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成都经典视线广告传媒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业务拓展，暂时性资金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不减值，业务发展需暂</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需要较大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时无充足现金支付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上海拓畅信息技术有限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业务发展，暂时性资金 需要较多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不减值，业务发展需暂 时无充足现金支付</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213,319,648.10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59" w:line="1" w:lineRule="exact"/>
      </w:pPr>
    </w:p>
    <w:p>
      <w:pPr>
        <w:pStyle w:val="Style48"/>
        <w:keepNext/>
        <w:keepLines/>
        <w:widowControl w:val="0"/>
        <w:shd w:val="clear" w:color="auto" w:fill="auto"/>
        <w:bidi w:val="0"/>
        <w:spacing w:before="0" w:after="380" w:line="240" w:lineRule="auto"/>
        <w:ind w:left="0" w:right="0" w:firstLine="0"/>
        <w:jc w:val="left"/>
      </w:pPr>
      <w:bookmarkStart w:id="2206" w:name="bookmark2206"/>
      <w:bookmarkStart w:id="2207" w:name="bookmark2207"/>
      <w:bookmarkStart w:id="2208" w:name="bookmark2208"/>
      <w:bookmarkStart w:id="2209" w:name="bookmark2209"/>
      <w:r>
        <w:rPr>
          <w:rFonts w:ascii="Times New Roman" w:eastAsia="Times New Roman" w:hAnsi="Times New Roman" w:cs="Times New Roman"/>
          <w:color w:val="000000"/>
          <w:spacing w:val="0"/>
          <w:w w:val="100"/>
          <w:position w:val="0"/>
        </w:rPr>
        <w:t>3</w:t>
      </w:r>
      <w:bookmarkEnd w:id="2208"/>
      <w:r>
        <w:rPr>
          <w:color w:val="000000"/>
          <w:spacing w:val="0"/>
          <w:w w:val="100"/>
          <w:position w:val="0"/>
        </w:rPr>
        <w:t>）坏账准备计提情况</w:t>
      </w:r>
      <w:bookmarkEnd w:id="2206"/>
      <w:bookmarkEnd w:id="2207"/>
      <w:bookmarkEnd w:id="2209"/>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210" w:name="bookmark2210"/>
      <w:bookmarkStart w:id="2211" w:name="bookmark2211"/>
      <w:bookmarkStart w:id="2212" w:name="bookmark2212"/>
      <w:bookmarkStart w:id="2213" w:name="bookmark2213"/>
      <w:r>
        <w:rPr>
          <w:color w:val="000000"/>
          <w:spacing w:val="0"/>
          <w:w w:val="100"/>
          <w:position w:val="0"/>
        </w:rPr>
        <w:t>（</w:t>
      </w:r>
      <w:bookmarkEnd w:id="221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10"/>
      <w:bookmarkEnd w:id="2211"/>
      <w:bookmarkEnd w:id="2213"/>
    </w:p>
    <w:p>
      <w:pPr>
        <w:pStyle w:val="Style48"/>
        <w:keepNext/>
        <w:keepLines/>
        <w:widowControl w:val="0"/>
        <w:shd w:val="clear" w:color="auto" w:fill="auto"/>
        <w:bidi w:val="0"/>
        <w:spacing w:before="0" w:after="380" w:line="240" w:lineRule="auto"/>
        <w:ind w:left="0" w:right="0" w:firstLine="0"/>
        <w:jc w:val="left"/>
      </w:pPr>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14"/>
      <w:bookmarkEnd w:id="2215"/>
      <w:bookmarkEnd w:id="221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460,355,575.36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331,440,690.74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107,994,500.00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52,890,652.20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43,857,621.00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3,341,531.62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2,707,060.56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83,558.76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528,545,817.94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485,999,872.30</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17"/>
      <w:bookmarkEnd w:id="2218"/>
      <w:bookmarkEnd w:id="2219"/>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21,164,023.80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298,830,142.34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319,994,166.14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87,846.81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7,756,399.12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13,495,471.49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298,830,142.34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312,325,613.83</w:t>
            </w:r>
          </w:p>
        </w:tc>
      </w:tr>
    </w:tbl>
    <w:p>
      <w:pPr>
        <w:widowControl w:val="0"/>
        <w:spacing w:after="79" w:line="1" w:lineRule="exact"/>
      </w:pP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按账龄披露</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180,044,525.73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14,753,208.96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29,192,113.34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304,555,969.91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304,555,969.91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528,545,817.94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3</w:t>
      </w:r>
      <w:bookmarkEnd w:id="2222"/>
      <w:r>
        <w:rPr>
          <w:color w:val="000000"/>
          <w:spacing w:val="0"/>
          <w:w w:val="100"/>
          <w:position w:val="0"/>
        </w:rPr>
        <w:t>）本期计提、收回或转回的坏账准备情况</w:t>
      </w:r>
      <w:bookmarkEnd w:id="2220"/>
      <w:bookmarkEnd w:id="2221"/>
      <w:bookmarkEnd w:id="2223"/>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319,994,166.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87,846.81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7,756,399.12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312,325,613.83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319,994,166.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87,846.81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7,756,399.12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312,325,613.83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上海溢洋达奇广告有限公司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7,756,399.12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7,756,399.12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注：原按照账龄组合对照整个存续期预期信用损失率计提坏账准备</w:t>
      </w:r>
      <w:r>
        <w:rPr>
          <w:rFonts w:ascii="Times New Roman" w:eastAsia="Times New Roman" w:hAnsi="Times New Roman" w:cs="Times New Roman"/>
          <w:color w:val="000000"/>
          <w:spacing w:val="0"/>
          <w:w w:val="100"/>
          <w:position w:val="0"/>
          <w:sz w:val="18"/>
          <w:szCs w:val="18"/>
        </w:rPr>
        <w:t>7,756,399.12</w:t>
      </w:r>
      <w:r>
        <w:rPr>
          <w:color w:val="000000"/>
          <w:spacing w:val="0"/>
          <w:w w:val="100"/>
          <w:position w:val="0"/>
        </w:rPr>
        <w:t>元，本年通过现金收回的方式收回上述款项。</w:t>
      </w:r>
    </w:p>
    <w:p>
      <w:pPr>
        <w:widowControl w:val="0"/>
        <w:spacing w:after="699" w:line="1" w:lineRule="exact"/>
      </w:pPr>
    </w:p>
    <w:p>
      <w:pPr>
        <w:pStyle w:val="Style48"/>
        <w:keepNext/>
        <w:keepLines/>
        <w:widowControl w:val="0"/>
        <w:shd w:val="clear" w:color="auto" w:fill="auto"/>
        <w:tabs>
          <w:tab w:pos="392" w:val="left"/>
        </w:tabs>
        <w:bidi w:val="0"/>
        <w:spacing w:before="0" w:after="380" w:line="240" w:lineRule="auto"/>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4</w:t>
      </w:r>
      <w:bookmarkEnd w:id="2226"/>
      <w:r>
        <w:rPr>
          <w:color w:val="000000"/>
          <w:spacing w:val="0"/>
          <w:w w:val="100"/>
          <w:position w:val="0"/>
        </w:rPr>
        <w:t>）</w:t>
        <w:tab/>
        <w:t>本期实际核销的其他应收款情况</w:t>
      </w:r>
      <w:bookmarkEnd w:id="2224"/>
      <w:bookmarkEnd w:id="2225"/>
      <w:bookmarkEnd w:id="2227"/>
    </w:p>
    <w:p>
      <w:pPr>
        <w:pStyle w:val="Style19"/>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本年无实际核销的其他应收款情况。</w:t>
      </w:r>
    </w:p>
    <w:p>
      <w:pPr>
        <w:pStyle w:val="Style48"/>
        <w:keepNext/>
        <w:keepLines/>
        <w:widowControl w:val="0"/>
        <w:shd w:val="clear" w:color="auto" w:fill="auto"/>
        <w:tabs>
          <w:tab w:pos="392" w:val="left"/>
        </w:tabs>
        <w:bidi w:val="0"/>
        <w:spacing w:before="0" w:after="380" w:line="240" w:lineRule="auto"/>
        <w:ind w:left="0" w:right="0" w:firstLine="0"/>
        <w:jc w:val="left"/>
      </w:pPr>
      <w:bookmarkStart w:id="2228" w:name="bookmark2228"/>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5</w:t>
      </w:r>
      <w:bookmarkEnd w:id="2230"/>
      <w:r>
        <w:rPr>
          <w:color w:val="000000"/>
          <w:spacing w:val="0"/>
          <w:w w:val="100"/>
          <w:position w:val="0"/>
        </w:rPr>
        <w:t>）</w:t>
        <w:tab/>
        <w:t>按欠款方归集的期末余额前五名的其他应收款情况</w:t>
      </w:r>
      <w:bookmarkEnd w:id="2228"/>
      <w:bookmarkEnd w:id="2229"/>
      <w:bookmarkEnd w:id="2231"/>
    </w:p>
    <w:p>
      <w:pPr>
        <w:pStyle w:val="Style1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上海雅润文化传播有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外部往来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298,760,142.34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298,760,142.34</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广州市一汽巴士有限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13,694,460.00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2,738,892.00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重庆奇峰广告传媒有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2,374,900.00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浙江吉利控股集团汽 车销售有限公司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广州铁路文化广告有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335,699,102.34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303,930,784.34</w:t>
            </w:r>
          </w:p>
        </w:tc>
      </w:tr>
    </w:tbl>
    <w:p>
      <w:pPr>
        <w:widowControl w:val="0"/>
        <w:spacing w:after="359" w:line="1" w:lineRule="exact"/>
      </w:pPr>
    </w:p>
    <w:p>
      <w:pPr>
        <w:pStyle w:val="Style48"/>
        <w:keepNext/>
        <w:keepLines/>
        <w:widowControl w:val="0"/>
        <w:shd w:val="clear" w:color="auto" w:fill="auto"/>
        <w:tabs>
          <w:tab w:pos="392" w:val="left"/>
        </w:tabs>
        <w:bidi w:val="0"/>
        <w:spacing w:before="0" w:after="36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6</w:t>
      </w:r>
      <w:bookmarkEnd w:id="2234"/>
      <w:r>
        <w:rPr>
          <w:color w:val="000000"/>
          <w:spacing w:val="0"/>
          <w:w w:val="100"/>
          <w:position w:val="0"/>
        </w:rPr>
        <w:t>）</w:t>
        <w:tab/>
        <w:t>涉及政府补助的应收款项</w:t>
      </w:r>
      <w:bookmarkEnd w:id="2232"/>
      <w:bookmarkEnd w:id="2233"/>
      <w:bookmarkEnd w:id="2235"/>
    </w:p>
    <w:p>
      <w:pPr>
        <w:pStyle w:val="Style1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年末无涉及政府补助的应收款项。</w:t>
      </w:r>
    </w:p>
    <w:p>
      <w:pPr>
        <w:pStyle w:val="Style48"/>
        <w:keepNext/>
        <w:keepLines/>
        <w:widowControl w:val="0"/>
        <w:shd w:val="clear" w:color="auto" w:fill="auto"/>
        <w:tabs>
          <w:tab w:pos="387" w:val="left"/>
        </w:tabs>
        <w:bidi w:val="0"/>
        <w:spacing w:before="0" w:after="360" w:line="240" w:lineRule="auto"/>
        <w:ind w:left="0" w:right="0" w:firstLine="0"/>
        <w:jc w:val="left"/>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7</w:t>
      </w:r>
      <w:bookmarkEnd w:id="2238"/>
      <w:r>
        <w:rPr>
          <w:color w:val="000000"/>
          <w:spacing w:val="0"/>
          <w:w w:val="100"/>
          <w:position w:val="0"/>
        </w:rPr>
        <w:t>）</w:t>
        <w:tab/>
        <w:t>因金融资产转移而终止确认的其他应收款</w:t>
      </w:r>
      <w:bookmarkEnd w:id="2236"/>
      <w:bookmarkEnd w:id="2237"/>
      <w:bookmarkEnd w:id="2239"/>
    </w:p>
    <w:p>
      <w:pPr>
        <w:pStyle w:val="Style19"/>
        <w:keepNext w:val="0"/>
        <w:keepLines w:val="0"/>
        <w:widowControl w:val="0"/>
        <w:shd w:val="clear" w:color="auto" w:fill="auto"/>
        <w:bidi w:val="0"/>
        <w:spacing w:before="0" w:after="700" w:line="240" w:lineRule="auto"/>
        <w:ind w:left="0" w:right="0" w:firstLine="380"/>
        <w:jc w:val="left"/>
      </w:pPr>
      <w:r>
        <w:rPr>
          <w:color w:val="000000"/>
          <w:spacing w:val="0"/>
          <w:w w:val="100"/>
          <w:position w:val="0"/>
        </w:rPr>
        <w:t>年末无因金融资产转移而终止确认的其他应收款。</w:t>
      </w:r>
    </w:p>
    <w:p>
      <w:pPr>
        <w:pStyle w:val="Style48"/>
        <w:keepNext/>
        <w:keepLines/>
        <w:widowControl w:val="0"/>
        <w:shd w:val="clear" w:color="auto" w:fill="auto"/>
        <w:tabs>
          <w:tab w:pos="392" w:val="left"/>
        </w:tabs>
        <w:bidi w:val="0"/>
        <w:spacing w:before="0" w:after="36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8</w:t>
      </w:r>
      <w:bookmarkEnd w:id="2242"/>
      <w:r>
        <w:rPr>
          <w:color w:val="000000"/>
          <w:spacing w:val="0"/>
          <w:w w:val="100"/>
          <w:position w:val="0"/>
        </w:rPr>
        <w:t>）</w:t>
        <w:tab/>
        <w:t>转移其他应收款且继续涉入形成的资产、负债金额</w:t>
      </w:r>
      <w:bookmarkEnd w:id="2240"/>
      <w:bookmarkEnd w:id="2241"/>
      <w:bookmarkEnd w:id="2243"/>
    </w:p>
    <w:p>
      <w:pPr>
        <w:pStyle w:val="Style1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年末无转移其他应收款且继续涉入形成的资产、负债金额。</w:t>
      </w:r>
    </w:p>
    <w:p>
      <w:pPr>
        <w:pStyle w:val="Style28"/>
        <w:keepNext/>
        <w:keepLines/>
        <w:widowControl w:val="0"/>
        <w:shd w:val="clear" w:color="auto" w:fill="auto"/>
        <w:bidi w:val="0"/>
        <w:spacing w:before="0" w:after="36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3</w:t>
      </w:r>
      <w:bookmarkEnd w:id="2246"/>
      <w:r>
        <w:rPr>
          <w:color w:val="000000"/>
          <w:spacing w:val="0"/>
          <w:w w:val="100"/>
          <w:position w:val="0"/>
        </w:rPr>
        <w:t>、长期股权投资</w:t>
      </w:r>
      <w:bookmarkEnd w:id="2244"/>
      <w:bookmarkEnd w:id="2245"/>
      <w:bookmarkEnd w:id="224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3,634,534,081.23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1,332,618,388.20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2,301,915,693.03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3,610,509,690.32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1,158,618,388.20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2,451,891,302.12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348,822,230.49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141,629,762.00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207,192,468.49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346,858,069.71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141,629,762.00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205,228,307.71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3,983,356,311.72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1,474,248,150.20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2,509,108,161.52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3,957,367,760.03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1,300,248,150.20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2,657,119,609.83</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48"/>
      <w:bookmarkEnd w:id="2249"/>
      <w:bookmarkEnd w:id="225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成都经典视线</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广告传媒有限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广东广旭整合 营销传播有限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4,574,776.40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4,574,776.40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北京合力唯胜</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体育发展有限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广州旗智企业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管理咨询有限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182,515,300.0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128,015,300.00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54,500,000.00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深圳经典视线</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文化传播有限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省广先锋（青 岛）广告股份有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189,405,306.9</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189,405,306.94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26,440,493.06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省广合众（北 京）国际传媒广 告有限公司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270,818,241.8</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270,818,241.86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112,027,895.14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海南经典视线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广告传媒有限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广东广佛地铁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广告资源经营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上海韵翔广告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55,635,900.00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55,635,900.00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182,100,000.00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省广诺时（广 东）信息服务有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上海传漾数字</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424,000,000.00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广州蓝门数字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营销顾问有限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49,700,000.00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上海晋拓文化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375,400,000.0</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326,750,000.00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366,850,000.00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深圳前海省广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资本管理有限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国际整合营销</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传播集团控股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111,776.92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1,474,390.91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1,586,167.83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上海拓畅信息</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117,000,000.00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珠海市省广益 松新动力投资 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475,000,000.0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省广营销集团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2,451,891,302.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35,273,390.91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11,249,000.00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174,000,000.0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2,301,915,693.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1,332,618,388.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2251" w:name="bookmark2251"/>
      <w:bookmarkStart w:id="2252" w:name="bookmark2252"/>
      <w:bookmarkStart w:id="2253" w:name="bookmark22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51"/>
      <w:bookmarkEnd w:id="2252"/>
      <w:bookmarkEnd w:id="225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一、合营企业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省广博报</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堂整合营</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销有限公</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59,799,55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22,460,74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62,260,30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代博广告</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营销有限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33,659,72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2,514,407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675,000.0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35,499,13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93,459,28</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24,975,15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20,675,00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97,759,43</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深圳钛铂 新媒体营 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34,154,01</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31,134.77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2,047,865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32,137,27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合宝文娱</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集团有限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26,645,77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-973,288.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25,672,48</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广州多触 电商传媒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1,630,270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137,664.3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-79,845.5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省广聚合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数字技术</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2,141,937</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-538,699.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1,603,238</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广盛世体 验营销有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1,583,832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367,282.3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1,951,114</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珠海市省 广众烁数 字营销有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22,444,82</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2,461,618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24,906,43</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影业股份</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7,406,690</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-1,085,38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6,321,308</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珠海市省 广凯酷传 媒有限公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110,044.8</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-110,044.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中懋（广</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州）广告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141,629,7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62.00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珠海市省 广华屹智 能数字营 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824,088.8</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-1,176,26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省广翰威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广告有限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14,424,69</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1,708,460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16,133,15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广东省广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汽车数字</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营销有限</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402,865.9</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305,148.0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708,014.0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111,769,0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2,193,424</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2,185,529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-1,256,11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109,433,0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141,629,7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205,228,3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27,168,58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22,860,52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207,192,4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141,629,7</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254" w:name="bookmark2254"/>
      <w:bookmarkStart w:id="2255" w:name="bookmark2255"/>
      <w:bookmarkStart w:id="2256" w:name="bookmark2256"/>
      <w:bookmarkStart w:id="2257" w:name="bookmark2257"/>
      <w:r>
        <w:rPr>
          <w:color w:val="000000"/>
          <w:spacing w:val="0"/>
          <w:w w:val="100"/>
          <w:position w:val="0"/>
        </w:rPr>
        <w:t>（</w:t>
      </w:r>
      <w:bookmarkEnd w:id="225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54"/>
      <w:bookmarkEnd w:id="2255"/>
      <w:bookmarkEnd w:id="2257"/>
    </w:p>
    <w:p>
      <w:pPr>
        <w:pStyle w:val="Style28"/>
        <w:keepNext/>
        <w:keepLines/>
        <w:widowControl w:val="0"/>
        <w:shd w:val="clear" w:color="auto" w:fill="auto"/>
        <w:bidi w:val="0"/>
        <w:spacing w:before="0" w:after="360" w:line="240" w:lineRule="auto"/>
        <w:ind w:left="0" w:right="0" w:firstLine="0"/>
        <w:jc w:val="left"/>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4</w:t>
      </w:r>
      <w:bookmarkEnd w:id="2260"/>
      <w:r>
        <w:rPr>
          <w:color w:val="000000"/>
          <w:spacing w:val="0"/>
          <w:w w:val="100"/>
          <w:position w:val="0"/>
        </w:rPr>
        <w:t>、营业收入和营业成本</w:t>
      </w:r>
      <w:bookmarkEnd w:id="2258"/>
      <w:bookmarkEnd w:id="2259"/>
      <w:bookmarkEnd w:id="22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5,641,625,818.93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5,019,615,282.15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4,795,262,194.83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4,100,062,900.91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10,219,481.54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10,490,956.85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5,651,845,300.47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5,019,615,282.15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4,805,753,151.68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4,100,062,900.91</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328,000,000.00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328,000,000.00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年度确认收入，元预计将于年度确认收入，元预计将于年度确认收入。</w:t>
      </w:r>
    </w:p>
    <w:p>
      <w:pPr>
        <w:pStyle w:val="Style28"/>
        <w:keepNext/>
        <w:keepLines/>
        <w:widowControl w:val="0"/>
        <w:shd w:val="clear" w:color="auto" w:fill="auto"/>
        <w:bidi w:val="0"/>
        <w:spacing w:before="0" w:after="400" w:line="240" w:lineRule="auto"/>
        <w:ind w:left="0" w:right="0" w:firstLine="0"/>
        <w:jc w:val="left"/>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5</w:t>
      </w:r>
      <w:bookmarkEnd w:id="2264"/>
      <w:r>
        <w:rPr>
          <w:color w:val="000000"/>
          <w:spacing w:val="0"/>
          <w:w w:val="100"/>
          <w:position w:val="0"/>
        </w:rPr>
        <w:t>、投资收益</w:t>
      </w:r>
      <w:bookmarkEnd w:id="2262"/>
      <w:bookmarkEnd w:id="2263"/>
      <w:bookmarkEnd w:id="2265"/>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194,043,300.61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525,383,974.58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27,168,580.02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-41,149,434.92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-4,389,015.87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-6,975,874.46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939,837.40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处置其他权益工具取得的投资收益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7,612,555.33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11,818,671.98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债务重组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8,600,387.70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-532,854.88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219,535,807.79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489,484,319.70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6</w:t>
      </w:r>
      <w:bookmarkEnd w:id="2268"/>
      <w:r>
        <w:rPr>
          <w:color w:val="000000"/>
          <w:spacing w:val="0"/>
          <w:w w:val="100"/>
          <w:position w:val="0"/>
        </w:rPr>
        <w:t>、其他</w:t>
      </w:r>
      <w:bookmarkEnd w:id="2266"/>
      <w:bookmarkEnd w:id="2267"/>
      <w:bookmarkEnd w:id="2269"/>
    </w:p>
    <w:p>
      <w:pPr>
        <w:pStyle w:val="Style22"/>
        <w:keepNext/>
        <w:keepLines/>
        <w:widowControl w:val="0"/>
        <w:shd w:val="clear" w:color="auto" w:fill="auto"/>
        <w:bidi w:val="0"/>
        <w:spacing w:before="0" w:after="360" w:line="240" w:lineRule="auto"/>
        <w:ind w:left="0" w:right="0" w:firstLine="0"/>
        <w:jc w:val="left"/>
      </w:pPr>
      <w:bookmarkStart w:id="2270" w:name="bookmark2270"/>
      <w:bookmarkStart w:id="2271" w:name="bookmark2271"/>
      <w:bookmarkStart w:id="2272" w:name="bookmark2272"/>
      <w:r>
        <w:rPr>
          <w:color w:val="000000"/>
          <w:spacing w:val="0"/>
          <w:w w:val="100"/>
          <w:position w:val="0"/>
        </w:rPr>
        <w:t>十八、补充资料</w:t>
      </w:r>
      <w:bookmarkEnd w:id="2270"/>
      <w:bookmarkEnd w:id="2271"/>
      <w:bookmarkEnd w:id="2272"/>
    </w:p>
    <w:p>
      <w:pPr>
        <w:pStyle w:val="Style28"/>
        <w:keepNext/>
        <w:keepLines/>
        <w:widowControl w:val="0"/>
        <w:shd w:val="clear" w:color="auto" w:fill="auto"/>
        <w:bidi w:val="0"/>
        <w:spacing w:before="0" w:after="360" w:line="240" w:lineRule="auto"/>
        <w:ind w:left="0" w:right="0" w:firstLine="0"/>
        <w:jc w:val="left"/>
      </w:pPr>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73"/>
      <w:bookmarkEnd w:id="2274"/>
      <w:bookmarkEnd w:id="2275"/>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-885,710.48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10,239,381.95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66,804.89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8,058,488.81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-439,599.30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-4,195,174.07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12,974,637.90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-4,039,219.00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97,075,941.11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3,304,356.53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532,758.74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115,018,436.54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76"/>
      <w:bookmarkEnd w:id="2277"/>
      <w:bookmarkEnd w:id="2278"/>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r>
    </w:tbl>
    <w:p>
      <w:pPr>
        <w:pStyle w:val="Style28"/>
        <w:keepNext/>
        <w:keepLines/>
        <w:widowControl w:val="0"/>
        <w:shd w:val="clear" w:color="auto" w:fill="auto"/>
        <w:tabs>
          <w:tab w:pos="378" w:val="left"/>
        </w:tabs>
        <w:bidi w:val="0"/>
        <w:spacing w:before="0" w:after="280" w:line="331" w:lineRule="exact"/>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3</w:t>
      </w:r>
      <w:bookmarkEnd w:id="2281"/>
      <w:r>
        <w:rPr>
          <w:color w:val="000000"/>
          <w:spacing w:val="0"/>
          <w:w w:val="100"/>
          <w:position w:val="0"/>
        </w:rPr>
        <w:t>、</w:t>
        <w:tab/>
        <w:t>境内外会计准则下会计数据差异</w:t>
      </w:r>
      <w:bookmarkEnd w:id="2279"/>
      <w:bookmarkEnd w:id="2280"/>
      <w:bookmarkEnd w:id="2282"/>
    </w:p>
    <w:p>
      <w:pPr>
        <w:pStyle w:val="Style32"/>
        <w:keepNext/>
        <w:keepLines/>
        <w:widowControl w:val="0"/>
        <w:shd w:val="clear" w:color="auto" w:fill="auto"/>
        <w:tabs>
          <w:tab w:pos="493" w:val="left"/>
        </w:tabs>
        <w:bidi w:val="0"/>
        <w:spacing w:before="0" w:after="360" w:line="331" w:lineRule="exact"/>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83"/>
      <w:bookmarkEnd w:id="2284"/>
      <w:bookmarkEnd w:id="2286"/>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360" w:line="331" w:lineRule="exact"/>
        <w:ind w:left="0" w:right="0" w:firstLine="0"/>
        <w:jc w:val="left"/>
      </w:pPr>
      <w:bookmarkStart w:id="2287" w:name="bookmark2287"/>
      <w:bookmarkStart w:id="2288" w:name="bookmark2288"/>
      <w:bookmarkStart w:id="2289" w:name="bookmark2289"/>
      <w:bookmarkStart w:id="2290" w:name="bookmark2290"/>
      <w:r>
        <w:rPr>
          <w:color w:val="000000"/>
          <w:spacing w:val="0"/>
          <w:w w:val="100"/>
          <w:position w:val="0"/>
        </w:rPr>
        <w:t>（</w:t>
      </w:r>
      <w:bookmarkEnd w:id="228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87"/>
      <w:bookmarkEnd w:id="2288"/>
      <w:bookmarkEnd w:id="2290"/>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331" w:lineRule="exact"/>
        <w:ind w:left="0" w:right="0" w:firstLine="0"/>
        <w:jc w:val="left"/>
      </w:pPr>
      <w:bookmarkStart w:id="2291" w:name="bookmark2291"/>
      <w:bookmarkStart w:id="2292" w:name="bookmark2292"/>
      <w:bookmarkStart w:id="2293" w:name="bookmark2293"/>
      <w:bookmarkStart w:id="2294" w:name="bookmark2294"/>
      <w:r>
        <w:rPr>
          <w:color w:val="000000"/>
          <w:spacing w:val="0"/>
          <w:w w:val="100"/>
          <w:position w:val="0"/>
        </w:rPr>
        <w:t>（</w:t>
      </w:r>
      <w:bookmarkEnd w:id="229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91"/>
      <w:bookmarkEnd w:id="2292"/>
      <w:bookmarkEnd w:id="2294"/>
    </w:p>
    <w:p>
      <w:pPr>
        <w:pStyle w:val="Style28"/>
        <w:keepNext/>
        <w:keepLines/>
        <w:widowControl w:val="0"/>
        <w:shd w:val="clear" w:color="auto" w:fill="auto"/>
        <w:tabs>
          <w:tab w:pos="378" w:val="left"/>
        </w:tabs>
        <w:bidi w:val="0"/>
        <w:spacing w:before="0" w:after="280" w:line="331" w:lineRule="exact"/>
        <w:ind w:left="0" w:right="0" w:firstLine="0"/>
        <w:jc w:val="left"/>
      </w:pPr>
      <w:bookmarkStart w:id="2295" w:name="bookmark2295"/>
      <w:bookmarkStart w:id="2296" w:name="bookmark2296"/>
      <w:bookmarkStart w:id="2297" w:name="bookmark2297"/>
      <w:bookmarkStart w:id="2298" w:name="bookmark2298"/>
      <w:r>
        <w:rPr>
          <w:rFonts w:ascii="Times New Roman" w:eastAsia="Times New Roman" w:hAnsi="Times New Roman" w:cs="Times New Roman"/>
          <w:color w:val="000000"/>
          <w:spacing w:val="0"/>
          <w:w w:val="100"/>
          <w:position w:val="0"/>
        </w:rPr>
        <w:t>4</w:t>
      </w:r>
      <w:bookmarkEnd w:id="2297"/>
      <w:r>
        <w:rPr>
          <w:color w:val="000000"/>
          <w:spacing w:val="0"/>
          <w:w w:val="100"/>
          <w:position w:val="0"/>
        </w:rPr>
        <w:t>、</w:t>
        <w:tab/>
        <w:t>其他</w:t>
      </w:r>
      <w:bookmarkEnd w:id="2295"/>
      <w:bookmarkEnd w:id="2296"/>
      <w:bookmarkEnd w:id="2298"/>
    </w:p>
    <w:sectPr>
      <w:footnotePr>
        <w:pos w:val="pageBottom"/>
        <w:numFmt w:val="decimal"/>
        <w:numRestart w:val="continuous"/>
      </w:footnotePr>
      <w:pgSz w:w="11900" w:h="16840"/>
      <w:pgMar w:top="1346" w:right="1074" w:bottom="1522" w:left="10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6">
    <w:name w:val="Body text (6)_"/>
    <w:basedOn w:val="DefaultParagraphFont"/>
    <w:link w:val="Style4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9">
    <w:name w:val="Heading #5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2">
    <w:name w:val="Body text (5)_"/>
    <w:basedOn w:val="DefaultParagraphFont"/>
    <w:link w:val="Style51"/>
    <w:rPr>
      <w:rFonts w:ascii="SimSun" w:eastAsia="SimSun" w:hAnsi="SimSun" w:cs="SimSun"/>
      <w:b w:val="0"/>
      <w:bCs w:val="0"/>
      <w:i w:val="0"/>
      <w:iCs w:val="0"/>
      <w:smallCaps w:val="0"/>
      <w:strike w:val="0"/>
      <w:color w:val="0C0C0C"/>
      <w:sz w:val="20"/>
      <w:szCs w:val="20"/>
      <w:u w:val="none"/>
      <w:shd w:val="clear" w:color="auto" w:fill="auto"/>
    </w:rPr>
  </w:style>
  <w:style w:type="paragraph" w:customStyle="1" w:styleId="Style2">
    <w:name w:val="Other"/>
    <w:basedOn w:val="Normal"/>
    <w:link w:val="CharStyle3"/>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
    <w:name w:val="Heading #1"/>
    <w:basedOn w:val="Normal"/>
    <w:link w:val="CharStyle11"/>
    <w:pPr>
      <w:widowControl w:val="0"/>
      <w:shd w:val="clear" w:color="auto" w:fill="auto"/>
      <w:spacing w:before="32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styleId="Style19">
    <w:name w:val="Body text"/>
    <w:basedOn w:val="Normal"/>
    <w:link w:val="CharStyle20"/>
    <w:qFormat/>
    <w:pPr>
      <w:widowControl w:val="0"/>
      <w:shd w:val="clear" w:color="auto" w:fill="auto"/>
      <w:spacing w:after="140" w:line="391"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Heading #2"/>
    <w:basedOn w:val="Normal"/>
    <w:link w:val="CharStyle23"/>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Body text (6)"/>
    <w:basedOn w:val="Normal"/>
    <w:link w:val="CharStyle46"/>
    <w:pPr>
      <w:widowControl w:val="0"/>
      <w:shd w:val="clear" w:color="auto" w:fill="auto"/>
      <w:spacing w:after="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8">
    <w:name w:val="Heading #5"/>
    <w:basedOn w:val="Normal"/>
    <w:link w:val="CharStyle49"/>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51">
    <w:name w:val="Body text (5)"/>
    <w:basedOn w:val="Normal"/>
    <w:link w:val="CharStyle52"/>
    <w:pPr>
      <w:widowControl w:val="0"/>
      <w:shd w:val="clear" w:color="auto" w:fill="auto"/>
    </w:pPr>
    <w:rPr>
      <w:rFonts w:ascii="SimSun" w:eastAsia="SimSun" w:hAnsi="SimSun" w:cs="SimSun"/>
      <w:b w:val="0"/>
      <w:bCs w:val="0"/>
      <w:i w:val="0"/>
      <w:iCs w:val="0"/>
      <w:smallCaps w:val="0"/>
      <w:strike w:val="0"/>
      <w:color w:val="0C0C0C"/>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广东省广告集团股份有限公司2021年年度报告全文</dc:title>
  <dc:subject/>
  <dc:creator>广东省广告集团股份有限公司</dc:creator>
  <cp:keywords/>
</cp:coreProperties>
</file>