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0" w:line="240" w:lineRule="auto"/>
        <w:ind w:left="0" w:right="0" w:firstLine="0"/>
        <w:jc w:val="center"/>
        <w:rPr>
          <w:sz w:val="96"/>
          <w:szCs w:val="96"/>
        </w:rPr>
      </w:pPr>
      <w:r>
        <w:rPr>
          <w:rFonts w:ascii="Arial" w:eastAsia="Arial" w:hAnsi="Arial" w:cs="Arial"/>
          <w:i/>
          <w:iCs/>
          <w:color w:val="BC0315"/>
          <w:spacing w:val="0"/>
          <w:w w:val="100"/>
          <w:position w:val="0"/>
          <w:sz w:val="128"/>
          <w:szCs w:val="128"/>
        </w:rPr>
        <w:t>GIMC</w:t>
      </w:r>
      <w:r>
        <w:rPr>
          <w:rFonts w:ascii="SimHei" w:eastAsia="SimHei" w:hAnsi="SimHei" w:cs="SimHei"/>
          <w:color w:val="BC0315"/>
          <w:spacing w:val="0"/>
          <w:w w:val="100"/>
          <w:position w:val="0"/>
          <w:sz w:val="96"/>
          <w:szCs w:val="96"/>
        </w:rPr>
        <w:t>省广集</w:t>
      </w:r>
    </w:p>
    <w:p>
      <w:pPr>
        <w:pStyle w:val="Style2"/>
        <w:keepNext w:val="0"/>
        <w:keepLines w:val="0"/>
        <w:widowControl w:val="0"/>
        <w:shd w:val="clear" w:color="auto" w:fill="auto"/>
        <w:bidi w:val="0"/>
        <w:spacing w:before="0" w:after="480" w:line="240" w:lineRule="auto"/>
        <w:ind w:left="0" w:right="0" w:firstLine="0"/>
        <w:jc w:val="center"/>
        <w:rPr>
          <w:sz w:val="52"/>
          <w:szCs w:val="52"/>
        </w:rPr>
      </w:pPr>
      <w:r>
        <w:rPr>
          <w:rFonts w:ascii="SimSun" w:eastAsia="SimSun" w:hAnsi="SimSun" w:cs="SimSun"/>
          <w:b/>
          <w:bCs/>
          <w:color w:val="000000"/>
          <w:spacing w:val="0"/>
          <w:w w:val="100"/>
          <w:position w:val="0"/>
          <w:sz w:val="52"/>
          <w:szCs w:val="52"/>
        </w:rPr>
        <w:t>广东省广告集团股份有限公司</w:t>
      </w:r>
    </w:p>
    <w:p>
      <w:pPr>
        <w:pStyle w:val="Style2"/>
        <w:keepNext w:val="0"/>
        <w:keepLines w:val="0"/>
        <w:widowControl w:val="0"/>
        <w:shd w:val="clear" w:color="auto" w:fill="auto"/>
        <w:bidi w:val="0"/>
        <w:spacing w:before="0" w:after="6080" w:line="240" w:lineRule="auto"/>
        <w:ind w:left="0" w:right="0" w:firstLine="0"/>
        <w:jc w:val="center"/>
        <w:rPr>
          <w:sz w:val="52"/>
          <w:szCs w:val="52"/>
        </w:rPr>
      </w:pPr>
      <w:r>
        <w:rPr>
          <w:rFonts w:ascii="Arial" w:eastAsia="Arial" w:hAnsi="Arial" w:cs="Arial"/>
          <w:b/>
          <w:bCs/>
          <w:color w:val="000000"/>
          <w:spacing w:val="0"/>
          <w:w w:val="100"/>
          <w:position w:val="0"/>
          <w:sz w:val="46"/>
          <w:szCs w:val="46"/>
        </w:rPr>
        <w:t>2020</w:t>
      </w:r>
      <w:r>
        <w:rPr>
          <w:rFonts w:ascii="SimSun" w:eastAsia="SimSun" w:hAnsi="SimSun" w:cs="SimSun"/>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562" w:right="1109" w:bottom="3497" w:left="1104" w:header="2134" w:footer="3069"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公司负责人陈钿隆、主管会计工作负责人周旭及会计机构负责人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吴俊生声明：保证本年度报告中财务报告的真实、准确、完整。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本报告中涉及的未来发展陈述，属于计划性事项，不构成公司对投资者的 实质承诺，敬请广大投资者注意投资风险。</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公司存在行业竞争风险、人才流失风险、资产减值风险。敬请广大投资者 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第四节【九</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ind w:left="0" w:right="0"/>
        <w:jc w:val="both"/>
        <w:sectPr>
          <w:headerReference w:type="default" r:id="rId5"/>
          <w:footerReference w:type="default" r:id="rId6"/>
          <w:footnotePr>
            <w:pos w:val="pageBottom"/>
            <w:numFmt w:val="decimal"/>
            <w:numRestart w:val="continuous"/>
          </w:footnotePr>
          <w:pgSz w:w="11900" w:h="16840"/>
          <w:pgMar w:top="2562" w:right="1109" w:bottom="3497" w:left="1104" w:header="0" w:footer="3" w:gutter="0"/>
          <w:pgNumType w:start="1"/>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62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0"/>
        <w:keepNext w:val="0"/>
        <w:keepLines w:val="0"/>
        <w:widowControl w:val="0"/>
        <w:shd w:val="clear" w:color="auto" w:fill="auto"/>
        <w:tabs>
          <w:tab w:leader="dot" w:pos="9618"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5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81"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253"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400"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45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460"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464" w:tooltip="Current Document">
        <w:r>
          <w:rPr>
            <w:color w:val="000000"/>
            <w:spacing w:val="0"/>
            <w:w w:val="100"/>
            <w:position w:val="0"/>
          </w:rPr>
          <w:t>第九节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504" w:tooltip="Current Document">
        <w:r>
          <w:rPr>
            <w:color w:val="000000"/>
            <w:spacing w:val="0"/>
            <w:w w:val="100"/>
            <w:position w:val="0"/>
          </w:rPr>
          <w:t>第十节 公司治理</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580"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584"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2251"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198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省广集团、本公司、公司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广新集团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广州旗智企业管理咨询有限公司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省广先锋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省广先锋（青岛）广告有限公司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上海窗之外广告有限公司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上海晋拓文化传播有限公司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上海传漾广告有限公司</w:t>
            </w:r>
          </w:p>
        </w:tc>
      </w:tr>
    </w:tbl>
    <w:p>
      <w:pPr>
        <w:sectPr>
          <w:footnotePr>
            <w:pos w:val="pageBottom"/>
            <w:numFmt w:val="decimal"/>
            <w:numRestart w:val="continuous"/>
          </w:footnotePr>
          <w:pgSz w:w="11900" w:h="16840"/>
          <w:pgMar w:top="2228" w:right="1131" w:bottom="3610" w:left="1088" w:header="0" w:footer="3" w:gutter="0"/>
          <w:cols w:space="720"/>
          <w:noEndnote/>
          <w:rtlGutter w:val="0"/>
          <w:docGrid w:linePitch="360"/>
        </w:sectPr>
      </w:pPr>
    </w:p>
    <w:p>
      <w:pPr>
        <w:pStyle w:val="Style10"/>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4"/>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30" w:val="left"/>
                <w:tab w:pos="4781"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省广集团</w:t>
              <w:tab/>
              <w:t>股票代码</w:t>
              <w:tab/>
            </w:r>
            <w:r>
              <w:rPr>
                <w:color w:val="000000"/>
                <w:spacing w:val="0"/>
                <w:w w:val="100"/>
                <w:position w:val="0"/>
              </w:rPr>
              <w:t>002400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省广集团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GUANGDONG ADVERTISING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GIMC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"http://www.gimc.cn" </w:instrText>
            </w:r>
            <w:r>
              <w:fldChar w:fldCharType="separate"/>
            </w:r>
            <w:r>
              <w:rPr>
                <w:color w:val="000000"/>
                <w:spacing w:val="0"/>
                <w:w w:val="100"/>
                <w:position w:val="0"/>
              </w:rPr>
              <w:t>www.gimc.cn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李佳霖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 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 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020-87600168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020-87617378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020-87614601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http: //www. cninfo. c 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6418"/>
        <w:gridCol w:w="32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91440000190333809T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武汉市武昌区东湖路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r>
              <w:rPr>
                <w:color w:val="000000"/>
                <w:spacing w:val="0"/>
                <w:w w:val="100"/>
                <w:position w:val="0"/>
                <w:sz w:val="18"/>
                <w:szCs w:val="18"/>
              </w:rPr>
              <w:t>2-9</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胡海林、姚月仙</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5</w:t>
            </w:r>
            <w:r>
              <w:rPr>
                <w:rFonts w:ascii="SimSun" w:eastAsia="SimSun" w:hAnsi="SimSun" w:cs="SimSun"/>
                <w:color w:val="000000"/>
                <w:spacing w:val="0"/>
                <w:w w:val="100"/>
                <w:position w:val="0"/>
                <w:sz w:val="17"/>
                <w:szCs w:val="17"/>
              </w:rPr>
              <w:t>号新 盛大厦</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张广新、孙在福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11,535,693,013.64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12,114,751,070.39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-932,266,939.80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149,487,578.92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185,930,972.37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-968,983,155.69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98,171,081.84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122,568,976.34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544,841,376.04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549,902,208.85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减少</w:t>
            </w:r>
            <w:r>
              <w:rPr>
                <w:color w:val="000000"/>
                <w:spacing w:val="0"/>
                <w:w w:val="100"/>
                <w:position w:val="0"/>
              </w:rPr>
              <w:t>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8,134,722,153.89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8,760,427,109.27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9,228,575,560.14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归属于上市公司股东的净资产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4,420,919,099.55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5,378,965,382.46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5,208,496,546.69</w:t>
            </w:r>
          </w:p>
        </w:tc>
      </w:tr>
    </w:tbl>
    <w:tbl>
      <w:tblPr>
        <w:tblOverlap w:val="never"/>
        <w:jc w:val="center"/>
        <w:tblLayout w:type="fixed"/>
      </w:tblPr>
      <w:tblGrid>
        <w:gridCol w:w="2630"/>
        <w:gridCol w:w="1738"/>
        <w:gridCol w:w="1738"/>
        <w:gridCol w:w="1738"/>
        <w:gridCol w:w="1742"/>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11,535,693,013.64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营业收入中含有与主营业务 无关的经营租赁及其他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9,830,140.93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营业收入中含有与主营业务 无关的经营租赁及其他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13,284,449,286.38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11,525,862,872.71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r>
    </w:tbl>
    <w:p>
      <w:pPr>
        <w:widowControl w:val="0"/>
        <w:spacing w:after="359" w:line="1" w:lineRule="exact"/>
      </w:pPr>
    </w:p>
    <w:p>
      <w:pPr>
        <w:pStyle w:val="Style24"/>
        <w:keepNext/>
        <w:keepLines/>
        <w:widowControl w:val="0"/>
        <w:shd w:val="clear" w:color="auto" w:fill="auto"/>
        <w:tabs>
          <w:tab w:pos="522"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2"/>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分季度主要财务指标</w:t>
      </w:r>
      <w:bookmarkEnd w:id="44"/>
      <w:bookmarkEnd w:id="45"/>
      <w:bookmarkEnd w:id="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2,280,819,248.41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2,810,187,732.90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3,685,530,216.33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4,514,730,470.69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33,542,743.27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13,537,399.28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-99,485,944.52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-879,861,137.83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17,694,953.87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-2,353,625.64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37,220,694.11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-1,021,545,178.03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-197,439,135.41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196,709,847.42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-117,873,446.90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491,290,576.80</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-716,405.48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55,439,672.77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32,274,081.32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18,129,299.68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21,672,288.49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12,873,639.41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38,790,890.73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20,843,172.50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1,761,665.03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-24,343,891.53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1,752,637.20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1,823,056.00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3,641,872.41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8,576,455.41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-4,999,715.08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7,849,675.97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8,240,637.55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11,027,612.07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12,924,432.48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3,021,924.22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4,188,768.39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1,997,830.61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36,716,215.89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51,316,497.08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63,361,996.03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 w:line="317" w:lineRule="exact"/>
        <w:ind w:left="0" w:right="0" w:firstLine="0"/>
        <w:jc w:val="both"/>
        <w:sectPr>
          <w:footnotePr>
            <w:pos w:val="pageBottom"/>
            <w:numFmt w:val="decimal"/>
            <w:numRestart w:val="continuous"/>
          </w:footnotePr>
          <w:pgSz w:w="11900" w:h="16840"/>
          <w:pgMar w:top="1441" w:right="1105" w:bottom="1527"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600" w:after="58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4"/>
        <w:keepNext/>
        <w:keepLines/>
        <w:widowControl w:val="0"/>
        <w:shd w:val="clear" w:color="auto" w:fill="auto"/>
        <w:bidi w:val="0"/>
        <w:spacing w:before="0" w:after="1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28"/>
        <w:keepNext w:val="0"/>
        <w:keepLines w:val="0"/>
        <w:widowControl w:val="0"/>
        <w:shd w:val="clear" w:color="auto" w:fill="auto"/>
        <w:bidi w:val="0"/>
        <w:spacing w:before="0" w:after="460" w:line="472" w:lineRule="exact"/>
        <w:ind w:left="0" w:right="0" w:firstLine="380"/>
        <w:jc w:val="both"/>
      </w:pPr>
      <w:r>
        <w:rPr>
          <w:color w:val="000000"/>
          <w:spacing w:val="0"/>
          <w:w w:val="100"/>
          <w:position w:val="0"/>
          <w:sz w:val="16"/>
          <w:szCs w:val="16"/>
        </w:rPr>
        <w:t>2020</w:t>
      </w:r>
      <w:r>
        <w:rPr>
          <w:color w:val="000000"/>
          <w:spacing w:val="0"/>
          <w:w w:val="100"/>
          <w:position w:val="0"/>
        </w:rPr>
        <w:t>年度，公司持续推动战略升级，以产业价值链整合者的姿态，全面激活产业互联网时代的生产力。在平台战略的推 动下，公司不断聚合社会化营销新力量，构建多方共赢的生态系统。</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月，公司</w:t>
      </w:r>
      <w:r>
        <w:rPr>
          <w:color w:val="000000"/>
          <w:spacing w:val="0"/>
          <w:w w:val="100"/>
          <w:position w:val="0"/>
          <w:sz w:val="16"/>
          <w:szCs w:val="16"/>
        </w:rPr>
        <w:t>G-IN</w:t>
      </w:r>
      <w:r>
        <w:rPr>
          <w:color w:val="000000"/>
          <w:spacing w:val="0"/>
          <w:w w:val="100"/>
          <w:position w:val="0"/>
        </w:rPr>
        <w:t>平台正式上线，标志着公司的平 台化转型全面启动。作为公司全新打造的智慧营销生态平台，通过</w:t>
      </w:r>
      <w:r>
        <w:rPr>
          <w:color w:val="000000"/>
          <w:spacing w:val="0"/>
          <w:w w:val="100"/>
          <w:position w:val="0"/>
          <w:sz w:val="16"/>
          <w:szCs w:val="16"/>
        </w:rPr>
        <w:t>“IP+MCN+AI”</w:t>
      </w:r>
      <w:r>
        <w:rPr>
          <w:color w:val="000000"/>
          <w:spacing w:val="0"/>
          <w:w w:val="100"/>
          <w:position w:val="0"/>
        </w:rPr>
        <w:t>的产业赋能新范式，帮助不同产业赛道的 企业客户提供“智慧营销一站式服务”。</w:t>
      </w:r>
    </w:p>
    <w:p>
      <w:pPr>
        <w:pStyle w:val="Style24"/>
        <w:keepNext/>
        <w:keepLines/>
        <w:widowControl w:val="0"/>
        <w:shd w:val="clear" w:color="auto" w:fill="auto"/>
        <w:bidi w:val="0"/>
        <w:spacing w:before="0" w:after="3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、主要资产重大变化情况</w:t>
      </w:r>
      <w:bookmarkEnd w:id="60"/>
      <w:bookmarkEnd w:id="61"/>
      <w:bookmarkEnd w:id="63"/>
    </w:p>
    <w:p>
      <w:pPr>
        <w:pStyle w:val="Style32"/>
        <w:keepNext/>
        <w:keepLines/>
        <w:widowControl w:val="0"/>
        <w:shd w:val="clear" w:color="auto" w:fill="auto"/>
        <w:bidi w:val="0"/>
        <w:spacing w:before="0" w:after="30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970"/>
        <w:gridCol w:w="8746"/>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公司年末股权资产</w:t>
            </w:r>
            <w:r>
              <w:rPr>
                <w:color w:val="000000"/>
                <w:spacing w:val="0"/>
                <w:w w:val="100"/>
                <w:position w:val="0"/>
                <w:sz w:val="18"/>
                <w:szCs w:val="18"/>
              </w:rPr>
              <w:t>87,301.29</w:t>
            </w:r>
            <w:r>
              <w:rPr>
                <w:rFonts w:ascii="SimSun" w:eastAsia="SimSun" w:hAnsi="SimSun" w:cs="SimSun"/>
                <w:color w:val="000000"/>
                <w:spacing w:val="0"/>
                <w:w w:val="100"/>
                <w:position w:val="0"/>
                <w:sz w:val="17"/>
                <w:szCs w:val="17"/>
              </w:rPr>
              <w:t>万元，年初股权资产为</w:t>
            </w:r>
            <w:r>
              <w:rPr>
                <w:color w:val="000000"/>
                <w:spacing w:val="0"/>
                <w:w w:val="100"/>
                <w:position w:val="0"/>
                <w:sz w:val="18"/>
                <w:szCs w:val="18"/>
              </w:rPr>
              <w:t>82,259.25</w:t>
            </w:r>
            <w:r>
              <w:rPr>
                <w:rFonts w:ascii="SimSun" w:eastAsia="SimSun" w:hAnsi="SimSun" w:cs="SimSun"/>
                <w:color w:val="000000"/>
                <w:spacing w:val="0"/>
                <w:w w:val="100"/>
                <w:position w:val="0"/>
                <w:sz w:val="17"/>
                <w:szCs w:val="17"/>
              </w:rPr>
              <w:t>万元，较年初增加</w:t>
            </w:r>
            <w:r>
              <w:rPr>
                <w:color w:val="000000"/>
                <w:spacing w:val="0"/>
                <w:w w:val="100"/>
                <w:position w:val="0"/>
                <w:sz w:val="18"/>
                <w:szCs w:val="18"/>
              </w:rPr>
              <w:t>5,042.04</w:t>
            </w:r>
            <w:r>
              <w:rPr>
                <w:rFonts w:ascii="SimSun" w:eastAsia="SimSun" w:hAnsi="SimSun" w:cs="SimSun"/>
                <w:color w:val="000000"/>
                <w:spacing w:val="0"/>
                <w:w w:val="100"/>
                <w:position w:val="0"/>
                <w:sz w:val="17"/>
                <w:szCs w:val="17"/>
              </w:rPr>
              <w:t>万元，变化原因主 要系投资入股上海博泰悦臻电子设备制造有限公司所致。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公司报告年末固定资产原值</w:t>
            </w:r>
            <w:r>
              <w:rPr>
                <w:color w:val="000000"/>
                <w:spacing w:val="0"/>
                <w:w w:val="100"/>
                <w:position w:val="0"/>
                <w:sz w:val="18"/>
                <w:szCs w:val="18"/>
              </w:rPr>
              <w:t>78,012.71</w:t>
            </w:r>
            <w:r>
              <w:rPr>
                <w:rFonts w:ascii="SimSun" w:eastAsia="SimSun" w:hAnsi="SimSun" w:cs="SimSun"/>
                <w:color w:val="000000"/>
                <w:spacing w:val="0"/>
                <w:w w:val="100"/>
                <w:position w:val="0"/>
                <w:sz w:val="17"/>
                <w:szCs w:val="17"/>
              </w:rPr>
              <w:t>万元，年初固定资产原值</w:t>
            </w:r>
            <w:r>
              <w:rPr>
                <w:color w:val="000000"/>
                <w:spacing w:val="0"/>
                <w:w w:val="100"/>
                <w:position w:val="0"/>
                <w:sz w:val="18"/>
                <w:szCs w:val="18"/>
              </w:rPr>
              <w:t>77,610.88</w:t>
            </w:r>
            <w:r>
              <w:rPr>
                <w:rFonts w:ascii="SimSun" w:eastAsia="SimSun" w:hAnsi="SimSun" w:cs="SimSun"/>
                <w:color w:val="000000"/>
                <w:spacing w:val="0"/>
                <w:w w:val="100"/>
                <w:position w:val="0"/>
                <w:sz w:val="17"/>
                <w:szCs w:val="17"/>
              </w:rPr>
              <w:t>万元，较年初增加</w:t>
            </w:r>
            <w:r>
              <w:rPr>
                <w:color w:val="000000"/>
                <w:spacing w:val="0"/>
                <w:w w:val="100"/>
                <w:position w:val="0"/>
                <w:sz w:val="18"/>
                <w:szCs w:val="18"/>
              </w:rPr>
              <w:t>401.83</w:t>
            </w:r>
            <w:r>
              <w:rPr>
                <w:rFonts w:ascii="SimSun" w:eastAsia="SimSun" w:hAnsi="SimSun" w:cs="SimSun"/>
                <w:color w:val="000000"/>
                <w:spacing w:val="0"/>
                <w:w w:val="100"/>
                <w:position w:val="0"/>
                <w:sz w:val="17"/>
                <w:szCs w:val="17"/>
              </w:rPr>
              <w:t>万元， 变化原因系公司购置新增的办公设备采购。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公司年末无形资产较年初减少</w:t>
            </w:r>
            <w:r>
              <w:rPr>
                <w:color w:val="000000"/>
                <w:spacing w:val="0"/>
                <w:w w:val="100"/>
                <w:position w:val="0"/>
                <w:sz w:val="18"/>
                <w:szCs w:val="18"/>
              </w:rPr>
              <w:t>5,417</w:t>
            </w:r>
            <w:r>
              <w:rPr>
                <w:rFonts w:ascii="SimSun" w:eastAsia="SimSun" w:hAnsi="SimSun" w:cs="SimSun"/>
                <w:color w:val="000000"/>
                <w:spacing w:val="0"/>
                <w:w w:val="100"/>
                <w:position w:val="0"/>
                <w:sz w:val="17"/>
                <w:szCs w:val="17"/>
              </w:rPr>
              <w:t>万元，主要系摊销和因技术更替而导致减值所致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年末较年初减少</w:t>
            </w:r>
            <w:r>
              <w:rPr>
                <w:color w:val="000000"/>
                <w:spacing w:val="0"/>
                <w:w w:val="100"/>
                <w:position w:val="0"/>
                <w:sz w:val="18"/>
                <w:szCs w:val="18"/>
              </w:rPr>
              <w:t>10.97</w:t>
            </w:r>
            <w:r>
              <w:rPr>
                <w:rFonts w:ascii="SimSun" w:eastAsia="SimSun" w:hAnsi="SimSun" w:cs="SimSun"/>
                <w:color w:val="000000"/>
                <w:spacing w:val="0"/>
                <w:w w:val="100"/>
                <w:position w:val="0"/>
                <w:sz w:val="17"/>
                <w:szCs w:val="17"/>
              </w:rPr>
              <w:t>亿元，主要是因疫情和行业竞争造成并购企业业绩普遍下滑，从而导致商誉减值</w:t>
            </w:r>
          </w:p>
        </w:tc>
      </w:tr>
    </w:tbl>
    <w:p>
      <w:pPr>
        <w:widowControl w:val="0"/>
        <w:spacing w:after="299" w:line="1" w:lineRule="exact"/>
      </w:pPr>
    </w:p>
    <w:p>
      <w:pPr>
        <w:pStyle w:val="Style32"/>
        <w:keepNext/>
        <w:keepLines/>
        <w:widowControl w:val="0"/>
        <w:shd w:val="clear" w:color="auto" w:fill="auto"/>
        <w:bidi w:val="0"/>
        <w:spacing w:before="0" w:after="1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8"/>
        <w:keepNext w:val="0"/>
        <w:keepLines w:val="0"/>
        <w:widowControl w:val="0"/>
        <w:shd w:val="clear" w:color="auto" w:fill="auto"/>
        <w:bidi w:val="0"/>
        <w:spacing w:before="0" w:after="38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8"/>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报告期内，公司的核心竞争力未发生重大变化。公司核心竞争力主要体现在以下几个方面：</w:t>
      </w:r>
    </w:p>
    <w:p>
      <w:pPr>
        <w:pStyle w:val="Style28"/>
        <w:keepNext w:val="0"/>
        <w:keepLines w:val="0"/>
        <w:widowControl w:val="0"/>
        <w:shd w:val="clear" w:color="auto" w:fill="auto"/>
        <w:bidi w:val="0"/>
        <w:spacing w:before="0" w:after="0" w:line="469" w:lineRule="exact"/>
        <w:ind w:left="0" w:right="0" w:firstLine="380"/>
        <w:jc w:val="both"/>
      </w:pPr>
      <w:bookmarkStart w:id="76" w:name="bookmark76"/>
      <w:r>
        <w:rPr>
          <w:color w:val="000000"/>
          <w:spacing w:val="0"/>
          <w:w w:val="100"/>
          <w:position w:val="0"/>
          <w:sz w:val="16"/>
          <w:szCs w:val="16"/>
        </w:rPr>
        <w:t>1</w:t>
      </w:r>
      <w:bookmarkEnd w:id="76"/>
      <w:r>
        <w:rPr>
          <w:color w:val="000000"/>
          <w:spacing w:val="0"/>
          <w:w w:val="100"/>
          <w:position w:val="0"/>
        </w:rPr>
        <w:t>、人才优势：公司秉承“人才是核心竞争力”的理念，拥有完整的引进、培养、使用、激励专业人才的管理机制，加 强人才获取与吸引力度，不断引进市场高端人才；同时以具有市场竞争力的量化激励机制，充分肯定员工贡献，让员工切实 享受公司发展成果；以“公司发展与员工成长相连，员工回报与公司盈利挂钩”为目标，培养员工的责任心以及对共同事业 的认同感，促进公司健康持续发展。</w:t>
      </w:r>
    </w:p>
    <w:p>
      <w:pPr>
        <w:pStyle w:val="Style28"/>
        <w:keepNext w:val="0"/>
        <w:keepLines w:val="0"/>
        <w:widowControl w:val="0"/>
        <w:shd w:val="clear" w:color="auto" w:fill="auto"/>
        <w:bidi w:val="0"/>
        <w:spacing w:before="0" w:after="300" w:line="469" w:lineRule="exact"/>
        <w:ind w:left="0" w:right="0" w:firstLine="480"/>
        <w:jc w:val="both"/>
      </w:pPr>
      <w:bookmarkStart w:id="77" w:name="bookmark77"/>
      <w:r>
        <w:rPr>
          <w:color w:val="000000"/>
          <w:spacing w:val="0"/>
          <w:w w:val="100"/>
          <w:position w:val="0"/>
          <w:sz w:val="16"/>
          <w:szCs w:val="16"/>
        </w:rPr>
        <w:t>2</w:t>
      </w:r>
      <w:bookmarkEnd w:id="77"/>
      <w:r>
        <w:rPr>
          <w:color w:val="000000"/>
          <w:spacing w:val="0"/>
          <w:w w:val="100"/>
          <w:position w:val="0"/>
        </w:rPr>
        <w:t>、营销优势：公司通过着力打造大数据技术驱动的全产业链全营销平台，使公司营销服务能力得到不断提升，能够满</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足日益多样化的客户需求，为客户提供全方位营销服务。</w:t>
      </w:r>
    </w:p>
    <w:p>
      <w:pPr>
        <w:pStyle w:val="Style28"/>
        <w:keepNext w:val="0"/>
        <w:keepLines w:val="0"/>
        <w:widowControl w:val="0"/>
        <w:shd w:val="clear" w:color="auto" w:fill="auto"/>
        <w:tabs>
          <w:tab w:pos="644" w:val="left"/>
        </w:tabs>
        <w:bidi w:val="0"/>
        <w:spacing w:before="0" w:after="0" w:line="472" w:lineRule="exact"/>
        <w:ind w:left="0" w:right="0" w:firstLine="360"/>
        <w:jc w:val="both"/>
      </w:pPr>
      <w:bookmarkStart w:id="78" w:name="bookmark78"/>
      <w:r>
        <w:rPr>
          <w:color w:val="000000"/>
          <w:spacing w:val="0"/>
          <w:w w:val="100"/>
          <w:position w:val="0"/>
          <w:sz w:val="16"/>
          <w:szCs w:val="16"/>
        </w:rPr>
        <w:t>3</w:t>
      </w:r>
      <w:bookmarkEnd w:id="78"/>
      <w:r>
        <w:rPr>
          <w:color w:val="000000"/>
          <w:spacing w:val="0"/>
          <w:w w:val="100"/>
          <w:position w:val="0"/>
        </w:rPr>
        <w:t>、</w:t>
        <w:tab/>
        <w:t>管理优势：公司管理层团队合作多年，具备高度的稳定性、凝聚力和执行力，对市场前景、发展趋势及核心技术有 着深刻的理解，能很好把握公司的战略方向，并保障公司稳定地发展。公司运营团队高效、专业，充满竞争意识，可以及时 准确把握瞬息万变的市场需求，并加以快速实施。</w:t>
      </w:r>
    </w:p>
    <w:p>
      <w:pPr>
        <w:pStyle w:val="Style28"/>
        <w:keepNext w:val="0"/>
        <w:keepLines w:val="0"/>
        <w:widowControl w:val="0"/>
        <w:shd w:val="clear" w:color="auto" w:fill="auto"/>
        <w:tabs>
          <w:tab w:pos="644" w:val="left"/>
        </w:tabs>
        <w:bidi w:val="0"/>
        <w:spacing w:before="0" w:after="0" w:line="472" w:lineRule="exact"/>
        <w:ind w:left="0" w:right="0" w:firstLine="360"/>
        <w:jc w:val="both"/>
        <w:sectPr>
          <w:footnotePr>
            <w:pos w:val="pageBottom"/>
            <w:numFmt w:val="decimal"/>
            <w:numRestart w:val="continuous"/>
          </w:footnotePr>
          <w:pgSz w:w="11900" w:h="16840"/>
          <w:pgMar w:top="1297" w:right="1093" w:bottom="1700" w:left="1091" w:header="0" w:footer="3" w:gutter="0"/>
          <w:cols w:space="720"/>
          <w:noEndnote/>
          <w:rtlGutter w:val="0"/>
          <w:docGrid w:linePitch="360"/>
        </w:sectPr>
      </w:pPr>
      <w:bookmarkStart w:id="79" w:name="bookmark79"/>
      <w:r>
        <w:rPr>
          <w:color w:val="000000"/>
          <w:spacing w:val="0"/>
          <w:w w:val="100"/>
          <w:position w:val="0"/>
          <w:sz w:val="16"/>
          <w:szCs w:val="16"/>
        </w:rPr>
        <w:t>4</w:t>
      </w:r>
      <w:bookmarkEnd w:id="79"/>
      <w:r>
        <w:rPr>
          <w:color w:val="000000"/>
          <w:spacing w:val="0"/>
          <w:w w:val="100"/>
          <w:position w:val="0"/>
        </w:rPr>
        <w:t>、</w:t>
        <w:tab/>
        <w:t>客户优势：经过多年发展，公司确立了以中型客户为支撑基础、大品牌客户为核心突破点的客户开发战略，并取得 显著成果。在巩固既有核心客户合作基础上，不断实现增量核心客户的开发，实现客户波动风险的最小化。随着公司营销服 务能力的提升，客户黏性不断增强，形成公司持续稳定发展的雄厚客户基础。</w:t>
      </w:r>
    </w:p>
    <w:p>
      <w:pPr>
        <w:pStyle w:val="Style10"/>
        <w:keepNext/>
        <w:keepLines/>
        <w:widowControl w:val="0"/>
        <w:shd w:val="clear" w:color="auto" w:fill="auto"/>
        <w:bidi w:val="0"/>
        <w:spacing w:before="66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4"/>
        <w:keepNext/>
        <w:keepLines/>
        <w:widowControl w:val="0"/>
        <w:shd w:val="clear" w:color="auto" w:fill="auto"/>
        <w:tabs>
          <w:tab w:pos="572" w:val="left"/>
        </w:tabs>
        <w:bidi w:val="0"/>
        <w:spacing w:before="0" w:after="160" w:line="240" w:lineRule="auto"/>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w:t>
        <w:tab/>
        <w:t>概述</w:t>
      </w:r>
      <w:bookmarkEnd w:id="84"/>
      <w:bookmarkEnd w:id="85"/>
      <w:bookmarkEnd w:id="87"/>
      <w:bookmarkEnd w:id="83"/>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sz w:val="16"/>
          <w:szCs w:val="16"/>
        </w:rPr>
        <w:t>2020</w:t>
      </w:r>
      <w:r>
        <w:rPr>
          <w:color w:val="000000"/>
          <w:spacing w:val="0"/>
          <w:w w:val="100"/>
          <w:position w:val="0"/>
        </w:rPr>
        <w:t>年度，公司完成营业收入</w:t>
      </w:r>
      <w:r>
        <w:rPr>
          <w:color w:val="000000"/>
          <w:spacing w:val="0"/>
          <w:w w:val="100"/>
          <w:position w:val="0"/>
          <w:sz w:val="16"/>
          <w:szCs w:val="16"/>
        </w:rPr>
        <w:t>132.91</w:t>
      </w:r>
      <w:r>
        <w:rPr>
          <w:color w:val="000000"/>
          <w:spacing w:val="0"/>
          <w:w w:val="100"/>
          <w:position w:val="0"/>
        </w:rPr>
        <w:t>亿元，实现营业利润</w:t>
      </w:r>
      <w:r>
        <w:rPr>
          <w:color w:val="000000"/>
          <w:spacing w:val="0"/>
          <w:w w:val="100"/>
          <w:position w:val="0"/>
          <w:sz w:val="16"/>
          <w:szCs w:val="16"/>
        </w:rPr>
        <w:t>-8.8</w:t>
      </w:r>
      <w:r>
        <w:rPr>
          <w:color w:val="000000"/>
          <w:spacing w:val="0"/>
          <w:w w:val="100"/>
          <w:position w:val="0"/>
          <w:sz w:val="16"/>
          <w:szCs w:val="16"/>
        </w:rPr>
        <w:t>1</w:t>
      </w:r>
      <w:r>
        <w:rPr>
          <w:color w:val="000000"/>
          <w:spacing w:val="0"/>
          <w:w w:val="100"/>
          <w:position w:val="0"/>
        </w:rPr>
        <w:t>亿元，归属母公司的净利润</w:t>
      </w:r>
      <w:r>
        <w:rPr>
          <w:color w:val="000000"/>
          <w:spacing w:val="0"/>
          <w:w w:val="100"/>
          <w:position w:val="0"/>
          <w:sz w:val="16"/>
          <w:szCs w:val="16"/>
        </w:rPr>
        <w:t>-9.32</w:t>
      </w:r>
      <w:r>
        <w:rPr>
          <w:color w:val="000000"/>
          <w:spacing w:val="0"/>
          <w:w w:val="100"/>
          <w:position w:val="0"/>
        </w:rPr>
        <w:t>亿元。报告期内，公司 按照董事会制定的年度经营计划，全面推进和认真落实各项工作任务。</w:t>
      </w:r>
    </w:p>
    <w:p>
      <w:pPr>
        <w:pStyle w:val="Style28"/>
        <w:keepNext w:val="0"/>
        <w:keepLines w:val="0"/>
        <w:widowControl w:val="0"/>
        <w:shd w:val="clear" w:color="auto" w:fill="auto"/>
        <w:tabs>
          <w:tab w:pos="690" w:val="left"/>
        </w:tabs>
        <w:bidi w:val="0"/>
        <w:spacing w:before="0" w:after="0" w:line="472" w:lineRule="exact"/>
        <w:ind w:left="0" w:right="0" w:firstLine="360"/>
        <w:jc w:val="both"/>
      </w:pPr>
      <w:bookmarkStart w:id="88" w:name="bookmark88"/>
      <w:r>
        <w:rPr>
          <w:color w:val="000000"/>
          <w:spacing w:val="0"/>
          <w:w w:val="100"/>
          <w:position w:val="0"/>
          <w:sz w:val="16"/>
          <w:szCs w:val="16"/>
        </w:rPr>
        <w:t>1</w:t>
      </w:r>
      <w:bookmarkEnd w:id="88"/>
      <w:r>
        <w:rPr>
          <w:color w:val="000000"/>
          <w:spacing w:val="0"/>
          <w:w w:val="100"/>
          <w:position w:val="0"/>
        </w:rPr>
        <w:t>、</w:t>
        <w:tab/>
        <w:t>围绕产业互联网，加速推动转型升级</w:t>
      </w:r>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sz w:val="16"/>
          <w:szCs w:val="16"/>
        </w:rPr>
        <w:t>2020</w:t>
      </w:r>
      <w:r>
        <w:rPr>
          <w:color w:val="000000"/>
          <w:spacing w:val="0"/>
          <w:w w:val="100"/>
          <w:position w:val="0"/>
        </w:rPr>
        <w:t>年，公司积极拥抱产业互联网，围绕产业互联网发展的需要，快速完成产业布局，以产业价值链整合者的姿态，全 面激活产业互联网时代的生产力。通过精准把握产业融合发展的新机遇，推动公司从“全营销业务的服务商”，转型成为拥 有不同产业营销赛道，可以实现多方共赢的“智慧营销生态平台运营商”，为客户提供“品效合一”的智慧营销一站式解决 方案，加速公司战略发展目标的实现。</w:t>
      </w:r>
    </w:p>
    <w:p>
      <w:pPr>
        <w:pStyle w:val="Style28"/>
        <w:keepNext w:val="0"/>
        <w:keepLines w:val="0"/>
        <w:widowControl w:val="0"/>
        <w:shd w:val="clear" w:color="auto" w:fill="auto"/>
        <w:tabs>
          <w:tab w:pos="699" w:val="left"/>
        </w:tabs>
        <w:bidi w:val="0"/>
        <w:spacing w:before="0" w:after="0" w:line="472" w:lineRule="exact"/>
        <w:ind w:left="0" w:right="0" w:firstLine="360"/>
        <w:jc w:val="both"/>
      </w:pPr>
      <w:bookmarkStart w:id="89" w:name="bookmark89"/>
      <w:r>
        <w:rPr>
          <w:color w:val="000000"/>
          <w:spacing w:val="0"/>
          <w:w w:val="100"/>
          <w:position w:val="0"/>
          <w:sz w:val="16"/>
          <w:szCs w:val="16"/>
        </w:rPr>
        <w:t>2</w:t>
      </w:r>
      <w:bookmarkEnd w:id="89"/>
      <w:r>
        <w:rPr>
          <w:color w:val="000000"/>
          <w:spacing w:val="0"/>
          <w:w w:val="100"/>
          <w:position w:val="0"/>
        </w:rPr>
        <w:t>、</w:t>
        <w:tab/>
        <w:t>聚合社会化营销新力量，构建</w:t>
      </w:r>
      <w:r>
        <w:rPr>
          <w:color w:val="000000"/>
          <w:spacing w:val="0"/>
          <w:w w:val="100"/>
          <w:position w:val="0"/>
          <w:sz w:val="16"/>
          <w:szCs w:val="16"/>
        </w:rPr>
        <w:t>G-IN</w:t>
      </w:r>
      <w:r>
        <w:rPr>
          <w:color w:val="000000"/>
          <w:spacing w:val="0"/>
          <w:w w:val="100"/>
          <w:position w:val="0"/>
        </w:rPr>
        <w:t>智慧营销云平台</w:t>
      </w:r>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月，公司</w:t>
      </w:r>
      <w:r>
        <w:rPr>
          <w:color w:val="000000"/>
          <w:spacing w:val="0"/>
          <w:w w:val="100"/>
          <w:position w:val="0"/>
          <w:sz w:val="16"/>
          <w:szCs w:val="16"/>
        </w:rPr>
        <w:t>G-IN</w:t>
      </w:r>
      <w:r>
        <w:rPr>
          <w:color w:val="000000"/>
          <w:spacing w:val="0"/>
          <w:w w:val="100"/>
          <w:position w:val="0"/>
        </w:rPr>
        <w:t>平台正式上线，标志着公司的平台化转型全面启动。作为公司全新打造的智慧营销生态平台，通 过</w:t>
      </w:r>
      <w:r>
        <w:rPr>
          <w:color w:val="000000"/>
          <w:spacing w:val="0"/>
          <w:w w:val="100"/>
          <w:position w:val="0"/>
          <w:sz w:val="16"/>
          <w:szCs w:val="16"/>
        </w:rPr>
        <w:t>“IP+MCN+AI</w:t>
      </w:r>
      <w:r>
        <w:rPr>
          <w:color w:val="000000"/>
          <w:spacing w:val="0"/>
          <w:w w:val="100"/>
          <w:position w:val="0"/>
        </w:rPr>
        <w:t>”的产业赋能新范式，帮助不同产业赛道的企业客户提供“智慧营销一站式服务”。在平台战略的推动下， 公司不断聚合社会化营销新力量，构建多方共赢的生态系统。目前已有超</w:t>
      </w:r>
      <w:r>
        <w:rPr>
          <w:color w:val="000000"/>
          <w:spacing w:val="0"/>
          <w:w w:val="100"/>
          <w:position w:val="0"/>
          <w:sz w:val="16"/>
          <w:szCs w:val="16"/>
        </w:rPr>
        <w:t>200</w:t>
      </w:r>
      <w:r>
        <w:rPr>
          <w:color w:val="000000"/>
          <w:spacing w:val="0"/>
          <w:w w:val="100"/>
          <w:position w:val="0"/>
        </w:rPr>
        <w:t>家</w:t>
      </w:r>
      <w:r>
        <w:rPr>
          <w:color w:val="000000"/>
          <w:spacing w:val="0"/>
          <w:w w:val="100"/>
          <w:position w:val="0"/>
          <w:sz w:val="16"/>
          <w:szCs w:val="16"/>
        </w:rPr>
        <w:t>MCN</w:t>
      </w:r>
      <w:r>
        <w:rPr>
          <w:color w:val="000000"/>
          <w:spacing w:val="0"/>
          <w:w w:val="100"/>
          <w:position w:val="0"/>
        </w:rPr>
        <w:t>机构的</w:t>
      </w:r>
      <w:r>
        <w:rPr>
          <w:color w:val="000000"/>
          <w:spacing w:val="0"/>
          <w:w w:val="100"/>
          <w:position w:val="0"/>
          <w:sz w:val="16"/>
          <w:szCs w:val="16"/>
        </w:rPr>
        <w:t>2</w:t>
      </w:r>
      <w:r>
        <w:rPr>
          <w:color w:val="000000"/>
          <w:spacing w:val="0"/>
          <w:w w:val="100"/>
          <w:position w:val="0"/>
        </w:rPr>
        <w:t>万多名达人进驻公司</w:t>
      </w:r>
      <w:r>
        <w:rPr>
          <w:color w:val="000000"/>
          <w:spacing w:val="0"/>
          <w:w w:val="100"/>
          <w:position w:val="0"/>
          <w:sz w:val="16"/>
          <w:szCs w:val="16"/>
        </w:rPr>
        <w:t>G-IN</w:t>
      </w:r>
      <w:r>
        <w:rPr>
          <w:color w:val="000000"/>
          <w:spacing w:val="0"/>
          <w:w w:val="100"/>
          <w:position w:val="0"/>
        </w:rPr>
        <w:t>平台， 包括无忧传媒、大禹传媒、蜂群文化、思空传媒、青藤文化、头条易等</w:t>
      </w:r>
      <w:r>
        <w:rPr>
          <w:color w:val="000000"/>
          <w:spacing w:val="0"/>
          <w:w w:val="100"/>
          <w:position w:val="0"/>
          <w:sz w:val="16"/>
          <w:szCs w:val="16"/>
        </w:rPr>
        <w:t>MCN</w:t>
      </w:r>
      <w:r>
        <w:rPr>
          <w:color w:val="000000"/>
          <w:spacing w:val="0"/>
          <w:w w:val="100"/>
          <w:position w:val="0"/>
        </w:rPr>
        <w:t>机构均与公司达成战略合作，共同打造智慧营销 新生态。</w:t>
      </w:r>
    </w:p>
    <w:p>
      <w:pPr>
        <w:pStyle w:val="Style28"/>
        <w:keepNext w:val="0"/>
        <w:keepLines w:val="0"/>
        <w:widowControl w:val="0"/>
        <w:shd w:val="clear" w:color="auto" w:fill="auto"/>
        <w:tabs>
          <w:tab w:pos="699" w:val="left"/>
        </w:tabs>
        <w:bidi w:val="0"/>
        <w:spacing w:before="0" w:after="0" w:line="472" w:lineRule="exact"/>
        <w:ind w:left="0" w:right="0" w:firstLine="360"/>
        <w:jc w:val="both"/>
      </w:pPr>
      <w:bookmarkStart w:id="90" w:name="bookmark90"/>
      <w:r>
        <w:rPr>
          <w:color w:val="000000"/>
          <w:spacing w:val="0"/>
          <w:w w:val="100"/>
          <w:position w:val="0"/>
          <w:sz w:val="16"/>
          <w:szCs w:val="16"/>
        </w:rPr>
        <w:t>3</w:t>
      </w:r>
      <w:bookmarkEnd w:id="90"/>
      <w:r>
        <w:rPr>
          <w:color w:val="000000"/>
          <w:spacing w:val="0"/>
          <w:w w:val="100"/>
          <w:position w:val="0"/>
        </w:rPr>
        <w:t>、</w:t>
        <w:tab/>
        <w:t>创新全营销业务盈利模式，加强营销资源的跨界整合</w:t>
      </w:r>
    </w:p>
    <w:p>
      <w:pPr>
        <w:pStyle w:val="Style28"/>
        <w:keepNext w:val="0"/>
        <w:keepLines w:val="0"/>
        <w:widowControl w:val="0"/>
        <w:shd w:val="clear" w:color="auto" w:fill="auto"/>
        <w:bidi w:val="0"/>
        <w:spacing w:before="0" w:after="460" w:line="472" w:lineRule="exact"/>
        <w:ind w:left="0" w:right="0" w:firstLine="360"/>
        <w:jc w:val="both"/>
      </w:pPr>
      <w:r>
        <w:rPr>
          <w:color w:val="000000"/>
          <w:spacing w:val="0"/>
          <w:w w:val="100"/>
          <w:position w:val="0"/>
        </w:rPr>
        <w:t>为持续推动战略升级，公司通过打造多方共赢的数字化全营销生态系统，创新全营销业务盈利模式，加强营销资源的跨 界整合，全面提升数字营销业务能力；通过构建行业领先的大数据营销云平台，推动公司全营销业务的数字化转型，从为客 户提供被动的传统营销服务转型为客户数字化营销助手，借助大数据技术的驱动，成为全营销价值链的整合者，构建公司在 数字时代的核心竞争力，持续为股东、客户、员工创造价值。</w:t>
      </w:r>
    </w:p>
    <w:p>
      <w:pPr>
        <w:pStyle w:val="Style24"/>
        <w:keepNext/>
        <w:keepLines/>
        <w:widowControl w:val="0"/>
        <w:shd w:val="clear" w:color="auto" w:fill="auto"/>
        <w:tabs>
          <w:tab w:pos="572" w:val="left"/>
        </w:tabs>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w:t>
        <w:tab/>
        <w:t>主营业务分析</w:t>
      </w:r>
      <w:bookmarkEnd w:id="91"/>
      <w:bookmarkEnd w:id="92"/>
      <w:bookmarkEnd w:id="94"/>
    </w:p>
    <w:p>
      <w:pPr>
        <w:pStyle w:val="Style32"/>
        <w:keepNext/>
        <w:keepLines/>
        <w:widowControl w:val="0"/>
        <w:shd w:val="clear" w:color="auto" w:fill="auto"/>
        <w:bidi w:val="0"/>
        <w:spacing w:before="0" w:after="10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、概述</w:t>
      </w:r>
      <w:bookmarkEnd w:id="95"/>
      <w:bookmarkEnd w:id="96"/>
      <w:bookmarkEnd w:id="98"/>
    </w:p>
    <w:p>
      <w:pPr>
        <w:pStyle w:val="Style28"/>
        <w:keepNext w:val="0"/>
        <w:keepLines w:val="0"/>
        <w:widowControl w:val="0"/>
        <w:shd w:val="clear" w:color="auto" w:fill="auto"/>
        <w:bidi w:val="0"/>
        <w:spacing w:before="0" w:after="260" w:line="47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2"/>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、收入与成本</w:t>
      </w:r>
      <w:bookmarkEnd w:id="100"/>
      <w:bookmarkEnd w:id="102"/>
      <w:bookmarkEnd w:id="99"/>
    </w:p>
    <w:p>
      <w:pPr>
        <w:pStyle w:val="Style36"/>
        <w:keepNext/>
        <w:keepLines/>
        <w:widowControl w:val="0"/>
        <w:numPr>
          <w:ilvl w:val="0"/>
          <w:numId w:val="1"/>
        </w:numPr>
        <w:shd w:val="clear" w:color="auto" w:fill="auto"/>
        <w:bidi w:val="0"/>
        <w:spacing w:before="0" w:line="240" w:lineRule="auto"/>
        <w:ind w:left="0" w:right="0" w:firstLine="0"/>
        <w:jc w:val="both"/>
      </w:pPr>
      <w:bookmarkStart w:id="103" w:name="bookmark103"/>
      <w:bookmarkStart w:id="104" w:name="bookmark104"/>
      <w:bookmarkStart w:id="105" w:name="bookmark105"/>
      <w:bookmarkStart w:id="106" w:name="bookmark106"/>
      <w:bookmarkEnd w:id="105"/>
      <w:r>
        <w:rPr>
          <w:color w:val="000000"/>
          <w:spacing w:val="0"/>
          <w:w w:val="100"/>
          <w:position w:val="0"/>
        </w:rPr>
        <w:t>营业收入构成</w:t>
      </w:r>
      <w:bookmarkEnd w:id="103"/>
      <w:bookmarkEnd w:id="104"/>
      <w:bookmarkEnd w:id="106"/>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11,535,693,013.64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13,284,449,286.38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11,525,862,872.71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9,830,140.93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9,357,708,369.91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6,175,714,367.55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媒介代理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3,307,671,591.89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4,435,578,310.77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公关活动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232,030,644.96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458,548,855.73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自有媒体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199,630,582.07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282,947,470.25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品牌管理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187,408,097.55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173,073,868.41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9,830,140.93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6,407,848,413.27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5,654,201,020.93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2,586,451,118.68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1,510,413,346.08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305,516,557.53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828,043,132.12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2,401,038,795.25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2,014,374,877.37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788,290,689.55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1,032,465,095.75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764,011,586.35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455,904,711.73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38,110,507.70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40,290,829.66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w:t>
            </w:r>
          </w:p>
        </w:tc>
      </w:tr>
    </w:tbl>
    <w:p>
      <w:pPr>
        <w:widowControl w:val="0"/>
        <w:spacing w:after="319" w:line="1" w:lineRule="exact"/>
      </w:pPr>
    </w:p>
    <w:p>
      <w:pPr>
        <w:pStyle w:val="Style36"/>
        <w:keepNext/>
        <w:keepLines/>
        <w:widowControl w:val="0"/>
        <w:numPr>
          <w:ilvl w:val="0"/>
          <w:numId w:val="1"/>
        </w:numPr>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7"/>
      <w:bookmarkEnd w:id="108"/>
      <w:bookmarkEnd w:id="11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003"/>
        <w:gridCol w:w="1517"/>
        <w:gridCol w:w="1498"/>
        <w:gridCol w:w="1421"/>
        <w:gridCol w:w="1421"/>
        <w:gridCol w:w="1421"/>
        <w:gridCol w:w="143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13,284,449,286.38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11,912,357,729.32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-4.71%</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分产品</w:t>
            </w:r>
          </w:p>
        </w:tc>
      </w:tr>
    </w:tbl>
    <w:p>
      <w:pPr>
        <w:spacing w:lineRule="exact" w:line="1"/>
        <w:rPr>
          <w:sz w:val="2"/>
          <w:szCs w:val="2"/>
        </w:rPr>
      </w:pPr>
      <w:r>
        <w:br w:type="page"/>
      </w:r>
    </w:p>
    <w:tbl>
      <w:tblPr>
        <w:tblOverlap w:val="never"/>
        <w:jc w:val="center"/>
        <w:tblLayout w:type="fixed"/>
      </w:tblPr>
      <w:tblGrid>
        <w:gridCol w:w="1003"/>
        <w:gridCol w:w="1517"/>
        <w:gridCol w:w="1498"/>
        <w:gridCol w:w="1421"/>
        <w:gridCol w:w="1421"/>
        <w:gridCol w:w="1421"/>
        <w:gridCol w:w="143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9,357,708,369.91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8,516,357,495.08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媒介代理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3,307,671,591.89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3,038,271,627.03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6,407,848,413.27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5,550,031,972.40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2,586,451,118.68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2,428,347,132.86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2,401,038,795.25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2,316,715,537.83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-5.34%</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14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1"/>
      <w:bookmarkEnd w:id="112"/>
      <w:bookmarkEnd w:id="11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5"/>
      <w:bookmarkEnd w:id="116"/>
      <w:bookmarkEnd w:id="11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824"/>
        <w:gridCol w:w="1574"/>
        <w:gridCol w:w="1574"/>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11,912,357,729.32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9,792,192,619.93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861,806.46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1,617,670.30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-46.73%</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618"/>
        <w:gridCol w:w="1613"/>
        <w:gridCol w:w="1618"/>
        <w:gridCol w:w="1613"/>
        <w:gridCol w:w="162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8,516,357,495.08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5,309,965,904.33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媒介代理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3,038,271,627.03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3,891,996,866.91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公关活动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196,549,369.19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402,686,258.64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自有媒体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139,202,252.98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157,559,320.67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品牌管理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21,976,985.04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29,984,269.38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861,806.46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1,617,670.30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由于公司收入结构有所变化，数字营销占比提高，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年占比超过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，导致成本结构亦发生变动。</w:t>
      </w:r>
      <w:r>
        <w:br w:type="page"/>
      </w:r>
    </w:p>
    <w:p>
      <w:pPr>
        <w:pStyle w:val="Style36"/>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3"/>
      <w:bookmarkEnd w:id="124"/>
      <w:bookmarkEnd w:id="12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3250"/>
        <w:gridCol w:w="1190"/>
        <w:gridCol w:w="1022"/>
        <w:gridCol w:w="850"/>
        <w:gridCol w:w="1406"/>
        <w:gridCol w:w="850"/>
        <w:gridCol w:w="1109"/>
      </w:tblGrid>
      <w:tr>
        <w:trPr>
          <w:trHeight w:val="35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w:t>
            </w:r>
            <w:r>
              <w:rPr>
                <w:rFonts w:ascii="SimSun" w:eastAsia="SimSun" w:hAnsi="SimSun" w:cs="SimSun"/>
                <w:b/>
                <w:bCs/>
                <w:color w:val="000000"/>
                <w:spacing w:val="0"/>
                <w:w w:val="100"/>
                <w:position w:val="0"/>
                <w:sz w:val="17"/>
                <w:szCs w:val="17"/>
              </w:rPr>
              <w:t>处置子公司</w:t>
            </w:r>
          </w:p>
        </w:tc>
      </w:tr>
      <w:tr>
        <w:trPr>
          <w:trHeight w:val="35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单次处置对子公司投资即丧失控制权的情形</w:t>
            </w:r>
          </w:p>
        </w:tc>
      </w:tr>
      <w:tr>
        <w:trPr>
          <w:trHeight w:val="19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股权处置价款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股权处置比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丧失控制权的时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丧失控制 权时点的 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处置价款与处 置投资对应的 合并报表层面 享有该子公司 净资产份额的 差额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3, 600,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挂牌转让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2,614,226. </w:t>
            </w:r>
            <w:r>
              <w:rPr>
                <w:rFonts w:ascii="SimSun" w:eastAsia="SimSun" w:hAnsi="SimSun" w:cs="SimSun"/>
                <w:color w:val="000000"/>
                <w:spacing w:val="0"/>
                <w:w w:val="100"/>
                <w:position w:val="0"/>
                <w:sz w:val="16"/>
                <w:szCs w:val="16"/>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10,200,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挂牌转让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1,146, </w:t>
            </w:r>
            <w:r>
              <w:rPr>
                <w:rFonts w:ascii="SimSun" w:eastAsia="SimSun" w:hAnsi="SimSun" w:cs="SimSun"/>
                <w:color w:val="000000"/>
                <w:spacing w:val="0"/>
                <w:w w:val="100"/>
                <w:position w:val="0"/>
                <w:sz w:val="16"/>
                <w:szCs w:val="16"/>
              </w:rPr>
              <w:t xml:space="preserve">039. </w:t>
            </w:r>
            <w:r>
              <w:rPr>
                <w:rFonts w:ascii="SimSun" w:eastAsia="SimSun" w:hAnsi="SimSun" w:cs="SimSun"/>
                <w:color w:val="000000"/>
                <w:spacing w:val="0"/>
                <w:w w:val="100"/>
                <w:position w:val="0"/>
                <w:sz w:val="16"/>
                <w:szCs w:val="16"/>
              </w:rPr>
              <w:t>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丧失控制权之 日剩余股权的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丧失控制权 之日剩余股 权的账面价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丧失控制 权之日剩 余股权的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按照公允价值重 新计量剩余股权 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丧失控制 权之日剩 余股权公 允价值的 确定方法 及主要假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与原子公司股 权投资相关的 其他综合收益 转入投资损益 的金额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402, </w:t>
            </w:r>
            <w:r>
              <w:rPr>
                <w:rFonts w:ascii="SimSun" w:eastAsia="SimSun" w:hAnsi="SimSun" w:cs="SimSun"/>
                <w:color w:val="000000"/>
                <w:spacing w:val="0"/>
                <w:w w:val="100"/>
                <w:position w:val="0"/>
                <w:sz w:val="16"/>
                <w:szCs w:val="16"/>
              </w:rPr>
              <w:t xml:space="preserve">865. </w:t>
            </w:r>
            <w:r>
              <w:rPr>
                <w:rFonts w:ascii="SimSun" w:eastAsia="SimSun" w:hAnsi="SimSun" w:cs="SimSun"/>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1"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w:t>
            </w:r>
            <w:r>
              <w:rPr>
                <w:rFonts w:ascii="SimSun" w:eastAsia="SimSun" w:hAnsi="SimSun" w:cs="SimSun"/>
                <w:b/>
                <w:bCs/>
                <w:color w:val="000000"/>
                <w:spacing w:val="0"/>
                <w:w w:val="100"/>
                <w:position w:val="0"/>
                <w:sz w:val="17"/>
                <w:szCs w:val="17"/>
              </w:rPr>
              <w:t>其他原因的合并范围变动</w:t>
            </w:r>
          </w:p>
        </w:tc>
      </w:tr>
      <w:tr>
        <w:trPr>
          <w:trHeight w:val="36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本年新增子公司情况</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省广易为（上海）文化传媒有限公司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沈阳地铁易为传媒有限公司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广州市绩佳省广餐饮管理有限公司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2016/9/27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79. </w:t>
            </w:r>
            <w:r>
              <w:rPr>
                <w:rFonts w:ascii="SimSun" w:eastAsia="SimSun" w:hAnsi="SimSun" w:cs="SimSun"/>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上海胤熹信息技术有限公司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上海辰彩信息技术服务有限公司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省广营销（贵州）有限公司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5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本年因工商注销而减少的子公司情况</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南京金海洋窗之景广告有限公司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青岛慧河广告有限公司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广东广佛地铁广告资源经营有限公司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上海泛觉数字科技有限公司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上海御荣网络科技有限公司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p>
      <w:pPr>
        <w:spacing w:lineRule="exact" w:line="1"/>
        <w:rPr>
          <w:sz w:val="2"/>
          <w:szCs w:val="2"/>
        </w:rPr>
      </w:pPr>
      <w:r>
        <w:br w:type="page"/>
      </w:r>
    </w:p>
    <w:p>
      <w:pPr>
        <w:pStyle w:val="Style36"/>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7"/>
      <w:bookmarkEnd w:id="128"/>
      <w:bookmarkEnd w:id="13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7306"/>
        <w:gridCol w:w="24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3,385,694,410.40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w:t>
            </w:r>
          </w:p>
        </w:tc>
      </w:tr>
    </w:tbl>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21"/>
        <w:gridCol w:w="3346"/>
        <w:gridCol w:w="235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省广博报堂整合营销有限公司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1,020,317,001.69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TikTok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848,648,648.77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东风日产汽车销售有限公司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603,563,225.67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内蒙古蒙牛乳业（集团）股份有限公司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525,202,744.85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安徽旭宏信息技术有限公司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387,962,789.42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3,385,694,410.40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7378"/>
        <w:gridCol w:w="23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5,052,425,768.07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55"/>
        <w:gridCol w:w="3211"/>
        <w:gridCol w:w="235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Google.Inc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1,482,413,604.28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北京腾讯文化传媒有限公司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959,550,620.54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海南字节跳动科技有限公司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883,234,431.21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福建字节跳动科技有限公司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879,150,971.01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北京快手广告有限公司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848,076,141.03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5,052,425,768.07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656"/>
        <w:gridCol w:w="1656"/>
        <w:gridCol w:w="1478"/>
        <w:gridCol w:w="297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515,271,982.23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534,858,902.19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230,356,972.33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254,233,408.95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7,086,355.08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29,921,145.20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调整融资规模及结构，降低融资成本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264,270,091.46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262,775,611.79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研发投入目的主要是为了使公司客户广告投放的精准度更高。</w:t>
      </w:r>
    </w:p>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公司研发投入情况</w:t>
      </w:r>
    </w:p>
    <w:tbl>
      <w:tblPr>
        <w:tblOverlap w:val="never"/>
        <w:jc w:val="center"/>
        <w:tblLayout w:type="fixed"/>
      </w:tblPr>
      <w:tblGrid>
        <w:gridCol w:w="4315"/>
        <w:gridCol w:w="1992"/>
        <w:gridCol w:w="1997"/>
        <w:gridCol w:w="141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264,270,091.46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272,682,584.43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14,523,097.30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15,584,216.78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-0.22%</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6"/>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739"/>
        <w:gridCol w:w="2294"/>
        <w:gridCol w:w="2285"/>
        <w:gridCol w:w="13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15,384,607,066.12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11,660,233,120.09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15,011,919,224.21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11,115,391,744.05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544,841,376.04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2,493,973,933.23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2,055,851,701.43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2,978,892,152.69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1,574,699,378.73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-484,918,219.46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481,152,322.70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-200.78%</w:t>
            </w:r>
          </w:p>
        </w:tc>
      </w:tr>
    </w:tbl>
    <w:p>
      <w:pPr>
        <w:spacing w:lineRule="exact" w:line="1"/>
        <w:rPr>
          <w:sz w:val="2"/>
          <w:szCs w:val="2"/>
        </w:rPr>
      </w:pPr>
      <w:r>
        <w:br w:type="page"/>
      </w:r>
    </w:p>
    <w:tbl>
      <w:tblPr>
        <w:tblOverlap w:val="never"/>
        <w:jc w:val="center"/>
        <w:tblLayout w:type="fixed"/>
      </w:tblPr>
      <w:tblGrid>
        <w:gridCol w:w="3739"/>
        <w:gridCol w:w="2294"/>
        <w:gridCol w:w="2285"/>
        <w:gridCol w:w="13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1,008,245,261.59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1,850,563,169.93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1,577,341,491.65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2,193,206,531.39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-569,096,230.06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-342,643,361.46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-681,401,985.40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683,439,707.10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-199.70%</w:t>
            </w:r>
          </w:p>
        </w:tc>
      </w:tr>
    </w:tbl>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4" w:val="left"/>
        </w:tabs>
        <w:bidi w:val="0"/>
        <w:spacing w:before="0" w:after="0" w:line="312" w:lineRule="exact"/>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1</w:t>
      </w:r>
      <w:bookmarkEnd w:id="147"/>
      <w:r>
        <w:rPr>
          <w:color w:val="000000"/>
          <w:spacing w:val="0"/>
          <w:w w:val="100"/>
          <w:position w:val="0"/>
        </w:rPr>
        <w:t>、</w:t>
        <w:tab/>
        <w:t>本年经营活动产额的现金流量金额较上年有所下降，主要原因为本年因媒介采购、接受劳务支付的现金高于上年；</w:t>
      </w:r>
    </w:p>
    <w:p>
      <w:pPr>
        <w:pStyle w:val="Style28"/>
        <w:keepNext w:val="0"/>
        <w:keepLines w:val="0"/>
        <w:widowControl w:val="0"/>
        <w:shd w:val="clear" w:color="auto" w:fill="auto"/>
        <w:tabs>
          <w:tab w:pos="354" w:val="left"/>
        </w:tabs>
        <w:bidi w:val="0"/>
        <w:spacing w:before="0" w:after="0" w:line="307" w:lineRule="exact"/>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2</w:t>
      </w:r>
      <w:bookmarkEnd w:id="148"/>
      <w:r>
        <w:rPr>
          <w:color w:val="000000"/>
          <w:spacing w:val="0"/>
          <w:w w:val="100"/>
          <w:position w:val="0"/>
        </w:rPr>
        <w:t>、</w:t>
        <w:tab/>
        <w:t>本年投资活动流出金额高于流入金额的主要原因为本年购买报告日尚未赎回的银行理财产品</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 xml:space="preserve">亿元，投资股权款 </w:t>
      </w:r>
      <w:r>
        <w:rPr>
          <w:rFonts w:ascii="Times New Roman" w:eastAsia="Times New Roman" w:hAnsi="Times New Roman" w:cs="Times New Roman"/>
          <w:color w:val="000000"/>
          <w:spacing w:val="0"/>
          <w:w w:val="100"/>
          <w:position w:val="0"/>
          <w:sz w:val="18"/>
          <w:szCs w:val="18"/>
        </w:rPr>
        <w:t xml:space="preserve">5,071.9 </w:t>
      </w:r>
      <w:r>
        <w:rPr>
          <w:color w:val="000000"/>
          <w:spacing w:val="0"/>
          <w:w w:val="100"/>
          <w:position w:val="0"/>
        </w:rPr>
        <w:t>万元；</w:t>
      </w:r>
    </w:p>
    <w:p>
      <w:pPr>
        <w:pStyle w:val="Style28"/>
        <w:keepNext w:val="0"/>
        <w:keepLines w:val="0"/>
        <w:widowControl w:val="0"/>
        <w:shd w:val="clear" w:color="auto" w:fill="auto"/>
        <w:tabs>
          <w:tab w:pos="354" w:val="left"/>
        </w:tabs>
        <w:bidi w:val="0"/>
        <w:spacing w:before="0" w:after="0" w:line="312"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3</w:t>
      </w:r>
      <w:bookmarkEnd w:id="149"/>
      <w:r>
        <w:rPr>
          <w:color w:val="000000"/>
          <w:spacing w:val="0"/>
          <w:w w:val="100"/>
          <w:position w:val="0"/>
        </w:rPr>
        <w:t>、</w:t>
        <w:tab/>
        <w:t>本年筹资活动流出现金高于流入现金，主要原因为本年偿还了大量短期借款所致。</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本年计提商誉减值准备金额</w:t>
      </w:r>
      <w:r>
        <w:rPr>
          <w:rFonts w:ascii="Times New Roman" w:eastAsia="Times New Roman" w:hAnsi="Times New Roman" w:cs="Times New Roman"/>
          <w:color w:val="000000"/>
          <w:spacing w:val="0"/>
          <w:w w:val="100"/>
          <w:position w:val="0"/>
          <w:sz w:val="18"/>
          <w:szCs w:val="18"/>
        </w:rPr>
        <w:t>10.97</w:t>
      </w:r>
      <w:r>
        <w:rPr>
          <w:color w:val="000000"/>
          <w:spacing w:val="0"/>
          <w:w w:val="100"/>
          <w:position w:val="0"/>
        </w:rPr>
        <w:t>亿元，计提无形资产减值准备</w:t>
      </w:r>
      <w:r>
        <w:rPr>
          <w:rFonts w:ascii="Times New Roman" w:eastAsia="Times New Roman" w:hAnsi="Times New Roman" w:cs="Times New Roman"/>
          <w:color w:val="000000"/>
          <w:spacing w:val="0"/>
          <w:w w:val="100"/>
          <w:position w:val="0"/>
          <w:sz w:val="18"/>
          <w:szCs w:val="18"/>
        </w:rPr>
        <w:t>3,416.85</w:t>
      </w:r>
      <w:r>
        <w:rPr>
          <w:color w:val="000000"/>
          <w:spacing w:val="0"/>
          <w:w w:val="100"/>
          <w:position w:val="0"/>
        </w:rPr>
        <w:t>万元，单项计提大额应收账款减值准备金额</w:t>
      </w:r>
      <w:r>
        <w:rPr>
          <w:rFonts w:ascii="Times New Roman" w:eastAsia="Times New Roman" w:hAnsi="Times New Roman" w:cs="Times New Roman"/>
          <w:color w:val="000000"/>
          <w:spacing w:val="0"/>
          <w:w w:val="100"/>
          <w:position w:val="0"/>
          <w:sz w:val="18"/>
          <w:szCs w:val="18"/>
        </w:rPr>
        <w:t xml:space="preserve">1.38 </w:t>
      </w:r>
      <w:r>
        <w:rPr>
          <w:color w:val="000000"/>
          <w:spacing w:val="0"/>
          <w:w w:val="100"/>
          <w:position w:val="0"/>
        </w:rPr>
        <w:t>亿元。</w:t>
      </w:r>
    </w:p>
    <w:p>
      <w:pPr>
        <w:pStyle w:val="Style24"/>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三</w:t>
      </w:r>
      <w:bookmarkEnd w:id="152"/>
      <w:r>
        <w:rPr>
          <w:color w:val="000000"/>
          <w:spacing w:val="0"/>
          <w:w w:val="100"/>
          <w:position w:val="0"/>
        </w:rPr>
        <w:t>、非主营业务分析</w:t>
      </w:r>
      <w:bookmarkEnd w:id="150"/>
      <w:bookmarkEnd w:id="151"/>
      <w:bookmarkEnd w:id="153"/>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20"/>
        <w:gridCol w:w="1632"/>
        <w:gridCol w:w="2938"/>
        <w:gridCol w:w="16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-10,542,822.62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-1,143,767,654.02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主要系计提长期股权投资减值和商誉 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4,914,986.08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1,334,295.94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115,901,357.15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主要系减税降费政策影响。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四</w:t>
      </w:r>
      <w:bookmarkEnd w:id="156"/>
      <w:r>
        <w:rPr>
          <w:color w:val="000000"/>
          <w:spacing w:val="0"/>
          <w:w w:val="100"/>
          <w:position w:val="0"/>
        </w:rPr>
        <w:t>、资产及负债状况分析</w:t>
      </w:r>
      <w:bookmarkEnd w:id="154"/>
      <w:bookmarkEnd w:id="155"/>
      <w:bookmarkEnd w:id="157"/>
    </w:p>
    <w:p>
      <w:pPr>
        <w:pStyle w:val="Style32"/>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464"/>
        <w:gridCol w:w="1594"/>
        <w:gridCol w:w="1402"/>
        <w:gridCol w:w="1589"/>
        <w:gridCol w:w="1406"/>
        <w:gridCol w:w="845"/>
        <w:gridCol w:w="141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707,167,789.26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1,399,472,646.45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64"/>
        <w:gridCol w:w="1594"/>
        <w:gridCol w:w="1402"/>
        <w:gridCol w:w="1589"/>
        <w:gridCol w:w="1406"/>
        <w:gridCol w:w="845"/>
        <w:gridCol w:w="14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3,150,776,058.74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2,496,535,298.99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261,527,461.56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264,219,603.60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616,989,993.34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713,093,290.68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664,585,144.03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681,482,449.95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337,882,370.42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601,694,913.68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6"/>
        <w:gridCol w:w="1229"/>
        <w:gridCol w:w="1075"/>
        <w:gridCol w:w="1080"/>
        <w:gridCol w:w="898"/>
        <w:gridCol w:w="979"/>
        <w:gridCol w:w="979"/>
        <w:gridCol w:w="979"/>
        <w:gridCol w:w="13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264,219,603.60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82,711.56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264,219,603.60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82,711.56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tbl>
      <w:tblPr>
        <w:tblOverlap w:val="never"/>
        <w:jc w:val="center"/>
        <w:tblLayout w:type="fixed"/>
      </w:tblPr>
      <w:tblGrid>
        <w:gridCol w:w="3370"/>
        <w:gridCol w:w="3086"/>
        <w:gridCol w:w="3221"/>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11,455,580.71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银行承兑汇票保证金等</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2,883,950.00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应收票据质押</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14,339,530.71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五</w:t>
      </w:r>
      <w:bookmarkEnd w:id="172"/>
      <w:r>
        <w:rPr>
          <w:color w:val="000000"/>
          <w:spacing w:val="0"/>
          <w:w w:val="100"/>
          <w:position w:val="0"/>
        </w:rPr>
        <w:t>、投资状况分析</w:t>
      </w:r>
      <w:bookmarkEnd w:id="170"/>
      <w:bookmarkEnd w:id="171"/>
      <w:bookmarkEnd w:id="173"/>
    </w:p>
    <w:p>
      <w:pPr>
        <w:pStyle w:val="Style32"/>
        <w:keepNext/>
        <w:keepLines/>
        <w:widowControl w:val="0"/>
        <w:shd w:val="clear" w:color="auto" w:fill="auto"/>
        <w:tabs>
          <w:tab w:pos="36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总体情况</w:t>
      </w:r>
      <w:bookmarkEnd w:id="174"/>
      <w:bookmarkEnd w:id="175"/>
      <w:bookmarkEnd w:id="17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金融资产投资</w:t>
      </w:r>
      <w:bookmarkEnd w:id="186"/>
      <w:bookmarkEnd w:id="187"/>
      <w:bookmarkEnd w:id="189"/>
    </w:p>
    <w:p>
      <w:pPr>
        <w:pStyle w:val="Style36"/>
        <w:keepNext/>
        <w:keepLines/>
        <w:widowControl w:val="0"/>
        <w:numPr>
          <w:ilvl w:val="0"/>
          <w:numId w:val="3"/>
        </w:numPr>
        <w:shd w:val="clear" w:color="auto" w:fill="auto"/>
        <w:tabs>
          <w:tab w:pos="493" w:val="left"/>
        </w:tabs>
        <w:bidi w:val="0"/>
        <w:spacing w:before="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证券投资情况</w:t>
      </w:r>
      <w:bookmarkEnd w:id="190"/>
      <w:bookmarkEnd w:id="191"/>
      <w:bookmarkEnd w:id="19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6"/>
        <w:keepNext/>
        <w:keepLines/>
        <w:widowControl w:val="0"/>
        <w:numPr>
          <w:ilvl w:val="0"/>
          <w:numId w:val="3"/>
        </w:numPr>
        <w:shd w:val="clear" w:color="auto" w:fill="auto"/>
        <w:tabs>
          <w:tab w:pos="493" w:val="left"/>
        </w:tabs>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衍生品投资情况</w:t>
      </w:r>
      <w:bookmarkEnd w:id="194"/>
      <w:bookmarkEnd w:id="195"/>
      <w:bookmarkEnd w:id="19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numPr>
          <w:ilvl w:val="0"/>
          <w:numId w:val="5"/>
        </w:numPr>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募集资金总体使用情况</w:t>
      </w:r>
      <w:bookmarkEnd w:id="202"/>
      <w:bookmarkEnd w:id="203"/>
      <w:bookmarkEnd w:id="20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闲置两年 以上募集 资金金额</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非公开发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171,178.88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购买商业 银行保本 型理财产 品、以活期 存款或定 期存单形 式存储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171,178.88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49,068.23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49,068.23</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具体详见《董事会关于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年度募集资金存放与实际使用情况的专项报告》。</w:t>
            </w:r>
          </w:p>
        </w:tc>
      </w:tr>
    </w:tbl>
    <w:p>
      <w:pPr>
        <w:widowControl w:val="0"/>
        <w:spacing w:after="319" w:line="1" w:lineRule="exact"/>
      </w:pPr>
    </w:p>
    <w:p>
      <w:pPr>
        <w:pStyle w:val="Style36"/>
        <w:keepNext/>
        <w:keepLines/>
        <w:widowControl w:val="0"/>
        <w:numPr>
          <w:ilvl w:val="0"/>
          <w:numId w:val="5"/>
        </w:numPr>
        <w:shd w:val="clear" w:color="auto" w:fill="auto"/>
        <w:bidi w:val="0"/>
        <w:spacing w:before="0" w:line="240" w:lineRule="auto"/>
        <w:ind w:left="0" w:right="0" w:firstLine="16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募集资金承诺项目情况</w:t>
      </w:r>
      <w:bookmarkEnd w:id="206"/>
      <w:bookmarkEnd w:id="207"/>
      <w:bookmarkEnd w:id="20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left"/>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、大数据营销系统项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52,996.00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、收购股权项目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86,177.58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86,177.58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其中：通过增资及受让 股权的方式取得蓝门 数字</w:t>
            </w:r>
            <w:r>
              <w:rPr>
                <w:color w:val="000000"/>
                <w:spacing w:val="0"/>
                <w:w w:val="100"/>
                <w:position w:val="0"/>
                <w:sz w:val="18"/>
                <w:szCs w:val="18"/>
              </w:rPr>
              <w:t>51%</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收购省广先锋</w:t>
            </w:r>
            <w:r>
              <w:rPr>
                <w:color w:val="000000"/>
                <w:spacing w:val="0"/>
                <w:w w:val="100"/>
                <w:position w:val="0"/>
                <w:sz w:val="18"/>
                <w:szCs w:val="18"/>
              </w:rPr>
              <w:t>49%</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收购晋拓文化</w:t>
            </w:r>
            <w:r>
              <w:rPr>
                <w:color w:val="000000"/>
                <w:spacing w:val="0"/>
                <w:w w:val="100"/>
                <w:position w:val="0"/>
                <w:sz w:val="18"/>
                <w:szCs w:val="18"/>
              </w:rPr>
              <w:t>80%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、支付部分剩余股权 转让款项目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-20,707.1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其中：广州旗智企业管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省广合众(北京)国际 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广州中懋广告有限公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-20,438.0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上海恺达广告有限公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上海韵翔广告有限公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、补充流动资金项目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171,178.8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-16,676.4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171,178.8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-16,676.4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日，公司第四届董事会第二十三次会议审议通过了《关于部分募集资金投资项 目延期的议案》。为保证公司募集资金的实际使用效果和募投项目的建设质量，本着合理、审慎使用 募集资金的原则，公司对</w:t>
            </w:r>
            <w:r>
              <w:rPr>
                <w:color w:val="000000"/>
                <w:spacing w:val="0"/>
                <w:w w:val="100"/>
                <w:position w:val="0"/>
                <w:sz w:val="18"/>
                <w:szCs w:val="18"/>
              </w:rPr>
              <w:t>“</w:t>
            </w:r>
            <w:r>
              <w:rPr>
                <w:rFonts w:ascii="SimSun" w:eastAsia="SimSun" w:hAnsi="SimSun" w:cs="SimSun"/>
                <w:color w:val="000000"/>
                <w:spacing w:val="0"/>
                <w:w w:val="100"/>
                <w:position w:val="0"/>
                <w:sz w:val="17"/>
                <w:szCs w:val="17"/>
              </w:rPr>
              <w:t>大数据营销系统项目</w:t>
            </w:r>
            <w:r>
              <w:rPr>
                <w:color w:val="000000"/>
                <w:spacing w:val="0"/>
                <w:w w:val="100"/>
                <w:position w:val="0"/>
                <w:sz w:val="18"/>
                <w:szCs w:val="18"/>
              </w:rPr>
              <w:t>”</w:t>
            </w:r>
            <w:r>
              <w:rPr>
                <w:rFonts w:ascii="SimSun" w:eastAsia="SimSun" w:hAnsi="SimSun" w:cs="SimSun"/>
                <w:color w:val="000000"/>
                <w:spacing w:val="0"/>
                <w:w w:val="100"/>
                <w:position w:val="0"/>
                <w:sz w:val="17"/>
                <w:szCs w:val="17"/>
              </w:rPr>
              <w:t>进行延期，在原预计基础上延期</w:t>
            </w:r>
            <w:r>
              <w:rPr>
                <w:color w:val="000000"/>
                <w:spacing w:val="0"/>
                <w:w w:val="100"/>
                <w:position w:val="0"/>
                <w:sz w:val="18"/>
                <w:szCs w:val="18"/>
              </w:rPr>
              <w:t>2</w:t>
            </w:r>
            <w:r>
              <w:rPr>
                <w:rFonts w:ascii="SimSun" w:eastAsia="SimSun" w:hAnsi="SimSun" w:cs="SimSun"/>
                <w:color w:val="000000"/>
                <w:spacing w:val="0"/>
                <w:w w:val="100"/>
                <w:position w:val="0"/>
                <w:sz w:val="17"/>
                <w:szCs w:val="17"/>
              </w:rPr>
              <w:t>年，预计在</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日前完成该募投项目的资金投入。该项目的实施有利于提升公司服务能力、服务质量和 服务效率，从而有利于公司业务规模的增长，主要提升的是公司的软实力，该项目无效益承诺；</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781"/>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股权款支付项目和补充流动资金不存在效益承诺；</w:t>
            </w:r>
            <w:r>
              <w:rPr>
                <w:color w:val="000000"/>
                <w:spacing w:val="0"/>
                <w:w w:val="100"/>
                <w:position w:val="0"/>
                <w:sz w:val="18"/>
                <w:szCs w:val="18"/>
              </w:rPr>
              <w:t>3</w:t>
            </w:r>
            <w:r>
              <w:rPr>
                <w:rFonts w:ascii="SimSun" w:eastAsia="SimSun" w:hAnsi="SimSun" w:cs="SimSun"/>
                <w:color w:val="000000"/>
                <w:spacing w:val="0"/>
                <w:w w:val="100"/>
                <w:position w:val="0"/>
                <w:sz w:val="17"/>
                <w:szCs w:val="17"/>
              </w:rPr>
              <w:t>、股权收购款支付未达进度的主要原因是根据股 权转让合同，股权转让方暂时未达到股权转让款支付的要求所致。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日召开的第三届董事会第二十八次会议审议通过《关于使用募集资金置换 预先已投入募投项目自筹资金的议案》，置换预先已投入募集资金项目的自筹资金</w:t>
            </w:r>
            <w:r>
              <w:rPr>
                <w:color w:val="000000"/>
                <w:spacing w:val="0"/>
                <w:w w:val="100"/>
                <w:position w:val="0"/>
                <w:sz w:val="18"/>
                <w:szCs w:val="18"/>
              </w:rPr>
              <w:t>66,274.24</w:t>
            </w:r>
            <w:r>
              <w:rPr>
                <w:rFonts w:ascii="SimSun" w:eastAsia="SimSun" w:hAnsi="SimSun" w:cs="SimSun"/>
                <w:color w:val="000000"/>
                <w:spacing w:val="0"/>
                <w:w w:val="100"/>
                <w:position w:val="0"/>
                <w:sz w:val="17"/>
                <w:szCs w:val="17"/>
              </w:rPr>
              <w:t>万，该 事项已经瑞华会计师事务所（特殊普通合伙）进行审计并出具了瑞华核字</w:t>
            </w:r>
            <w:r>
              <w:rPr>
                <w:color w:val="000000"/>
                <w:spacing w:val="0"/>
                <w:w w:val="100"/>
                <w:position w:val="0"/>
                <w:sz w:val="18"/>
                <w:szCs w:val="18"/>
              </w:rPr>
              <w:t>[2016]01030004</w:t>
            </w:r>
            <w:r>
              <w:rPr>
                <w:rFonts w:ascii="SimSun" w:eastAsia="SimSun" w:hAnsi="SimSun" w:cs="SimSun"/>
                <w:color w:val="000000"/>
                <w:spacing w:val="0"/>
                <w:w w:val="100"/>
                <w:position w:val="0"/>
                <w:sz w:val="17"/>
                <w:szCs w:val="17"/>
              </w:rPr>
              <w:t>号《关于 广东省广告集团股份有限公司以自筹资金预先投入募集资金投资项目的情况报告的鉴证报告》,公司 按照有关规定履行了审批程序和信息披露义务，本次置换没有与募集资金投资项目的实施计划相抵 触，不影响募集资金投资项目的正常运行，不存在变相改变募集资金投向和损害股东利益的情况。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日，经公司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年年度股东大会审议通过，公司将募集资金</w:t>
            </w:r>
            <w:r>
              <w:rPr>
                <w:color w:val="000000"/>
                <w:spacing w:val="0"/>
                <w:w w:val="100"/>
                <w:position w:val="0"/>
                <w:sz w:val="18"/>
                <w:szCs w:val="18"/>
              </w:rPr>
              <w:t>8,702</w:t>
            </w:r>
            <w:r>
              <w:rPr>
                <w:rFonts w:ascii="SimSun" w:eastAsia="SimSun" w:hAnsi="SimSun" w:cs="SimSun"/>
                <w:color w:val="000000"/>
                <w:spacing w:val="0"/>
                <w:w w:val="100"/>
                <w:position w:val="0"/>
                <w:sz w:val="17"/>
                <w:szCs w:val="17"/>
              </w:rPr>
              <w:t>万元暂时补充流 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股股票募集资金投资项目已结项，节余募集 资金人民币</w:t>
            </w:r>
            <w:r>
              <w:rPr>
                <w:color w:val="000000"/>
                <w:spacing w:val="0"/>
                <w:w w:val="100"/>
                <w:position w:val="0"/>
                <w:sz w:val="18"/>
                <w:szCs w:val="18"/>
              </w:rPr>
              <w:t>59,805.31</w:t>
            </w:r>
            <w:r>
              <w:rPr>
                <w:rFonts w:ascii="SimSun" w:eastAsia="SimSun" w:hAnsi="SimSun" w:cs="SimSun"/>
                <w:color w:val="000000"/>
                <w:spacing w:val="0"/>
                <w:w w:val="100"/>
                <w:position w:val="0"/>
                <w:sz w:val="17"/>
                <w:szCs w:val="17"/>
              </w:rPr>
              <w:t>万元（含累计理财收益、银行存款利息收入扣除银行手续费等的净额）。募集 资金节余原因如下：</w:t>
            </w:r>
            <w:r>
              <w:rPr>
                <w:color w:val="000000"/>
                <w:spacing w:val="0"/>
                <w:w w:val="100"/>
                <w:position w:val="0"/>
                <w:sz w:val="18"/>
                <w:szCs w:val="18"/>
              </w:rPr>
              <w:t>1</w:t>
            </w:r>
            <w:r>
              <w:rPr>
                <w:rFonts w:ascii="SimSun" w:eastAsia="SimSun" w:hAnsi="SimSun" w:cs="SimSun"/>
                <w:color w:val="000000"/>
                <w:spacing w:val="0"/>
                <w:w w:val="100"/>
                <w:position w:val="0"/>
                <w:sz w:val="17"/>
                <w:szCs w:val="17"/>
              </w:rPr>
              <w:t>、在实施募投项目过程中，公司严格按照募集资金使用的有关规定，谨慎使用 募集资金，在保证募投项目质量的前提下，加强项目建设环节费用的控制、监督和管理，合理的降 低项目费用等投资金额，节约了募集资金支出；</w:t>
            </w:r>
            <w:r>
              <w:rPr>
                <w:color w:val="000000"/>
                <w:spacing w:val="0"/>
                <w:w w:val="100"/>
                <w:position w:val="0"/>
                <w:sz w:val="18"/>
                <w:szCs w:val="18"/>
              </w:rPr>
              <w:t>2</w:t>
            </w:r>
            <w:r>
              <w:rPr>
                <w:rFonts w:ascii="SimSun" w:eastAsia="SimSun" w:hAnsi="SimSun" w:cs="SimSun"/>
                <w:color w:val="000000"/>
                <w:spacing w:val="0"/>
                <w:w w:val="100"/>
                <w:position w:val="0"/>
                <w:sz w:val="17"/>
                <w:szCs w:val="17"/>
              </w:rPr>
              <w:t>、本着股东利益最大化原则，为提高闲置资金使用 效率，在确保不影响募集资金投资项目建设和募集资金使用的前提下，公司利用闲置募集资金进行 现金管理，取得了一定的投资收益，同时募集资金存放期间也产生了一定的存款利息收入。</w:t>
            </w:r>
          </w:p>
        </w:tc>
      </w:tr>
      <w:tr>
        <w:trPr>
          <w:trHeight w:val="42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日召开的第三届董事会第二十八次会议审议通过《关于使用部分闲置募集资 金购买银行理财产品的议案》，公司拟使用最高额度不超过人民币</w:t>
            </w:r>
            <w:r>
              <w:rPr>
                <w:color w:val="000000"/>
                <w:spacing w:val="0"/>
                <w:w w:val="100"/>
                <w:position w:val="0"/>
                <w:sz w:val="18"/>
                <w:szCs w:val="18"/>
              </w:rPr>
              <w:t>48,000</w:t>
            </w:r>
            <w:r>
              <w:rPr>
                <w:rFonts w:ascii="SimSun" w:eastAsia="SimSun" w:hAnsi="SimSun" w:cs="SimSun"/>
                <w:color w:val="000000"/>
                <w:spacing w:val="0"/>
                <w:w w:val="100"/>
                <w:position w:val="0"/>
                <w:sz w:val="17"/>
                <w:szCs w:val="17"/>
              </w:rPr>
              <w:t>万元的闲置募集资金购买 商业银行保本型理财产品。</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日召开的第四届董事会第四次会议审议通过《关于公司拟使用部分闲置募 集资金购买银行理财产品的议案》，公司拟使用最高额度不超过人民币</w:t>
            </w:r>
            <w:r>
              <w:rPr>
                <w:color w:val="000000"/>
                <w:spacing w:val="0"/>
                <w:w w:val="100"/>
                <w:position w:val="0"/>
                <w:sz w:val="18"/>
                <w:szCs w:val="18"/>
              </w:rPr>
              <w:t>80,000</w:t>
            </w:r>
            <w:r>
              <w:rPr>
                <w:rFonts w:ascii="SimSun" w:eastAsia="SimSun" w:hAnsi="SimSun" w:cs="SimSun"/>
                <w:color w:val="000000"/>
                <w:spacing w:val="0"/>
                <w:w w:val="100"/>
                <w:position w:val="0"/>
                <w:sz w:val="17"/>
                <w:szCs w:val="17"/>
              </w:rPr>
              <w:t>万元的闲置募集资金 购买商业银行保本型理财产品，其他尚未使用的募集资金以活期存款或定期存单形式存储于经批准 的银行募集资金专户中。</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日召开的第四届董事会第十次会议审议通过《关于公司拟使用部分闲置募集 资金购买银行理财产品的议案》，公司拟使用最高额度不超过人民币</w:t>
            </w:r>
            <w:r>
              <w:rPr>
                <w:color w:val="000000"/>
                <w:spacing w:val="0"/>
                <w:w w:val="100"/>
                <w:position w:val="0"/>
                <w:sz w:val="18"/>
                <w:szCs w:val="18"/>
              </w:rPr>
              <w:t>80,000</w:t>
            </w:r>
            <w:r>
              <w:rPr>
                <w:rFonts w:ascii="SimSun" w:eastAsia="SimSun" w:hAnsi="SimSun" w:cs="SimSun"/>
                <w:color w:val="000000"/>
                <w:spacing w:val="0"/>
                <w:w w:val="100"/>
                <w:position w:val="0"/>
                <w:sz w:val="17"/>
                <w:szCs w:val="17"/>
              </w:rPr>
              <w:t>万元的闲置募集资金购 买商业银行保本型理财产品，其他尚未使用的募集资金以活期存款或定期存单形式存储于经批准的 银行募集资金专户中。</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日召开的第四届董事会第二十三次会议审议通过了《关于拟使用部分闲置募 集资金和闲置自有资金购买银行理财产品的议案》,同意公司在确保不影响募集资金投资项目建设和</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0" w:lineRule="exact"/>
        <w:ind w:left="1820" w:right="0" w:firstLine="0"/>
        <w:jc w:val="left"/>
      </w:pPr>
      <w:r>
        <w:rPr>
          <w:color w:val="000000"/>
          <w:spacing w:val="0"/>
          <w:w w:val="100"/>
          <w:position w:val="0"/>
        </w:rPr>
        <w:t>募集资金使用、不影响公司及控股子公司日常经营的前提下，使用最高额度不超过人民币</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万元（其中部分闲置募集资金不超过</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万元，公司及控股子公司部分闲置自有资金不超过</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万元）购买商业银行保本型理财产品，其他尚未使用的募集资金以活期存款或定期存单形式存储于 经批准的银行募集资金专户中。</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182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日召开的第五届董事会第五次会议审议通过了《关于拟使用部分闲置募集资 金和闲置自有资金购买银行理财产品的议案》,同意公司在确保不影响募集资金投资项目建设和募集 资金使用、不影响公司及控股子公司日常经营的前提下，使用最高额度不超过人民币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1820" w:right="0" w:firstLine="0"/>
        <w:jc w:val="left"/>
      </w:pPr>
      <w:r>
        <w:rPr>
          <w:color w:val="000000"/>
          <w:spacing w:val="0"/>
          <w:w w:val="100"/>
          <w:position w:val="0"/>
        </w:rPr>
        <w:t>（其中部分闲置募集资金不超过</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万元，公司及控股子公司部分闲置自有资金不超过</w:t>
      </w:r>
      <w:r>
        <w:rPr>
          <w:rFonts w:ascii="Times New Roman" w:eastAsia="Times New Roman" w:hAnsi="Times New Roman" w:cs="Times New Roman"/>
          <w:color w:val="000000"/>
          <w:spacing w:val="0"/>
          <w:w w:val="100"/>
          <w:position w:val="0"/>
          <w:sz w:val="18"/>
          <w:szCs w:val="18"/>
        </w:rPr>
        <w:t xml:space="preserve">40,000 </w:t>
      </w:r>
      <w:r>
        <w:rPr>
          <w:color w:val="000000"/>
          <w:spacing w:val="0"/>
          <w:w w:val="100"/>
          <w:position w:val="0"/>
        </w:rPr>
        <w:t>万元）购买商业银行保本型理财产品，其他尚未使用的募集资金以活期存款或定期存单形式存储于 经批准的银行募集资金专户中。</w:t>
      </w:r>
    </w:p>
    <w:p>
      <w:pPr>
        <w:pStyle w:val="Style28"/>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募集资金使用及披露 中存在的问题或其他 情况</w:t>
      </w:r>
    </w:p>
    <w:p>
      <w:pPr>
        <w:pStyle w:val="Style36"/>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六</w:t>
      </w:r>
      <w:bookmarkEnd w:id="216"/>
      <w:r>
        <w:rPr>
          <w:color w:val="000000"/>
          <w:spacing w:val="0"/>
          <w:w w:val="100"/>
          <w:position w:val="0"/>
        </w:rPr>
        <w:t>、重大资产和股权出售</w:t>
      </w:r>
      <w:bookmarkEnd w:id="214"/>
      <w:bookmarkEnd w:id="215"/>
      <w:bookmarkEnd w:id="217"/>
    </w:p>
    <w:p>
      <w:pPr>
        <w:pStyle w:val="Style32"/>
        <w:keepNext/>
        <w:keepLines/>
        <w:widowControl w:val="0"/>
        <w:shd w:val="clear" w:color="auto" w:fill="auto"/>
        <w:tabs>
          <w:tab w:pos="368"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广汽车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结合公 司投资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按资产 基础价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数字营 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战略需 要，有 利于公 司资源</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值法进 行估值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江西合 众光华 国际传 媒广告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结合公 司投资 战略需 要，有 利于公 司资源</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按资产 基础价 值法进 行估值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七</w:t>
      </w:r>
      <w:bookmarkEnd w:id="228"/>
      <w:r>
        <w:rPr>
          <w:color w:val="000000"/>
          <w:spacing w:val="0"/>
          <w:w w:val="100"/>
          <w:position w:val="0"/>
        </w:rPr>
        <w:t>、主要控股参股公司分析</w:t>
      </w:r>
      <w:bookmarkEnd w:id="226"/>
      <w:bookmarkEnd w:id="227"/>
      <w:bookmarkEnd w:id="22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上海拓畅信 息技术有限</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设计、制作、 发布、代理 国内外各类</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964,560,603.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100,603,642.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3,710,187,18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54,725,548.2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48,652,408.1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上海晋拓文 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778,104,850.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416,539,045.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2,470,537,91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52,993,991.2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39,611,863.5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省广营销集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688,117,810.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153,284,142.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2,182,793,22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31,375,360.2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24,226,070.3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广州蓝门数 字营销顾问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190,301,612.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78,120,939.9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238,548,584.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10,596,879.0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8,266,586.15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上海传漾数 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321,286,134.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61,181,095.8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660,950,015.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7,046,860.09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10,856,196.7</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北京合力唯 胜体育发展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304,452.41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-12,245,969.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2,922,125.21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2,922,125.21</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珠海市省广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益松新动力</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投资合伙企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投资与资产 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475,100,000.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521,184,816.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475,557,980.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2,711,970.86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2,711,970.86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广东广旭整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合营销传播</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45,076,856.9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103,102,586.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7,101,251.17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2,337,598.26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1,471,819.18</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业管理咨询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187,382,122.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100,929,001.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323,480,738.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2,182,565.61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1,989,870.38</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深圳经典视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线文化传播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41,104,904.3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33,060,152.9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45,137,328.1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1,808,012.47</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616,378.69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海南经典视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线广告传媒</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18,922,430.3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17,635,998.3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5,502,680.99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990,421.15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940,884.79</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337,054,722.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66,359,139.8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550,166,123.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236,681.74</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-638,329.74</w:t>
            </w: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省广诺时（广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东）信息服务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5,801,000.00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202,856.71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-56,413.67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153,247.73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153,247.73</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广资本管理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39,352,735.4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36,643,228.0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153,651.67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152,761.73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597,053.40</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国际整合营 销传播集团</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111,776.92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1,837,759.30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-22,827.07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-22,827.07</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控股有限公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省广合众（北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京）国际传媒 广告有限公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189,496,570.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77,838,364.4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631,131,844.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-304,774.59</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-792,041.31</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省广先锋（青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岛）广告有限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131,132,177.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75,396,469.9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196,621,293.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-9,255,018.1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-7,376,525.7</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成都经典视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线广告传媒</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251,659,703.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158,464,868.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221,758,467.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-23,057,261.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-25,891,201.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省广博报堂 整合营销公</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参股公司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广告设计、 制作、代理、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423,911,184.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119,599,115.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1,441,985,13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63,626,093.9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48,450,723.7</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29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广东省广代 思博报堂广 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广告设计、 制作、代理、</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226,126,999.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67,323,319.0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528,446,032.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3,709,604.53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2,701,418.87</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99"/>
        <w:gridCol w:w="2755"/>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广东广佛地铁广告资源经营有限公司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r>
              <w:rPr>
                <w:color w:val="000000"/>
                <w:spacing w:val="0"/>
                <w:w w:val="100"/>
                <w:position w:val="0"/>
                <w:sz w:val="18"/>
                <w:szCs w:val="18"/>
              </w:rPr>
              <w:t>36%</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挂牌转让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未对公司经营和业绩产生重大影响。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tabs>
          <w:tab w:pos="599"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八</w:t>
      </w:r>
      <w:bookmarkEnd w:id="232"/>
      <w:r>
        <w:rPr>
          <w:color w:val="000000"/>
          <w:spacing w:val="0"/>
          <w:w w:val="100"/>
          <w:position w:val="0"/>
        </w:rPr>
        <w:t>、</w:t>
        <w:tab/>
        <w:t>公司控制的结构化主体情况</w:t>
      </w:r>
      <w:bookmarkEnd w:id="230"/>
      <w:bookmarkEnd w:id="231"/>
      <w:bookmarkEnd w:id="233"/>
    </w:p>
    <w:p>
      <w:pPr>
        <w:pStyle w:val="Style28"/>
        <w:keepNext w:val="0"/>
        <w:keepLines w:val="0"/>
        <w:widowControl w:val="0"/>
        <w:shd w:val="clear" w:color="auto" w:fill="auto"/>
        <w:bidi w:val="0"/>
        <w:spacing w:before="0" w:after="100" w:line="54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99" w:val="left"/>
        </w:tabs>
        <w:bidi w:val="0"/>
        <w:spacing w:before="0" w:after="1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九</w:t>
      </w:r>
      <w:bookmarkEnd w:id="236"/>
      <w:r>
        <w:rPr>
          <w:color w:val="000000"/>
          <w:spacing w:val="0"/>
          <w:w w:val="100"/>
          <w:position w:val="0"/>
        </w:rPr>
        <w:t>、</w:t>
        <w:tab/>
        <w:t>公司未来发展的展望</w:t>
      </w:r>
      <w:bookmarkEnd w:id="234"/>
      <w:bookmarkEnd w:id="235"/>
      <w:bookmarkEnd w:id="237"/>
    </w:p>
    <w:p>
      <w:pPr>
        <w:pStyle w:val="Style28"/>
        <w:keepNext w:val="0"/>
        <w:keepLines w:val="0"/>
        <w:widowControl w:val="0"/>
        <w:shd w:val="clear" w:color="auto" w:fill="auto"/>
        <w:tabs>
          <w:tab w:pos="790" w:val="left"/>
        </w:tabs>
        <w:bidi w:val="0"/>
        <w:spacing w:before="0" w:after="0" w:line="473" w:lineRule="exact"/>
        <w:ind w:left="0" w:right="0" w:firstLine="360"/>
        <w:jc w:val="both"/>
      </w:pPr>
      <w:bookmarkStart w:id="238" w:name="bookmark238"/>
      <w:r>
        <w:rPr>
          <w:color w:val="000000"/>
          <w:spacing w:val="0"/>
          <w:w w:val="100"/>
          <w:position w:val="0"/>
        </w:rPr>
        <w:t>一</w:t>
      </w:r>
      <w:bookmarkEnd w:id="238"/>
      <w:r>
        <w:rPr>
          <w:color w:val="000000"/>
          <w:spacing w:val="0"/>
          <w:w w:val="100"/>
          <w:position w:val="0"/>
        </w:rPr>
        <w:t>、</w:t>
        <w:tab/>
        <w:t>公司未来发展战略及</w:t>
      </w:r>
      <w:r>
        <w:rPr>
          <w:color w:val="000000"/>
          <w:spacing w:val="0"/>
          <w:w w:val="100"/>
          <w:position w:val="0"/>
          <w:sz w:val="16"/>
          <w:szCs w:val="16"/>
        </w:rPr>
        <w:t>2021</w:t>
      </w:r>
      <w:r>
        <w:rPr>
          <w:color w:val="000000"/>
          <w:spacing w:val="0"/>
          <w:w w:val="100"/>
          <w:position w:val="0"/>
        </w:rPr>
        <w:t>年度的经营计划</w:t>
      </w:r>
    </w:p>
    <w:p>
      <w:pPr>
        <w:pStyle w:val="Style28"/>
        <w:keepNext w:val="0"/>
        <w:keepLines w:val="0"/>
        <w:widowControl w:val="0"/>
        <w:shd w:val="clear" w:color="auto" w:fill="auto"/>
        <w:tabs>
          <w:tab w:pos="694" w:val="left"/>
        </w:tabs>
        <w:bidi w:val="0"/>
        <w:spacing w:before="0" w:after="0" w:line="473" w:lineRule="exact"/>
        <w:ind w:left="0" w:right="0" w:firstLine="360"/>
        <w:jc w:val="both"/>
      </w:pPr>
      <w:bookmarkStart w:id="239" w:name="bookmark239"/>
      <w:r>
        <w:rPr>
          <w:color w:val="000000"/>
          <w:spacing w:val="0"/>
          <w:w w:val="100"/>
          <w:position w:val="0"/>
          <w:sz w:val="16"/>
          <w:szCs w:val="16"/>
        </w:rPr>
        <w:t>1</w:t>
      </w:r>
      <w:bookmarkEnd w:id="239"/>
      <w:r>
        <w:rPr>
          <w:color w:val="000000"/>
          <w:spacing w:val="0"/>
          <w:w w:val="100"/>
          <w:position w:val="0"/>
        </w:rPr>
        <w:t>、</w:t>
        <w:tab/>
        <w:t>公司未来发展战略</w:t>
      </w:r>
    </w:p>
    <w:p>
      <w:pPr>
        <w:pStyle w:val="Style28"/>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公司将继续以产业价值链整合者的身份，积极推动传统产业与新兴产业的跨界创新、融合发展，帮助企业客户在产业互 联网的下半场，借助省广集团</w:t>
      </w:r>
      <w:r>
        <w:rPr>
          <w:color w:val="000000"/>
          <w:spacing w:val="0"/>
          <w:w w:val="100"/>
          <w:position w:val="0"/>
          <w:sz w:val="16"/>
          <w:szCs w:val="16"/>
        </w:rPr>
        <w:t>GIN</w:t>
      </w:r>
      <w:r>
        <w:rPr>
          <w:color w:val="000000"/>
          <w:spacing w:val="0"/>
          <w:w w:val="100"/>
          <w:position w:val="0"/>
        </w:rPr>
        <w:t>平台的产业化发展赛道，实现品牌价值和市场价值的双向提升，加速践行自身的高质量发 展之路。</w:t>
      </w:r>
    </w:p>
    <w:p>
      <w:pPr>
        <w:pStyle w:val="Style28"/>
        <w:keepNext w:val="0"/>
        <w:keepLines w:val="0"/>
        <w:widowControl w:val="0"/>
        <w:shd w:val="clear" w:color="auto" w:fill="auto"/>
        <w:tabs>
          <w:tab w:pos="704" w:val="left"/>
        </w:tabs>
        <w:bidi w:val="0"/>
        <w:spacing w:before="0" w:after="0" w:line="472" w:lineRule="exact"/>
        <w:ind w:left="0" w:right="0" w:firstLine="360"/>
        <w:jc w:val="both"/>
      </w:pPr>
      <w:bookmarkStart w:id="240" w:name="bookmark240"/>
      <w:r>
        <w:rPr>
          <w:color w:val="000000"/>
          <w:spacing w:val="0"/>
          <w:w w:val="100"/>
          <w:position w:val="0"/>
          <w:sz w:val="16"/>
          <w:szCs w:val="16"/>
        </w:rPr>
        <w:t>2</w:t>
      </w:r>
      <w:bookmarkEnd w:id="240"/>
      <w:r>
        <w:rPr>
          <w:color w:val="000000"/>
          <w:spacing w:val="0"/>
          <w:w w:val="100"/>
          <w:position w:val="0"/>
        </w:rPr>
        <w:t>、</w:t>
        <w:tab/>
      </w:r>
      <w:r>
        <w:rPr>
          <w:color w:val="000000"/>
          <w:spacing w:val="0"/>
          <w:w w:val="100"/>
          <w:position w:val="0"/>
          <w:sz w:val="16"/>
          <w:szCs w:val="16"/>
        </w:rPr>
        <w:t>2021</w:t>
      </w:r>
      <w:r>
        <w:rPr>
          <w:color w:val="000000"/>
          <w:spacing w:val="0"/>
          <w:w w:val="100"/>
          <w:position w:val="0"/>
        </w:rPr>
        <w:t>年度的经营计划</w:t>
      </w:r>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sz w:val="16"/>
          <w:szCs w:val="16"/>
        </w:rPr>
        <w:t>2021</w:t>
      </w:r>
      <w:r>
        <w:rPr>
          <w:color w:val="000000"/>
          <w:spacing w:val="0"/>
          <w:w w:val="100"/>
          <w:position w:val="0"/>
        </w:rPr>
        <w:t>年，公司将继续围绕产业互联网进行转型升级，通过强化资源整合能力、技术保障能力、平台运营能力，打造</w:t>
      </w:r>
      <w:r>
        <w:rPr>
          <w:color w:val="000000"/>
          <w:spacing w:val="0"/>
          <w:w w:val="100"/>
          <w:position w:val="0"/>
          <w:sz w:val="16"/>
          <w:szCs w:val="16"/>
        </w:rPr>
        <w:t xml:space="preserve">S2B2C </w:t>
      </w:r>
      <w:r>
        <w:rPr>
          <w:color w:val="000000"/>
          <w:spacing w:val="0"/>
          <w:w w:val="100"/>
          <w:position w:val="0"/>
        </w:rPr>
        <w:t>产业融合生态平台，创新</w:t>
      </w:r>
      <w:r>
        <w:rPr>
          <w:color w:val="000000"/>
          <w:spacing w:val="0"/>
          <w:w w:val="100"/>
          <w:position w:val="0"/>
          <w:sz w:val="16"/>
          <w:szCs w:val="16"/>
        </w:rPr>
        <w:t>B2C</w:t>
      </w:r>
      <w:r>
        <w:rPr>
          <w:color w:val="000000"/>
          <w:spacing w:val="0"/>
          <w:w w:val="100"/>
          <w:position w:val="0"/>
        </w:rPr>
        <w:t>、</w:t>
      </w:r>
      <w:r>
        <w:rPr>
          <w:color w:val="000000"/>
          <w:spacing w:val="0"/>
          <w:w w:val="100"/>
          <w:position w:val="0"/>
          <w:sz w:val="16"/>
          <w:szCs w:val="16"/>
        </w:rPr>
        <w:t>B2B2C</w:t>
      </w:r>
      <w:r>
        <w:rPr>
          <w:color w:val="000000"/>
          <w:spacing w:val="0"/>
          <w:w w:val="100"/>
          <w:position w:val="0"/>
        </w:rPr>
        <w:t>、</w:t>
      </w:r>
      <w:r>
        <w:rPr>
          <w:color w:val="000000"/>
          <w:spacing w:val="0"/>
          <w:w w:val="100"/>
          <w:position w:val="0"/>
          <w:sz w:val="16"/>
          <w:szCs w:val="16"/>
        </w:rPr>
        <w:t>B2B</w:t>
      </w:r>
      <w:r>
        <w:rPr>
          <w:color w:val="000000"/>
          <w:spacing w:val="0"/>
          <w:w w:val="100"/>
          <w:position w:val="0"/>
        </w:rPr>
        <w:t>三大商业模式、形成产业互联网、品牌出海、全营销三大业务板块，构建“大平 台+强中台”与“事业群”两种组织形态，引领营销产业融合发展，成为智慧营销产业平台运营商，全面激活公司在产业互 联网时代的生产力。</w:t>
      </w:r>
    </w:p>
    <w:p>
      <w:pPr>
        <w:pStyle w:val="Style28"/>
        <w:keepNext w:val="0"/>
        <w:keepLines w:val="0"/>
        <w:widowControl w:val="0"/>
        <w:shd w:val="clear" w:color="auto" w:fill="auto"/>
        <w:tabs>
          <w:tab w:pos="790" w:val="left"/>
        </w:tabs>
        <w:bidi w:val="0"/>
        <w:spacing w:before="0" w:after="0" w:line="472" w:lineRule="exact"/>
        <w:ind w:left="0" w:right="0" w:firstLine="360"/>
        <w:jc w:val="both"/>
      </w:pPr>
      <w:bookmarkStart w:id="241" w:name="bookmark241"/>
      <w:r>
        <w:rPr>
          <w:color w:val="000000"/>
          <w:spacing w:val="0"/>
          <w:w w:val="100"/>
          <w:position w:val="0"/>
        </w:rPr>
        <w:t>二</w:t>
      </w:r>
      <w:bookmarkEnd w:id="241"/>
      <w:r>
        <w:rPr>
          <w:color w:val="000000"/>
          <w:spacing w:val="0"/>
          <w:w w:val="100"/>
          <w:position w:val="0"/>
        </w:rPr>
        <w:t>、</w:t>
        <w:tab/>
        <w:t>公司可能面对的风险</w:t>
      </w:r>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公司所属的广告营销行业，具有轻资产、人才密集、行业集中度较低等特点。基于行业发展现状并结合公司实际情况， 公司在发展中面临如下风险：</w:t>
      </w:r>
    </w:p>
    <w:p>
      <w:pPr>
        <w:pStyle w:val="Style28"/>
        <w:keepNext w:val="0"/>
        <w:keepLines w:val="0"/>
        <w:widowControl w:val="0"/>
        <w:shd w:val="clear" w:color="auto" w:fill="auto"/>
        <w:tabs>
          <w:tab w:pos="694" w:val="left"/>
        </w:tabs>
        <w:bidi w:val="0"/>
        <w:spacing w:before="0" w:after="0" w:line="472" w:lineRule="exact"/>
        <w:ind w:left="0" w:right="0" w:firstLine="360"/>
        <w:jc w:val="both"/>
      </w:pPr>
      <w:bookmarkStart w:id="242" w:name="bookmark242"/>
      <w:r>
        <w:rPr>
          <w:color w:val="000000"/>
          <w:spacing w:val="0"/>
          <w:w w:val="100"/>
          <w:position w:val="0"/>
          <w:sz w:val="16"/>
          <w:szCs w:val="16"/>
        </w:rPr>
        <w:t>1</w:t>
      </w:r>
      <w:bookmarkEnd w:id="242"/>
      <w:r>
        <w:rPr>
          <w:color w:val="000000"/>
          <w:spacing w:val="0"/>
          <w:w w:val="100"/>
          <w:position w:val="0"/>
        </w:rPr>
        <w:t>、</w:t>
        <w:tab/>
        <w:t>行业竞争风险</w:t>
      </w:r>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广告行业是充分竞争的行业。近年来伴随着行业高速发展，业内企业规模逐渐扩大、数量逐步增加，行业竞争不断加剧。 此外，随着移动互联网的不断发展，对营销内容与形式都带来了变革，广告营销行业特别是中小广告企业的竞争将更加激烈；</w:t>
      </w:r>
    </w:p>
    <w:p>
      <w:pPr>
        <w:pStyle w:val="Style28"/>
        <w:keepNext w:val="0"/>
        <w:keepLines w:val="0"/>
        <w:widowControl w:val="0"/>
        <w:shd w:val="clear" w:color="auto" w:fill="auto"/>
        <w:tabs>
          <w:tab w:pos="704" w:val="left"/>
        </w:tabs>
        <w:bidi w:val="0"/>
        <w:spacing w:before="0" w:after="0" w:line="472" w:lineRule="exact"/>
        <w:ind w:left="0" w:right="0" w:firstLine="360"/>
        <w:jc w:val="both"/>
      </w:pPr>
      <w:bookmarkStart w:id="243" w:name="bookmark243"/>
      <w:r>
        <w:rPr>
          <w:color w:val="000000"/>
          <w:spacing w:val="0"/>
          <w:w w:val="100"/>
          <w:position w:val="0"/>
          <w:sz w:val="16"/>
          <w:szCs w:val="16"/>
        </w:rPr>
        <w:t>2</w:t>
      </w:r>
      <w:bookmarkEnd w:id="243"/>
      <w:r>
        <w:rPr>
          <w:color w:val="000000"/>
          <w:spacing w:val="0"/>
          <w:w w:val="100"/>
          <w:position w:val="0"/>
        </w:rPr>
        <w:t>、</w:t>
        <w:tab/>
        <w:t>人才流失风险</w:t>
      </w:r>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rPr>
        <w:t xml:space="preserve">广告行业属于人才密集型行业，对于广告公司而言，专业的广告人才是企业的核心资源，是保持和提升公司核心竞争力 </w:t>
      </w:r>
      <w:r>
        <w:rPr>
          <w:color w:val="000000"/>
          <w:spacing w:val="0"/>
          <w:w w:val="100"/>
          <w:position w:val="0"/>
        </w:rPr>
        <w:t>的关键要素，随着企业业务规模的扩大，对专业广告人才和管理人才的需求日益增强。由于专业广告人才的需求旺盛，广告 行业的人才流动性相对较高；</w:t>
      </w:r>
    </w:p>
    <w:p>
      <w:pPr>
        <w:pStyle w:val="Style28"/>
        <w:keepNext w:val="0"/>
        <w:keepLines w:val="0"/>
        <w:widowControl w:val="0"/>
        <w:shd w:val="clear" w:color="auto" w:fill="auto"/>
        <w:bidi w:val="0"/>
        <w:spacing w:before="0" w:after="0" w:line="470" w:lineRule="exact"/>
        <w:ind w:left="0" w:right="0" w:firstLine="380"/>
        <w:jc w:val="both"/>
      </w:pPr>
      <w:bookmarkStart w:id="244" w:name="bookmark244"/>
      <w:r>
        <w:rPr>
          <w:color w:val="000000"/>
          <w:spacing w:val="0"/>
          <w:w w:val="100"/>
          <w:position w:val="0"/>
          <w:sz w:val="16"/>
          <w:szCs w:val="16"/>
        </w:rPr>
        <w:t>3</w:t>
      </w:r>
      <w:bookmarkEnd w:id="244"/>
      <w:r>
        <w:rPr>
          <w:color w:val="000000"/>
          <w:spacing w:val="0"/>
          <w:w w:val="100"/>
          <w:position w:val="0"/>
        </w:rPr>
        <w:t>、资产减值风险</w:t>
      </w:r>
    </w:p>
    <w:p>
      <w:pPr>
        <w:pStyle w:val="Style28"/>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广告行业作为轻资产行业，产业链上下游收购标的企业均为轻资产公司，商誉减值对业绩的敏感性较大。广告行业存 在普遍的垫资现象，因此行业应收款项普遍较高。受宏观经济增速放缓影响，中小广告主资金压力加大，部分业务的结算周 期延长使得公司的回款周期变长进而造成相应的资产减值风险。</w:t>
      </w:r>
    </w:p>
    <w:p>
      <w:pPr>
        <w:pStyle w:val="Style24"/>
        <w:keepNext/>
        <w:keepLines/>
        <w:widowControl w:val="0"/>
        <w:shd w:val="clear" w:color="auto" w:fill="auto"/>
        <w:bidi w:val="0"/>
        <w:spacing w:before="0" w:line="240" w:lineRule="auto"/>
        <w:ind w:left="0" w:right="0" w:firstLine="0"/>
        <w:jc w:val="both"/>
      </w:pPr>
      <w:bookmarkStart w:id="245" w:name="bookmark245"/>
      <w:bookmarkStart w:id="246" w:name="bookmark246"/>
      <w:bookmarkStart w:id="247" w:name="bookmark247"/>
      <w:r>
        <w:rPr>
          <w:color w:val="000000"/>
          <w:spacing w:val="0"/>
          <w:w w:val="100"/>
          <w:position w:val="0"/>
        </w:rPr>
        <w:t>十、接待调研、沟通、采访等活动</w:t>
      </w:r>
      <w:bookmarkEnd w:id="245"/>
      <w:bookmarkEnd w:id="246"/>
      <w:bookmarkEnd w:id="247"/>
    </w:p>
    <w:p>
      <w:pPr>
        <w:pStyle w:val="Style32"/>
        <w:keepNext/>
        <w:keepLines/>
        <w:widowControl w:val="0"/>
        <w:shd w:val="clear" w:color="auto" w:fill="auto"/>
        <w:bidi w:val="0"/>
        <w:spacing w:before="0" w:line="240" w:lineRule="auto"/>
        <w:ind w:left="0" w:right="0" w:firstLine="0"/>
        <w:jc w:val="both"/>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62"/>
        <w:gridCol w:w="1296"/>
        <w:gridCol w:w="1296"/>
        <w:gridCol w:w="4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谈论的主要内容及提供的资料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公司经营情况、行业发展情况、未提供书面文件。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公司经营情况、行业发展情况、未提供书面文件。</w:t>
            </w:r>
          </w:p>
        </w:tc>
      </w:tr>
    </w:tbl>
    <w:p>
      <w:pPr>
        <w:sectPr>
          <w:footnotePr>
            <w:pos w:val="pageBottom"/>
            <w:numFmt w:val="decimal"/>
            <w:numRestart w:val="continuous"/>
          </w:footnotePr>
          <w:pgSz w:w="11900" w:h="16840"/>
          <w:pgMar w:top="1302" w:right="1078" w:bottom="1475" w:left="1054" w:header="0" w:footer="3" w:gutter="0"/>
          <w:cols w:space="720"/>
          <w:noEndnote/>
          <w:rtlGutter w:val="0"/>
          <w:docGrid w:linePitch="360"/>
        </w:sectPr>
      </w:pPr>
    </w:p>
    <w:p>
      <w:pPr>
        <w:pStyle w:val="Style10"/>
        <w:keepNext/>
        <w:keepLines/>
        <w:widowControl w:val="0"/>
        <w:shd w:val="clear" w:color="auto" w:fill="auto"/>
        <w:bidi w:val="0"/>
        <w:spacing w:before="66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4"/>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bookmarkStart w:id="259" w:name="bookmark259"/>
      <w:r>
        <w:rPr>
          <w:color w:val="000000"/>
          <w:spacing w:val="0"/>
          <w:w w:val="100"/>
          <w:position w:val="0"/>
        </w:rPr>
        <w:t>一</w:t>
      </w:r>
      <w:bookmarkEnd w:id="258"/>
      <w:r>
        <w:rPr>
          <w:color w:val="000000"/>
          <w:spacing w:val="0"/>
          <w:w w:val="100"/>
          <w:position w:val="0"/>
        </w:rPr>
        <w:t>、公司普通股利润分配及资本公积金转增股本情况</w:t>
      </w:r>
      <w:bookmarkEnd w:id="256"/>
      <w:bookmarkEnd w:id="257"/>
      <w:bookmarkEnd w:id="259"/>
      <w:bookmarkEnd w:id="25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461" w:lineRule="exact"/>
        <w:ind w:left="0" w:right="0" w:firstLine="360"/>
        <w:jc w:val="left"/>
      </w:pPr>
      <w:r>
        <w:rPr>
          <w:color w:val="000000"/>
          <w:spacing w:val="0"/>
          <w:w w:val="100"/>
          <w:position w:val="0"/>
          <w:sz w:val="16"/>
          <w:szCs w:val="16"/>
        </w:rPr>
        <w:t>2018</w:t>
      </w:r>
      <w:r>
        <w:rPr>
          <w:color w:val="000000"/>
          <w:spacing w:val="0"/>
          <w:w w:val="100"/>
          <w:position w:val="0"/>
        </w:rPr>
        <w:t>年度利润分配方案：以总股本</w:t>
      </w:r>
      <w:r>
        <w:rPr>
          <w:color w:val="000000"/>
          <w:spacing w:val="0"/>
          <w:w w:val="100"/>
          <w:position w:val="0"/>
          <w:sz w:val="16"/>
          <w:szCs w:val="16"/>
        </w:rPr>
        <w:t>1,743,337,128</w:t>
      </w:r>
      <w:r>
        <w:rPr>
          <w:color w:val="000000"/>
          <w:spacing w:val="0"/>
          <w:w w:val="100"/>
          <w:position w:val="0"/>
        </w:rPr>
        <w:t>股为基数，按每</w:t>
      </w:r>
      <w:r>
        <w:rPr>
          <w:color w:val="000000"/>
          <w:spacing w:val="0"/>
          <w:w w:val="100"/>
          <w:position w:val="0"/>
          <w:sz w:val="16"/>
          <w:szCs w:val="16"/>
        </w:rPr>
        <w:t>10</w:t>
      </w:r>
      <w:r>
        <w:rPr>
          <w:color w:val="000000"/>
          <w:spacing w:val="0"/>
          <w:w w:val="100"/>
          <w:position w:val="0"/>
        </w:rPr>
        <w:t>股派发现金股利人民币</w:t>
      </w:r>
      <w:r>
        <w:rPr>
          <w:color w:val="000000"/>
          <w:spacing w:val="0"/>
          <w:w w:val="100"/>
          <w:position w:val="0"/>
          <w:sz w:val="16"/>
          <w:szCs w:val="16"/>
        </w:rPr>
        <w:t>0.10</w:t>
      </w:r>
      <w:r>
        <w:rPr>
          <w:color w:val="000000"/>
          <w:spacing w:val="0"/>
          <w:w w:val="100"/>
          <w:position w:val="0"/>
        </w:rPr>
        <w:t>元（含税），共计人民 币</w:t>
      </w:r>
      <w:r>
        <w:rPr>
          <w:color w:val="000000"/>
          <w:spacing w:val="0"/>
          <w:w w:val="100"/>
          <w:position w:val="0"/>
          <w:sz w:val="16"/>
          <w:szCs w:val="16"/>
        </w:rPr>
        <w:t>17,433,371.28</w:t>
      </w:r>
      <w:r>
        <w:rPr>
          <w:color w:val="000000"/>
          <w:spacing w:val="0"/>
          <w:w w:val="100"/>
          <w:position w:val="0"/>
        </w:rPr>
        <w:t>元；不送红股，不以资本公积转增股本。</w:t>
      </w:r>
    </w:p>
    <w:p>
      <w:pPr>
        <w:pStyle w:val="Style28"/>
        <w:keepNext w:val="0"/>
        <w:keepLines w:val="0"/>
        <w:widowControl w:val="0"/>
        <w:shd w:val="clear" w:color="auto" w:fill="auto"/>
        <w:bidi w:val="0"/>
        <w:spacing w:before="0" w:after="0" w:line="461" w:lineRule="exact"/>
        <w:ind w:left="0" w:right="0" w:firstLine="360"/>
        <w:jc w:val="left"/>
      </w:pPr>
      <w:r>
        <w:rPr>
          <w:color w:val="000000"/>
          <w:spacing w:val="0"/>
          <w:w w:val="100"/>
          <w:position w:val="0"/>
          <w:sz w:val="16"/>
          <w:szCs w:val="16"/>
        </w:rPr>
        <w:t>2019</w:t>
      </w:r>
      <w:r>
        <w:rPr>
          <w:color w:val="000000"/>
          <w:spacing w:val="0"/>
          <w:w w:val="100"/>
          <w:position w:val="0"/>
        </w:rPr>
        <w:t>年度利润分配方案：以总股本</w:t>
      </w:r>
      <w:r>
        <w:rPr>
          <w:color w:val="000000"/>
          <w:spacing w:val="0"/>
          <w:w w:val="100"/>
          <w:position w:val="0"/>
          <w:sz w:val="16"/>
          <w:szCs w:val="16"/>
        </w:rPr>
        <w:t>1,743,337,128</w:t>
      </w:r>
      <w:r>
        <w:rPr>
          <w:color w:val="000000"/>
          <w:spacing w:val="0"/>
          <w:w w:val="100"/>
          <w:position w:val="0"/>
        </w:rPr>
        <w:t>股为基数，按每</w:t>
      </w:r>
      <w:r>
        <w:rPr>
          <w:color w:val="000000"/>
          <w:spacing w:val="0"/>
          <w:w w:val="100"/>
          <w:position w:val="0"/>
          <w:sz w:val="16"/>
          <w:szCs w:val="16"/>
        </w:rPr>
        <w:t>10</w:t>
      </w:r>
      <w:r>
        <w:rPr>
          <w:color w:val="000000"/>
          <w:spacing w:val="0"/>
          <w:w w:val="100"/>
          <w:position w:val="0"/>
        </w:rPr>
        <w:t>股派发现金股利人民币</w:t>
      </w:r>
      <w:r>
        <w:rPr>
          <w:color w:val="000000"/>
          <w:spacing w:val="0"/>
          <w:w w:val="100"/>
          <w:position w:val="0"/>
          <w:sz w:val="16"/>
          <w:szCs w:val="16"/>
        </w:rPr>
        <w:t>0.23</w:t>
      </w:r>
      <w:r>
        <w:rPr>
          <w:color w:val="000000"/>
          <w:spacing w:val="0"/>
          <w:w w:val="100"/>
          <w:position w:val="0"/>
        </w:rPr>
        <w:t>元（含税），共计人民 币</w:t>
      </w:r>
      <w:r>
        <w:rPr>
          <w:color w:val="000000"/>
          <w:spacing w:val="0"/>
          <w:w w:val="100"/>
          <w:position w:val="0"/>
          <w:sz w:val="16"/>
          <w:szCs w:val="16"/>
        </w:rPr>
        <w:t xml:space="preserve">40, 096, </w:t>
      </w:r>
      <w:r>
        <w:rPr>
          <w:color w:val="000000"/>
          <w:spacing w:val="0"/>
          <w:w w:val="100"/>
          <w:position w:val="0"/>
          <w:sz w:val="16"/>
          <w:szCs w:val="16"/>
        </w:rPr>
        <w:t xml:space="preserve">753. </w:t>
      </w:r>
      <w:r>
        <w:rPr>
          <w:color w:val="000000"/>
          <w:spacing w:val="0"/>
          <w:w w:val="100"/>
          <w:position w:val="0"/>
          <w:sz w:val="16"/>
          <w:szCs w:val="16"/>
        </w:rPr>
        <w:t>94</w:t>
      </w:r>
      <w:r>
        <w:rPr>
          <w:color w:val="000000"/>
          <w:spacing w:val="0"/>
          <w:w w:val="100"/>
          <w:position w:val="0"/>
        </w:rPr>
        <w:t>元；不送红股，不以资本公积转增股本。</w:t>
      </w:r>
    </w:p>
    <w:p>
      <w:pPr>
        <w:pStyle w:val="Style28"/>
        <w:keepNext w:val="0"/>
        <w:keepLines w:val="0"/>
        <w:widowControl w:val="0"/>
        <w:shd w:val="clear" w:color="auto" w:fill="auto"/>
        <w:bidi w:val="0"/>
        <w:spacing w:before="0" w:after="0" w:line="461" w:lineRule="exact"/>
        <w:ind w:left="0" w:right="0" w:firstLine="360"/>
        <w:jc w:val="left"/>
      </w:pPr>
      <w:r>
        <w:rPr>
          <w:color w:val="000000"/>
          <w:spacing w:val="0"/>
          <w:w w:val="100"/>
          <w:position w:val="0"/>
          <w:sz w:val="16"/>
          <w:szCs w:val="16"/>
        </w:rPr>
        <w:t>2020</w:t>
      </w:r>
      <w:r>
        <w:rPr>
          <w:color w:val="000000"/>
          <w:spacing w:val="0"/>
          <w:w w:val="100"/>
          <w:position w:val="0"/>
        </w:rPr>
        <w:t>年度利润分配预案：不进行利润分配，也不进行资本公积金转增股本。</w:t>
      </w:r>
    </w:p>
    <w:p>
      <w:pPr>
        <w:pStyle w:val="Style28"/>
        <w:keepNext w:val="0"/>
        <w:keepLines w:val="0"/>
        <w:widowControl w:val="0"/>
        <w:shd w:val="clear" w:color="auto" w:fill="auto"/>
        <w:bidi w:val="0"/>
        <w:spacing w:before="0" w:line="461"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1195"/>
        <w:gridCol w:w="1536"/>
        <w:gridCol w:w="1195"/>
        <w:gridCol w:w="1195"/>
        <w:gridCol w:w="1195"/>
        <w:gridCol w:w="1195"/>
        <w:gridCol w:w="1210"/>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-932,266,939.80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40,096,753.94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149,487,578.92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40,096,753.94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17,433,371.28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185,930,972.37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17,433,371.28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二</w:t>
      </w:r>
      <w:bookmarkEnd w:id="262"/>
      <w:r>
        <w:rPr>
          <w:color w:val="000000"/>
          <w:spacing w:val="0"/>
          <w:w w:val="100"/>
          <w:position w:val="0"/>
        </w:rPr>
        <w:t>、本报告期利润分配及资本公积金转增股本情况</w:t>
      </w:r>
      <w:bookmarkEnd w:id="260"/>
      <w:bookmarkEnd w:id="261"/>
      <w:bookmarkEnd w:id="26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24"/>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三</w:t>
      </w:r>
      <w:bookmarkEnd w:id="266"/>
      <w:r>
        <w:rPr>
          <w:color w:val="000000"/>
          <w:spacing w:val="0"/>
          <w:w w:val="100"/>
          <w:position w:val="0"/>
        </w:rPr>
        <w:t>、承诺事项履行情况</w:t>
      </w:r>
      <w:bookmarkEnd w:id="264"/>
      <w:bookmarkEnd w:id="265"/>
      <w:bookmarkEnd w:id="267"/>
    </w:p>
    <w:p>
      <w:pPr>
        <w:pStyle w:val="Style32"/>
        <w:keepNext/>
        <w:keepLines/>
        <w:widowControl w:val="0"/>
        <w:shd w:val="clear" w:color="auto" w:fill="auto"/>
        <w:bidi w:val="0"/>
        <w:spacing w:before="0" w:after="340" w:line="326"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、公司实际控制人、股东、关联方、收购人以及公司等承诺相关方在报告期内履行完毕及截至报告期末 尚未履行完毕的承诺事项</w:t>
      </w:r>
      <w:bookmarkEnd w:id="268"/>
      <w:bookmarkEnd w:id="269"/>
      <w:bookmarkEnd w:id="271"/>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14"/>
        <w:gridCol w:w="998"/>
        <w:gridCol w:w="994"/>
        <w:gridCol w:w="2986"/>
        <w:gridCol w:w="1022"/>
        <w:gridCol w:w="994"/>
        <w:gridCol w:w="10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动报告书中所作承诺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自股份发行结束之日起</w:t>
            </w:r>
            <w:r>
              <w:rPr>
                <w:color w:val="000000"/>
                <w:spacing w:val="0"/>
                <w:w w:val="100"/>
                <w:position w:val="0"/>
              </w:rPr>
              <w:t>36</w:t>
            </w:r>
            <w:r>
              <w:rPr>
                <w:rFonts w:ascii="SimSun" w:eastAsia="SimSun" w:hAnsi="SimSun" w:cs="SimSun"/>
                <w:color w:val="000000"/>
                <w:spacing w:val="0"/>
                <w:w w:val="100"/>
                <w:position w:val="0"/>
                <w:sz w:val="17"/>
                <w:szCs w:val="17"/>
              </w:rPr>
              <w:t xml:space="preserve">个月内不得 转让（按照其与上市公司签署的《盈 利预测补偿协议》进行回购的股份除 外）。若祝卫东出任上市公司高级管理 人员的，则锁定期满后每年转让所持 上市公司股份不能超过其持股总数的 </w:t>
            </w: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自股份发行 结束之日起 三十六个月</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81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经本次交易各方一致确认，本次交易 的补偿期为</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年，若无法于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日完成 本次交易，则盈利补偿期相应顺延为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年。交易对方 对于目标公司归属于母公司股东的扣 除非经常性损益后的净利润作出如下 承诺：目标公司于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年实现的归属于母公司 股东的扣除非经常性损益后的净利润 应分别不低于人民币</w:t>
            </w:r>
            <w:r>
              <w:rPr>
                <w:color w:val="000000"/>
                <w:spacing w:val="0"/>
                <w:w w:val="100"/>
                <w:position w:val="0"/>
                <w:sz w:val="18"/>
                <w:szCs w:val="18"/>
              </w:rPr>
              <w:t>5,720</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6,500 </w:t>
            </w:r>
            <w:r>
              <w:rPr>
                <w:rFonts w:ascii="SimSun" w:eastAsia="SimSun" w:hAnsi="SimSun" w:cs="SimSun"/>
                <w:color w:val="000000"/>
                <w:spacing w:val="0"/>
                <w:w w:val="100"/>
                <w:position w:val="0"/>
                <w:sz w:val="17"/>
                <w:szCs w:val="17"/>
              </w:rPr>
              <w:t>万元、</w:t>
            </w:r>
            <w:r>
              <w:rPr>
                <w:color w:val="000000"/>
                <w:spacing w:val="0"/>
                <w:w w:val="100"/>
                <w:position w:val="0"/>
                <w:sz w:val="18"/>
                <w:szCs w:val="18"/>
              </w:rPr>
              <w:t>7,500</w:t>
            </w:r>
            <w:r>
              <w:rPr>
                <w:rFonts w:ascii="SimSun" w:eastAsia="SimSun" w:hAnsi="SimSun" w:cs="SimSun"/>
                <w:color w:val="000000"/>
                <w:spacing w:val="0"/>
                <w:w w:val="100"/>
                <w:position w:val="0"/>
                <w:sz w:val="17"/>
                <w:szCs w:val="17"/>
              </w:rPr>
              <w:t>万元、</w:t>
            </w:r>
            <w:r>
              <w:rPr>
                <w:color w:val="000000"/>
                <w:spacing w:val="0"/>
                <w:w w:val="100"/>
                <w:position w:val="0"/>
                <w:sz w:val="18"/>
                <w:szCs w:val="18"/>
              </w:rPr>
              <w:t>8,400</w:t>
            </w:r>
            <w:r>
              <w:rPr>
                <w:rFonts w:ascii="SimSun" w:eastAsia="SimSun" w:hAnsi="SimSun" w:cs="SimSun"/>
                <w:color w:val="000000"/>
                <w:spacing w:val="0"/>
                <w:w w:val="100"/>
                <w:position w:val="0"/>
                <w:sz w:val="17"/>
                <w:szCs w:val="17"/>
              </w:rPr>
              <w:t>万元。省广 股份在上述四个年度每年会计年度结 束时，聘请具有相关证券业务资格的 会计师事务所对上市公司和标的公司 进行年度审计的同时，由该会计师事 务所对标的公司当年实现的税后净利 润数与同期承诺数的差异情况出具专 项审核意见。另外，根据《祝卫东关 于盈利补偿的承诺函》，若无法于</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日之前完成本次交易（以 目标公司股权过户至省广股份名下为 准），则祝卫东承诺盈利补偿期相应顺 延为</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2017</w:t>
            </w:r>
            <w:r>
              <w:rPr>
                <w:rFonts w:ascii="SimSun" w:eastAsia="SimSun" w:hAnsi="SimSun" w:cs="SimSun"/>
                <w:color w:val="000000"/>
                <w:spacing w:val="0"/>
                <w:w w:val="100"/>
                <w:position w:val="0"/>
                <w:sz w:val="17"/>
                <w:szCs w:val="17"/>
              </w:rPr>
              <w:t>年，并 对目标公司归属于母公司股东的扣除 非经常性损益后的净利润作出如下承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超期未履行</w:t>
            </w:r>
          </w:p>
        </w:tc>
      </w:tr>
    </w:tbl>
    <w:p>
      <w:pPr>
        <w:spacing w:lineRule="exact" w:line="1"/>
        <w:rPr>
          <w:sz w:val="2"/>
          <w:szCs w:val="2"/>
        </w:rPr>
      </w:pPr>
      <w:r>
        <w:br w:type="page"/>
      </w:r>
    </w:p>
    <w:tbl>
      <w:tblPr>
        <w:tblOverlap w:val="never"/>
        <w:jc w:val="center"/>
        <w:tblLayout w:type="fixed"/>
      </w:tblPr>
      <w:tblGrid>
        <w:gridCol w:w="1714"/>
        <w:gridCol w:w="998"/>
        <w:gridCol w:w="994"/>
        <w:gridCol w:w="2986"/>
        <w:gridCol w:w="1022"/>
        <w:gridCol w:w="994"/>
        <w:gridCol w:w="100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诺：目标公司于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2017</w:t>
            </w:r>
            <w:r>
              <w:rPr>
                <w:rFonts w:ascii="SimSun" w:eastAsia="SimSun" w:hAnsi="SimSun" w:cs="SimSun"/>
                <w:color w:val="000000"/>
                <w:spacing w:val="0"/>
                <w:w w:val="100"/>
                <w:position w:val="0"/>
                <w:sz w:val="17"/>
                <w:szCs w:val="17"/>
              </w:rPr>
              <w:t>年实现的归属于母公司股东 的扣除非经常性损益后的净利润应分 别不低于人民币</w:t>
            </w:r>
            <w:r>
              <w:rPr>
                <w:color w:val="000000"/>
                <w:spacing w:val="0"/>
                <w:w w:val="100"/>
                <w:position w:val="0"/>
                <w:sz w:val="18"/>
                <w:szCs w:val="18"/>
              </w:rPr>
              <w:t>6,500</w:t>
            </w:r>
            <w:r>
              <w:rPr>
                <w:rFonts w:ascii="SimSun" w:eastAsia="SimSun" w:hAnsi="SimSun" w:cs="SimSun"/>
                <w:color w:val="000000"/>
                <w:spacing w:val="0"/>
                <w:w w:val="100"/>
                <w:position w:val="0"/>
                <w:sz w:val="17"/>
                <w:szCs w:val="17"/>
              </w:rPr>
              <w:t>万元、</w:t>
            </w:r>
            <w:r>
              <w:rPr>
                <w:color w:val="000000"/>
                <w:spacing w:val="0"/>
                <w:w w:val="100"/>
                <w:position w:val="0"/>
                <w:sz w:val="18"/>
                <w:szCs w:val="18"/>
              </w:rPr>
              <w:t>7,500</w:t>
            </w:r>
            <w:r>
              <w:rPr>
                <w:rFonts w:ascii="SimSun" w:eastAsia="SimSun" w:hAnsi="SimSun" w:cs="SimSun"/>
                <w:color w:val="000000"/>
                <w:spacing w:val="0"/>
                <w:w w:val="100"/>
                <w:position w:val="0"/>
                <w:sz w:val="17"/>
                <w:szCs w:val="17"/>
              </w:rPr>
              <w:t>万 元、</w:t>
            </w:r>
            <w:r>
              <w:rPr>
                <w:color w:val="000000"/>
                <w:spacing w:val="0"/>
                <w:w w:val="100"/>
                <w:position w:val="0"/>
                <w:sz w:val="18"/>
                <w:szCs w:val="18"/>
              </w:rPr>
              <w:t>8,400</w:t>
            </w:r>
            <w:r>
              <w:rPr>
                <w:rFonts w:ascii="SimSun" w:eastAsia="SimSun" w:hAnsi="SimSun" w:cs="SimSun"/>
                <w:color w:val="000000"/>
                <w:spacing w:val="0"/>
                <w:w w:val="100"/>
                <w:position w:val="0"/>
                <w:sz w:val="17"/>
                <w:szCs w:val="17"/>
              </w:rPr>
              <w:t>万元、</w:t>
            </w:r>
            <w:r>
              <w:rPr>
                <w:color w:val="000000"/>
                <w:spacing w:val="0"/>
                <w:w w:val="100"/>
                <w:position w:val="0"/>
                <w:sz w:val="18"/>
                <w:szCs w:val="18"/>
              </w:rPr>
              <w:t>8,400</w:t>
            </w:r>
            <w:r>
              <w:rPr>
                <w:rFonts w:ascii="SimSun" w:eastAsia="SimSun" w:hAnsi="SimSun" w:cs="SimSun"/>
                <w:color w:val="000000"/>
                <w:spacing w:val="0"/>
                <w:w w:val="100"/>
                <w:position w:val="0"/>
                <w:sz w:val="17"/>
                <w:szCs w:val="17"/>
              </w:rPr>
              <w:t>万元。在盈利 补偿期内，目标公司任意一年实现的 归属于母公司股东的扣除非经常性损 益后的净利润数低于对应年度的承诺 净利润数，交易对方中第一顺位业绩 补偿责任人将优先以股份进行补偿， 不足部分以现金补偿的方式履行业绩 补偿承诺；如第一顺位业绩补偿责任 人根据本次交易所获全部对价仍不足 以补偿，由第二顺位业绩补偿责任人 以本次交易取得的对价为限按照交易 前持有标的资产的相对股权比例各自 承担补偿责任，补偿方式以股份补偿 为优先，不足部分以现金补偿。在上 海雅润盈利补偿期最后一会计年度审 计报告出具日前，公司将对标的资产 进行减值测试，并聘请具有证券业从 业资格的会计师事务所出具相关专项 审核报告。如：标的资产期末减值额</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补偿期限内已补偿股份总数</w:t>
            </w:r>
            <w:r>
              <w:rPr>
                <w:color w:val="000000"/>
                <w:spacing w:val="0"/>
                <w:w w:val="100"/>
                <w:position w:val="0"/>
                <w:sz w:val="18"/>
                <w:szCs w:val="18"/>
              </w:rPr>
              <w:t>*</w:t>
            </w:r>
            <w:r>
              <w:rPr>
                <w:rFonts w:ascii="SimSun" w:eastAsia="SimSun" w:hAnsi="SimSun" w:cs="SimSun"/>
                <w:color w:val="000000"/>
                <w:spacing w:val="0"/>
                <w:w w:val="100"/>
                <w:position w:val="0"/>
                <w:sz w:val="17"/>
                <w:szCs w:val="17"/>
              </w:rPr>
              <w:t>发行价 格</w:t>
            </w:r>
            <w:r>
              <w:rPr>
                <w:color w:val="000000"/>
                <w:spacing w:val="0"/>
                <w:w w:val="100"/>
                <w:position w:val="0"/>
                <w:sz w:val="18"/>
                <w:szCs w:val="18"/>
              </w:rPr>
              <w:t>+</w:t>
            </w:r>
            <w:r>
              <w:rPr>
                <w:rFonts w:ascii="SimSun" w:eastAsia="SimSun" w:hAnsi="SimSun" w:cs="SimSun"/>
                <w:color w:val="000000"/>
                <w:spacing w:val="0"/>
                <w:w w:val="100"/>
                <w:position w:val="0"/>
                <w:sz w:val="17"/>
                <w:szCs w:val="17"/>
              </w:rPr>
              <w:t>现金补偿金额，则祝卫东应向公司 另行补偿，另需补偿的股份数量为：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（拟购买资产期末减值额</w:t>
            </w:r>
            <w:r>
              <w:rPr>
                <w:color w:val="000000"/>
                <w:spacing w:val="0"/>
                <w:w w:val="100"/>
                <w:position w:val="0"/>
                <w:sz w:val="18"/>
                <w:szCs w:val="18"/>
              </w:rPr>
              <w:t>-</w:t>
            </w:r>
            <w:r>
              <w:rPr>
                <w:rFonts w:ascii="SimSun" w:eastAsia="SimSun" w:hAnsi="SimSun" w:cs="SimSun"/>
                <w:color w:val="000000"/>
                <w:spacing w:val="0"/>
                <w:w w:val="100"/>
                <w:position w:val="0"/>
                <w:sz w:val="17"/>
                <w:szCs w:val="17"/>
              </w:rPr>
              <w:t>已补偿股 份总数</w:t>
            </w:r>
            <w:r>
              <w:rPr>
                <w:color w:val="000000"/>
                <w:spacing w:val="0"/>
                <w:w w:val="100"/>
                <w:position w:val="0"/>
                <w:sz w:val="18"/>
                <w:szCs w:val="18"/>
              </w:rPr>
              <w:t>x</w:t>
            </w:r>
            <w:r>
              <w:rPr>
                <w:rFonts w:ascii="SimSun" w:eastAsia="SimSun" w:hAnsi="SimSun" w:cs="SimSun"/>
                <w:color w:val="000000"/>
                <w:spacing w:val="0"/>
                <w:w w:val="100"/>
                <w:position w:val="0"/>
                <w:sz w:val="17"/>
                <w:szCs w:val="17"/>
              </w:rPr>
              <w:t>发行价格</w:t>
            </w:r>
            <w:r>
              <w:rPr>
                <w:color w:val="000000"/>
                <w:spacing w:val="0"/>
                <w:w w:val="100"/>
                <w:position w:val="0"/>
                <w:sz w:val="18"/>
                <w:szCs w:val="18"/>
              </w:rPr>
              <w:t>-</w:t>
            </w:r>
            <w:r>
              <w:rPr>
                <w:rFonts w:ascii="SimSun" w:eastAsia="SimSun" w:hAnsi="SimSun" w:cs="SimSun"/>
                <w:color w:val="000000"/>
                <w:spacing w:val="0"/>
                <w:w w:val="100"/>
                <w:position w:val="0"/>
                <w:sz w:val="17"/>
                <w:szCs w:val="17"/>
              </w:rPr>
              <w:t>已补偿现金）</w:t>
            </w:r>
            <w:r>
              <w:rPr>
                <w:color w:val="000000"/>
                <w:spacing w:val="0"/>
                <w:w w:val="100"/>
                <w:position w:val="0"/>
                <w:sz w:val="18"/>
                <w:szCs w:val="18"/>
              </w:rPr>
              <w:t>/</w:t>
            </w:r>
            <w:r>
              <w:rPr>
                <w:rFonts w:ascii="SimSun" w:eastAsia="SimSun" w:hAnsi="SimSun" w:cs="SimSun"/>
                <w:color w:val="000000"/>
                <w:spacing w:val="0"/>
                <w:w w:val="100"/>
                <w:position w:val="0"/>
                <w:sz w:val="17"/>
                <w:szCs w:val="17"/>
              </w:rPr>
              <w:t>发行 价格。认购股份总数不足补偿的部分 以现金补偿。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祝卫东出具了《祝卫东与广东省广告 股份有限公司关于避免同业竞争的承 诺函》，承诺：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、本人目前经营的广 告业务均是通过雅润文化（包括其子 公司，下同）进行的，没有直接或间 接通过本人直接或间接控制的其他经 营主体或以自然人名义直接从事与省 广股份及雅润文化现有业务相同或类 似的业务，也没有在与省广股份或雅 润文化存在相同或类似主营业务的任 何经营实体中任职或担任任何形式的 顾问，或有其它任何与省广股份或雅 润文化存在同业竞争的情形。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、本次 交易完成后的在职期间及从省广股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1714"/>
        <w:gridCol w:w="998"/>
        <w:gridCol w:w="994"/>
        <w:gridCol w:w="2986"/>
        <w:gridCol w:w="1022"/>
        <w:gridCol w:w="994"/>
        <w:gridCol w:w="100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份、雅润文化离职后两年内，本人将 不会直接或间接从事任何与省广股 份、雅润文化主营业务相同或相似的 业务；且不谋求拥有与省广股份、雅 润文化存在竞争关系的任何经济实体 的权益；不在同省广股份或雅润文化 存在相同或者类似业务的任何经营实 体中任职或者担任任何形式的顾问； 不以省广股份或雅润文化以外的名义 为省广股份或雅润文化现有客户提供 品牌规划、广告策划、创意设计、媒 介代理投放、促销与公关活动、企业 形象等服务；避免产生任何同业竞争 情形。</w:t>
            </w:r>
            <w:r>
              <w:rPr>
                <w:color w:val="000000"/>
                <w:spacing w:val="0"/>
                <w:w w:val="100"/>
                <w:position w:val="0"/>
                <w:sz w:val="18"/>
                <w:szCs w:val="18"/>
              </w:rPr>
              <w:t>3</w:t>
            </w:r>
            <w:r>
              <w:rPr>
                <w:rFonts w:ascii="SimSun" w:eastAsia="SimSun" w:hAnsi="SimSun" w:cs="SimSun"/>
                <w:color w:val="000000"/>
                <w:spacing w:val="0"/>
                <w:w w:val="100"/>
                <w:position w:val="0"/>
                <w:sz w:val="17"/>
                <w:szCs w:val="17"/>
              </w:rPr>
              <w:t>、若违反上述承诺而给省广股 份或雅润文化造成损失的，本人取得 的经营利润归省广股份所有，并赔偿 省广股份或雅润文化所受到的一切损 失。祝卫东出具了《祝卫东关于规范 关联交易的承诺函》，承诺如下：</w:t>
            </w:r>
            <w:r>
              <w:rPr>
                <w:color w:val="000000"/>
                <w:spacing w:val="0"/>
                <w:w w:val="100"/>
                <w:position w:val="0"/>
                <w:sz w:val="18"/>
                <w:szCs w:val="18"/>
              </w:rPr>
              <w:t>1</w:t>
            </w:r>
            <w:r>
              <w:rPr>
                <w:rFonts w:ascii="SimSun" w:eastAsia="SimSun" w:hAnsi="SimSun" w:cs="SimSun"/>
                <w:color w:val="000000"/>
                <w:spacing w:val="0"/>
                <w:w w:val="100"/>
                <w:position w:val="0"/>
                <w:sz w:val="17"/>
                <w:szCs w:val="17"/>
              </w:rPr>
              <w:t>、 本人将按照《公司法》等法律法规、 省广股份、雅润文化公司章程的有关 规定行使股东权利；在股东大会对涉 及本人的关联交易进行表决时，履行 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、本人将避免一切 非法占用省广股份、雅润文化的资金、 资产的行为，在任何情况下，不要求 省广股份及雅润文化向本人及本人投 资或控制的其他法人提供任何形式的 担保。</w:t>
            </w:r>
            <w:r>
              <w:rPr>
                <w:color w:val="000000"/>
                <w:spacing w:val="0"/>
                <w:w w:val="100"/>
                <w:position w:val="0"/>
                <w:sz w:val="18"/>
                <w:szCs w:val="18"/>
              </w:rPr>
              <w:t>3</w:t>
            </w:r>
            <w:r>
              <w:rPr>
                <w:rFonts w:ascii="SimSun" w:eastAsia="SimSun" w:hAnsi="SimSun" w:cs="SimSun"/>
                <w:color w:val="000000"/>
                <w:spacing w:val="0"/>
                <w:w w:val="100"/>
                <w:position w:val="0"/>
                <w:sz w:val="17"/>
                <w:szCs w:val="17"/>
              </w:rPr>
              <w:t>、本人将尽可能地避免和减少 与雅润文化及其子公司的关联交易； 对无法避免或者有合理原因而发生的 关联交易，将遵循市场公正、公平、 公开的原则，并依法签订协议，履行 合法程序，按照雅润文化公司章程、 有关法律法规和《深圳证券交易所股 票上市规则》等有关规定履行信息披 露义务和办理有关报批程序，保证不 通过关联交易损害省广股份及其他股 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、若未履行本承诺函 所作的承诺而给省广股份或雅润文化 造成的一切损失，本人愿意承担赔偿 责任。本承诺自本人持有上市公司股 份及在省广股份或雅润文化任职期间 均持续有效且不可变更或撤销。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998"/>
        <w:gridCol w:w="994"/>
        <w:gridCol w:w="2986"/>
        <w:gridCol w:w="1022"/>
        <w:gridCol w:w="994"/>
        <w:gridCol w:w="1008"/>
      </w:tblGrid>
      <w:tr>
        <w:trPr>
          <w:trHeight w:val="50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首次公开发行或再融 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董事、监事、 高级管理人 员戴书华 （已离职）、 陈钿隆、丁 邦清（已离 职）、康安卓 （已离职）、 李崇宇（已 离职）、郝建 平（已离 职）、夏跃 （已离职）、 何滨、沙宗 义（已离 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自发行人股票在证券交易所上市交易 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个月内，不转让本次发行前所 持有的全部股份。在上述锁定期限届 满后，在任职期间每年转让的股份不 超过其所持发行人股份的</w:t>
            </w:r>
            <w:r>
              <w:rPr>
                <w:color w:val="000000"/>
                <w:spacing w:val="0"/>
                <w:w w:val="100"/>
                <w:position w:val="0"/>
                <w:sz w:val="18"/>
                <w:szCs w:val="18"/>
              </w:rPr>
              <w:t>25%</w:t>
            </w:r>
            <w:r>
              <w:rPr>
                <w:rFonts w:ascii="SimSun" w:eastAsia="SimSun" w:hAnsi="SimSun" w:cs="SimSun"/>
                <w:color w:val="000000"/>
                <w:spacing w:val="0"/>
                <w:w w:val="100"/>
                <w:position w:val="0"/>
                <w:sz w:val="17"/>
                <w:szCs w:val="17"/>
              </w:rPr>
              <w:t>；在离 职后半年内，不转让发行前其所持有 的发行人股票；在申报离任六个月后 的十二月内，通过证券交易所挂牌交 易出售发行人股票数量占其所持有发 行人股票总数的比例不超过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自本公司股 票上市之日 起三十六个 月内；在任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广东省广新 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本公司的控股股东广东省广新外贸集 团有限公司（现更名为广东省广新控 股集团有限公司）出具《避免同业竞 争承诺函》承诺：</w:t>
            </w:r>
            <w:r>
              <w:rPr>
                <w:color w:val="000000"/>
                <w:spacing w:val="0"/>
                <w:w w:val="100"/>
                <w:position w:val="0"/>
              </w:rPr>
              <w:t>"1</w:t>
            </w:r>
            <w:r>
              <w:rPr>
                <w:rFonts w:ascii="SimSun" w:eastAsia="SimSun" w:hAnsi="SimSun" w:cs="SimSun"/>
                <w:color w:val="000000"/>
                <w:spacing w:val="0"/>
                <w:w w:val="100"/>
                <w:position w:val="0"/>
                <w:sz w:val="17"/>
                <w:szCs w:val="17"/>
              </w:rPr>
              <w:t>、本公司以及本 公司之全资、控股企业没有从事与省 广股份目前的经营业务构成直接竞争 关系的业务。</w:t>
            </w:r>
            <w:r>
              <w:rPr>
                <w:color w:val="000000"/>
                <w:spacing w:val="0"/>
                <w:w w:val="100"/>
                <w:position w:val="0"/>
              </w:rPr>
              <w:t>2</w:t>
            </w:r>
            <w:r>
              <w:rPr>
                <w:rFonts w:ascii="SimSun" w:eastAsia="SimSun" w:hAnsi="SimSun" w:cs="SimSun"/>
                <w:color w:val="000000"/>
                <w:spacing w:val="0"/>
                <w:w w:val="100"/>
                <w:position w:val="0"/>
                <w:sz w:val="17"/>
                <w:szCs w:val="17"/>
              </w:rPr>
              <w:t>、本公司及本公司之全 资、控股企业今后均不从事或投资与 省广股份的经营业务构成直接竞争关 系的业务。</w:t>
            </w:r>
            <w:r>
              <w:rPr>
                <w:color w:val="000000"/>
                <w:spacing w:val="0"/>
                <w:w w:val="100"/>
                <w:position w:val="0"/>
              </w:rPr>
              <w:t>3</w:t>
            </w:r>
            <w:r>
              <w:rPr>
                <w:rFonts w:ascii="SimSun" w:eastAsia="SimSun" w:hAnsi="SimSun" w:cs="SimSun"/>
                <w:color w:val="000000"/>
                <w:spacing w:val="0"/>
                <w:w w:val="100"/>
                <w:position w:val="0"/>
                <w:sz w:val="17"/>
                <w:szCs w:val="17"/>
              </w:rPr>
              <w:t>、如因本公司违反本承诺 函中所作出的承诺，本公司将立即停 止违反承诺之行为并赔偿省广股份的 全部损失。</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本公司董 事、监事、 高级管理人 员或核心技 术人员的自</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然人股东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本公司董事、监事、高级管理人员或 核心技术人员的自然人股东出具《避 免同业竞争承诺函》承诺：</w:t>
            </w:r>
            <w:r>
              <w:rPr>
                <w:color w:val="000000"/>
                <w:spacing w:val="0"/>
                <w:w w:val="100"/>
                <w:position w:val="0"/>
              </w:rPr>
              <w:t>”1</w:t>
            </w:r>
            <w:r>
              <w:rPr>
                <w:rFonts w:ascii="SimSun" w:eastAsia="SimSun" w:hAnsi="SimSun" w:cs="SimSun"/>
                <w:color w:val="000000"/>
                <w:spacing w:val="0"/>
                <w:w w:val="100"/>
                <w:position w:val="0"/>
                <w:sz w:val="17"/>
                <w:szCs w:val="17"/>
              </w:rPr>
              <w:t>、本人 目前没有投资于与省广股份目前的经 营业务构成直接竞争关系的业务。</w:t>
            </w:r>
            <w:r>
              <w:rPr>
                <w:color w:val="000000"/>
                <w:spacing w:val="0"/>
                <w:w w:val="100"/>
                <w:position w:val="0"/>
              </w:rPr>
              <w:t>2</w:t>
            </w:r>
            <w:r>
              <w:rPr>
                <w:rFonts w:ascii="SimSun" w:eastAsia="SimSun" w:hAnsi="SimSun" w:cs="SimSun"/>
                <w:color w:val="000000"/>
                <w:spacing w:val="0"/>
                <w:w w:val="100"/>
                <w:position w:val="0"/>
                <w:sz w:val="17"/>
                <w:szCs w:val="17"/>
              </w:rPr>
              <w:t>、 本人今后不投资与省广股份的经营业 务构成直接竞争关系的业务。</w:t>
            </w:r>
            <w:r>
              <w:rPr>
                <w:color w:val="000000"/>
                <w:spacing w:val="0"/>
                <w:w w:val="100"/>
                <w:position w:val="0"/>
              </w:rPr>
              <w:t>3</w:t>
            </w:r>
            <w:r>
              <w:rPr>
                <w:rFonts w:ascii="SimSun" w:eastAsia="SimSun" w:hAnsi="SimSun" w:cs="SimSun"/>
                <w:color w:val="000000"/>
                <w:spacing w:val="0"/>
                <w:w w:val="100"/>
                <w:position w:val="0"/>
                <w:sz w:val="17"/>
                <w:szCs w:val="17"/>
              </w:rPr>
              <w:t>、如因 本人违反本承诺函中所作出的承诺， 本人将立即停止违反承诺之行为并赔 偿省广股份的全部损失。</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1714"/>
        <w:gridCol w:w="80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承诺是否按时履行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如承诺超期未履行完 毕的，应当详细说明 未完成履行的具体原 因及下一步的工作计 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针对公司原子公司上海雅润文化传播有限公司资产减值所涉及的需补偿承诺方祝卫东进行股份补偿事 项，根据业绩补偿协议，补偿承诺方祝卫东持有的公司全部股份需要以</w:t>
            </w:r>
            <w:r>
              <w:rPr>
                <w:color w:val="000000"/>
                <w:spacing w:val="0"/>
                <w:w w:val="100"/>
                <w:position w:val="0"/>
                <w:sz w:val="18"/>
                <w:szCs w:val="18"/>
              </w:rPr>
              <w:t>1</w:t>
            </w:r>
            <w:r>
              <w:rPr>
                <w:rFonts w:ascii="SimSun" w:eastAsia="SimSun" w:hAnsi="SimSun" w:cs="SimSun"/>
                <w:color w:val="000000"/>
                <w:spacing w:val="0"/>
                <w:w w:val="100"/>
                <w:position w:val="0"/>
                <w:sz w:val="17"/>
                <w:szCs w:val="17"/>
              </w:rPr>
              <w:t>元的价格被公司回购后进行 注销予以补偿标的资产的减值。但由于补偿承诺方祝卫东持有的公司股份已全部被质押和冻结，在质 押和司法冻结未被解除的情况下，该部分股份暂时无法被注销。公司已于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月委托国信信扬律 师事务所采取司法途径来维护公司在资产减值补偿事宜中的相关合法权益。经广东省广州市中级人民 法院（以下简称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广州中院</w:t>
            </w:r>
            <w:r>
              <w:rPr>
                <w:color w:val="000000"/>
                <w:spacing w:val="0"/>
                <w:w w:val="100"/>
                <w:position w:val="0"/>
                <w:sz w:val="18"/>
                <w:szCs w:val="18"/>
              </w:rPr>
              <w:t>”</w:t>
            </w:r>
            <w:r>
              <w:rPr>
                <w:rFonts w:ascii="SimSun" w:eastAsia="SimSun" w:hAnsi="SimSun" w:cs="SimSun"/>
                <w:color w:val="000000"/>
                <w:spacing w:val="0"/>
                <w:w w:val="100"/>
                <w:position w:val="0"/>
                <w:sz w:val="17"/>
                <w:szCs w:val="17"/>
              </w:rPr>
              <w:t>）受理，该案已于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月在广州中院进行了开庭审理，具体内容详见 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日在指定信息披露平台《证券时报》和巨潮资讯网（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 露的《关于诉讼事项的进展公告》（公告编号：</w:t>
            </w:r>
            <w:r>
              <w:rPr>
                <w:color w:val="000000"/>
                <w:spacing w:val="0"/>
                <w:w w:val="100"/>
                <w:position w:val="0"/>
                <w:sz w:val="18"/>
                <w:szCs w:val="18"/>
              </w:rPr>
              <w:t>2019-014</w:t>
            </w:r>
            <w:r>
              <w:rPr>
                <w:rFonts w:ascii="SimSun" w:eastAsia="SimSun" w:hAnsi="SimSun" w:cs="SimSun"/>
                <w:color w:val="000000"/>
                <w:spacing w:val="0"/>
                <w:w w:val="100"/>
                <w:position w:val="0"/>
                <w:sz w:val="17"/>
                <w:szCs w:val="17"/>
              </w:rPr>
              <w:t>）。该案于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月在广州中院进行了二次 开庭审理，并于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月收到广州中院针对本案出具的《民事判决书》，具体内容详见公司于</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日在指定信息披露平台《证券时报》和巨潮资讯网（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上披露的《关于 诉讼事项的进展公告》（公告编号：</w:t>
            </w:r>
            <w:r>
              <w:rPr>
                <w:color w:val="000000"/>
                <w:spacing w:val="0"/>
                <w:w w:val="100"/>
                <w:position w:val="0"/>
                <w:sz w:val="18"/>
                <w:szCs w:val="18"/>
              </w:rPr>
              <w:t>2019-052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。因祝卫东逾期未履行上述民事判决书中确定的相关义 务，广州中院已于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月立案执行。经采取多方执行措施，未发现被执行人祝卫东有可供执行的 财产，本案依法终结本次执行程序。终结本次执行程序后，被执行人祝卫东仍负有继续向公司履行债 务的义务，公司发现被执行人祝卫东有可供执行的财产的，可以向广州中院申请恢复执行。目前祝卫 东持有的全部公司股份已被广州中院轮候冻结，具体内容详见</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日刊载于公司指定信息 披露平台巨潮资讯网（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）的《关于诉讼事项的进展公告》（公告编号：</w:t>
            </w:r>
            <w:r>
              <w:rPr>
                <w:color w:val="000000"/>
                <w:spacing w:val="0"/>
                <w:w w:val="100"/>
                <w:position w:val="0"/>
                <w:sz w:val="18"/>
                <w:szCs w:val="18"/>
              </w:rPr>
              <w:t>2020-021</w:t>
            </w:r>
            <w:r>
              <w:rPr>
                <w:rFonts w:ascii="SimSun" w:eastAsia="SimSun" w:hAnsi="SimSun" w:cs="SimSun"/>
                <w:color w:val="000000"/>
                <w:spacing w:val="0"/>
                <w:w w:val="100"/>
                <w:position w:val="0"/>
                <w:sz w:val="17"/>
                <w:szCs w:val="17"/>
              </w:rPr>
              <w:t>）。 公司后续将密切关注和寻找被执行人祝卫东可供执行的财产状况和线索，积极向法院申请恢复执行， 维护公司合法权益。</w:t>
            </w:r>
          </w:p>
        </w:tc>
      </w:tr>
    </w:tbl>
    <w:p>
      <w:pPr>
        <w:widowControl w:val="0"/>
        <w:spacing w:after="259" w:line="1" w:lineRule="exact"/>
      </w:pPr>
    </w:p>
    <w:p>
      <w:pPr>
        <w:pStyle w:val="Style32"/>
        <w:keepNext/>
        <w:keepLines/>
        <w:widowControl w:val="0"/>
        <w:shd w:val="clear" w:color="auto" w:fill="auto"/>
        <w:bidi w:val="0"/>
        <w:spacing w:before="0" w:after="380" w:line="322"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、公司资产或项目存在盈利预测，且报告期仍处在盈利预测期间，公司就资产或项目达到原盈利预测及 其原因做出说明</w:t>
      </w:r>
      <w:bookmarkEnd w:id="272"/>
      <w:bookmarkEnd w:id="273"/>
      <w:bookmarkEnd w:id="275"/>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38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四</w:t>
      </w:r>
      <w:bookmarkEnd w:id="278"/>
      <w:r>
        <w:rPr>
          <w:color w:val="000000"/>
          <w:spacing w:val="0"/>
          <w:w w:val="100"/>
          <w:position w:val="0"/>
        </w:rPr>
        <w:t>、</w:t>
        <w:tab/>
        <w:t>控股股东及其关联方对上市公司的非经营性占用资金情况</w:t>
      </w:r>
      <w:bookmarkEnd w:id="276"/>
      <w:bookmarkEnd w:id="277"/>
      <w:bookmarkEnd w:id="27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38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五</w:t>
      </w:r>
      <w:bookmarkEnd w:id="28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0"/>
      <w:bookmarkEnd w:id="281"/>
      <w:bookmarkEnd w:id="283"/>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六</w:t>
      </w:r>
      <w:bookmarkEnd w:id="286"/>
      <w:r>
        <w:rPr>
          <w:color w:val="000000"/>
          <w:spacing w:val="0"/>
          <w:w w:val="100"/>
          <w:position w:val="0"/>
        </w:rPr>
        <w:t>、</w:t>
        <w:tab/>
        <w:t>与上年度财务报告相比，会计政策、会计估计和核算方法发生变化的情况说明</w:t>
      </w:r>
      <w:bookmarkEnd w:id="284"/>
      <w:bookmarkEnd w:id="285"/>
      <w:bookmarkEnd w:id="287"/>
    </w:p>
    <w:p>
      <w:pPr>
        <w:pStyle w:val="Style2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16"/>
          <w:szCs w:val="16"/>
        </w:rPr>
        <w:t>1</w:t>
      </w:r>
      <w:r>
        <w:rPr>
          <w:color w:val="000000"/>
          <w:spacing w:val="0"/>
          <w:w w:val="100"/>
          <w:position w:val="0"/>
        </w:rPr>
        <w:t>、会计政策变更</w:t>
      </w:r>
    </w:p>
    <w:p>
      <w:pPr>
        <w:pStyle w:val="Style28"/>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执行新收入准则导致的会计政策变更</w:t>
      </w:r>
    </w:p>
    <w:p>
      <w:pPr>
        <w:pStyle w:val="Style28"/>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财政部于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5</w:t>
      </w:r>
      <w:r>
        <w:rPr>
          <w:color w:val="000000"/>
          <w:spacing w:val="0"/>
          <w:w w:val="100"/>
          <w:position w:val="0"/>
        </w:rPr>
        <w:t>日发布了《企业会计准则第</w:t>
      </w:r>
      <w:r>
        <w:rPr>
          <w:color w:val="000000"/>
          <w:spacing w:val="0"/>
          <w:w w:val="100"/>
          <w:position w:val="0"/>
          <w:sz w:val="16"/>
          <w:szCs w:val="16"/>
        </w:rPr>
        <w:t>14</w:t>
      </w:r>
      <w:r>
        <w:rPr>
          <w:color w:val="000000"/>
          <w:spacing w:val="0"/>
          <w:w w:val="100"/>
          <w:position w:val="0"/>
        </w:rPr>
        <w:t>号一一收入</w:t>
      </w:r>
      <w:r>
        <w:rPr>
          <w:color w:val="000000"/>
          <w:spacing w:val="0"/>
          <w:w w:val="100"/>
          <w:position w:val="0"/>
          <w:sz w:val="16"/>
          <w:szCs w:val="16"/>
        </w:rPr>
        <w:t>（2017</w:t>
      </w:r>
      <w:r>
        <w:rPr>
          <w:color w:val="000000"/>
          <w:spacing w:val="0"/>
          <w:w w:val="100"/>
          <w:position w:val="0"/>
        </w:rPr>
        <w:t>年修订）》（财会</w:t>
      </w:r>
      <w:r>
        <w:rPr>
          <w:color w:val="000000"/>
          <w:spacing w:val="0"/>
          <w:w w:val="100"/>
          <w:position w:val="0"/>
          <w:sz w:val="16"/>
          <w:szCs w:val="16"/>
        </w:rPr>
        <w:t>[2017]22</w:t>
      </w:r>
      <w:r>
        <w:rPr>
          <w:color w:val="000000"/>
          <w:spacing w:val="0"/>
          <w:w w:val="100"/>
          <w:position w:val="0"/>
        </w:rPr>
        <w:t>号）（以下简称“新收</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入准则”</w:t>
      </w:r>
      <w:r>
        <w:rPr>
          <w:color w:val="000000"/>
          <w:spacing w:val="0"/>
          <w:w w:val="100"/>
          <w:position w:val="0"/>
          <w:sz w:val="16"/>
          <w:szCs w:val="16"/>
        </w:rPr>
        <w:t>）</w:t>
      </w:r>
      <w:r>
        <w:rPr>
          <w:color w:val="000000"/>
          <w:spacing w:val="0"/>
          <w:w w:val="100"/>
          <w:position w:val="0"/>
        </w:rPr>
        <w:t>。经本公司第五届董事会第二次会议于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日决议通过，本集团于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日起开始执行前述新收入</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准则。</w:t>
      </w:r>
    </w:p>
    <w:p>
      <w:pPr>
        <w:pStyle w:val="Style28"/>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新收入准则为规范与客户之间的合同产生的收入建立了新的收入确认模型。为执行新收入准则，本集团重新评估主要合 同收入的确认和计量、核算和列报等方面。根据新收入准则的规定，选择仅对在</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日尚未完成的合同的累积影响数 进行调整。首次执行的累积影响金额调整首次执行当期期初（即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日）的留存收益及财务报表其他相关项目金额， 对可比期间信息不予调整。</w:t>
      </w:r>
    </w:p>
    <w:p>
      <w:pPr>
        <w:pStyle w:val="Style28"/>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执行新收入准则的主要变化和影响如下：</w:t>
      </w:r>
    </w:p>
    <w:p>
      <w:pPr>
        <w:pStyle w:val="Style28"/>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――本集团将因转让商品而预先收取客户的合同对价从“预收账款”项目变更为“合同负债”、“其他流动负债”项目 列报。</w:t>
      </w:r>
    </w:p>
    <w:p>
      <w:pPr>
        <w:pStyle w:val="Style28"/>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――本集团的一些应收款项不满足无条件（即：仅取决于时间流逝）向客户收取对价的条件，本集团将其重分类列报为 合同资产。</w:t>
      </w:r>
    </w:p>
    <w:p>
      <w:pPr>
        <w:pStyle w:val="Style28"/>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――本集团将一些尚不满足收入确认条件而为履行合同发生的成本，本集团将其重分类列报为合同履约成本。</w:t>
      </w:r>
    </w:p>
    <w:p>
      <w:pPr>
        <w:pStyle w:val="Style28"/>
        <w:keepNext w:val="0"/>
        <w:keepLines w:val="0"/>
        <w:widowControl w:val="0"/>
        <w:shd w:val="clear" w:color="auto" w:fill="auto"/>
        <w:bidi w:val="0"/>
        <w:spacing w:before="0" w:after="240" w:line="466" w:lineRule="exact"/>
        <w:ind w:left="0" w:right="0" w:firstLine="380"/>
        <w:jc w:val="left"/>
      </w:pPr>
      <w:r>
        <w:rPr>
          <w:color w:val="000000"/>
          <w:spacing w:val="0"/>
          <w:w w:val="100"/>
          <w:position w:val="0"/>
          <w:sz w:val="16"/>
          <w:szCs w:val="16"/>
        </w:rPr>
        <w:t>A</w:t>
      </w:r>
      <w:r>
        <w:rPr>
          <w:color w:val="000000"/>
          <w:spacing w:val="0"/>
          <w:w w:val="100"/>
          <w:position w:val="0"/>
        </w:rPr>
        <w:t>、</w:t>
      </w:r>
      <w:r>
        <w:rPr>
          <w:color w:val="000000"/>
          <w:spacing w:val="0"/>
          <w:w w:val="100"/>
          <w:position w:val="0"/>
        </w:rPr>
        <w:t>对</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日财务报表的影响</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963"/>
        <w:gridCol w:w="1963"/>
        <w:gridCol w:w="1963"/>
        <w:gridCol w:w="197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日（变更前）金额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日（变更后）金额</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25,186,332,123.87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764,706,565.37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2,496,535,298.99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764,706,565.37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22,097,914.88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613,504,695.29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159,284,673.38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411,217,531.99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91,599,254.67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202,287,163.30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67,685,418.71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295,458,045.38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244,405,737.11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289,091,328.43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244,405,737.11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6,366,716.95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280" w:line="240" w:lineRule="auto"/>
        <w:ind w:left="0" w:right="0" w:firstLine="380"/>
        <w:jc w:val="left"/>
      </w:pPr>
      <w:r>
        <w:rPr>
          <w:color w:val="000000"/>
          <w:spacing w:val="0"/>
          <w:w w:val="100"/>
          <w:position w:val="0"/>
          <w:sz w:val="16"/>
          <w:szCs w:val="16"/>
        </w:rPr>
        <w:t>B</w:t>
      </w:r>
      <w:r>
        <w:rPr>
          <w:color w:val="000000"/>
          <w:spacing w:val="0"/>
          <w:w w:val="100"/>
          <w:position w:val="0"/>
        </w:rPr>
        <w:t>、</w:t>
      </w:r>
      <w:r>
        <w:rPr>
          <w:color w:val="000000"/>
          <w:spacing w:val="0"/>
          <w:w w:val="100"/>
          <w:position w:val="0"/>
        </w:rPr>
        <w:t>对</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r>
        <w:rPr>
          <w:color w:val="000000"/>
          <w:spacing w:val="0"/>
          <w:w w:val="100"/>
          <w:position w:val="0"/>
          <w:sz w:val="16"/>
          <w:szCs w:val="16"/>
        </w:rPr>
        <w:t>/2020</w:t>
      </w:r>
      <w:r>
        <w:rPr>
          <w:color w:val="000000"/>
          <w:spacing w:val="0"/>
          <w:w w:val="100"/>
          <w:position w:val="0"/>
        </w:rPr>
        <w:t>年度的影响</w:t>
      </w:r>
    </w:p>
    <w:p>
      <w:pPr>
        <w:pStyle w:val="Style28"/>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采用变更后会计政策编制的</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日合并及公司资产负债表各项目、</w:t>
      </w:r>
      <w:r>
        <w:rPr>
          <w:color w:val="000000"/>
          <w:spacing w:val="0"/>
          <w:w w:val="100"/>
          <w:position w:val="0"/>
          <w:sz w:val="16"/>
          <w:szCs w:val="16"/>
        </w:rPr>
        <w:t>2020</w:t>
      </w:r>
      <w:r>
        <w:rPr>
          <w:color w:val="000000"/>
          <w:spacing w:val="0"/>
          <w:w w:val="100"/>
          <w:position w:val="0"/>
        </w:rPr>
        <w:t xml:space="preserve">年度合并及公司利润表各项目，与假定 </w:t>
      </w:r>
      <w:r>
        <w:rPr>
          <w:color w:val="000000"/>
          <w:spacing w:val="0"/>
          <w:w w:val="100"/>
          <w:position w:val="0"/>
        </w:rPr>
        <w:t>采用变更前会计政策编制的这些报表项目相比，受影响项目对比情况如下:</w:t>
      </w:r>
    </w:p>
    <w:p>
      <w:pPr>
        <w:pStyle w:val="Style28"/>
        <w:keepNext w:val="0"/>
        <w:keepLines w:val="0"/>
        <w:widowControl w:val="0"/>
        <w:shd w:val="clear" w:color="auto" w:fill="auto"/>
        <w:bidi w:val="0"/>
        <w:spacing w:before="0" w:after="240" w:line="240" w:lineRule="auto"/>
        <w:ind w:left="0" w:right="0" w:firstLine="380"/>
        <w:jc w:val="both"/>
      </w:pPr>
      <w:r>
        <w:rPr>
          <w:color w:val="000000"/>
          <w:spacing w:val="0"/>
          <w:w w:val="100"/>
          <w:position w:val="0"/>
          <w:sz w:val="16"/>
          <w:szCs w:val="16"/>
        </w:rPr>
        <w:t>a</w:t>
      </w:r>
      <w:r>
        <w:rPr>
          <w:color w:val="000000"/>
          <w:spacing w:val="0"/>
          <w:w w:val="100"/>
          <w:position w:val="0"/>
        </w:rPr>
        <w:t>、</w:t>
      </w:r>
      <w:r>
        <w:rPr>
          <w:color w:val="000000"/>
          <w:spacing w:val="0"/>
          <w:w w:val="100"/>
          <w:position w:val="0"/>
        </w:rPr>
        <w:t>对</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日资产负债表的影响</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95"/>
        <w:gridCol w:w="1968"/>
        <w:gridCol w:w="1968"/>
        <w:gridCol w:w="1968"/>
        <w:gridCol w:w="1978"/>
      </w:tblGrid>
      <w:tr>
        <w:trPr>
          <w:trHeight w:val="66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新收入准则下金额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旧收入准则下金额</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3,150,776,058.74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1,032,397,292.62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3,152,531,430.84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1,032,397,292.62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1,755,372.10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333,375,007.08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120,760,006.70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723,741,165.17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409,092,036.67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390,366,158.09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288,332,029.97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946,308.14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187,880,030.55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72,098,752.50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182620512.02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72,098,752.50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95"/>
        <w:gridCol w:w="1968"/>
        <w:gridCol w:w="1968"/>
        <w:gridCol w:w="1968"/>
        <w:gridCol w:w="1978"/>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4,313,210.39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对</w:t>
      </w:r>
      <w:r>
        <w:rPr>
          <w:color w:val="000000"/>
          <w:spacing w:val="0"/>
          <w:w w:val="100"/>
          <w:position w:val="0"/>
          <w:sz w:val="16"/>
          <w:szCs w:val="16"/>
        </w:rPr>
        <w:t>2020</w:t>
      </w:r>
      <w:r>
        <w:rPr>
          <w:color w:val="000000"/>
          <w:spacing w:val="0"/>
          <w:w w:val="100"/>
          <w:position w:val="0"/>
        </w:rPr>
        <w:t>年度利润表的影响</w:t>
      </w:r>
    </w:p>
    <w:p>
      <w:pPr>
        <w:pStyle w:val="Style28"/>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无。</w:t>
      </w:r>
    </w:p>
    <w:p>
      <w:pPr>
        <w:pStyle w:val="Style28"/>
        <w:keepNext w:val="0"/>
        <w:keepLines w:val="0"/>
        <w:widowControl w:val="0"/>
        <w:shd w:val="clear" w:color="auto" w:fill="auto"/>
        <w:bidi w:val="0"/>
        <w:spacing w:before="0" w:after="280" w:line="240" w:lineRule="auto"/>
        <w:ind w:left="0" w:right="0" w:firstLine="380"/>
        <w:jc w:val="left"/>
      </w:pPr>
      <w:r>
        <w:rPr>
          <w:color w:val="000000"/>
          <w:spacing w:val="0"/>
          <w:w w:val="100"/>
          <w:position w:val="0"/>
          <w:sz w:val="16"/>
          <w:szCs w:val="16"/>
        </w:rPr>
        <w:t>2</w:t>
      </w:r>
      <w:r>
        <w:rPr>
          <w:color w:val="000000"/>
          <w:spacing w:val="0"/>
          <w:w w:val="100"/>
          <w:position w:val="0"/>
        </w:rPr>
        <w:t>、会计估计变更</w:t>
      </w:r>
    </w:p>
    <w:p>
      <w:pPr>
        <w:pStyle w:val="Style28"/>
        <w:keepNext w:val="0"/>
        <w:keepLines w:val="0"/>
        <w:widowControl w:val="0"/>
        <w:shd w:val="clear" w:color="auto" w:fill="auto"/>
        <w:bidi w:val="0"/>
        <w:spacing w:before="0" w:after="460" w:line="240" w:lineRule="auto"/>
        <w:ind w:left="0" w:right="0" w:firstLine="380"/>
        <w:jc w:val="left"/>
      </w:pPr>
      <w:r>
        <w:rPr>
          <w:color w:val="000000"/>
          <w:spacing w:val="0"/>
          <w:w w:val="100"/>
          <w:position w:val="0"/>
        </w:rPr>
        <w:t>本集团在报告期内无会计估计变更事项。</w:t>
      </w:r>
    </w:p>
    <w:p>
      <w:pPr>
        <w:pStyle w:val="Style24"/>
        <w:keepNext/>
        <w:keepLines/>
        <w:widowControl w:val="0"/>
        <w:shd w:val="clear" w:color="auto" w:fill="auto"/>
        <w:tabs>
          <w:tab w:pos="522"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七</w:t>
      </w:r>
      <w:bookmarkEnd w:id="290"/>
      <w:r>
        <w:rPr>
          <w:color w:val="000000"/>
          <w:spacing w:val="0"/>
          <w:w w:val="100"/>
          <w:position w:val="0"/>
        </w:rPr>
        <w:t>、</w:t>
        <w:tab/>
        <w:t>报告期内发生重大会计差错更正需追溯重述的情况说明</w:t>
      </w:r>
      <w:bookmarkEnd w:id="288"/>
      <w:bookmarkEnd w:id="289"/>
      <w:bookmarkEnd w:id="29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522"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八</w:t>
      </w:r>
      <w:bookmarkEnd w:id="294"/>
      <w:r>
        <w:rPr>
          <w:color w:val="000000"/>
          <w:spacing w:val="0"/>
          <w:w w:val="100"/>
          <w:position w:val="0"/>
        </w:rPr>
        <w:t>、</w:t>
        <w:tab/>
        <w:t>与上年度财务报告相比，合并报表范围发生变化的情况说明</w:t>
      </w:r>
      <w:bookmarkEnd w:id="292"/>
      <w:bookmarkEnd w:id="293"/>
      <w:bookmarkEnd w:id="29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50"/>
        <w:gridCol w:w="1186"/>
        <w:gridCol w:w="1022"/>
        <w:gridCol w:w="850"/>
        <w:gridCol w:w="1411"/>
        <w:gridCol w:w="850"/>
        <w:gridCol w:w="1109"/>
      </w:tblGrid>
      <w:tr>
        <w:trPr>
          <w:trHeight w:val="34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w:t>
            </w:r>
            <w:r>
              <w:rPr>
                <w:rFonts w:ascii="SimSun" w:eastAsia="SimSun" w:hAnsi="SimSun" w:cs="SimSun"/>
                <w:b/>
                <w:bCs/>
                <w:color w:val="000000"/>
                <w:spacing w:val="0"/>
                <w:w w:val="100"/>
                <w:position w:val="0"/>
                <w:sz w:val="17"/>
                <w:szCs w:val="17"/>
              </w:rPr>
              <w:t>处置子公司</w:t>
            </w:r>
          </w:p>
        </w:tc>
      </w:tr>
      <w:tr>
        <w:trPr>
          <w:trHeight w:val="35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单次处置对子公司投资即丧失控制权的情形</w:t>
            </w:r>
          </w:p>
        </w:tc>
      </w:tr>
      <w:tr>
        <w:trPr>
          <w:trHeight w:val="19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股权处置价款</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股权处置比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丧失控制权的时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丧失控制 权时点的 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处置价款与处 置投资对应的 合并报表层面 享有该子公司 净资产份额的 差额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3, 600,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挂牌转让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2,614,226. </w:t>
            </w:r>
            <w:r>
              <w:rPr>
                <w:rFonts w:ascii="SimSun" w:eastAsia="SimSun" w:hAnsi="SimSun" w:cs="SimSun"/>
                <w:color w:val="000000"/>
                <w:spacing w:val="0"/>
                <w:w w:val="100"/>
                <w:position w:val="0"/>
                <w:sz w:val="16"/>
                <w:szCs w:val="16"/>
              </w:rPr>
              <w:t>80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10,200,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挂牌转让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1,146, </w:t>
            </w:r>
            <w:r>
              <w:rPr>
                <w:rFonts w:ascii="SimSun" w:eastAsia="SimSun" w:hAnsi="SimSun" w:cs="SimSun"/>
                <w:color w:val="000000"/>
                <w:spacing w:val="0"/>
                <w:w w:val="100"/>
                <w:position w:val="0"/>
                <w:sz w:val="16"/>
                <w:szCs w:val="16"/>
              </w:rPr>
              <w:t xml:space="preserve">039. </w:t>
            </w:r>
            <w:r>
              <w:rPr>
                <w:rFonts w:ascii="SimSun" w:eastAsia="SimSun" w:hAnsi="SimSun" w:cs="SimSun"/>
                <w:color w:val="000000"/>
                <w:spacing w:val="0"/>
                <w:w w:val="100"/>
                <w:position w:val="0"/>
                <w:sz w:val="16"/>
                <w:szCs w:val="16"/>
              </w:rPr>
              <w:t>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丧失控制权之 日剩余股权的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丧失控制权 之日剩余股 权的账面价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丧失控制 权之日剩 余股权的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按照公允价值重 新计量剩余股权 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丧失控制 权之日剩 余股权公 允价值的 确定方法 及主要假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与原子公司股 权投资相关的 其他综合收益 转入投资损益 的金额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402, </w:t>
            </w:r>
            <w:r>
              <w:rPr>
                <w:rFonts w:ascii="SimSun" w:eastAsia="SimSun" w:hAnsi="SimSun" w:cs="SimSun"/>
                <w:color w:val="000000"/>
                <w:spacing w:val="0"/>
                <w:w w:val="100"/>
                <w:position w:val="0"/>
                <w:sz w:val="16"/>
                <w:szCs w:val="16"/>
              </w:rPr>
              <w:t xml:space="preserve">865. </w:t>
            </w:r>
            <w:r>
              <w:rPr>
                <w:rFonts w:ascii="SimSun" w:eastAsia="SimSun" w:hAnsi="SimSun" w:cs="SimSun"/>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w:t>
            </w:r>
            <w:r>
              <w:rPr>
                <w:rFonts w:ascii="SimSun" w:eastAsia="SimSun" w:hAnsi="SimSun" w:cs="SimSun"/>
                <w:b/>
                <w:bCs/>
                <w:color w:val="000000"/>
                <w:spacing w:val="0"/>
                <w:w w:val="100"/>
                <w:position w:val="0"/>
                <w:sz w:val="17"/>
                <w:szCs w:val="17"/>
              </w:rPr>
              <w:t>其他原因的合并范围变动</w:t>
            </w:r>
          </w:p>
        </w:tc>
      </w:tr>
      <w:tr>
        <w:trPr>
          <w:trHeight w:val="35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本年新增子公司情况</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省广易为（上海）文化传媒有限公司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沈阳地铁易为传媒有限公司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广州市绩佳省广餐饮管理有限公司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2016/9/27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79. </w:t>
            </w:r>
            <w:r>
              <w:rPr>
                <w:rFonts w:ascii="SimSun" w:eastAsia="SimSun" w:hAnsi="SimSun" w:cs="SimSun"/>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r>
    </w:tbl>
    <w:tbl>
      <w:tblPr>
        <w:tblOverlap w:val="never"/>
        <w:jc w:val="center"/>
        <w:tblLayout w:type="fixed"/>
      </w:tblPr>
      <w:tblGrid>
        <w:gridCol w:w="3250"/>
        <w:gridCol w:w="1186"/>
        <w:gridCol w:w="1022"/>
        <w:gridCol w:w="850"/>
        <w:gridCol w:w="1411"/>
        <w:gridCol w:w="850"/>
        <w:gridCol w:w="110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上海胤熹信息技术有限公司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上海辰彩信息技术服务有限公司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省广营销（贵州）有限公司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41"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w:t>
            </w:r>
            <w:r>
              <w:rPr>
                <w:rFonts w:ascii="SimSun" w:eastAsia="SimSun" w:hAnsi="SimSun" w:cs="SimSun"/>
                <w:color w:val="000000"/>
                <w:spacing w:val="0"/>
                <w:w w:val="100"/>
                <w:position w:val="0"/>
                <w:sz w:val="17"/>
                <w:szCs w:val="17"/>
              </w:rPr>
              <w:t>本年因工商注销而减少的子公司情况</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南京金海洋窗之景广告有限公司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青岛慧河广告有限公司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广东广佛地铁广告资源经营有限公司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上海泛觉数字科技有限公司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上海御荣网络科技有限公司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2020/8/21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both"/>
      </w:pPr>
      <w:bookmarkStart w:id="296" w:name="bookmark296"/>
      <w:bookmarkStart w:id="297" w:name="bookmark297"/>
      <w:bookmarkStart w:id="298" w:name="bookmark298"/>
      <w:bookmarkStart w:id="299" w:name="bookmark299"/>
      <w:r>
        <w:rPr>
          <w:color w:val="000000"/>
          <w:spacing w:val="0"/>
          <w:w w:val="100"/>
          <w:position w:val="0"/>
        </w:rPr>
        <w:t>九</w:t>
      </w:r>
      <w:bookmarkEnd w:id="298"/>
      <w:r>
        <w:rPr>
          <w:color w:val="000000"/>
          <w:spacing w:val="0"/>
          <w:w w:val="100"/>
          <w:position w:val="0"/>
        </w:rPr>
        <w:t>、聘任、解聘会计师事务所情况</w:t>
      </w:r>
      <w:bookmarkEnd w:id="296"/>
      <w:bookmarkEnd w:id="297"/>
      <w:bookmarkEnd w:id="299"/>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现聘任的会计师事务所</w:t>
      </w:r>
    </w:p>
    <w:tbl>
      <w:tblPr>
        <w:tblOverlap w:val="never"/>
        <w:jc w:val="center"/>
        <w:tblLayout w:type="fixed"/>
      </w:tblPr>
      <w:tblGrid>
        <w:gridCol w:w="4862"/>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胡海林、姚月仙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年，聘请内部控制审计会计师事务所为：中审众环会计师事务所（特殊普通合伙）。</w:t>
      </w:r>
    </w:p>
    <w:p>
      <w:pPr>
        <w:pStyle w:val="Style24"/>
        <w:keepNext/>
        <w:keepLines/>
        <w:widowControl w:val="0"/>
        <w:shd w:val="clear" w:color="auto" w:fill="auto"/>
        <w:bidi w:val="0"/>
        <w:spacing w:before="0" w:after="380" w:line="240" w:lineRule="auto"/>
        <w:ind w:left="0" w:right="0" w:firstLine="0"/>
        <w:jc w:val="both"/>
      </w:pPr>
      <w:bookmarkStart w:id="300" w:name="bookmark300"/>
      <w:bookmarkStart w:id="301" w:name="bookmark301"/>
      <w:bookmarkStart w:id="302" w:name="bookmark302"/>
      <w:r>
        <w:rPr>
          <w:color w:val="000000"/>
          <w:spacing w:val="0"/>
          <w:w w:val="100"/>
          <w:position w:val="0"/>
        </w:rPr>
        <w:t>十、年度报告披露后面临退市情况</w:t>
      </w:r>
      <w:bookmarkEnd w:id="300"/>
      <w:bookmarkEnd w:id="301"/>
      <w:bookmarkEnd w:id="30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03" w:name="bookmark303"/>
      <w:bookmarkStart w:id="304" w:name="bookmark304"/>
      <w:bookmarkStart w:id="305" w:name="bookmark305"/>
      <w:r>
        <w:rPr>
          <w:color w:val="000000"/>
          <w:spacing w:val="0"/>
          <w:w w:val="100"/>
          <w:position w:val="0"/>
        </w:rPr>
        <w:t>十一、破产重整相关事项</w:t>
      </w:r>
      <w:bookmarkEnd w:id="303"/>
      <w:bookmarkEnd w:id="304"/>
      <w:bookmarkEnd w:id="30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both"/>
      </w:pPr>
      <w:bookmarkStart w:id="306" w:name="bookmark306"/>
      <w:bookmarkStart w:id="307" w:name="bookmark307"/>
      <w:bookmarkStart w:id="308" w:name="bookmark308"/>
      <w:r>
        <w:rPr>
          <w:color w:val="000000"/>
          <w:spacing w:val="0"/>
          <w:w w:val="100"/>
          <w:position w:val="0"/>
        </w:rPr>
        <w:t>十二、重大诉讼、仲裁事项</w:t>
      </w:r>
      <w:bookmarkEnd w:id="306"/>
      <w:bookmarkEnd w:id="307"/>
      <w:bookmarkEnd w:id="308"/>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09" w:name="bookmark309"/>
      <w:bookmarkStart w:id="310" w:name="bookmark310"/>
      <w:bookmarkStart w:id="311" w:name="bookmark311"/>
      <w:r>
        <w:rPr>
          <w:color w:val="000000"/>
          <w:spacing w:val="0"/>
          <w:w w:val="100"/>
          <w:position w:val="0"/>
        </w:rPr>
        <w:t>十三、处罚及整改情况</w:t>
      </w:r>
      <w:bookmarkEnd w:id="309"/>
      <w:bookmarkEnd w:id="310"/>
      <w:bookmarkEnd w:id="311"/>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rPr>
        <w:t>十四、公司及其控股股东、实际控制人的诚信状况</w:t>
      </w:r>
      <w:bookmarkEnd w:id="312"/>
      <w:bookmarkEnd w:id="313"/>
      <w:bookmarkEnd w:id="31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公司及控股股东、实际控制人诚信状况良好，均不存在未履行法院生效判决、所负数额较大的债务到期未清偿等情况。</w:t>
      </w:r>
    </w:p>
    <w:p>
      <w:pPr>
        <w:pStyle w:val="Style24"/>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rPr>
        <w:t>十五、公司股权激励计划、员工持股计划或其他员工激励措施的实施情况</w:t>
      </w:r>
      <w:bookmarkEnd w:id="315"/>
      <w:bookmarkEnd w:id="316"/>
      <w:bookmarkEnd w:id="31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rPr>
        <w:t>十六、重大关联交易</w:t>
      </w:r>
      <w:bookmarkEnd w:id="318"/>
      <w:bookmarkEnd w:id="319"/>
      <w:bookmarkEnd w:id="320"/>
    </w:p>
    <w:p>
      <w:pPr>
        <w:pStyle w:val="Style32"/>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、与日常经营相关的关联交易</w:t>
      </w:r>
      <w:bookmarkEnd w:id="321"/>
      <w:bookmarkEnd w:id="322"/>
      <w:bookmarkEnd w:id="32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获批的 交易额 度（万</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省广博报 堂整合营 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102,031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140" w:right="0" w:hanging="140"/>
              <w:jc w:val="both"/>
              <w:rPr>
                <w:sz w:val="17"/>
                <w:szCs w:val="17"/>
              </w:rPr>
            </w:pP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100" w:line="326"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79" w:lineRule="auto"/>
              <w:ind w:left="0" w:right="0" w:firstLine="0"/>
              <w:jc w:val="center"/>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center"/>
              <w:rPr>
                <w:sz w:val="17"/>
                <w:szCs w:val="17"/>
              </w:rPr>
            </w:pPr>
            <w:r>
              <w:rPr>
                <w:rFonts w:ascii="SimSun" w:eastAsia="SimSun" w:hAnsi="SimSun" w:cs="SimSun"/>
                <w:color w:val="000000"/>
                <w:spacing w:val="0"/>
                <w:w w:val="100"/>
                <w:position w:val="0"/>
                <w:sz w:val="17"/>
                <w:szCs w:val="17"/>
              </w:rPr>
              <w:t>公告编 号：</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2020-0</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、公</w:t>
            </w:r>
          </w:p>
          <w:p>
            <w:pPr>
              <w:pStyle w:val="Style2"/>
              <w:keepNext w:val="0"/>
              <w:keepLines w:val="0"/>
              <w:widowControl w:val="0"/>
              <w:shd w:val="clear" w:color="auto" w:fill="auto"/>
              <w:bidi w:val="0"/>
              <w:spacing w:before="0" w:after="100" w:line="307" w:lineRule="exact"/>
              <w:ind w:left="0" w:right="0" w:firstLine="140"/>
              <w:jc w:val="left"/>
              <w:rPr>
                <w:sz w:val="17"/>
                <w:szCs w:val="17"/>
              </w:rPr>
            </w:pPr>
            <w:r>
              <w:rPr>
                <w:rFonts w:ascii="SimSun" w:eastAsia="SimSun" w:hAnsi="SimSun" w:cs="SimSun"/>
                <w:color w:val="000000"/>
                <w:spacing w:val="0"/>
                <w:w w:val="100"/>
                <w:position w:val="0"/>
                <w:sz w:val="17"/>
                <w:szCs w:val="17"/>
              </w:rPr>
              <w:t>告编</w:t>
            </w:r>
          </w:p>
          <w:p>
            <w:pPr>
              <w:pStyle w:val="Style2"/>
              <w:keepNext w:val="0"/>
              <w:keepLines w:val="0"/>
              <w:widowControl w:val="0"/>
              <w:shd w:val="clear" w:color="auto" w:fill="auto"/>
              <w:bidi w:val="0"/>
              <w:spacing w:before="0" w:after="100" w:line="307" w:lineRule="exact"/>
              <w:ind w:left="0" w:right="0" w:firstLine="140"/>
              <w:jc w:val="left"/>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220" w:firstLine="0"/>
              <w:jc w:val="right"/>
            </w:pPr>
            <w:r>
              <w:rPr>
                <w:color w:val="000000"/>
                <w:spacing w:val="0"/>
                <w:w w:val="100"/>
                <w:position w:val="0"/>
              </w:rPr>
              <w:t>2020-0</w:t>
            </w:r>
          </w:p>
          <w:p>
            <w:pPr>
              <w:pStyle w:val="Style2"/>
              <w:keepNext w:val="0"/>
              <w:keepLines w:val="0"/>
              <w:widowControl w:val="0"/>
              <w:shd w:val="clear" w:color="auto" w:fill="auto"/>
              <w:bidi w:val="0"/>
              <w:spacing w:before="0" w:after="100" w:line="360" w:lineRule="auto"/>
              <w:ind w:left="0" w:right="220" w:firstLine="0"/>
              <w:jc w:val="right"/>
            </w:pPr>
            <w:r>
              <w:rPr>
                <w:color w:val="000000"/>
                <w:spacing w:val="0"/>
                <w:w w:val="100"/>
                <w:position w:val="0"/>
              </w:rPr>
              <w:t>49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 代思博报 堂广告有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2020-0</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17</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125,084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易进行总金额预计的，在报告期内的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年度日常关联交易实际发生情况与预计存在差异主要由于公司在实际经营过程 中，受客户需求变化、市场行情变化等因素影响，日常关联交易实际发生情况与预计 情况存在一定的差异。</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keepLines/>
        <w:widowControl w:val="0"/>
        <w:shd w:val="clear" w:color="auto" w:fill="auto"/>
        <w:tabs>
          <w:tab w:pos="37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资产或股权收购、出售发生的关联交易</w:t>
      </w:r>
      <w:bookmarkEnd w:id="325"/>
      <w:bookmarkEnd w:id="326"/>
      <w:bookmarkEnd w:id="32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共同对外投资的关联交易</w:t>
      </w:r>
      <w:bookmarkEnd w:id="329"/>
      <w:bookmarkEnd w:id="330"/>
      <w:bookmarkEnd w:id="33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关联债权债务往来</w:t>
      </w:r>
      <w:bookmarkEnd w:id="333"/>
      <w:bookmarkEnd w:id="334"/>
      <w:bookmarkEnd w:id="33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5</w:t>
      </w:r>
      <w:bookmarkEnd w:id="339"/>
      <w:r>
        <w:rPr>
          <w:color w:val="000000"/>
          <w:spacing w:val="0"/>
          <w:w w:val="100"/>
          <w:position w:val="0"/>
        </w:rPr>
        <w:t>、</w:t>
        <w:tab/>
        <w:t>其他重大关联交易</w:t>
      </w:r>
      <w:bookmarkEnd w:id="337"/>
      <w:bookmarkEnd w:id="338"/>
      <w:bookmarkEnd w:id="34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rPr>
        <w:t>十七、重大合同及其履行情况</w:t>
      </w:r>
      <w:bookmarkEnd w:id="341"/>
      <w:bookmarkEnd w:id="342"/>
      <w:bookmarkEnd w:id="343"/>
    </w:p>
    <w:p>
      <w:pPr>
        <w:pStyle w:val="Style32"/>
        <w:keepNext/>
        <w:keepLines/>
        <w:widowControl w:val="0"/>
        <w:shd w:val="clear" w:color="auto" w:fill="auto"/>
        <w:tabs>
          <w:tab w:pos="368" w:val="left"/>
        </w:tabs>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托管、承包、租赁事项情况</w:t>
      </w:r>
      <w:bookmarkEnd w:id="344"/>
      <w:bookmarkEnd w:id="345"/>
      <w:bookmarkEnd w:id="347"/>
    </w:p>
    <w:p>
      <w:pPr>
        <w:pStyle w:val="Style32"/>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344" w:name="bookmark344"/>
      <w:bookmarkStart w:id="345" w:name="bookmark345"/>
      <w:bookmarkStart w:id="348" w:name="bookmark348"/>
      <w:bookmarkStart w:id="349" w:name="bookmark349"/>
      <w:bookmarkEnd w:id="348"/>
      <w:r>
        <w:rPr>
          <w:color w:val="000000"/>
          <w:spacing w:val="0"/>
          <w:w w:val="100"/>
          <w:position w:val="0"/>
        </w:rPr>
        <w:t>托管情况</w:t>
      </w:r>
      <w:bookmarkEnd w:id="344"/>
      <w:bookmarkEnd w:id="345"/>
      <w:bookmarkEnd w:id="34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val="0"/>
        <w:keepLines w:val="0"/>
        <w:widowControl w:val="0"/>
        <w:numPr>
          <w:ilvl w:val="0"/>
          <w:numId w:val="7"/>
        </w:numPr>
        <w:shd w:val="clear" w:color="auto" w:fill="auto"/>
        <w:tabs>
          <w:tab w:pos="493" w:val="left"/>
        </w:tabs>
        <w:bidi w:val="0"/>
        <w:spacing w:before="0" w:line="240" w:lineRule="auto"/>
        <w:ind w:left="0" w:right="0" w:firstLine="0"/>
        <w:jc w:val="left"/>
      </w:pPr>
      <w:bookmarkStart w:id="350" w:name="bookmark350"/>
      <w:bookmarkStart w:id="351" w:name="bookmark351"/>
      <w:bookmarkEnd w:id="350"/>
      <w:r>
        <w:rPr>
          <w:color w:val="000000"/>
          <w:spacing w:val="0"/>
          <w:w w:val="100"/>
          <w:position w:val="0"/>
        </w:rPr>
        <w:t>承包情况</w:t>
      </w:r>
      <w:bookmarkEnd w:id="35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val="0"/>
        <w:keepLines w:val="0"/>
        <w:widowControl w:val="0"/>
        <w:numPr>
          <w:ilvl w:val="0"/>
          <w:numId w:val="7"/>
        </w:numPr>
        <w:shd w:val="clear" w:color="auto" w:fill="auto"/>
        <w:tabs>
          <w:tab w:pos="493" w:val="left"/>
        </w:tabs>
        <w:bidi w:val="0"/>
        <w:spacing w:before="0" w:line="240" w:lineRule="auto"/>
        <w:ind w:left="0" w:right="0" w:firstLine="0"/>
        <w:jc w:val="left"/>
      </w:pPr>
      <w:bookmarkStart w:id="352" w:name="bookmark352"/>
      <w:bookmarkStart w:id="353" w:name="bookmark353"/>
      <w:bookmarkEnd w:id="352"/>
      <w:r>
        <w:rPr>
          <w:color w:val="000000"/>
          <w:spacing w:val="0"/>
          <w:w w:val="100"/>
          <w:position w:val="0"/>
        </w:rPr>
        <w:t>租赁情况</w:t>
      </w:r>
      <w:bookmarkEnd w:id="35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重大担保</w:t>
      </w:r>
      <w:bookmarkEnd w:id="354"/>
      <w:bookmarkEnd w:id="355"/>
      <w:bookmarkEnd w:id="35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、委托他人进行现金资产管理情况</w:t>
      </w:r>
      <w:bookmarkEnd w:id="358"/>
      <w:bookmarkEnd w:id="359"/>
      <w:bookmarkEnd w:id="361"/>
    </w:p>
    <w:p>
      <w:pPr>
        <w:pStyle w:val="Style36"/>
        <w:keepNext/>
        <w:keepLines/>
        <w:widowControl w:val="0"/>
        <w:numPr>
          <w:ilvl w:val="0"/>
          <w:numId w:val="9"/>
        </w:numPr>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rPr>
        <w:t>委托理财情况</w:t>
      </w:r>
      <w:bookmarkEnd w:id="362"/>
      <w:bookmarkEnd w:id="363"/>
      <w:bookmarkEnd w:id="36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01"/>
        <w:gridCol w:w="1987"/>
        <w:gridCol w:w="2011"/>
        <w:gridCol w:w="1934"/>
        <w:gridCol w:w="18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闲置募集资金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9"/>
        </w:numPr>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bookmarkEnd w:id="368"/>
      <w:r>
        <w:rPr>
          <w:color w:val="000000"/>
          <w:spacing w:val="0"/>
          <w:w w:val="100"/>
          <w:position w:val="0"/>
        </w:rPr>
        <w:t>委托贷款情况</w:t>
      </w:r>
      <w:bookmarkEnd w:id="366"/>
      <w:bookmarkEnd w:id="367"/>
      <w:bookmarkEnd w:id="36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4</w:t>
      </w:r>
      <w:bookmarkEnd w:id="372"/>
      <w:r>
        <w:rPr>
          <w:color w:val="000000"/>
          <w:spacing w:val="0"/>
          <w:w w:val="100"/>
          <w:position w:val="0"/>
        </w:rPr>
        <w:t>、</w:t>
        <w:tab/>
        <w:t>日常经营重大合同</w:t>
      </w:r>
      <w:bookmarkEnd w:id="370"/>
      <w:bookmarkEnd w:id="371"/>
      <w:bookmarkEnd w:id="373"/>
    </w:p>
    <w:p>
      <w:pPr>
        <w:pStyle w:val="Style28"/>
        <w:keepNext w:val="0"/>
        <w:keepLines w:val="0"/>
        <w:widowControl w:val="0"/>
        <w:shd w:val="clear" w:color="auto" w:fill="auto"/>
        <w:bidi w:val="0"/>
        <w:spacing w:before="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5</w:t>
      </w:r>
      <w:bookmarkEnd w:id="376"/>
      <w:r>
        <w:rPr>
          <w:color w:val="000000"/>
          <w:spacing w:val="0"/>
          <w:w w:val="100"/>
          <w:position w:val="0"/>
        </w:rPr>
        <w:t>、</w:t>
        <w:tab/>
        <w:t>其他重大合同</w:t>
      </w:r>
      <w:bookmarkEnd w:id="374"/>
      <w:bookmarkEnd w:id="375"/>
      <w:bookmarkEnd w:id="37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r>
        <w:rPr>
          <w:color w:val="000000"/>
          <w:spacing w:val="0"/>
          <w:w w:val="100"/>
          <w:position w:val="0"/>
        </w:rPr>
        <w:t>十八、社会责任情况</w:t>
      </w:r>
      <w:bookmarkEnd w:id="378"/>
      <w:bookmarkEnd w:id="379"/>
      <w:bookmarkEnd w:id="380"/>
    </w:p>
    <w:p>
      <w:pPr>
        <w:pStyle w:val="Style32"/>
        <w:keepNext/>
        <w:keepLines/>
        <w:widowControl w:val="0"/>
        <w:shd w:val="clear" w:color="auto" w:fill="auto"/>
        <w:bidi w:val="0"/>
        <w:spacing w:before="0" w:after="1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、履行社会责任情况</w:t>
      </w:r>
      <w:bookmarkEnd w:id="381"/>
      <w:bookmarkEnd w:id="382"/>
      <w:bookmarkEnd w:id="384"/>
    </w:p>
    <w:p>
      <w:pPr>
        <w:pStyle w:val="Style28"/>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 xml:space="preserve">作为一家具有社会责任的上市公司，公司严格按照相关法律法规的要求，并根据自身的实际情况积极履行社会责任的 工作，以实际行动回报社会，创建和谐的企业发展环境。公司建立健全了法人治理结构，严格按照三会议事规则运作，明确 股东大会为公司最高权力机构并保证所有股东同股同权，能平等享受其合法权益。公司的利润分配重视对投资者的合理投资 回报，在不影响公司正常经营和持续发展的前提下，公司采取积极的利润分配办法。本着“互利双赢”的原则，公司十分重 视与供应商、客户的关系，在经营过程中不断加强与各方的沟通和合作，切实维护供应商、客户的利益。员工是公司最核心 </w:t>
      </w:r>
      <w:r>
        <w:rPr>
          <w:color w:val="000000"/>
          <w:spacing w:val="0"/>
          <w:w w:val="100"/>
          <w:position w:val="0"/>
        </w:rPr>
        <w:t xml:space="preserve">的宝贵财产，公司除了关注员工的工作能力外，还关注员工的身心健康，定期组织员工体检。公司建立了职工代表监事选任 </w:t>
      </w:r>
      <w:r>
        <w:rPr>
          <w:color w:val="000000"/>
          <w:spacing w:val="0"/>
          <w:w w:val="100"/>
          <w:position w:val="0"/>
        </w:rPr>
        <w:t>制度，公司监事会</w:t>
      </w:r>
      <w:r>
        <w:rPr>
          <w:color w:val="000000"/>
          <w:spacing w:val="0"/>
          <w:w w:val="100"/>
          <w:position w:val="0"/>
          <w:sz w:val="16"/>
          <w:szCs w:val="16"/>
        </w:rPr>
        <w:t>3</w:t>
      </w:r>
      <w:r>
        <w:rPr>
          <w:color w:val="000000"/>
          <w:spacing w:val="0"/>
          <w:w w:val="100"/>
          <w:position w:val="0"/>
        </w:rPr>
        <w:t>名监事中有</w:t>
      </w:r>
      <w:r>
        <w:rPr>
          <w:color w:val="000000"/>
          <w:spacing w:val="0"/>
          <w:w w:val="100"/>
          <w:position w:val="0"/>
          <w:sz w:val="16"/>
          <w:szCs w:val="16"/>
        </w:rPr>
        <w:t>1</w:t>
      </w:r>
      <w:r>
        <w:rPr>
          <w:color w:val="000000"/>
          <w:spacing w:val="0"/>
          <w:w w:val="100"/>
          <w:position w:val="0"/>
        </w:rPr>
        <w:t>名为职工代表监事，通过监事会的运作实现了对公司的监督，保证了公司职工权益。公司通 过报纸和网络公告、电话咨询、公司网站、投资者管理信箱和网上交流会等多种方式积极与投资者交流。</w:t>
      </w:r>
    </w:p>
    <w:p>
      <w:pPr>
        <w:pStyle w:val="Style32"/>
        <w:keepNext/>
        <w:keepLines/>
        <w:widowControl w:val="0"/>
        <w:shd w:val="clear" w:color="auto" w:fill="auto"/>
        <w:tabs>
          <w:tab w:pos="378" w:val="left"/>
        </w:tabs>
        <w:bidi w:val="0"/>
        <w:spacing w:before="0" w:after="12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履行精准扶贫社会责任情况</w:t>
      </w:r>
      <w:bookmarkEnd w:id="385"/>
      <w:bookmarkEnd w:id="386"/>
      <w:bookmarkEnd w:id="388"/>
    </w:p>
    <w:p>
      <w:pPr>
        <w:pStyle w:val="Style28"/>
        <w:keepNext w:val="0"/>
        <w:keepLines w:val="0"/>
        <w:widowControl w:val="0"/>
        <w:shd w:val="clear" w:color="auto" w:fill="auto"/>
        <w:bidi w:val="0"/>
        <w:spacing w:before="0" w:after="380" w:line="475" w:lineRule="exact"/>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环境保护相关的情况</w:t>
      </w:r>
      <w:bookmarkEnd w:id="389"/>
      <w:bookmarkEnd w:id="390"/>
      <w:bookmarkEnd w:id="39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r>
        <w:rPr>
          <w:color w:val="000000"/>
          <w:spacing w:val="0"/>
          <w:w w:val="100"/>
          <w:position w:val="0"/>
        </w:rPr>
        <w:t>十九、其他重大事项的说明</w:t>
      </w:r>
      <w:bookmarkEnd w:id="393"/>
      <w:bookmarkEnd w:id="394"/>
      <w:bookmarkEnd w:id="395"/>
    </w:p>
    <w:p>
      <w:pPr>
        <w:pStyle w:val="Style28"/>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05"/>
        <w:gridCol w:w="2198"/>
        <w:gridCol w:w="3288"/>
        <w:gridCol w:w="1642"/>
        <w:gridCol w:w="194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董事会、监事会换届选举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第四届董事会第二十四次会议决议公告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2020-001</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第四届监事会第二十次会议决议公告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2020-002</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2020-006</w:t>
            </w:r>
          </w:p>
        </w:tc>
      </w:tr>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第五届董事会第二次会议决议公告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2020-014</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第五届监事会第二次会议决议公告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2020-015</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2020-026</w:t>
            </w:r>
          </w:p>
        </w:tc>
      </w:tr>
      <w:tr>
        <w:trPr>
          <w:trHeight w:val="3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年年度权益分派实施公告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公告编号：</w:t>
            </w:r>
            <w:r>
              <w:rPr>
                <w:color w:val="000000"/>
                <w:spacing w:val="0"/>
                <w:w w:val="100"/>
                <w:position w:val="0"/>
              </w:rPr>
              <w:t>2020-031</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r>
        <w:rPr>
          <w:color w:val="000000"/>
          <w:spacing w:val="0"/>
          <w:w w:val="100"/>
          <w:position w:val="0"/>
        </w:rPr>
        <w:t>二十、公司子公司重大事项</w:t>
      </w:r>
      <w:bookmarkEnd w:id="396"/>
      <w:bookmarkEnd w:id="397"/>
      <w:bookmarkEnd w:id="398"/>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66" w:right="1073" w:bottom="1467"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480" w:after="540" w:line="240" w:lineRule="auto"/>
        <w:ind w:left="0" w:right="0" w:firstLine="0"/>
        <w:jc w:val="center"/>
      </w:pPr>
      <w:bookmarkStart w:id="399" w:name="bookmark399"/>
      <w:bookmarkStart w:id="400" w:name="bookmark400"/>
      <w:bookmarkStart w:id="401" w:name="bookmark401"/>
      <w:r>
        <w:rPr>
          <w:color w:val="000000"/>
          <w:spacing w:val="0"/>
          <w:w w:val="100"/>
          <w:position w:val="0"/>
        </w:rPr>
        <w:t>第六节股份变动及股东情况</w:t>
      </w:r>
      <w:bookmarkEnd w:id="399"/>
      <w:bookmarkEnd w:id="400"/>
      <w:bookmarkEnd w:id="401"/>
    </w:p>
    <w:p>
      <w:pPr>
        <w:pStyle w:val="Style2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bookmarkStart w:id="406" w:name="bookmark406"/>
      <w:r>
        <w:rPr>
          <w:color w:val="000000"/>
          <w:spacing w:val="0"/>
          <w:w w:val="100"/>
          <w:position w:val="0"/>
        </w:rPr>
        <w:t>一</w:t>
      </w:r>
      <w:bookmarkEnd w:id="405"/>
      <w:r>
        <w:rPr>
          <w:color w:val="000000"/>
          <w:spacing w:val="0"/>
          <w:w w:val="100"/>
          <w:position w:val="0"/>
        </w:rPr>
        <w:t>、股份变动情况</w:t>
      </w:r>
      <w:bookmarkEnd w:id="403"/>
      <w:bookmarkEnd w:id="404"/>
      <w:bookmarkEnd w:id="406"/>
      <w:bookmarkEnd w:id="402"/>
    </w:p>
    <w:p>
      <w:pPr>
        <w:pStyle w:val="Style32"/>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、股份变动情况</w:t>
      </w:r>
      <w:bookmarkEnd w:id="407"/>
      <w:bookmarkEnd w:id="408"/>
      <w:bookmarkEnd w:id="4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1258"/>
        <w:gridCol w:w="816"/>
        <w:gridCol w:w="581"/>
        <w:gridCol w:w="562"/>
        <w:gridCol w:w="701"/>
        <w:gridCol w:w="1094"/>
        <w:gridCol w:w="970"/>
        <w:gridCol w:w="1090"/>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68,578,923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56,148,047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68,578,923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56,148,047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1,674,758,205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1,687,189,081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1,674,758,205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1,687,189,081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1,743,337,128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、限售股份变动情况</w:t>
      </w:r>
      <w:bookmarkEnd w:id="411"/>
      <w:bookmarkEnd w:id="412"/>
      <w:bookmarkEnd w:id="41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51,409,728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38,978,852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51,409,728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12,430,876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38,978,852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4"/>
        <w:keepNext/>
        <w:keepLines/>
        <w:widowControl w:val="0"/>
        <w:shd w:val="clear" w:color="auto" w:fill="auto"/>
        <w:tabs>
          <w:tab w:pos="517" w:val="left"/>
        </w:tabs>
        <w:bidi w:val="0"/>
        <w:spacing w:before="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二</w:t>
      </w:r>
      <w:bookmarkEnd w:id="417"/>
      <w:r>
        <w:rPr>
          <w:color w:val="000000"/>
          <w:spacing w:val="0"/>
          <w:w w:val="100"/>
          <w:position w:val="0"/>
        </w:rPr>
        <w:t>、</w:t>
        <w:tab/>
        <w:t>证券发行与上市情况</w:t>
      </w:r>
      <w:bookmarkEnd w:id="415"/>
      <w:bookmarkEnd w:id="416"/>
      <w:bookmarkEnd w:id="418"/>
    </w:p>
    <w:p>
      <w:pPr>
        <w:pStyle w:val="Style32"/>
        <w:keepNext/>
        <w:keepLines/>
        <w:widowControl w:val="0"/>
        <w:shd w:val="clear" w:color="auto" w:fill="auto"/>
        <w:tabs>
          <w:tab w:pos="381" w:val="left"/>
        </w:tabs>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报告期内证券发行（不含优先股）情况</w:t>
      </w:r>
      <w:bookmarkEnd w:id="419"/>
      <w:bookmarkEnd w:id="420"/>
      <w:bookmarkEnd w:id="42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公司股份总数及股东结构的变动、公司资产和负债结构的变动情况说明</w:t>
      </w:r>
      <w:bookmarkEnd w:id="423"/>
      <w:bookmarkEnd w:id="424"/>
      <w:bookmarkEnd w:id="42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现存的内部职工股情况</w:t>
      </w:r>
      <w:bookmarkEnd w:id="427"/>
      <w:bookmarkEnd w:id="428"/>
      <w:bookmarkEnd w:id="43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w:t>
        <w:tab/>
        <w:t>股东和实际控制人情况</w:t>
      </w:r>
      <w:bookmarkEnd w:id="431"/>
      <w:bookmarkEnd w:id="432"/>
      <w:bookmarkEnd w:id="434"/>
    </w:p>
    <w:p>
      <w:pPr>
        <w:pStyle w:val="Style32"/>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、公司股东数量及持股情况</w:t>
      </w:r>
      <w:bookmarkEnd w:id="435"/>
      <w:bookmarkEnd w:id="436"/>
      <w:bookmarkEnd w:id="4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48"/>
        <w:gridCol w:w="278"/>
        <w:gridCol w:w="869"/>
        <w:gridCol w:w="125"/>
        <w:gridCol w:w="907"/>
        <w:gridCol w:w="154"/>
        <w:gridCol w:w="898"/>
        <w:gridCol w:w="331"/>
        <w:gridCol w:w="595"/>
        <w:gridCol w:w="869"/>
        <w:gridCol w:w="250"/>
        <w:gridCol w:w="706"/>
        <w:gridCol w:w="403"/>
        <w:gridCol w:w="816"/>
        <w:gridCol w:w="384"/>
        <w:gridCol w:w="883"/>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234,054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218,636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报告期末表决权恢复 的优先股股东总数 （如有）（参见注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广东省广新控股集 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327,436,235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-41,435,185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327,436,235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65,350,000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35,392,882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26,544,661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8,848,221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17,169,195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17,169,195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17,169,195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16,574,501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12,430,876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4,143,625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万国鹏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16,210,445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16,210,445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8,656,700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8,656,700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9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JPMORGAN</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CHASE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BANK,NATIONAL</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7,269,478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+7,269,478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7,269,478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26"/>
        <w:gridCol w:w="994"/>
        <w:gridCol w:w="293"/>
        <w:gridCol w:w="614"/>
        <w:gridCol w:w="1051"/>
        <w:gridCol w:w="926"/>
        <w:gridCol w:w="869"/>
        <w:gridCol w:w="955"/>
        <w:gridCol w:w="1219"/>
        <w:gridCol w:w="126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ASSOCIATION</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长城国融投资管理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中国工商银行股份 有限公司一广发中 证传媒交易型开放 式指数证券投资基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卢木溪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+4,569,143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 （如有）（参见注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长城国融投资管理有限公司曾于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月认购公司非公开发行股票。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广东省广新控股集团有限公司为本公司的控股股东。公司控股股东与上述其他股东之间不存 在关联关系，也不属于《上市公司股东持股变动信息披露管理办法》中规定的一致行动人； 本公司未知上述其他股东之间是否存在关联关系，也未知是否属于一致行动人。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327,436,235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327,436,235</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万国鹏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16,210,445</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8,848,221</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张源</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8,656,700</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JPMORGAN CHASE</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BANK,NATIONAL ASSOCIATION</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7,269,478</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长城国融投资管理有限公司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6,498,888</w:t>
            </w:r>
          </w:p>
        </w:tc>
      </w:tr>
      <w:tr>
        <w:trPr>
          <w:trHeight w:val="1027"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中国工商银行股份有限公司一广发 中证传媒交易型开放式指数证券投 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6,498,000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卢木溪</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4,569,143</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4,143,625</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龙海祥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3,912,612</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名无限售流通股股东和前 </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广东省广新控股集团有限公司为本公司的控股股东。公司控股股东与上述其他股东之间 不存在关联关系，也不属于《上市公司股东持股变动信息披露管理办法》中规定的一致 行动人；本公司未知上述其他股东之间是否存在关联关系，也未知是否属于一致行动人。</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万国鹏通过信用交易担保证券账户持有公司股票</w:t>
            </w:r>
            <w:r>
              <w:rPr>
                <w:color w:val="000000"/>
                <w:spacing w:val="0"/>
                <w:w w:val="100"/>
                <w:position w:val="0"/>
                <w:sz w:val="18"/>
                <w:szCs w:val="18"/>
              </w:rPr>
              <w:t>16,210,445</w:t>
            </w:r>
            <w:r>
              <w:rPr>
                <w:rFonts w:ascii="SimSun" w:eastAsia="SimSun" w:hAnsi="SimSun" w:cs="SimSun"/>
                <w:color w:val="000000"/>
                <w:spacing w:val="0"/>
                <w:w w:val="100"/>
                <w:position w:val="0"/>
                <w:sz w:val="17"/>
                <w:szCs w:val="17"/>
              </w:rPr>
              <w:t>股。</w:t>
            </w:r>
          </w:p>
        </w:tc>
      </w:tr>
    </w:tbl>
    <w:p>
      <w:pPr>
        <w:spacing w:lineRule="exact" w:line="1"/>
        <w:rPr>
          <w:sz w:val="2"/>
          <w:szCs w:val="2"/>
        </w:rPr>
      </w:pPr>
      <w:r>
        <w:br w:type="page"/>
      </w:r>
    </w:p>
    <w:tbl>
      <w:tblPr>
        <w:tblOverlap w:val="never"/>
        <w:jc w:val="center"/>
        <w:tblLayout w:type="fixed"/>
      </w:tblPr>
      <w:tblGrid>
        <w:gridCol w:w="2813"/>
        <w:gridCol w:w="6902"/>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、公司控股股东情况</w:t>
      </w:r>
      <w:bookmarkEnd w:id="439"/>
      <w:bookmarkEnd w:id="440"/>
      <w:bookmarkEnd w:id="44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广东省广新控股集团有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91440000725063471N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股权管理；股权投资及 股权咨询；组织企业资 产重组、优化配置；资 本营运及管理；资产托 管，国内贸易，自营和 代理各类商品和技术的 进出口，但国家限定公 司经营或禁止进出口的 商品和技术除外；信息 服务业务。</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日，广新集团持有星湖科技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18.22%</w:t>
            </w:r>
            <w:r>
              <w:rPr>
                <w:rFonts w:ascii="SimSun" w:eastAsia="SimSun" w:hAnsi="SimSun" w:cs="SimSun"/>
                <w:color w:val="000000"/>
                <w:spacing w:val="0"/>
                <w:w w:val="100"/>
                <w:position w:val="0"/>
                <w:sz w:val="17"/>
                <w:szCs w:val="17"/>
              </w:rPr>
              <w:t xml:space="preserve">股权、持有佛塑科技 </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26.75%</w:t>
            </w:r>
            <w:r>
              <w:rPr>
                <w:rFonts w:ascii="SimSun" w:eastAsia="SimSun" w:hAnsi="SimSun" w:cs="SimSun"/>
                <w:color w:val="000000"/>
                <w:spacing w:val="0"/>
                <w:w w:val="100"/>
                <w:position w:val="0"/>
                <w:sz w:val="17"/>
                <w:szCs w:val="17"/>
              </w:rPr>
              <w:t>股权、持有生益科技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22.12%</w:t>
            </w:r>
            <w:r>
              <w:rPr>
                <w:rFonts w:ascii="SimSun" w:eastAsia="SimSun" w:hAnsi="SimSun" w:cs="SimSun"/>
                <w:color w:val="000000"/>
                <w:spacing w:val="0"/>
                <w:w w:val="100"/>
                <w:position w:val="0"/>
                <w:sz w:val="17"/>
                <w:szCs w:val="17"/>
              </w:rPr>
              <w:t>股权、持有兴发铝业（香 港上市公司）</w:t>
            </w:r>
            <w:r>
              <w:rPr>
                <w:color w:val="000000"/>
                <w:spacing w:val="0"/>
                <w:w w:val="100"/>
                <w:position w:val="0"/>
                <w:sz w:val="18"/>
                <w:szCs w:val="18"/>
              </w:rPr>
              <w:t>31.67%</w:t>
            </w:r>
            <w:r>
              <w:rPr>
                <w:rFonts w:ascii="SimSun" w:eastAsia="SimSun" w:hAnsi="SimSun" w:cs="SimSun"/>
                <w:color w:val="000000"/>
                <w:spacing w:val="0"/>
                <w:w w:val="100"/>
                <w:position w:val="0"/>
                <w:sz w:val="17"/>
                <w:szCs w:val="17"/>
              </w:rPr>
              <w:t>股权、持有国义招标（新三板公司）</w:t>
            </w:r>
            <w:r>
              <w:rPr>
                <w:color w:val="000000"/>
                <w:spacing w:val="0"/>
                <w:w w:val="100"/>
                <w:position w:val="0"/>
                <w:sz w:val="18"/>
                <w:szCs w:val="18"/>
              </w:rPr>
              <w:t>35.60%</w:t>
            </w:r>
            <w:r>
              <w:rPr>
                <w:rFonts w:ascii="SimSun" w:eastAsia="SimSun" w:hAnsi="SimSun" w:cs="SimSun"/>
                <w:color w:val="000000"/>
                <w:spacing w:val="0"/>
                <w:w w:val="100"/>
                <w:position w:val="0"/>
                <w:sz w:val="17"/>
                <w:szCs w:val="17"/>
              </w:rPr>
              <w:t xml:space="preserve">股权、持有广新信息（新三板） </w:t>
            </w:r>
            <w:r>
              <w:rPr>
                <w:color w:val="000000"/>
                <w:spacing w:val="0"/>
                <w:w w:val="100"/>
                <w:position w:val="0"/>
                <w:sz w:val="18"/>
                <w:szCs w:val="18"/>
              </w:rPr>
              <w:t xml:space="preserve">60.79% </w:t>
            </w:r>
            <w:r>
              <w:rPr>
                <w:rFonts w:ascii="SimSun" w:eastAsia="SimSun" w:hAnsi="SimSun" w:cs="SimSun"/>
                <w:color w:val="000000"/>
                <w:spacing w:val="0"/>
                <w:w w:val="100"/>
                <w:position w:val="0"/>
                <w:sz w:val="17"/>
                <w:szCs w:val="17"/>
              </w:rPr>
              <w:t>股权。</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、公司实际控制人及其一致行动人</w:t>
      </w:r>
      <w:bookmarkEnd w:id="443"/>
      <w:bookmarkEnd w:id="444"/>
      <w:bookmarkEnd w:id="44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438400" cy="142049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2438400" cy="1420495"/>
                    </a:xfrm>
                    <a:prstGeom prst="rect"/>
                  </pic:spPr>
                </pic:pic>
              </a:graphicData>
            </a:graphic>
          </wp:inline>
        </w:drawing>
      </w:r>
    </w:p>
    <w:p>
      <w:pPr>
        <w:widowControl w:val="0"/>
        <w:spacing w:after="3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4</w:t>
      </w:r>
      <w:bookmarkEnd w:id="44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7"/>
      <w:bookmarkEnd w:id="448"/>
      <w:bookmarkEnd w:id="45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5</w:t>
      </w:r>
      <w:bookmarkEnd w:id="453"/>
      <w:r>
        <w:rPr>
          <w:color w:val="000000"/>
          <w:spacing w:val="0"/>
          <w:w w:val="100"/>
          <w:position w:val="0"/>
        </w:rPr>
        <w:t>、</w:t>
        <w:tab/>
        <w:t>控股股东、实际控制人、重组方及其他承诺主体股份限制减持情况</w:t>
      </w:r>
      <w:bookmarkEnd w:id="451"/>
      <w:bookmarkEnd w:id="452"/>
      <w:bookmarkEnd w:id="454"/>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95" w:bottom="1590"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7" name="Shape 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p>
                        </w:txbxContent>
                      </wps:txbx>
                      <wps:bodyPr wrap="none" lIns="0" tIns="0" rIns="0" bIns="0">
                        <a:noAutoFit/>
                      </wps:bodyPr>
                    </wps:wsp>
                  </a:graphicData>
                </a:graphic>
              </wp:anchor>
            </w:drawing>
          </mc:Choice>
          <mc:Fallback>
            <w:pict>
              <v:shape id="_x0000_s1033"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458" w:name="bookmark45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58"/>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95" w:bottom="1930" w:left="1090"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660" w:line="240" w:lineRule="auto"/>
        <w:ind w:left="0" w:right="0" w:firstLine="0"/>
        <w:jc w:val="center"/>
      </w:pPr>
      <w:bookmarkStart w:id="459" w:name="bookmark459"/>
      <w:bookmarkStart w:id="460" w:name="bookmark460"/>
      <w:bookmarkStart w:id="461" w:name="bookmark461"/>
      <w:r>
        <w:rPr>
          <w:color w:val="000000"/>
          <w:spacing w:val="0"/>
          <w:w w:val="100"/>
          <w:position w:val="0"/>
        </w:rPr>
        <w:t>第八节可转换公司债券相关情况</w:t>
      </w:r>
      <w:bookmarkEnd w:id="459"/>
      <w:bookmarkEnd w:id="460"/>
      <w:bookmarkEnd w:id="461"/>
    </w:p>
    <w:p>
      <w:pPr>
        <w:pStyle w:val="Style28"/>
        <w:keepNext w:val="0"/>
        <w:keepLines w:val="0"/>
        <w:widowControl w:val="0"/>
        <w:shd w:val="clear" w:color="auto" w:fill="auto"/>
        <w:bidi w:val="0"/>
        <w:spacing w:before="0" w:after="120" w:line="240" w:lineRule="auto"/>
        <w:ind w:left="0" w:right="0" w:firstLine="0"/>
        <w:jc w:val="left"/>
      </w:pPr>
      <w:bookmarkStart w:id="462" w:name="bookmark46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62"/>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40" w:line="240" w:lineRule="auto"/>
        <w:ind w:left="0" w:right="0" w:firstLine="0"/>
        <w:jc w:val="center"/>
      </w:pPr>
      <w:bookmarkStart w:id="463" w:name="bookmark463"/>
      <w:bookmarkStart w:id="464" w:name="bookmark464"/>
      <w:bookmarkStart w:id="465" w:name="bookmark465"/>
      <w:r>
        <w:rPr>
          <w:color w:val="000000"/>
          <w:spacing w:val="0"/>
          <w:w w:val="100"/>
          <w:position w:val="0"/>
        </w:rPr>
        <w:t>第九节董事、监事、高级管理人员和员工情况</w:t>
      </w:r>
      <w:bookmarkEnd w:id="463"/>
      <w:bookmarkEnd w:id="464"/>
      <w:bookmarkEnd w:id="465"/>
    </w:p>
    <w:p>
      <w:pPr>
        <w:pStyle w:val="Style24"/>
        <w:keepNext/>
        <w:keepLines/>
        <w:widowControl w:val="0"/>
        <w:shd w:val="clear" w:color="auto" w:fill="auto"/>
        <w:bidi w:val="0"/>
        <w:spacing w:before="0" w:after="320" w:line="240" w:lineRule="auto"/>
        <w:ind w:left="0" w:right="0" w:firstLine="0"/>
        <w:jc w:val="left"/>
      </w:pPr>
      <w:bookmarkStart w:id="466" w:name="bookmark466"/>
      <w:bookmarkStart w:id="467" w:name="bookmark467"/>
      <w:bookmarkStart w:id="468" w:name="bookmark468"/>
      <w:bookmarkStart w:id="469" w:name="bookmark469"/>
      <w:bookmarkStart w:id="470" w:name="bookmark470"/>
      <w:r>
        <w:rPr>
          <w:color w:val="000000"/>
          <w:spacing w:val="0"/>
          <w:w w:val="100"/>
          <w:position w:val="0"/>
        </w:rPr>
        <w:t>一</w:t>
      </w:r>
      <w:bookmarkEnd w:id="469"/>
      <w:r>
        <w:rPr>
          <w:color w:val="000000"/>
          <w:spacing w:val="0"/>
          <w:w w:val="100"/>
          <w:position w:val="0"/>
        </w:rPr>
        <w:t>、董事、监事和高级管理人员持股变动</w:t>
      </w:r>
      <w:bookmarkEnd w:id="467"/>
      <w:bookmarkEnd w:id="468"/>
      <w:bookmarkEnd w:id="470"/>
      <w:bookmarkEnd w:id="466"/>
    </w:p>
    <w:tbl>
      <w:tblPr>
        <w:tblOverlap w:val="never"/>
        <w:jc w:val="center"/>
        <w:tblLayout w:type="fixed"/>
      </w:tblPr>
      <w:tblGrid>
        <w:gridCol w:w="797"/>
        <w:gridCol w:w="782"/>
        <w:gridCol w:w="787"/>
        <w:gridCol w:w="581"/>
        <w:gridCol w:w="557"/>
        <w:gridCol w:w="979"/>
        <w:gridCol w:w="1032"/>
        <w:gridCol w:w="883"/>
        <w:gridCol w:w="787"/>
        <w:gridCol w:w="864"/>
        <w:gridCol w:w="787"/>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35,392,882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35,392,882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副董事 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16,574,501</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董事、副 总经理、 董事会秘</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夏跃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16,574,502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14,572,102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2,002,400</w:t>
            </w:r>
          </w:p>
        </w:tc>
      </w:tr>
    </w:tbl>
    <w:p>
      <w:pPr>
        <w:spacing w:lineRule="exact" w:line="1"/>
        <w:rPr>
          <w:sz w:val="2"/>
          <w:szCs w:val="2"/>
        </w:rPr>
      </w:pPr>
      <w:r>
        <w:br w:type="page"/>
      </w:r>
    </w:p>
    <w:tbl>
      <w:tblPr>
        <w:tblOverlap w:val="never"/>
        <w:jc w:val="center"/>
        <w:tblLayout w:type="fixed"/>
      </w:tblPr>
      <w:tblGrid>
        <w:gridCol w:w="797"/>
        <w:gridCol w:w="782"/>
        <w:gridCol w:w="787"/>
        <w:gridCol w:w="581"/>
        <w:gridCol w:w="557"/>
        <w:gridCol w:w="979"/>
        <w:gridCol w:w="1032"/>
        <w:gridCol w:w="883"/>
        <w:gridCol w:w="787"/>
        <w:gridCol w:w="864"/>
        <w:gridCol w:w="787"/>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谢石松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68,546,305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14,572,102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53,974,203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二</w:t>
      </w:r>
      <w:bookmarkEnd w:id="473"/>
      <w:r>
        <w:rPr>
          <w:color w:val="000000"/>
          <w:spacing w:val="0"/>
          <w:w w:val="100"/>
          <w:position w:val="0"/>
        </w:rPr>
        <w:t>、公司董事、监事、高级管理人员变动情况</w:t>
      </w:r>
      <w:bookmarkEnd w:id="471"/>
      <w:bookmarkEnd w:id="472"/>
      <w:bookmarkEnd w:id="474"/>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42"/>
        <w:gridCol w:w="3154"/>
        <w:gridCol w:w="1632"/>
        <w:gridCol w:w="2107"/>
        <w:gridCol w:w="11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谢石松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万良勇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换届选举</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三</w:t>
      </w:r>
      <w:bookmarkEnd w:id="477"/>
      <w:r>
        <w:rPr>
          <w:color w:val="000000"/>
          <w:spacing w:val="0"/>
          <w:w w:val="100"/>
          <w:position w:val="0"/>
        </w:rPr>
        <w:t>、任职情况</w:t>
      </w:r>
      <w:bookmarkEnd w:id="475"/>
      <w:bookmarkEnd w:id="476"/>
      <w:bookmarkEnd w:id="47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475" w:lineRule="exact"/>
        <w:ind w:left="0" w:right="0" w:firstLine="460"/>
        <w:jc w:val="left"/>
      </w:pPr>
      <w:r>
        <w:rPr>
          <w:color w:val="000000"/>
          <w:spacing w:val="0"/>
          <w:w w:val="100"/>
          <w:position w:val="0"/>
        </w:rPr>
        <w:t>陈钿隆先生，中国国籍，无境外永久居留权，</w:t>
      </w:r>
      <w:r>
        <w:rPr>
          <w:color w:val="000000"/>
          <w:spacing w:val="0"/>
          <w:w w:val="100"/>
          <w:position w:val="0"/>
          <w:sz w:val="16"/>
          <w:szCs w:val="16"/>
        </w:rPr>
        <w:t>1961</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w:t>
      </w:r>
      <w:r>
        <w:rPr>
          <w:color w:val="000000"/>
          <w:spacing w:val="0"/>
          <w:w w:val="100"/>
          <w:position w:val="0"/>
          <w:sz w:val="16"/>
          <w:szCs w:val="16"/>
        </w:rPr>
        <w:t>1988</w:t>
      </w:r>
      <w:r>
        <w:rPr>
          <w:color w:val="000000"/>
          <w:spacing w:val="0"/>
          <w:w w:val="100"/>
          <w:position w:val="0"/>
        </w:rPr>
        <w:t>年加入本公司，历任业务员、业务部经理、客户总 监、业务局长、董事副总经理、公司董事总经理。现任省广博报堂整合营销有限公司董事长、广东省广代思博报堂广告有限 公司董事长、本公司董事长。</w:t>
      </w:r>
    </w:p>
    <w:p>
      <w:pPr>
        <w:pStyle w:val="Style28"/>
        <w:keepNext w:val="0"/>
        <w:keepLines w:val="0"/>
        <w:widowControl w:val="0"/>
        <w:shd w:val="clear" w:color="auto" w:fill="auto"/>
        <w:bidi w:val="0"/>
        <w:spacing w:before="0" w:after="340" w:line="475" w:lineRule="exact"/>
        <w:ind w:left="0" w:right="0" w:firstLine="460"/>
        <w:jc w:val="left"/>
      </w:pPr>
      <w:r>
        <w:rPr>
          <w:color w:val="000000"/>
          <w:spacing w:val="0"/>
          <w:w w:val="100"/>
          <w:position w:val="0"/>
        </w:rPr>
        <w:t>何滨先生，中国国籍，无境外永久居留权，</w:t>
      </w:r>
      <w:r>
        <w:rPr>
          <w:color w:val="000000"/>
          <w:spacing w:val="0"/>
          <w:w w:val="100"/>
          <w:position w:val="0"/>
          <w:sz w:val="16"/>
          <w:szCs w:val="16"/>
        </w:rPr>
        <w:t>1972</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w:t>
      </w:r>
      <w:r>
        <w:rPr>
          <w:color w:val="000000"/>
          <w:spacing w:val="0"/>
          <w:w w:val="100"/>
          <w:position w:val="0"/>
          <w:sz w:val="16"/>
          <w:szCs w:val="16"/>
        </w:rPr>
        <w:t>1994</w:t>
      </w:r>
      <w:r>
        <w:rPr>
          <w:color w:val="000000"/>
          <w:spacing w:val="0"/>
          <w:w w:val="100"/>
          <w:position w:val="0"/>
        </w:rPr>
        <w:t>年加入本公司，历任业务员、客户主任、国内广 告三部副经理、业务一局客户经理、策划总监兼业务一局局长、总经理助理、董事。现任本公司副董事长、总经理。</w:t>
      </w:r>
    </w:p>
    <w:p>
      <w:pPr>
        <w:pStyle w:val="Style28"/>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廖浩先生，中国国籍，无境外永久居留权，</w:t>
      </w:r>
      <w:r>
        <w:rPr>
          <w:color w:val="000000"/>
          <w:spacing w:val="0"/>
          <w:w w:val="100"/>
          <w:position w:val="0"/>
          <w:sz w:val="16"/>
          <w:szCs w:val="16"/>
        </w:rPr>
        <w:t>1973</w:t>
      </w:r>
      <w:r>
        <w:rPr>
          <w:color w:val="000000"/>
          <w:spacing w:val="0"/>
          <w:w w:val="100"/>
          <w:position w:val="0"/>
        </w:rPr>
        <w:t>年</w:t>
      </w:r>
      <w:r>
        <w:rPr>
          <w:color w:val="000000"/>
          <w:spacing w:val="0"/>
          <w:w w:val="100"/>
          <w:position w:val="0"/>
          <w:sz w:val="16"/>
          <w:szCs w:val="16"/>
        </w:rPr>
        <w:t>3</w:t>
      </w:r>
      <w:r>
        <w:rPr>
          <w:color w:val="000000"/>
          <w:spacing w:val="0"/>
          <w:w w:val="100"/>
          <w:position w:val="0"/>
        </w:rPr>
        <w:t>月出生。</w:t>
      </w:r>
      <w:r>
        <w:rPr>
          <w:color w:val="000000"/>
          <w:spacing w:val="0"/>
          <w:w w:val="100"/>
          <w:position w:val="0"/>
          <w:sz w:val="16"/>
          <w:szCs w:val="16"/>
        </w:rPr>
        <w:t>1994</w:t>
      </w:r>
      <w:r>
        <w:rPr>
          <w:color w:val="000000"/>
          <w:spacing w:val="0"/>
          <w:w w:val="100"/>
          <w:position w:val="0"/>
        </w:rPr>
        <w:t>年</w:t>
      </w:r>
      <w:r>
        <w:rPr>
          <w:color w:val="000000"/>
          <w:spacing w:val="0"/>
          <w:w w:val="100"/>
          <w:position w:val="0"/>
          <w:sz w:val="16"/>
          <w:szCs w:val="16"/>
        </w:rPr>
        <w:t>7</w:t>
      </w:r>
      <w:r>
        <w:rPr>
          <w:color w:val="000000"/>
          <w:spacing w:val="0"/>
          <w:w w:val="100"/>
          <w:position w:val="0"/>
        </w:rPr>
        <w:t>月加入公司，历任客户主任、业务局副局长、 投资发展部总经理、公司总经理助理。现任本公司董事、副总经理、董事会秘书。</w:t>
      </w:r>
    </w:p>
    <w:p>
      <w:pPr>
        <w:pStyle w:val="Style2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周旭先生，中国国籍，无境外永久居留权，</w:t>
      </w:r>
      <w:r>
        <w:rPr>
          <w:color w:val="000000"/>
          <w:spacing w:val="0"/>
          <w:w w:val="100"/>
          <w:position w:val="0"/>
          <w:sz w:val="16"/>
          <w:szCs w:val="16"/>
        </w:rPr>
        <w:t>1977</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月出生，会计硕士学位，国际注册内部审计师、会计师、注册税务 师。历任广东省广新控股集团有限公司结算中心副主任、副部长；佛山佛塑科技集团股份有限公司董事、财务总监。现任本 公司董事、财务总监。</w:t>
      </w:r>
    </w:p>
    <w:p>
      <w:pPr>
        <w:pStyle w:val="Style2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杨远征先生，中国国籍，无境外永久居留权。</w:t>
      </w:r>
      <w:r>
        <w:rPr>
          <w:color w:val="000000"/>
          <w:spacing w:val="0"/>
          <w:w w:val="100"/>
          <w:position w:val="0"/>
          <w:sz w:val="16"/>
          <w:szCs w:val="16"/>
        </w:rPr>
        <w:t>1980</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w:t>
      </w:r>
      <w:r>
        <w:rPr>
          <w:color w:val="000000"/>
          <w:spacing w:val="0"/>
          <w:w w:val="100"/>
          <w:position w:val="0"/>
          <w:sz w:val="16"/>
          <w:szCs w:val="16"/>
        </w:rPr>
        <w:t>2002</w:t>
      </w:r>
      <w:r>
        <w:rPr>
          <w:color w:val="000000"/>
          <w:spacing w:val="0"/>
          <w:w w:val="100"/>
          <w:position w:val="0"/>
        </w:rPr>
        <w:t>年加入公司，曾任媒介策划经理、媒介购买副总监、 媒介经营总监。现任本公司董事、副总经理。</w:t>
      </w:r>
    </w:p>
    <w:p>
      <w:pPr>
        <w:pStyle w:val="Style2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谢景云女士，中国国籍，无境外永久居留权，</w:t>
      </w:r>
      <w:r>
        <w:rPr>
          <w:color w:val="000000"/>
          <w:spacing w:val="0"/>
          <w:w w:val="100"/>
          <w:position w:val="0"/>
          <w:sz w:val="16"/>
          <w:szCs w:val="16"/>
        </w:rPr>
        <w:t>1980</w:t>
      </w:r>
      <w:r>
        <w:rPr>
          <w:color w:val="000000"/>
          <w:spacing w:val="0"/>
          <w:w w:val="100"/>
          <w:position w:val="0"/>
        </w:rPr>
        <w:t>年</w:t>
      </w:r>
      <w:r>
        <w:rPr>
          <w:color w:val="000000"/>
          <w:spacing w:val="0"/>
          <w:w w:val="100"/>
          <w:position w:val="0"/>
          <w:sz w:val="16"/>
          <w:szCs w:val="16"/>
        </w:rPr>
        <w:t>9</w:t>
      </w:r>
      <w:r>
        <w:rPr>
          <w:color w:val="000000"/>
          <w:spacing w:val="0"/>
          <w:w w:val="100"/>
          <w:position w:val="0"/>
        </w:rPr>
        <w:t>月出生，</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4</w:t>
      </w:r>
      <w:r>
        <w:rPr>
          <w:color w:val="000000"/>
          <w:spacing w:val="0"/>
          <w:w w:val="100"/>
          <w:position w:val="0"/>
        </w:rPr>
        <w:t>月至今在广东省广新控股集团有限公司历任投 资发展部项目经理、投资发展部主管、资本运营部部长助理、资本运营部副部长、投资与资本运营部部长。现任广东省广新 控股集团有限公司运营管理中心总经理、本公司董事。</w:t>
      </w:r>
    </w:p>
    <w:p>
      <w:pPr>
        <w:pStyle w:val="Style2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黄昇民先生，中国国籍，无境外永久居留权，</w:t>
      </w:r>
      <w:r>
        <w:rPr>
          <w:color w:val="000000"/>
          <w:spacing w:val="0"/>
          <w:w w:val="100"/>
          <w:position w:val="0"/>
          <w:sz w:val="16"/>
          <w:szCs w:val="16"/>
        </w:rPr>
        <w:t>1955</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月出生，中国传媒大学广告学院教授、博士生导师。兼任中国广 告博物馆馆长、《媒介》杂志总编、中广天择传媒股份有限公司独立董事。现任本公司独立董事。</w:t>
      </w:r>
    </w:p>
    <w:p>
      <w:pPr>
        <w:pStyle w:val="Style2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梁彤缨先生，中国国籍，无境外永久居留权，</w:t>
      </w:r>
      <w:r>
        <w:rPr>
          <w:color w:val="000000"/>
          <w:spacing w:val="0"/>
          <w:w w:val="100"/>
          <w:position w:val="0"/>
          <w:sz w:val="16"/>
          <w:szCs w:val="16"/>
        </w:rPr>
        <w:t>1961</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月出生。华南理工大学工商管理学院教授、博士生导师、资本 市场与公司财务研究中心主任。兼任中炬高新技术实业（集团）股份有限公司独立董事、广州广电计量检测股份有限公司独 立董事、深圳市创益通技术股份有限公司独立董事、广州交通投资集团有限公司董事。现任本公司独立董事。</w:t>
      </w:r>
    </w:p>
    <w:p>
      <w:pPr>
        <w:pStyle w:val="Style2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梁丹妮女士，中国国籍，无境外永久居留权，</w:t>
      </w:r>
      <w:r>
        <w:rPr>
          <w:color w:val="000000"/>
          <w:spacing w:val="0"/>
          <w:w w:val="100"/>
          <w:position w:val="0"/>
          <w:sz w:val="16"/>
          <w:szCs w:val="16"/>
        </w:rPr>
        <w:t>1976</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月出生。中山大学法学院副教授、博士生导师。兼任中国国际经 济贸易仲裁委员会仲裁员，中国广州、珠海、佛山、肇庆、惠州等仲裁委员会仲裁员，并担任兼职律师。现任本公司独立董 事。</w:t>
      </w:r>
    </w:p>
    <w:p>
      <w:pPr>
        <w:pStyle w:val="Style2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胡镇南先生，中国国籍，无境外永久居留权，</w:t>
      </w:r>
      <w:r>
        <w:rPr>
          <w:color w:val="000000"/>
          <w:spacing w:val="0"/>
          <w:w w:val="100"/>
          <w:position w:val="0"/>
          <w:sz w:val="16"/>
          <w:szCs w:val="16"/>
        </w:rPr>
        <w:t>1963</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w:t>
      </w:r>
      <w:r>
        <w:rPr>
          <w:color w:val="000000"/>
          <w:spacing w:val="0"/>
          <w:w w:val="100"/>
          <w:position w:val="0"/>
          <w:sz w:val="16"/>
          <w:szCs w:val="16"/>
        </w:rPr>
        <w:t>1987</w:t>
      </w:r>
      <w:r>
        <w:rPr>
          <w:color w:val="000000"/>
          <w:spacing w:val="0"/>
          <w:w w:val="100"/>
          <w:position w:val="0"/>
        </w:rPr>
        <w:t>年加入本公司，历任业务员、部门经理，业务局 局长、第二事业部总经理。现任本公司监事会主席。</w:t>
      </w:r>
    </w:p>
    <w:p>
      <w:pPr>
        <w:pStyle w:val="Style2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张磊女士，中国国籍，无境外永久居留权，</w:t>
      </w:r>
      <w:r>
        <w:rPr>
          <w:color w:val="000000"/>
          <w:spacing w:val="0"/>
          <w:w w:val="100"/>
          <w:position w:val="0"/>
          <w:sz w:val="16"/>
          <w:szCs w:val="16"/>
        </w:rPr>
        <w:t>1969</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月出生。曾任职于国家审计署驻广州特派办广东广信会计师事务 所、广东省广新外贸集团财审部。历任广东省广新外贸集团监察审计部副部长兼审计室主任、广东省广新控股集团有限公司 财务部副部长、审计与监事管理部部长、本公司董事。现任广东省广新控股集团有限公司总经理助理、审计与监事管理部总 经理、本公司监事。</w:t>
      </w:r>
    </w:p>
    <w:p>
      <w:pPr>
        <w:pStyle w:val="Style2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袁志先生，中国国籍，无境外永久居留权。</w:t>
      </w:r>
      <w:r>
        <w:rPr>
          <w:color w:val="000000"/>
          <w:spacing w:val="0"/>
          <w:w w:val="100"/>
          <w:position w:val="0"/>
          <w:sz w:val="16"/>
          <w:szCs w:val="16"/>
        </w:rPr>
        <w:t>1982</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w:t>
      </w: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7</w:t>
      </w:r>
      <w:r>
        <w:rPr>
          <w:color w:val="000000"/>
          <w:spacing w:val="0"/>
          <w:w w:val="100"/>
          <w:position w:val="0"/>
        </w:rPr>
        <w:t>月加入本公司，曾任媒介策划经理、客户总监、 十三事业部总经理。现任本公司副总经理。</w:t>
      </w:r>
    </w:p>
    <w:p>
      <w:pPr>
        <w:pStyle w:val="Style28"/>
        <w:keepNext w:val="0"/>
        <w:keepLines w:val="0"/>
        <w:widowControl w:val="0"/>
        <w:shd w:val="clear" w:color="auto" w:fill="auto"/>
        <w:bidi w:val="0"/>
        <w:spacing w:before="0" w:line="446" w:lineRule="exact"/>
        <w:ind w:left="0" w:right="0" w:firstLine="440"/>
        <w:jc w:val="both"/>
      </w:pPr>
      <w:r>
        <w:rPr>
          <w:color w:val="000000"/>
          <w:spacing w:val="0"/>
          <w:w w:val="100"/>
          <w:position w:val="0"/>
        </w:rPr>
        <w:t>吕亚飞先生，中国国籍，无境外永久居留权，</w:t>
      </w:r>
      <w:r>
        <w:rPr>
          <w:color w:val="000000"/>
          <w:spacing w:val="0"/>
          <w:w w:val="100"/>
          <w:position w:val="0"/>
          <w:sz w:val="16"/>
          <w:szCs w:val="16"/>
        </w:rPr>
        <w:t>1983</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月出生，本科学历。</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4</w:t>
      </w:r>
      <w:r>
        <w:rPr>
          <w:color w:val="000000"/>
          <w:spacing w:val="0"/>
          <w:w w:val="100"/>
          <w:position w:val="0"/>
        </w:rPr>
        <w:t>月加入公司，现任本公司监事。 在股东单位任职情况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578"/>
        <w:gridCol w:w="1829"/>
        <w:gridCol w:w="1214"/>
        <w:gridCol w:w="1344"/>
        <w:gridCol w:w="14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在股东单位担任的职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w:t>
            </w:r>
          </w:p>
        </w:tc>
      </w:tr>
    </w:tbl>
    <w:p>
      <w:pPr>
        <w:spacing w:lineRule="exact" w:line="1"/>
        <w:rPr>
          <w:sz w:val="2"/>
          <w:szCs w:val="2"/>
        </w:rPr>
      </w:pPr>
      <w:r>
        <w:br w:type="page"/>
      </w:r>
    </w:p>
    <w:tbl>
      <w:tblPr>
        <w:tblOverlap w:val="never"/>
        <w:jc w:val="center"/>
        <w:tblLayout w:type="fixed"/>
      </w:tblPr>
      <w:tblGrid>
        <w:gridCol w:w="1224"/>
        <w:gridCol w:w="2578"/>
        <w:gridCol w:w="1829"/>
        <w:gridCol w:w="1214"/>
        <w:gridCol w:w="1344"/>
        <w:gridCol w:w="14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总经理助理、审计与监 事管理部总经理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运营管理中心总经理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张磊女士，历任本公司董事、广东省广新外贸集团监察审计部副部长兼审计室主任、广东省广新控股集团有 限公司财务部副部长、审计与监事管理部部长。现任广东省广新控股集团有限公司总经理助理、审计与监事 管理部总经理、本公司监事。谢景云女士，</w:t>
            </w: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月至今在广东省广新控股集团有限公司历任投资发展 部项目经理、投资发展部主管、资本运营部部长助理、资本运营部副部长、投资与资本运营部部长，现任广 东省广新控股集团有限公司运营管理中心总经理、本公司董事。</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四</w:t>
      </w:r>
      <w:bookmarkEnd w:id="481"/>
      <w:r>
        <w:rPr>
          <w:color w:val="000000"/>
          <w:spacing w:val="0"/>
          <w:w w:val="100"/>
          <w:position w:val="0"/>
        </w:rPr>
        <w:t>、董事、监事、高级管理人员报酬情况</w:t>
      </w:r>
      <w:bookmarkEnd w:id="479"/>
      <w:bookmarkEnd w:id="480"/>
      <w:bookmarkEnd w:id="482"/>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公司董事、监事、高级管理人员报酬符合《公司法》、《公司章程》的规定，符合公司实际情况，有利于发挥董事、监事及 高级管理人员的创造性与积极性，有利于公司长远发展。</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54"/>
        <w:gridCol w:w="2683"/>
        <w:gridCol w:w="624"/>
        <w:gridCol w:w="619"/>
        <w:gridCol w:w="1440"/>
        <w:gridCol w:w="1445"/>
        <w:gridCol w:w="145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802.12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五</w:t>
      </w:r>
      <w:bookmarkEnd w:id="485"/>
      <w:r>
        <w:rPr>
          <w:color w:val="000000"/>
          <w:spacing w:val="0"/>
          <w:w w:val="100"/>
          <w:position w:val="0"/>
        </w:rPr>
        <w:t>、公司员工情况</w:t>
      </w:r>
      <w:bookmarkEnd w:id="483"/>
      <w:bookmarkEnd w:id="484"/>
      <w:bookmarkEnd w:id="486"/>
    </w:p>
    <w:p>
      <w:pPr>
        <w:pStyle w:val="Style32"/>
        <w:keepNext/>
        <w:keepLines/>
        <w:widowControl w:val="0"/>
        <w:shd w:val="clear" w:color="auto" w:fill="auto"/>
        <w:bidi w:val="0"/>
        <w:spacing w:before="0" w:after="32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、员工数量、专业构成及教育程度</w:t>
      </w:r>
      <w:bookmarkEnd w:id="487"/>
      <w:bookmarkEnd w:id="488"/>
      <w:bookmarkEnd w:id="49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媒介人员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策划创意人员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行政及其他人员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硕士研究生及以上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w:t>
            </w:r>
          </w:p>
        </w:tc>
      </w:tr>
    </w:tbl>
    <w:p>
      <w:pPr>
        <w:widowControl w:val="0"/>
        <w:spacing w:after="319" w:line="1" w:lineRule="exact"/>
      </w:pPr>
    </w:p>
    <w:p>
      <w:pPr>
        <w:pStyle w:val="Style32"/>
        <w:keepNext/>
        <w:keepLines/>
        <w:widowControl w:val="0"/>
        <w:shd w:val="clear" w:color="auto" w:fill="auto"/>
        <w:tabs>
          <w:tab w:pos="378" w:val="left"/>
        </w:tabs>
        <w:bidi w:val="0"/>
        <w:spacing w:before="0" w:after="20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薪酬政策</w:t>
      </w:r>
      <w:bookmarkEnd w:id="491"/>
      <w:bookmarkEnd w:id="492"/>
      <w:bookmarkEnd w:id="494"/>
    </w:p>
    <w:p>
      <w:pPr>
        <w:pStyle w:val="Style28"/>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为保留和吸引人才，公司以公平、竞争、激励为原则建立了具备市场竞争力与内部公平性的薪酬体系。通过充分的市 场薪酬调研和内部数据分析，建立了以岗位和职级为基础的薪酬基准线，同时完善了绩效考核管理制度，将绩效考核结果运 用到员工薪酬调整中去。与绩效表现相挂钩的薪酬政策，对留用公司核心人才起到很好的效果，同时透明的薪酬政策也对加 大了对公司外部人才的吸引力。</w:t>
      </w:r>
    </w:p>
    <w:p>
      <w:pPr>
        <w:pStyle w:val="Style32"/>
        <w:keepNext/>
        <w:keepLines/>
        <w:widowControl w:val="0"/>
        <w:shd w:val="clear" w:color="auto" w:fill="auto"/>
        <w:tabs>
          <w:tab w:pos="378" w:val="left"/>
        </w:tabs>
        <w:bidi w:val="0"/>
        <w:spacing w:before="0" w:after="46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培训计划</w:t>
      </w:r>
      <w:bookmarkEnd w:id="495"/>
      <w:bookmarkEnd w:id="496"/>
      <w:bookmarkEnd w:id="498"/>
    </w:p>
    <w:p>
      <w:pPr>
        <w:pStyle w:val="Style28"/>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 xml:space="preserve">为了使员工达成对公司文化、价值观、发展战略的认知和认同，提高公司全体员工的整体素质和专业技术水平，实现 </w:t>
      </w:r>
      <w:r>
        <w:rPr>
          <w:color w:val="000000"/>
          <w:spacing w:val="0"/>
          <w:w w:val="100"/>
          <w:position w:val="0"/>
        </w:rPr>
        <w:t>员工与公司的共同发展，公司建立了完善的培训体系，包括新员工入职培训和在职培训两个板块，其中在职培训又细分为基 础类、专业类、管理类和自我开发四个部分，形式也丰富多样，从普通的室内传统培训到户外拓展、线上学习、微博微信课 程等，灵活多变以满足员工的学习要求，进一步促成了全员参与的学习氛围。公司打造了内部讲师制度和课程体系，同时为 员工建立了个人培训档案，与奖励机制充分结合，充分调动了员工参与培训的积极性，也提高了培训效果，促进了员工与公 司的持续发展。</w:t>
      </w:r>
    </w:p>
    <w:p>
      <w:pPr>
        <w:pStyle w:val="Style32"/>
        <w:keepNext/>
        <w:keepLines/>
        <w:widowControl w:val="0"/>
        <w:shd w:val="clear" w:color="auto" w:fill="auto"/>
        <w:bidi w:val="0"/>
        <w:spacing w:before="0" w:after="380" w:line="240"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4</w:t>
      </w:r>
      <w:bookmarkEnd w:id="501"/>
      <w:r>
        <w:rPr>
          <w:color w:val="000000"/>
          <w:spacing w:val="0"/>
          <w:w w:val="100"/>
          <w:position w:val="0"/>
        </w:rPr>
        <w:t>、劳务外包情况</w:t>
      </w:r>
      <w:bookmarkEnd w:id="499"/>
      <w:bookmarkEnd w:id="500"/>
      <w:bookmarkEnd w:id="502"/>
    </w:p>
    <w:p>
      <w:pPr>
        <w:pStyle w:val="Style28"/>
        <w:keepNext w:val="0"/>
        <w:keepLines w:val="0"/>
        <w:widowControl w:val="0"/>
        <w:shd w:val="clear" w:color="auto" w:fill="auto"/>
        <w:bidi w:val="0"/>
        <w:spacing w:before="0" w:after="420" w:line="545" w:lineRule="auto"/>
        <w:ind w:left="0" w:right="0" w:firstLine="0"/>
        <w:jc w:val="both"/>
        <w:sectPr>
          <w:footnotePr>
            <w:pos w:val="pageBottom"/>
            <w:numFmt w:val="decimal"/>
            <w:numRestart w:val="continuous"/>
          </w:footnotePr>
          <w:pgSz w:w="11900" w:h="16840"/>
          <w:pgMar w:top="1278" w:right="1059" w:bottom="1547"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460" w:after="580" w:line="240" w:lineRule="auto"/>
        <w:ind w:left="0" w:right="0" w:firstLine="0"/>
        <w:jc w:val="center"/>
      </w:pPr>
      <w:bookmarkStart w:id="503" w:name="bookmark503"/>
      <w:bookmarkStart w:id="504" w:name="bookmark504"/>
      <w:bookmarkStart w:id="505" w:name="bookmark505"/>
      <w:r>
        <w:rPr>
          <w:color w:val="000000"/>
          <w:spacing w:val="0"/>
          <w:w w:val="100"/>
          <w:position w:val="0"/>
        </w:rPr>
        <w:t>第十节公司治理</w:t>
      </w:r>
      <w:bookmarkEnd w:id="503"/>
      <w:bookmarkEnd w:id="504"/>
      <w:bookmarkEnd w:id="505"/>
    </w:p>
    <w:p>
      <w:pPr>
        <w:pStyle w:val="Style24"/>
        <w:keepNext/>
        <w:keepLines/>
        <w:widowControl w:val="0"/>
        <w:shd w:val="clear" w:color="auto" w:fill="auto"/>
        <w:tabs>
          <w:tab w:pos="485" w:val="left"/>
        </w:tabs>
        <w:bidi w:val="0"/>
        <w:spacing w:before="0" w:after="160" w:line="240" w:lineRule="auto"/>
        <w:ind w:left="0" w:right="0" w:firstLine="0"/>
        <w:jc w:val="left"/>
      </w:pPr>
      <w:bookmarkStart w:id="506" w:name="bookmark506"/>
      <w:bookmarkStart w:id="507" w:name="bookmark507"/>
      <w:bookmarkStart w:id="508" w:name="bookmark508"/>
      <w:bookmarkStart w:id="509" w:name="bookmark509"/>
      <w:bookmarkStart w:id="510" w:name="bookmark510"/>
      <w:r>
        <w:rPr>
          <w:color w:val="000000"/>
          <w:spacing w:val="0"/>
          <w:w w:val="100"/>
          <w:position w:val="0"/>
        </w:rPr>
        <w:t>一</w:t>
      </w:r>
      <w:bookmarkEnd w:id="509"/>
      <w:r>
        <w:rPr>
          <w:color w:val="000000"/>
          <w:spacing w:val="0"/>
          <w:w w:val="100"/>
          <w:position w:val="0"/>
        </w:rPr>
        <w:t>、</w:t>
        <w:tab/>
        <w:t>公司治理的基本状况</w:t>
      </w:r>
      <w:bookmarkEnd w:id="507"/>
      <w:bookmarkEnd w:id="508"/>
      <w:bookmarkEnd w:id="510"/>
      <w:bookmarkEnd w:id="506"/>
    </w:p>
    <w:p>
      <w:pPr>
        <w:pStyle w:val="Style2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报告期内，公司根据《公司法》、《证券法》、《上市公司治理准则》、《深圳证券交易所中小企业板上市公司规范 运作指引》、《深圳证券交易所股票上市规则》及中国证监会有关法律法规的要求，不断完善公司法人治理结构、规范公司 运作、不断加强信息披露工作，积极开展投资者关系管理工作。</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485" w:val="left"/>
        </w:tabs>
        <w:bidi w:val="0"/>
        <w:spacing w:before="0" w:after="1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二</w:t>
      </w:r>
      <w:bookmarkEnd w:id="513"/>
      <w:r>
        <w:rPr>
          <w:color w:val="000000"/>
          <w:spacing w:val="0"/>
          <w:w w:val="100"/>
          <w:position w:val="0"/>
        </w:rPr>
        <w:t>、</w:t>
        <w:tab/>
        <w:t>公司相对于控股股东在业务、人员、资产、机构、财务等方面的独立情况</w:t>
      </w:r>
      <w:bookmarkEnd w:id="511"/>
      <w:bookmarkEnd w:id="512"/>
      <w:bookmarkEnd w:id="514"/>
    </w:p>
    <w:p>
      <w:pPr>
        <w:pStyle w:val="Style28"/>
        <w:keepNext w:val="0"/>
        <w:keepLines w:val="0"/>
        <w:widowControl w:val="0"/>
        <w:shd w:val="clear" w:color="auto" w:fill="auto"/>
        <w:tabs>
          <w:tab w:pos="731" w:val="left"/>
        </w:tabs>
        <w:bidi w:val="0"/>
        <w:spacing w:before="0" w:after="0" w:line="471" w:lineRule="exact"/>
        <w:ind w:left="0" w:right="0" w:firstLine="440"/>
        <w:jc w:val="both"/>
      </w:pPr>
      <w:bookmarkStart w:id="515" w:name="bookmark515"/>
      <w:r>
        <w:rPr>
          <w:color w:val="000000"/>
          <w:spacing w:val="0"/>
          <w:w w:val="100"/>
          <w:position w:val="0"/>
          <w:sz w:val="16"/>
          <w:szCs w:val="16"/>
        </w:rPr>
        <w:t>1</w:t>
      </w:r>
      <w:bookmarkEnd w:id="515"/>
      <w:r>
        <w:rPr>
          <w:color w:val="000000"/>
          <w:spacing w:val="0"/>
          <w:w w:val="100"/>
          <w:position w:val="0"/>
        </w:rPr>
        <w:t>、</w:t>
        <w:tab/>
        <w:t>业务独立情况：公司具备独立、完整的运营管理团队和服务系统，面向市场独立经营，具有独立完整的业务体系。 与控股股东、实际控制人及其控制的其他企业间不存在同业竞争，目前公司主营业务与各股东单位之间均无重叠，公司与控 股股东及其控股、参股单位不存在同业竞争或显失公平的关联交易。</w:t>
      </w:r>
    </w:p>
    <w:p>
      <w:pPr>
        <w:pStyle w:val="Style28"/>
        <w:keepNext w:val="0"/>
        <w:keepLines w:val="0"/>
        <w:widowControl w:val="0"/>
        <w:shd w:val="clear" w:color="auto" w:fill="auto"/>
        <w:tabs>
          <w:tab w:pos="731" w:val="left"/>
        </w:tabs>
        <w:bidi w:val="0"/>
        <w:spacing w:before="0" w:after="0" w:line="471" w:lineRule="exact"/>
        <w:ind w:left="0" w:right="0" w:firstLine="440"/>
        <w:jc w:val="both"/>
      </w:pPr>
      <w:bookmarkStart w:id="516" w:name="bookmark516"/>
      <w:r>
        <w:rPr>
          <w:color w:val="000000"/>
          <w:spacing w:val="0"/>
          <w:w w:val="100"/>
          <w:position w:val="0"/>
          <w:sz w:val="16"/>
          <w:szCs w:val="16"/>
        </w:rPr>
        <w:t>2</w:t>
      </w:r>
      <w:bookmarkEnd w:id="516"/>
      <w:r>
        <w:rPr>
          <w:color w:val="000000"/>
          <w:spacing w:val="0"/>
          <w:w w:val="100"/>
          <w:position w:val="0"/>
        </w:rPr>
        <w:t>、</w:t>
        <w:tab/>
        <w:t>资产独立情况：公司资产独立、完整，与股东拥有的资产产权界定明确。公司设立过程中，股东投入的资产均已足 额到位，相关资产过户手续已办理完毕。公司具备与经营有关的经营管理系统和配套设施，合法拥有与经营有关的房屋、设 备等固定资产，也独立拥有注册商标等无形资产。报告期内公司不存在股东违规占用公司资产或资金的情况，亦不存在公司 为各股东及其下属单位提供担保的情况。</w:t>
      </w:r>
    </w:p>
    <w:p>
      <w:pPr>
        <w:pStyle w:val="Style28"/>
        <w:keepNext w:val="0"/>
        <w:keepLines w:val="0"/>
        <w:widowControl w:val="0"/>
        <w:shd w:val="clear" w:color="auto" w:fill="auto"/>
        <w:tabs>
          <w:tab w:pos="731" w:val="left"/>
        </w:tabs>
        <w:bidi w:val="0"/>
        <w:spacing w:before="0" w:after="0" w:line="471" w:lineRule="exact"/>
        <w:ind w:left="0" w:right="0" w:firstLine="440"/>
        <w:jc w:val="both"/>
      </w:pPr>
      <w:bookmarkStart w:id="517" w:name="bookmark517"/>
      <w:r>
        <w:rPr>
          <w:color w:val="000000"/>
          <w:spacing w:val="0"/>
          <w:w w:val="100"/>
          <w:position w:val="0"/>
          <w:sz w:val="16"/>
          <w:szCs w:val="16"/>
        </w:rPr>
        <w:t>3</w:t>
      </w:r>
      <w:bookmarkEnd w:id="517"/>
      <w:r>
        <w:rPr>
          <w:color w:val="000000"/>
          <w:spacing w:val="0"/>
          <w:w w:val="100"/>
          <w:position w:val="0"/>
        </w:rPr>
        <w:t>、</w:t>
        <w:tab/>
        <w:t>人员独立情况：公司的董事、监事和高级管理人员严格按照《公司法》和《公司章程》的有关规定产生，不存在有 关法律、法规禁止的兼职情况；公司拥有独立的劳动、人事、工资管理机构和管理制度，其机构设置和人员管理均与股东单 位及其他关联方分离，独立规范运作；不存在股东或其他关联方指派或干预人员任免的情形；高级管理人员均未在股东及其 控制的其他企业中担任除董事以外的其他职务，也未在股东及其控制的其他企业领薪；公司的财务人员亦未在股东及其控制 的其他企业中兼职。</w:t>
      </w:r>
    </w:p>
    <w:p>
      <w:pPr>
        <w:pStyle w:val="Style28"/>
        <w:keepNext w:val="0"/>
        <w:keepLines w:val="0"/>
        <w:widowControl w:val="0"/>
        <w:shd w:val="clear" w:color="auto" w:fill="auto"/>
        <w:tabs>
          <w:tab w:pos="736" w:val="left"/>
        </w:tabs>
        <w:bidi w:val="0"/>
        <w:spacing w:before="0" w:after="0" w:line="471" w:lineRule="exact"/>
        <w:ind w:left="0" w:right="0" w:firstLine="440"/>
        <w:jc w:val="both"/>
      </w:pPr>
      <w:bookmarkStart w:id="518" w:name="bookmark518"/>
      <w:r>
        <w:rPr>
          <w:color w:val="000000"/>
          <w:spacing w:val="0"/>
          <w:w w:val="100"/>
          <w:position w:val="0"/>
          <w:sz w:val="16"/>
          <w:szCs w:val="16"/>
        </w:rPr>
        <w:t>4</w:t>
      </w:r>
      <w:bookmarkEnd w:id="518"/>
      <w:r>
        <w:rPr>
          <w:color w:val="000000"/>
          <w:spacing w:val="0"/>
          <w:w w:val="100"/>
          <w:position w:val="0"/>
        </w:rPr>
        <w:t>、</w:t>
        <w:tab/>
        <w:t>财务独立情况：公司依据《中华人民共和国会计法》、《企业会计准则》和《企业会计制度》的规定，制定了内部 会计控制制度，设立了独立的财务会计机构，建立了独立完善的财务会计核算体系和财务管理制度，拥有专门的财务人员， 且财务人员未在任何关联单位兼职。公司独立在银行开户，没有与控股股东和实际控制人共用银行账户的情况；历年来，公 司独立对外签订合同，依法独立缴纳各种税费；公司根据经营情况独立作出财务决策和资金使用决策，没有发生控股股东和 实际控制人干预公司资金运用的情况。</w:t>
      </w:r>
    </w:p>
    <w:p>
      <w:pPr>
        <w:pStyle w:val="Style28"/>
        <w:keepNext w:val="0"/>
        <w:keepLines w:val="0"/>
        <w:widowControl w:val="0"/>
        <w:shd w:val="clear" w:color="auto" w:fill="auto"/>
        <w:tabs>
          <w:tab w:pos="753" w:val="left"/>
        </w:tabs>
        <w:bidi w:val="0"/>
        <w:spacing w:before="0" w:after="200" w:line="471" w:lineRule="exact"/>
        <w:ind w:left="0" w:right="0" w:firstLine="440"/>
        <w:jc w:val="both"/>
      </w:pPr>
      <w:bookmarkStart w:id="519" w:name="bookmark519"/>
      <w:r>
        <w:rPr>
          <w:color w:val="000000"/>
          <w:spacing w:val="0"/>
          <w:w w:val="100"/>
          <w:position w:val="0"/>
          <w:sz w:val="16"/>
          <w:szCs w:val="16"/>
        </w:rPr>
        <w:t>5</w:t>
      </w:r>
      <w:bookmarkEnd w:id="519"/>
      <w:r>
        <w:rPr>
          <w:color w:val="000000"/>
          <w:spacing w:val="0"/>
          <w:w w:val="100"/>
          <w:position w:val="0"/>
        </w:rPr>
        <w:t>、</w:t>
        <w:tab/>
        <w:t>机构独立情况：公司拥有独立的经营和办公机构场所，不存在与股东单位混合经营、合署办公的情形。公司依据《公</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司法》和《公司章程》设立了股东大会、董事会、监事会等机构并制定了相应的议事规则，各机构依照相关规定在各自职责</w:t>
      </w:r>
    </w:p>
    <w:p>
      <w:pPr>
        <w:pStyle w:val="Style28"/>
        <w:keepNext w:val="0"/>
        <w:keepLines w:val="0"/>
        <w:widowControl w:val="0"/>
        <w:shd w:val="clear" w:color="auto" w:fill="auto"/>
        <w:bidi w:val="0"/>
        <w:spacing w:before="0" w:after="460" w:line="240" w:lineRule="auto"/>
        <w:ind w:left="0" w:right="0" w:firstLine="0"/>
        <w:jc w:val="both"/>
      </w:pPr>
      <w:r>
        <w:rPr>
          <w:color w:val="000000"/>
          <w:spacing w:val="0"/>
          <w:w w:val="100"/>
          <w:position w:val="0"/>
        </w:rPr>
        <w:t>范围内独立决策、规范运作。公司建立了一套适应自身发展的组织机构，不存在股东单位干预公司机构设置的情况。</w:t>
      </w:r>
    </w:p>
    <w:p>
      <w:pPr>
        <w:pStyle w:val="Style24"/>
        <w:keepNext/>
        <w:keepLines/>
        <w:widowControl w:val="0"/>
        <w:shd w:val="clear" w:color="auto" w:fill="auto"/>
        <w:bidi w:val="0"/>
        <w:spacing w:before="0" w:after="380" w:line="240" w:lineRule="auto"/>
        <w:ind w:left="0" w:right="0" w:firstLine="0"/>
        <w:jc w:val="both"/>
      </w:pPr>
      <w:bookmarkStart w:id="520" w:name="bookmark520"/>
      <w:bookmarkStart w:id="521" w:name="bookmark521"/>
      <w:bookmarkStart w:id="522" w:name="bookmark522"/>
      <w:bookmarkStart w:id="523" w:name="bookmark523"/>
      <w:r>
        <w:rPr>
          <w:color w:val="000000"/>
          <w:spacing w:val="0"/>
          <w:w w:val="100"/>
          <w:position w:val="0"/>
        </w:rPr>
        <w:t>三</w:t>
      </w:r>
      <w:bookmarkEnd w:id="522"/>
      <w:r>
        <w:rPr>
          <w:color w:val="000000"/>
          <w:spacing w:val="0"/>
          <w:w w:val="100"/>
          <w:position w:val="0"/>
        </w:rPr>
        <w:t>、同业竞争情况</w:t>
      </w:r>
      <w:bookmarkEnd w:id="520"/>
      <w:bookmarkEnd w:id="521"/>
      <w:bookmarkEnd w:id="523"/>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524" w:name="bookmark524"/>
      <w:bookmarkStart w:id="525" w:name="bookmark525"/>
      <w:bookmarkStart w:id="526" w:name="bookmark526"/>
      <w:bookmarkStart w:id="527" w:name="bookmark527"/>
      <w:r>
        <w:rPr>
          <w:color w:val="000000"/>
          <w:spacing w:val="0"/>
          <w:w w:val="100"/>
          <w:position w:val="0"/>
        </w:rPr>
        <w:t>四</w:t>
      </w:r>
      <w:bookmarkEnd w:id="526"/>
      <w:r>
        <w:rPr>
          <w:color w:val="000000"/>
          <w:spacing w:val="0"/>
          <w:w w:val="100"/>
          <w:position w:val="0"/>
        </w:rPr>
        <w:t>、报告期内召开的年度股东大会和临时股东大会的有关情况</w:t>
      </w:r>
      <w:bookmarkEnd w:id="524"/>
      <w:bookmarkEnd w:id="525"/>
      <w:bookmarkEnd w:id="527"/>
    </w:p>
    <w:p>
      <w:pPr>
        <w:pStyle w:val="Style32"/>
        <w:keepNext/>
        <w:keepLines/>
        <w:widowControl w:val="0"/>
        <w:shd w:val="clear" w:color="auto" w:fill="auto"/>
        <w:bidi w:val="0"/>
        <w:spacing w:before="0" w:after="30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、本报告期股东大会情况</w:t>
      </w:r>
      <w:bookmarkEnd w:id="528"/>
      <w:bookmarkEnd w:id="529"/>
      <w:bookmarkEnd w:id="53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2020-006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2020-026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2020-052</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、表决权恢复的优先股股东请求召开临时股东大会</w:t>
      </w:r>
      <w:bookmarkEnd w:id="532"/>
      <w:bookmarkEnd w:id="533"/>
      <w:bookmarkEnd w:id="535"/>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536" w:name="bookmark536"/>
      <w:bookmarkStart w:id="537" w:name="bookmark537"/>
      <w:bookmarkStart w:id="538" w:name="bookmark538"/>
      <w:bookmarkStart w:id="539" w:name="bookmark539"/>
      <w:r>
        <w:rPr>
          <w:color w:val="000000"/>
          <w:spacing w:val="0"/>
          <w:w w:val="100"/>
          <w:position w:val="0"/>
        </w:rPr>
        <w:t>五</w:t>
      </w:r>
      <w:bookmarkEnd w:id="538"/>
      <w:r>
        <w:rPr>
          <w:color w:val="000000"/>
          <w:spacing w:val="0"/>
          <w:w w:val="100"/>
          <w:position w:val="0"/>
        </w:rPr>
        <w:t>、报告期内独立董事履行职责的情况</w:t>
      </w:r>
      <w:bookmarkEnd w:id="536"/>
      <w:bookmarkEnd w:id="537"/>
      <w:bookmarkEnd w:id="539"/>
    </w:p>
    <w:p>
      <w:pPr>
        <w:pStyle w:val="Style32"/>
        <w:keepNext/>
        <w:keepLines/>
        <w:widowControl w:val="0"/>
        <w:shd w:val="clear" w:color="auto" w:fill="auto"/>
        <w:bidi w:val="0"/>
        <w:spacing w:before="0" w:after="30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、独立董事出席董事会及股东大会的情况</w:t>
      </w:r>
      <w:bookmarkEnd w:id="540"/>
      <w:bookmarkEnd w:id="541"/>
      <w:bookmarkEnd w:id="54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、独立董事对公司有关事项提出异议的情况</w:t>
      </w:r>
      <w:bookmarkEnd w:id="544"/>
      <w:bookmarkEnd w:id="545"/>
      <w:bookmarkEnd w:id="547"/>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、独立董事履行职责的其他说明</w:t>
      </w:r>
      <w:bookmarkEnd w:id="548"/>
      <w:bookmarkEnd w:id="549"/>
      <w:bookmarkEnd w:id="55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公司独立董事能够严格按照《深圳证券交易所中小企业板上市公司规范运作指引》、《独立董事工作制度》等制度的 规定，勤勉尽责、忠实履行职务，积极出席相关会议，深入了解公司的经营状况和重大事项进展情况，为公司的经营、发展 从各自专业角度提出合理化意见和建议。</w:t>
      </w:r>
    </w:p>
    <w:p>
      <w:pPr>
        <w:pStyle w:val="Style24"/>
        <w:keepNext/>
        <w:keepLines/>
        <w:widowControl w:val="0"/>
        <w:shd w:val="clear" w:color="auto" w:fill="auto"/>
        <w:tabs>
          <w:tab w:pos="517" w:val="left"/>
        </w:tabs>
        <w:bidi w:val="0"/>
        <w:spacing w:before="0" w:after="1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六</w:t>
      </w:r>
      <w:bookmarkEnd w:id="554"/>
      <w:r>
        <w:rPr>
          <w:color w:val="000000"/>
          <w:spacing w:val="0"/>
          <w:w w:val="100"/>
          <w:position w:val="0"/>
        </w:rPr>
        <w:t>、</w:t>
        <w:tab/>
        <w:t>董事会下设专门委员会在报告期内履行职责情况</w:t>
      </w:r>
      <w:bookmarkEnd w:id="552"/>
      <w:bookmarkEnd w:id="553"/>
      <w:bookmarkEnd w:id="555"/>
    </w:p>
    <w:p>
      <w:pPr>
        <w:pStyle w:val="Style2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董事会审计委员会：报告期内，董事会审计委员会审议了公司内审部门提交的内部审计报告，听取了内审部门工作总 结和工作计划安排，对内审部门的工作在日常工作中不定期给予指导。对公司财务报告、募集资金存放使用情况每季度进行 审核、与会计师事务所就年度审计报告编制进行沟通和交流，确保审计的独立性并保质保量如期完成审计工作。</w:t>
      </w:r>
    </w:p>
    <w:p>
      <w:pPr>
        <w:pStyle w:val="Style24"/>
        <w:keepNext/>
        <w:keepLines/>
        <w:widowControl w:val="0"/>
        <w:shd w:val="clear" w:color="auto" w:fill="auto"/>
        <w:tabs>
          <w:tab w:pos="522"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七</w:t>
      </w:r>
      <w:bookmarkEnd w:id="558"/>
      <w:r>
        <w:rPr>
          <w:color w:val="000000"/>
          <w:spacing w:val="0"/>
          <w:w w:val="100"/>
          <w:position w:val="0"/>
        </w:rPr>
        <w:t>、</w:t>
        <w:tab/>
        <w:t>监事会工作情况</w:t>
      </w:r>
      <w:bookmarkEnd w:id="556"/>
      <w:bookmarkEnd w:id="557"/>
      <w:bookmarkEnd w:id="55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1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八</w:t>
      </w:r>
      <w:bookmarkEnd w:id="562"/>
      <w:r>
        <w:rPr>
          <w:color w:val="000000"/>
          <w:spacing w:val="0"/>
          <w:w w:val="100"/>
          <w:position w:val="0"/>
        </w:rPr>
        <w:t>、</w:t>
        <w:tab/>
        <w:t>高级管理人员的考评及激励情况</w:t>
      </w:r>
      <w:bookmarkEnd w:id="560"/>
      <w:bookmarkEnd w:id="561"/>
      <w:bookmarkEnd w:id="563"/>
    </w:p>
    <w:p>
      <w:pPr>
        <w:pStyle w:val="Style2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公司高级管理人员直接对董事会负责，接受董事会的考核、奖惩。公司高级管理人员按照各自职务、岗位根据公司现 行薪酬制度领取报酬。公司董事会负责制定公司董事及高级管理人员的考核标准并进行考核，激励公司的高级管理人员更好 的履行职责，维护公司股东利益。</w:t>
      </w:r>
    </w:p>
    <w:p>
      <w:pPr>
        <w:pStyle w:val="Style24"/>
        <w:keepNext/>
        <w:keepLines/>
        <w:widowControl w:val="0"/>
        <w:shd w:val="clear" w:color="auto" w:fill="auto"/>
        <w:tabs>
          <w:tab w:pos="522"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九</w:t>
      </w:r>
      <w:bookmarkEnd w:id="566"/>
      <w:r>
        <w:rPr>
          <w:color w:val="000000"/>
          <w:spacing w:val="0"/>
          <w:w w:val="100"/>
          <w:position w:val="0"/>
        </w:rPr>
        <w:t>、</w:t>
        <w:tab/>
        <w:t>内部控制评价报告</w:t>
      </w:r>
      <w:bookmarkEnd w:id="564"/>
      <w:bookmarkEnd w:id="565"/>
      <w:bookmarkEnd w:id="567"/>
    </w:p>
    <w:p>
      <w:pPr>
        <w:pStyle w:val="Style32"/>
        <w:keepNext/>
        <w:keepLines/>
        <w:widowControl w:val="0"/>
        <w:shd w:val="clear" w:color="auto" w:fill="auto"/>
        <w:tabs>
          <w:tab w:pos="434" w:val="left"/>
        </w:tabs>
        <w:bidi w:val="0"/>
        <w:spacing w:before="0" w:after="14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w:t>
        <w:tab/>
        <w:t>报告期内发现的内部控制重大缺陷的具体情况</w:t>
      </w:r>
      <w:bookmarkEnd w:id="568"/>
      <w:bookmarkEnd w:id="569"/>
      <w:bookmarkEnd w:id="571"/>
    </w:p>
    <w:p>
      <w:pPr>
        <w:pStyle w:val="Style28"/>
        <w:keepNext w:val="0"/>
        <w:keepLines w:val="0"/>
        <w:widowControl w:val="0"/>
        <w:shd w:val="clear" w:color="auto" w:fill="auto"/>
        <w:bidi w:val="0"/>
        <w:spacing w:before="0" w:after="36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34" w:val="left"/>
        </w:tabs>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内控自我评价报告</w:t>
      </w:r>
      <w:bookmarkEnd w:id="572"/>
      <w:bookmarkEnd w:id="573"/>
      <w:bookmarkEnd w:id="575"/>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）重大缺陷：单独缺陷或连同其他缺陷 导致不能及时防止或发现并纠正财务报告 中的重大错报。出现下列情形的，认定为 重大缺陷：</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控制环境无效；</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董事、监事和高级管理人员舞弊行为；</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公司更正已经公布的财务报告；</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外部审计发现当期财务报告存在重大错 报，公司在运行过程中未能发现该错报；</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已经发现并报告给管理层的重大缺陷 在合理的时间后未加以改正；</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 审计委员会和内部审计机构对内部控制的 监督无效；</w:t>
            </w:r>
            <w:r>
              <w:rPr>
                <w:rFonts w:ascii="SimSun" w:eastAsia="SimSun" w:hAnsi="SimSun" w:cs="SimSun"/>
                <w:color w:val="000000"/>
                <w:spacing w:val="0"/>
                <w:w w:val="100"/>
                <w:position w:val="0"/>
                <w:sz w:val="17"/>
                <w:szCs w:val="17"/>
              </w:rPr>
              <w:t>（</w:t>
            </w:r>
            <w:r>
              <w:rPr>
                <w:color w:val="000000"/>
                <w:spacing w:val="0"/>
                <w:w w:val="100"/>
                <w:position w:val="0"/>
                <w:sz w:val="18"/>
                <w:szCs w:val="18"/>
              </w:rPr>
              <w:t>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其他可能影响报表使用 者正确判断的缺陷。（</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）重要缺陷：单 独缺陷或连同其他缺陷导致不能及时防止 或发现并纠正财务报告中虽然未达到和超 过重要性水平，仍应引起管理层重视的错 报。（</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一般缺陷：不构成重大缺陷或 重要缺陷的其他内部控制缺陷。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）重大缺陷：对公司造成较大负面 影响并以公告形式对外披露；（</w:t>
            </w:r>
            <w:r>
              <w:rPr>
                <w:color w:val="000000"/>
                <w:spacing w:val="0"/>
                <w:w w:val="100"/>
                <w:position w:val="0"/>
                <w:sz w:val="18"/>
                <w:szCs w:val="18"/>
              </w:rPr>
              <w:t>2</w:t>
            </w:r>
            <w:r>
              <w:rPr>
                <w:rFonts w:ascii="SimSun" w:eastAsia="SimSun" w:hAnsi="SimSun" w:cs="SimSun"/>
                <w:color w:val="000000"/>
                <w:spacing w:val="0"/>
                <w:w w:val="100"/>
                <w:position w:val="0"/>
                <w:sz w:val="17"/>
                <w:szCs w:val="17"/>
              </w:rPr>
              <w:t>）重要 缺陷：受到国家政府部门处罚但未对公 司造成负面影响；（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一般缺陷：受到 省级（含省级）以下政府部门处罚但未 对公司造成负面影响。</w:t>
            </w:r>
          </w:p>
        </w:tc>
      </w:tr>
      <w:tr>
        <w:trPr>
          <w:trHeight w:val="50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定量标准以营业收入、资产总额作为衡量 指标。内部控制缺陷可能导致或导致的损 失与利润表相关的，以营业收入指标衡量。 如果该缺陷单独或连同其他缺陷可能导致 的财务报告错报金额小于营业收入的 </w:t>
            </w:r>
            <w:r>
              <w:rPr>
                <w:color w:val="000000"/>
                <w:spacing w:val="0"/>
                <w:w w:val="100"/>
                <w:position w:val="0"/>
                <w:sz w:val="18"/>
                <w:szCs w:val="18"/>
              </w:rPr>
              <w:t>0.15%</w:t>
            </w:r>
            <w:r>
              <w:rPr>
                <w:rFonts w:ascii="SimSun" w:eastAsia="SimSun" w:hAnsi="SimSun" w:cs="SimSun"/>
                <w:color w:val="000000"/>
                <w:spacing w:val="0"/>
                <w:w w:val="100"/>
                <w:position w:val="0"/>
                <w:sz w:val="17"/>
                <w:szCs w:val="17"/>
              </w:rPr>
              <w:t>,则认定为一般缺陷；如果超过营业 收入的</w:t>
            </w:r>
            <w:r>
              <w:rPr>
                <w:color w:val="000000"/>
                <w:spacing w:val="0"/>
                <w:w w:val="100"/>
                <w:position w:val="0"/>
                <w:sz w:val="18"/>
                <w:szCs w:val="18"/>
              </w:rPr>
              <w:t>0.15%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0.3%</w:t>
            </w:r>
            <w:r>
              <w:rPr>
                <w:rFonts w:ascii="SimSun" w:eastAsia="SimSun" w:hAnsi="SimSun" w:cs="SimSun"/>
                <w:color w:val="000000"/>
                <w:spacing w:val="0"/>
                <w:w w:val="100"/>
                <w:position w:val="0"/>
                <w:sz w:val="17"/>
                <w:szCs w:val="17"/>
              </w:rPr>
              <w:t>,则为重要缺 陷；如果超过营业收入的</w:t>
            </w:r>
            <w:r>
              <w:rPr>
                <w:color w:val="000000"/>
                <w:spacing w:val="0"/>
                <w:w w:val="100"/>
                <w:position w:val="0"/>
                <w:sz w:val="18"/>
                <w:szCs w:val="18"/>
              </w:rPr>
              <w:t>0.3%</w:t>
            </w:r>
            <w:r>
              <w:rPr>
                <w:rFonts w:ascii="SimSun" w:eastAsia="SimSun" w:hAnsi="SimSun" w:cs="SimSun"/>
                <w:color w:val="000000"/>
                <w:spacing w:val="0"/>
                <w:w w:val="100"/>
                <w:position w:val="0"/>
                <w:sz w:val="17"/>
                <w:szCs w:val="17"/>
              </w:rPr>
              <w:t>，则认定为 重大缺陷。内部控制缺陷可能导致或导致 的损失与资产管理相关的，以资产总额指 标衡量。如果该缺陷单独或连同其他缺陷 可能导致的财务报告错报金额小于资产总 额的</w:t>
            </w:r>
            <w:r>
              <w:rPr>
                <w:color w:val="000000"/>
                <w:spacing w:val="0"/>
                <w:w w:val="100"/>
                <w:position w:val="0"/>
                <w:sz w:val="18"/>
                <w:szCs w:val="18"/>
              </w:rPr>
              <w:t>0.3%</w:t>
            </w:r>
            <w:r>
              <w:rPr>
                <w:rFonts w:ascii="SimSun" w:eastAsia="SimSun" w:hAnsi="SimSun" w:cs="SimSun"/>
                <w:color w:val="000000"/>
                <w:spacing w:val="0"/>
                <w:w w:val="100"/>
                <w:position w:val="0"/>
                <w:sz w:val="17"/>
                <w:szCs w:val="17"/>
              </w:rPr>
              <w:t>，则认定为一般缺陷；如果超过 资产总额的</w:t>
            </w:r>
            <w:r>
              <w:rPr>
                <w:color w:val="000000"/>
                <w:spacing w:val="0"/>
                <w:w w:val="100"/>
                <w:position w:val="0"/>
                <w:sz w:val="18"/>
                <w:szCs w:val="18"/>
              </w:rPr>
              <w:t>0.3%</w:t>
            </w:r>
            <w:r>
              <w:rPr>
                <w:rFonts w:ascii="SimSun" w:eastAsia="SimSun" w:hAnsi="SimSun" w:cs="SimSun"/>
                <w:color w:val="000000"/>
                <w:spacing w:val="0"/>
                <w:w w:val="100"/>
                <w:position w:val="0"/>
                <w:sz w:val="17"/>
                <w:szCs w:val="17"/>
              </w:rPr>
              <w:t>但小于</w:t>
            </w:r>
            <w:r>
              <w:rPr>
                <w:color w:val="000000"/>
                <w:spacing w:val="0"/>
                <w:w w:val="100"/>
                <w:position w:val="0"/>
                <w:sz w:val="18"/>
                <w:szCs w:val="18"/>
              </w:rPr>
              <w:t>0.6%</w:t>
            </w:r>
            <w:r>
              <w:rPr>
                <w:rFonts w:ascii="SimSun" w:eastAsia="SimSun" w:hAnsi="SimSun" w:cs="SimSun"/>
                <w:color w:val="000000"/>
                <w:spacing w:val="0"/>
                <w:w w:val="100"/>
                <w:position w:val="0"/>
                <w:sz w:val="17"/>
                <w:szCs w:val="17"/>
              </w:rPr>
              <w:t>认定为重 要缺陷；如果超过资产总额</w:t>
            </w:r>
            <w:r>
              <w:rPr>
                <w:color w:val="000000"/>
                <w:spacing w:val="0"/>
                <w:w w:val="100"/>
                <w:position w:val="0"/>
                <w:sz w:val="18"/>
                <w:szCs w:val="18"/>
              </w:rPr>
              <w:t>0.6%</w:t>
            </w:r>
            <w:r>
              <w:rPr>
                <w:rFonts w:ascii="SimSun" w:eastAsia="SimSun" w:hAnsi="SimSun" w:cs="SimSun"/>
                <w:color w:val="000000"/>
                <w:spacing w:val="0"/>
                <w:w w:val="100"/>
                <w:position w:val="0"/>
                <w:sz w:val="17"/>
                <w:szCs w:val="17"/>
              </w:rPr>
              <w:t>，则认定 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w:t>
            </w:r>
            <w:r>
              <w:rPr>
                <w:color w:val="000000"/>
                <w:spacing w:val="0"/>
                <w:w w:val="100"/>
                <w:position w:val="0"/>
                <w:sz w:val="18"/>
                <w:szCs w:val="18"/>
              </w:rPr>
              <w:t>1000</w:t>
            </w:r>
            <w:r>
              <w:rPr>
                <w:rFonts w:ascii="SimSun" w:eastAsia="SimSun" w:hAnsi="SimSun" w:cs="SimSun"/>
                <w:color w:val="000000"/>
                <w:spacing w:val="0"/>
                <w:w w:val="100"/>
                <w:position w:val="0"/>
                <w:sz w:val="17"/>
                <w:szCs w:val="17"/>
              </w:rPr>
              <w:t xml:space="preserve">万元及以上（含 </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万元），对公司造成较大负面影响 并以公告形式对外披露；（</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）重要缺陷： </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500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 受到国家政府部门处罚但未对公司造 成负面影响；（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（含</w:t>
            </w:r>
            <w:r>
              <w:rPr>
                <w:color w:val="000000"/>
                <w:spacing w:val="0"/>
                <w:w w:val="100"/>
                <w:position w:val="0"/>
                <w:sz w:val="18"/>
                <w:szCs w:val="18"/>
              </w:rPr>
              <w:t>50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万元，受到省级</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（含省级）以下政府部门处罚但未对公 司造成负面影响。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r>
        <w:rPr>
          <w:color w:val="000000"/>
          <w:spacing w:val="0"/>
          <w:w w:val="100"/>
          <w:position w:val="0"/>
        </w:rPr>
        <w:t>十、内部控制审计报告或鉴证报告</w:t>
      </w:r>
      <w:bookmarkEnd w:id="576"/>
      <w:bookmarkEnd w:id="577"/>
      <w:bookmarkEnd w:id="578"/>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我们认为，广东省广告集团股份有限公司于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公告名称：《内部控制鉴证报告》；披露网站：巨潮资讯网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40" w:line="346" w:lineRule="exact"/>
        <w:ind w:left="0" w:right="0" w:firstLine="0"/>
        <w:jc w:val="left"/>
        <w:sectPr>
          <w:footnotePr>
            <w:pos w:val="pageBottom"/>
            <w:numFmt w:val="decimal"/>
            <w:numRestart w:val="continuous"/>
          </w:footnotePr>
          <w:pgSz w:w="11900" w:h="16840"/>
          <w:pgMar w:top="1441" w:right="1079" w:bottom="1470" w:left="1057"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keepLines/>
        <w:widowControl w:val="0"/>
        <w:shd w:val="clear" w:color="auto" w:fill="auto"/>
        <w:bidi w:val="0"/>
        <w:spacing w:before="0" w:after="600" w:line="240" w:lineRule="auto"/>
        <w:ind w:left="0" w:right="0" w:firstLine="0"/>
        <w:jc w:val="center"/>
      </w:pPr>
      <w:bookmarkStart w:id="579" w:name="bookmark579"/>
      <w:bookmarkStart w:id="580" w:name="bookmark580"/>
      <w:bookmarkStart w:id="581" w:name="bookmark581"/>
      <w:r>
        <w:rPr>
          <w:color w:val="000000"/>
          <w:spacing w:val="0"/>
          <w:w w:val="100"/>
          <w:position w:val="0"/>
        </w:rPr>
        <w:t>第十一节公司债券相关情况</w:t>
      </w:r>
      <w:bookmarkEnd w:id="579"/>
      <w:bookmarkEnd w:id="580"/>
      <w:bookmarkEnd w:id="581"/>
    </w:p>
    <w:p>
      <w:pPr>
        <w:pStyle w:val="Style28"/>
        <w:keepNext w:val="0"/>
        <w:keepLines w:val="0"/>
        <w:widowControl w:val="0"/>
        <w:shd w:val="clear" w:color="auto" w:fill="auto"/>
        <w:bidi w:val="0"/>
        <w:spacing w:before="0" w:line="240" w:lineRule="auto"/>
        <w:ind w:left="0" w:right="0" w:firstLine="0"/>
        <w:jc w:val="left"/>
      </w:pPr>
      <w:bookmarkStart w:id="582" w:name="bookmark582"/>
      <w:r>
        <w:rPr>
          <w:color w:val="000000"/>
          <w:spacing w:val="0"/>
          <w:w w:val="100"/>
          <w:position w:val="0"/>
        </w:rPr>
        <w:t>公司是否存在公开发行并在证券交易所上市，且在年度报告批准报出日未到期或到期未能全额兑付的公司债券</w:t>
      </w:r>
      <w:bookmarkEnd w:id="582"/>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540" w:after="600" w:line="240" w:lineRule="auto"/>
        <w:ind w:left="0" w:right="0" w:firstLine="0"/>
        <w:jc w:val="center"/>
      </w:pPr>
      <w:bookmarkStart w:id="583" w:name="bookmark583"/>
      <w:bookmarkStart w:id="584" w:name="bookmark584"/>
      <w:bookmarkStart w:id="585" w:name="bookmark585"/>
      <w:r>
        <w:rPr>
          <w:color w:val="000000"/>
          <w:spacing w:val="0"/>
          <w:w w:val="100"/>
          <w:position w:val="0"/>
        </w:rPr>
        <w:t>第十二节财务报告</w:t>
      </w:r>
      <w:bookmarkEnd w:id="583"/>
      <w:bookmarkEnd w:id="584"/>
      <w:bookmarkEnd w:id="585"/>
    </w:p>
    <w:p>
      <w:pPr>
        <w:pStyle w:val="Style24"/>
        <w:keepNext/>
        <w:keepLines/>
        <w:widowControl w:val="0"/>
        <w:shd w:val="clear" w:color="auto" w:fill="auto"/>
        <w:bidi w:val="0"/>
        <w:spacing w:before="0" w:after="320" w:line="240" w:lineRule="auto"/>
        <w:ind w:left="0" w:right="0" w:firstLine="0"/>
        <w:jc w:val="both"/>
      </w:pPr>
      <w:bookmarkStart w:id="586" w:name="bookmark586"/>
      <w:bookmarkStart w:id="587" w:name="bookmark587"/>
      <w:bookmarkStart w:id="588" w:name="bookmark588"/>
      <w:bookmarkStart w:id="589" w:name="bookmark589"/>
      <w:bookmarkStart w:id="590" w:name="bookmark590"/>
      <w:r>
        <w:rPr>
          <w:color w:val="000000"/>
          <w:spacing w:val="0"/>
          <w:w w:val="100"/>
          <w:position w:val="0"/>
        </w:rPr>
        <w:t>一</w:t>
      </w:r>
      <w:bookmarkEnd w:id="589"/>
      <w:r>
        <w:rPr>
          <w:color w:val="000000"/>
          <w:spacing w:val="0"/>
          <w:w w:val="100"/>
          <w:position w:val="0"/>
        </w:rPr>
        <w:t>、审计报告</w:t>
      </w:r>
      <w:bookmarkEnd w:id="587"/>
      <w:bookmarkEnd w:id="588"/>
      <w:bookmarkEnd w:id="590"/>
      <w:bookmarkEnd w:id="58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(2021) 0500081</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胡海林、姚月仙</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5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2"/>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众环审字</w:t>
      </w:r>
      <w:r>
        <w:rPr>
          <w:color w:val="000000"/>
          <w:spacing w:val="0"/>
          <w:w w:val="100"/>
          <w:position w:val="0"/>
        </w:rPr>
        <w:t>(2021) 0500081</w:t>
      </w:r>
      <w:r>
        <w:rPr>
          <w:rFonts w:ascii="SimSun" w:eastAsia="SimSun" w:hAnsi="SimSun" w:cs="SimSun"/>
          <w:color w:val="000000"/>
          <w:spacing w:val="0"/>
          <w:w w:val="100"/>
          <w:position w:val="0"/>
        </w:rPr>
        <w:t>号</w:t>
      </w:r>
    </w:p>
    <w:p>
      <w:pPr>
        <w:pStyle w:val="Style47"/>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广东省广告集团股份有限公司全体股东：</w:t>
      </w:r>
    </w:p>
    <w:p>
      <w:pPr>
        <w:pStyle w:val="Style47"/>
        <w:keepNext w:val="0"/>
        <w:keepLines w:val="0"/>
        <w:widowControl w:val="0"/>
        <w:shd w:val="clear" w:color="auto" w:fill="auto"/>
        <w:tabs>
          <w:tab w:pos="478" w:val="left"/>
        </w:tabs>
        <w:bidi w:val="0"/>
        <w:spacing w:before="0" w:after="0" w:line="312" w:lineRule="exact"/>
        <w:ind w:left="0" w:right="0" w:firstLine="0"/>
        <w:jc w:val="both"/>
      </w:pPr>
      <w:bookmarkStart w:id="591" w:name="bookmark591"/>
      <w:r>
        <w:rPr>
          <w:color w:val="000000"/>
          <w:spacing w:val="0"/>
          <w:w w:val="100"/>
          <w:position w:val="0"/>
        </w:rPr>
        <w:t>一</w:t>
      </w:r>
      <w:bookmarkEnd w:id="591"/>
      <w:r>
        <w:rPr>
          <w:color w:val="000000"/>
          <w:spacing w:val="0"/>
          <w:w w:val="100"/>
          <w:position w:val="0"/>
        </w:rPr>
        <w:t>、</w:t>
        <w:tab/>
        <w:t>审计意见</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我们审计了广东省广告集团股份有限公司（以下简称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省广集团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 注。</w:t>
      </w:r>
    </w:p>
    <w:p>
      <w:pPr>
        <w:pStyle w:val="Style28"/>
        <w:keepNext w:val="0"/>
        <w:keepLines w:val="0"/>
        <w:widowControl w:val="0"/>
        <w:shd w:val="clear" w:color="auto" w:fill="auto"/>
        <w:bidi w:val="0"/>
        <w:spacing w:before="0" w:after="180" w:line="312" w:lineRule="exact"/>
        <w:ind w:left="0" w:right="0" w:firstLine="500"/>
        <w:jc w:val="both"/>
      </w:pPr>
      <w:r>
        <w:rPr>
          <w:color w:val="000000"/>
          <w:spacing w:val="0"/>
          <w:w w:val="100"/>
          <w:position w:val="0"/>
        </w:rPr>
        <w:t>我们认为，后附的财务报表在所有重大方面按照企业会计准则的规定编制，公允反映了省广集团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 及母公司的财务状况以及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年度合并及母公司的经营成果和现金流量。</w:t>
      </w:r>
    </w:p>
    <w:p>
      <w:pPr>
        <w:pStyle w:val="Style47"/>
        <w:keepNext w:val="0"/>
        <w:keepLines w:val="0"/>
        <w:widowControl w:val="0"/>
        <w:shd w:val="clear" w:color="auto" w:fill="auto"/>
        <w:tabs>
          <w:tab w:pos="478" w:val="left"/>
        </w:tabs>
        <w:bidi w:val="0"/>
        <w:spacing w:before="0" w:after="0" w:line="312" w:lineRule="exact"/>
        <w:ind w:left="0" w:right="0" w:firstLine="0"/>
        <w:jc w:val="both"/>
      </w:pPr>
      <w:bookmarkStart w:id="592" w:name="bookmark592"/>
      <w:r>
        <w:rPr>
          <w:color w:val="000000"/>
          <w:spacing w:val="0"/>
          <w:w w:val="100"/>
          <w:position w:val="0"/>
        </w:rPr>
        <w:t>二</w:t>
      </w:r>
      <w:bookmarkEnd w:id="592"/>
      <w:r>
        <w:rPr>
          <w:color w:val="000000"/>
          <w:spacing w:val="0"/>
          <w:w w:val="100"/>
          <w:position w:val="0"/>
        </w:rPr>
        <w:t>、</w:t>
        <w:tab/>
        <w:t>形成审计意见的基础</w:t>
      </w:r>
    </w:p>
    <w:p>
      <w:pPr>
        <w:pStyle w:val="Style28"/>
        <w:keepNext w:val="0"/>
        <w:keepLines w:val="0"/>
        <w:widowControl w:val="0"/>
        <w:shd w:val="clear" w:color="auto" w:fill="auto"/>
        <w:bidi w:val="0"/>
        <w:spacing w:before="0" w:after="18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步阐述了我们在这些准则下的责任。按照中国注册会计师职业道德守则，我们独立于省广集团，并履行了职业道德方面的其 他责任。我们相信，我们获取的审计证据是充分、适当的，为发表审计意见提供了基础。</w:t>
      </w:r>
    </w:p>
    <w:p>
      <w:pPr>
        <w:pStyle w:val="Style47"/>
        <w:keepNext w:val="0"/>
        <w:keepLines w:val="0"/>
        <w:widowControl w:val="0"/>
        <w:shd w:val="clear" w:color="auto" w:fill="auto"/>
        <w:tabs>
          <w:tab w:pos="483" w:val="left"/>
        </w:tabs>
        <w:bidi w:val="0"/>
        <w:spacing w:before="0" w:after="0" w:line="312" w:lineRule="exact"/>
        <w:ind w:left="0" w:right="0" w:firstLine="0"/>
        <w:jc w:val="both"/>
      </w:pPr>
      <w:bookmarkStart w:id="593" w:name="bookmark593"/>
      <w:r>
        <w:rPr>
          <w:color w:val="000000"/>
          <w:spacing w:val="0"/>
          <w:w w:val="100"/>
          <w:position w:val="0"/>
        </w:rPr>
        <w:t>三</w:t>
      </w:r>
      <w:bookmarkEnd w:id="593"/>
      <w:r>
        <w:rPr>
          <w:color w:val="000000"/>
          <w:spacing w:val="0"/>
          <w:w w:val="100"/>
          <w:position w:val="0"/>
        </w:rPr>
        <w:t>、</w:t>
        <w:tab/>
        <w:t>关键审计事项</w:t>
      </w:r>
    </w:p>
    <w:p>
      <w:pPr>
        <w:pStyle w:val="Style28"/>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r>
        <w:br w:type="page"/>
      </w:r>
    </w:p>
    <w:tbl>
      <w:tblPr>
        <w:tblOverlap w:val="never"/>
        <w:jc w:val="left"/>
        <w:tblLayout w:type="fixed"/>
      </w:tblPr>
      <w:tblGrid>
        <w:gridCol w:w="3802"/>
        <w:gridCol w:w="4762"/>
      </w:tblGrid>
      <w:tr>
        <w:trPr>
          <w:trHeight w:val="283"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（一）</w:t>
            </w:r>
            <w:r>
              <w:rPr>
                <w:rFonts w:ascii="SimSun" w:eastAsia="SimSun" w:hAnsi="SimSun" w:cs="SimSun"/>
                <w:color w:val="000000"/>
                <w:spacing w:val="0"/>
                <w:w w:val="100"/>
                <w:position w:val="0"/>
                <w:sz w:val="17"/>
                <w:szCs w:val="17"/>
              </w:rPr>
              <w:t>收入确认</w:t>
            </w:r>
          </w:p>
        </w:tc>
      </w:tr>
      <w:tr>
        <w:trPr>
          <w:trHeight w:val="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r>
        <w:trPr>
          <w:trHeight w:val="56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如财务报表注释六、</w:t>
            </w:r>
            <w:r>
              <w:rPr>
                <w:color w:val="000000"/>
                <w:spacing w:val="0"/>
                <w:w w:val="100"/>
                <w:position w:val="0"/>
                <w:sz w:val="18"/>
                <w:szCs w:val="18"/>
              </w:rPr>
              <w:t>38</w:t>
            </w:r>
            <w:r>
              <w:rPr>
                <w:rFonts w:ascii="SimSun" w:eastAsia="SimSun" w:hAnsi="SimSun" w:cs="SimSun"/>
                <w:color w:val="000000"/>
                <w:spacing w:val="0"/>
                <w:w w:val="100"/>
                <w:position w:val="0"/>
                <w:sz w:val="17"/>
                <w:szCs w:val="17"/>
              </w:rPr>
              <w:t>、营业收入所述，</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度省广集团营业收入总额为</w:t>
            </w:r>
            <w:r>
              <w:rPr>
                <w:color w:val="000000"/>
                <w:spacing w:val="0"/>
                <w:w w:val="100"/>
                <w:position w:val="0"/>
                <w:sz w:val="18"/>
                <w:szCs w:val="18"/>
              </w:rPr>
              <w:t xml:space="preserve">13,291,267,668.33 </w:t>
            </w:r>
            <w:r>
              <w:rPr>
                <w:rFonts w:ascii="SimSun" w:eastAsia="SimSun" w:hAnsi="SimSun" w:cs="SimSun"/>
                <w:color w:val="000000"/>
                <w:spacing w:val="0"/>
                <w:w w:val="100"/>
                <w:position w:val="0"/>
                <w:sz w:val="17"/>
                <w:szCs w:val="17"/>
              </w:rPr>
              <w:t>元。营业收入是省广集团利润表的重要项目，是 省广集团的主要利润来源，收入确认的真实性、 准确性和完整性对省广集团利润影响较大，因此 我们将收入确认作为关键审计事项。</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1"/>
              </w:numPr>
              <w:shd w:val="clear" w:color="auto" w:fill="auto"/>
              <w:tabs>
                <w:tab w:pos="269" w:val="left"/>
              </w:tabs>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了解并测试与销售、收款相关的关键内部控制，评价其设 计的合理性和运行的有效性；</w:t>
            </w:r>
          </w:p>
          <w:p>
            <w:pPr>
              <w:pStyle w:val="Style2"/>
              <w:keepNext w:val="0"/>
              <w:keepLines w:val="0"/>
              <w:widowControl w:val="0"/>
              <w:numPr>
                <w:ilvl w:val="0"/>
                <w:numId w:val="11"/>
              </w:numPr>
              <w:shd w:val="clear" w:color="auto" w:fill="auto"/>
              <w:tabs>
                <w:tab w:pos="240" w:val="left"/>
              </w:tabs>
              <w:bidi w:val="0"/>
              <w:spacing w:before="0" w:after="120" w:line="322" w:lineRule="exact"/>
              <w:ind w:left="0" w:right="0" w:firstLine="0"/>
              <w:jc w:val="both"/>
              <w:rPr>
                <w:sz w:val="17"/>
                <w:szCs w:val="17"/>
              </w:rPr>
            </w:pPr>
            <w:r>
              <w:rPr>
                <w:rFonts w:ascii="SimSun" w:eastAsia="SimSun" w:hAnsi="SimSun" w:cs="SimSun"/>
                <w:color w:val="000000"/>
                <w:spacing w:val="0"/>
                <w:w w:val="100"/>
                <w:position w:val="0"/>
                <w:sz w:val="17"/>
                <w:szCs w:val="17"/>
              </w:rPr>
              <w:t>检查销售收入的确认条件、方法及时点是否符合企业会计 准则的要求；</w:t>
            </w:r>
          </w:p>
          <w:p>
            <w:pPr>
              <w:pStyle w:val="Style2"/>
              <w:keepNext w:val="0"/>
              <w:keepLines w:val="0"/>
              <w:widowControl w:val="0"/>
              <w:numPr>
                <w:ilvl w:val="0"/>
                <w:numId w:val="11"/>
              </w:numPr>
              <w:shd w:val="clear" w:color="auto" w:fill="auto"/>
              <w:bidi w:val="0"/>
              <w:spacing w:before="0" w:after="120" w:line="300" w:lineRule="exact"/>
              <w:ind w:left="0" w:right="0" w:firstLine="0"/>
              <w:jc w:val="both"/>
              <w:rPr>
                <w:sz w:val="17"/>
                <w:szCs w:val="17"/>
              </w:rPr>
            </w:pP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对收入和成本执行分析程序，包括但不限于：本期各月度 收入、成本、毛利波动分析，主要业务本期收入、成本、毛 利率与上期比较分析等分析程序；</w:t>
            </w:r>
          </w:p>
          <w:p>
            <w:pPr>
              <w:pStyle w:val="Style2"/>
              <w:keepNext w:val="0"/>
              <w:keepLines w:val="0"/>
              <w:widowControl w:val="0"/>
              <w:numPr>
                <w:ilvl w:val="0"/>
                <w:numId w:val="11"/>
              </w:numPr>
              <w:shd w:val="clear" w:color="auto" w:fill="auto"/>
              <w:tabs>
                <w:tab w:pos="221" w:val="left"/>
              </w:tabs>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执行细节测试，抽样检查销售明细、销售合同或客户订单、 收款单据、广告业务结算单、销售发票等外部证据，向客户 发函询证应收账款余额和销售收入金额；</w:t>
            </w:r>
          </w:p>
          <w:p>
            <w:pPr>
              <w:pStyle w:val="Style2"/>
              <w:keepNext w:val="0"/>
              <w:keepLines w:val="0"/>
              <w:widowControl w:val="0"/>
              <w:numPr>
                <w:ilvl w:val="0"/>
                <w:numId w:val="11"/>
              </w:numPr>
              <w:shd w:val="clear" w:color="auto" w:fill="auto"/>
              <w:tabs>
                <w:tab w:pos="240" w:val="left"/>
              </w:tabs>
              <w:bidi w:val="0"/>
              <w:spacing w:before="0" w:after="120" w:line="317" w:lineRule="exact"/>
              <w:ind w:left="0" w:right="0" w:firstLine="0"/>
              <w:jc w:val="both"/>
              <w:rPr>
                <w:sz w:val="17"/>
                <w:szCs w:val="17"/>
              </w:rPr>
            </w:pPr>
            <w:r>
              <w:rPr>
                <w:rFonts w:ascii="SimSun" w:eastAsia="SimSun" w:hAnsi="SimSun" w:cs="SimSun"/>
                <w:color w:val="000000"/>
                <w:spacing w:val="0"/>
                <w:w w:val="100"/>
                <w:position w:val="0"/>
                <w:sz w:val="17"/>
                <w:szCs w:val="17"/>
              </w:rPr>
              <w:t>对资产负债表日前后的销售交易进行截止测试，核对广告 发布排期表、媒体播放证明、结案报告及其他支持性文件， 以评价收入是否被记录于恰当的会计期间；</w:t>
            </w:r>
          </w:p>
          <w:p>
            <w:pPr>
              <w:pStyle w:val="Style2"/>
              <w:keepNext w:val="0"/>
              <w:keepLines w:val="0"/>
              <w:widowControl w:val="0"/>
              <w:numPr>
                <w:ilvl w:val="0"/>
                <w:numId w:val="11"/>
              </w:numPr>
              <w:shd w:val="clear" w:color="auto" w:fill="auto"/>
              <w:tabs>
                <w:tab w:pos="206" w:val="left"/>
              </w:tabs>
              <w:bidi w:val="0"/>
              <w:spacing w:before="0" w:after="120" w:line="322" w:lineRule="exact"/>
              <w:ind w:left="0" w:right="0" w:firstLine="0"/>
              <w:jc w:val="both"/>
              <w:rPr>
                <w:sz w:val="17"/>
                <w:szCs w:val="17"/>
              </w:rPr>
            </w:pPr>
            <w:r>
              <w:rPr>
                <w:rFonts w:ascii="SimSun" w:eastAsia="SimSun" w:hAnsi="SimSun" w:cs="SimSun"/>
                <w:color w:val="000000"/>
                <w:spacing w:val="0"/>
                <w:w w:val="100"/>
                <w:position w:val="0"/>
                <w:sz w:val="17"/>
                <w:szCs w:val="17"/>
              </w:rPr>
              <w:t>检查与收入确认相关的信息在财务报表中的列报与披露是 否充分、适当。</w:t>
            </w:r>
          </w:p>
        </w:tc>
      </w:tr>
    </w:tbl>
    <w:p>
      <w:pPr>
        <w:pStyle w:val="Style26"/>
        <w:keepNext w:val="0"/>
        <w:keepLines w:val="0"/>
        <w:widowControl w:val="0"/>
        <w:shd w:val="clear" w:color="auto" w:fill="auto"/>
        <w:bidi w:val="0"/>
        <w:spacing w:before="0" w:after="0" w:line="240" w:lineRule="auto"/>
        <w:ind w:left="566" w:right="0" w:firstLine="0"/>
        <w:jc w:val="left"/>
      </w:pPr>
      <w:r>
        <w:rPr>
          <w:b/>
          <w:bCs/>
          <w:color w:val="000000"/>
          <w:spacing w:val="0"/>
          <w:w w:val="100"/>
          <w:position w:val="0"/>
        </w:rPr>
        <w:t>（二）</w:t>
      </w:r>
      <w:r>
        <w:rPr>
          <w:color w:val="000000"/>
          <w:spacing w:val="0"/>
          <w:w w:val="100"/>
          <w:position w:val="0"/>
        </w:rPr>
        <w:t>应收账款预期信用损失的计量</w:t>
      </w:r>
    </w:p>
    <w:p>
      <w:pPr>
        <w:widowControl w:val="0"/>
        <w:spacing w:line="1" w:lineRule="exact"/>
      </w:pPr>
    </w:p>
    <w:tbl>
      <w:tblPr>
        <w:tblOverlap w:val="never"/>
        <w:jc w:val="left"/>
        <w:tblLayout w:type="fixed"/>
      </w:tblPr>
      <w:tblGrid>
        <w:gridCol w:w="3802"/>
        <w:gridCol w:w="4762"/>
      </w:tblGrid>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r>
        <w:trPr>
          <w:trHeight w:val="54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如财务报表注释六、</w:t>
            </w:r>
            <w:r>
              <w:rPr>
                <w:color w:val="000000"/>
                <w:spacing w:val="0"/>
                <w:w w:val="100"/>
                <w:position w:val="0"/>
                <w:sz w:val="18"/>
                <w:szCs w:val="18"/>
              </w:rPr>
              <w:t>4</w:t>
            </w:r>
            <w:r>
              <w:rPr>
                <w:rFonts w:ascii="SimSun" w:eastAsia="SimSun" w:hAnsi="SimSun" w:cs="SimSun"/>
                <w:color w:val="000000"/>
                <w:spacing w:val="0"/>
                <w:w w:val="100"/>
                <w:position w:val="0"/>
                <w:sz w:val="17"/>
                <w:szCs w:val="17"/>
              </w:rPr>
              <w:t>、应收账款所述，截止</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日，省广集团应收款项余额为人民币 </w:t>
            </w:r>
            <w:r>
              <w:rPr>
                <w:color w:val="000000"/>
                <w:spacing w:val="0"/>
                <w:w w:val="100"/>
                <w:position w:val="0"/>
                <w:sz w:val="18"/>
                <w:szCs w:val="18"/>
              </w:rPr>
              <w:t>3,606,574,343.51</w:t>
            </w:r>
            <w:r>
              <w:rPr>
                <w:rFonts w:ascii="SimSun" w:eastAsia="SimSun" w:hAnsi="SimSun" w:cs="SimSun"/>
                <w:color w:val="000000"/>
                <w:spacing w:val="0"/>
                <w:w w:val="100"/>
                <w:position w:val="0"/>
                <w:sz w:val="17"/>
                <w:szCs w:val="17"/>
              </w:rPr>
              <w:t>元，占资产总额的</w:t>
            </w:r>
            <w:r>
              <w:rPr>
                <w:color w:val="000000"/>
                <w:spacing w:val="0"/>
                <w:w w:val="100"/>
                <w:position w:val="0"/>
                <w:sz w:val="18"/>
                <w:szCs w:val="18"/>
              </w:rPr>
              <w:t>44.34%</w:t>
            </w:r>
            <w:r>
              <w:rPr>
                <w:rFonts w:ascii="SimSun" w:eastAsia="SimSun" w:hAnsi="SimSun" w:cs="SimSun"/>
                <w:color w:val="000000"/>
                <w:spacing w:val="0"/>
                <w:w w:val="100"/>
                <w:position w:val="0"/>
                <w:sz w:val="17"/>
                <w:szCs w:val="17"/>
              </w:rPr>
              <w:t>,坏账 准备金额为</w:t>
            </w:r>
            <w:r>
              <w:rPr>
                <w:color w:val="000000"/>
                <w:spacing w:val="0"/>
                <w:w w:val="100"/>
                <w:position w:val="0"/>
                <w:sz w:val="18"/>
                <w:szCs w:val="18"/>
              </w:rPr>
              <w:t>455,798,284.77</w:t>
            </w:r>
            <w:r>
              <w:rPr>
                <w:rFonts w:ascii="SimSun" w:eastAsia="SimSun" w:hAnsi="SimSun" w:cs="SimSun"/>
                <w:color w:val="000000"/>
                <w:spacing w:val="0"/>
                <w:w w:val="100"/>
                <w:position w:val="0"/>
                <w:sz w:val="17"/>
                <w:szCs w:val="17"/>
              </w:rPr>
              <w:t>元。应收账款坏账准 备余额反映了管理层在资产负债表日对预期信 用损失做出的最佳估计。在估计时，管理层需要 考虑以前年度的信用违约记录和回款率，实施判 断以估计债务人的资信状况以及前瞻性经济指 标。上述事项涉及重大会计估计和管理层的判 断，且应收账款预期信用损失对于财务报表具有 重要性，因此我们将应收账款预期信用损失的计 量作为关键审计事项。</w:t>
            </w: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202" w:val="left"/>
              </w:tabs>
              <w:bidi w:val="0"/>
              <w:spacing w:before="0" w:after="120" w:line="326" w:lineRule="exact"/>
              <w:ind w:left="0" w:right="0" w:firstLine="0"/>
              <w:jc w:val="left"/>
              <w:rPr>
                <w:sz w:val="17"/>
                <w:szCs w:val="17"/>
              </w:rPr>
            </w:pPr>
            <w:r>
              <w:rPr>
                <w:rFonts w:ascii="SimSun" w:eastAsia="SimSun" w:hAnsi="SimSun" w:cs="SimSun"/>
                <w:color w:val="000000"/>
                <w:spacing w:val="0"/>
                <w:w w:val="100"/>
                <w:position w:val="0"/>
                <w:sz w:val="17"/>
                <w:szCs w:val="17"/>
              </w:rPr>
              <w:t>评价省广集团对应收账款管理内部控制制度的设计和运行 的有效性；</w:t>
            </w:r>
          </w:p>
          <w:p>
            <w:pPr>
              <w:pStyle w:val="Style2"/>
              <w:keepNext w:val="0"/>
              <w:keepLines w:val="0"/>
              <w:widowControl w:val="0"/>
              <w:numPr>
                <w:ilvl w:val="0"/>
                <w:numId w:val="13"/>
              </w:numPr>
              <w:shd w:val="clear" w:color="auto" w:fill="auto"/>
              <w:bidi w:val="0"/>
              <w:spacing w:before="0" w:after="12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检查了预期信用损失的计量模型，评估了模型中重大假设 和关键参数的合理性以及信用风险组合划分方法的恰当性；</w:t>
            </w:r>
          </w:p>
          <w:p>
            <w:pPr>
              <w:pStyle w:val="Style2"/>
              <w:keepNext w:val="0"/>
              <w:keepLines w:val="0"/>
              <w:widowControl w:val="0"/>
              <w:numPr>
                <w:ilvl w:val="0"/>
                <w:numId w:val="13"/>
              </w:numPr>
              <w:shd w:val="clear" w:color="auto" w:fill="auto"/>
              <w:tabs>
                <w:tab w:pos="197" w:val="left"/>
              </w:tabs>
              <w:bidi w:val="0"/>
              <w:spacing w:before="0" w:after="120" w:line="317" w:lineRule="exact"/>
              <w:ind w:left="0" w:right="0" w:firstLine="0"/>
              <w:jc w:val="left"/>
              <w:rPr>
                <w:sz w:val="17"/>
                <w:szCs w:val="17"/>
              </w:rPr>
            </w:pPr>
            <w:r>
              <w:rPr>
                <w:rFonts w:ascii="SimSun" w:eastAsia="SimSun" w:hAnsi="SimSun" w:cs="SimSun"/>
                <w:color w:val="000000"/>
                <w:spacing w:val="0"/>
                <w:w w:val="100"/>
                <w:position w:val="0"/>
                <w:sz w:val="17"/>
                <w:szCs w:val="17"/>
              </w:rPr>
              <w:t>通过选取检查各个组合内客户的信用记录、历史付款记录、 期后回款并考虑前瞻性信息等因素，评估了管理层对整个存 续期信用损失预计的适当性；</w:t>
            </w:r>
          </w:p>
          <w:p>
            <w:pPr>
              <w:pStyle w:val="Style2"/>
              <w:keepNext w:val="0"/>
              <w:keepLines w:val="0"/>
              <w:widowControl w:val="0"/>
              <w:numPr>
                <w:ilvl w:val="0"/>
                <w:numId w:val="13"/>
              </w:numPr>
              <w:shd w:val="clear" w:color="auto" w:fill="auto"/>
              <w:tabs>
                <w:tab w:pos="197" w:val="left"/>
              </w:tabs>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抽样检查了预期信用损失模型的关键数据，包括历史数据， 以评估其完整性及准确性；</w:t>
            </w:r>
          </w:p>
          <w:p>
            <w:pPr>
              <w:pStyle w:val="Style2"/>
              <w:keepNext w:val="0"/>
              <w:keepLines w:val="0"/>
              <w:widowControl w:val="0"/>
              <w:numPr>
                <w:ilvl w:val="0"/>
                <w:numId w:val="13"/>
              </w:numPr>
              <w:shd w:val="clear" w:color="auto" w:fill="auto"/>
              <w:tabs>
                <w:tab w:pos="216" w:val="left"/>
              </w:tabs>
              <w:bidi w:val="0"/>
              <w:spacing w:before="0" w:after="120" w:line="324" w:lineRule="exact"/>
              <w:ind w:left="0" w:right="0" w:firstLine="0"/>
              <w:jc w:val="left"/>
              <w:rPr>
                <w:sz w:val="17"/>
                <w:szCs w:val="17"/>
              </w:rPr>
            </w:pPr>
            <w:r>
              <w:rPr>
                <w:rFonts w:ascii="SimSun" w:eastAsia="SimSun" w:hAnsi="SimSun" w:cs="SimSun"/>
                <w:color w:val="000000"/>
                <w:spacing w:val="0"/>
                <w:w w:val="100"/>
                <w:position w:val="0"/>
                <w:sz w:val="17"/>
                <w:szCs w:val="17"/>
              </w:rPr>
              <w:t>对重要应收款项实施了函证程序，核实其真实性、准确性；</w:t>
            </w:r>
          </w:p>
          <w:p>
            <w:pPr>
              <w:pStyle w:val="Style2"/>
              <w:keepNext w:val="0"/>
              <w:keepLines w:val="0"/>
              <w:widowControl w:val="0"/>
              <w:numPr>
                <w:ilvl w:val="0"/>
                <w:numId w:val="13"/>
              </w:numPr>
              <w:shd w:val="clear" w:color="auto" w:fill="auto"/>
              <w:tabs>
                <w:tab w:pos="245" w:val="left"/>
              </w:tabs>
              <w:bidi w:val="0"/>
              <w:spacing w:before="0" w:after="120" w:line="326" w:lineRule="exact"/>
              <w:ind w:left="0" w:right="0" w:firstLine="0"/>
              <w:jc w:val="left"/>
              <w:rPr>
                <w:sz w:val="17"/>
                <w:szCs w:val="17"/>
              </w:rPr>
            </w:pPr>
            <w:r>
              <w:rPr>
                <w:rFonts w:ascii="SimSun" w:eastAsia="SimSun" w:hAnsi="SimSun" w:cs="SimSun"/>
                <w:color w:val="000000"/>
                <w:spacing w:val="0"/>
                <w:w w:val="100"/>
                <w:position w:val="0"/>
                <w:sz w:val="17"/>
                <w:szCs w:val="17"/>
              </w:rPr>
              <w:t>结合期后回款情况检查，评价管理层对应收账款预期信用 损失计提的合理性；</w:t>
            </w:r>
          </w:p>
          <w:p>
            <w:pPr>
              <w:pStyle w:val="Style2"/>
              <w:keepNext w:val="0"/>
              <w:keepLines w:val="0"/>
              <w:widowControl w:val="0"/>
              <w:numPr>
                <w:ilvl w:val="0"/>
                <w:numId w:val="13"/>
              </w:numPr>
              <w:shd w:val="clear" w:color="auto" w:fill="auto"/>
              <w:tabs>
                <w:tab w:pos="206" w:val="left"/>
              </w:tabs>
              <w:bidi w:val="0"/>
              <w:spacing w:before="0" w:after="120" w:line="326" w:lineRule="exact"/>
              <w:ind w:left="0" w:right="0" w:firstLine="0"/>
              <w:jc w:val="left"/>
              <w:rPr>
                <w:sz w:val="17"/>
                <w:szCs w:val="17"/>
              </w:rPr>
            </w:pPr>
            <w:r>
              <w:rPr>
                <w:rFonts w:ascii="SimSun" w:eastAsia="SimSun" w:hAnsi="SimSun" w:cs="SimSun"/>
                <w:color w:val="000000"/>
                <w:spacing w:val="0"/>
                <w:w w:val="100"/>
                <w:position w:val="0"/>
                <w:sz w:val="17"/>
                <w:szCs w:val="17"/>
              </w:rPr>
              <w:t>检查与应收账款预期信用损失相关的信息是否已在财务报 表中作出恰当列报和披露。</w:t>
            </w:r>
          </w:p>
        </w:tc>
      </w:tr>
      <w:tr>
        <w:trPr>
          <w:trHeight w:val="34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（三）</w:t>
            </w:r>
            <w:r>
              <w:rPr>
                <w:rFonts w:ascii="SimSun" w:eastAsia="SimSun" w:hAnsi="SimSun" w:cs="SimSun"/>
                <w:color w:val="000000"/>
                <w:spacing w:val="0"/>
                <w:w w:val="100"/>
                <w:position w:val="0"/>
                <w:sz w:val="17"/>
                <w:szCs w:val="17"/>
              </w:rPr>
              <w:t>商誉减值准备</w:t>
            </w:r>
          </w:p>
        </w:tc>
      </w:tr>
      <w:tr>
        <w:trPr>
          <w:trHeight w:val="6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78" w:lineRule="exact"/>
        <w:ind w:left="0" w:right="0" w:firstLine="38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color w:val="000000"/>
          <w:spacing w:val="0"/>
          <w:w w:val="100"/>
          <w:position w:val="0"/>
        </w:rPr>
        <w:t>了解省广集团内部控制环境、测试与商誉减值相关的关键 如财务报表注释六、</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、商誉所述，截止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年内部控制运行有效性；</w:t>
      </w:r>
    </w:p>
    <w:p>
      <w:pPr>
        <w:pStyle w:val="Style28"/>
        <w:keepNext w:val="0"/>
        <w:keepLines w:val="0"/>
        <w:widowControl w:val="0"/>
        <w:shd w:val="clear" w:color="auto" w:fill="auto"/>
        <w:bidi w:val="0"/>
        <w:spacing w:before="0" w:after="100" w:line="312" w:lineRule="exact"/>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3082290</wp:posOffset>
                </wp:positionH>
                <wp:positionV relativeFrom="paragraph">
                  <wp:posOffset>101600</wp:posOffset>
                </wp:positionV>
                <wp:extent cx="3020695" cy="405130"/>
                <wp:wrapSquare wrapText="left"/>
                <wp:docPr id="9" name="Shape 9"/>
                <a:graphic xmlns:a="http://schemas.openxmlformats.org/drawingml/2006/main">
                  <a:graphicData uri="http://schemas.microsoft.com/office/word/2010/wordprocessingShape">
                    <wps:wsp>
                      <wps:cNvSpPr txBox="1"/>
                      <wps:spPr>
                        <a:xfrm>
                          <a:ext cx="3020695" cy="405130"/>
                        </a:xfrm>
                        <a:prstGeom prst="rect"/>
                        <a:noFill/>
                      </wps:spPr>
                      <wps:txbx>
                        <w:txbxContent>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评估管理层聘用的外部评估师的胜任能力、专业素质及客 观性；</w:t>
                            </w:r>
                          </w:p>
                        </w:txbxContent>
                      </wps:txbx>
                      <wps:bodyPr lIns="0" tIns="0" rIns="0" bIns="0">
                        <a:noAutoFit/>
                      </wps:bodyPr>
                    </wps:wsp>
                  </a:graphicData>
                </a:graphic>
              </wp:anchor>
            </w:drawing>
          </mc:Choice>
          <mc:Fallback>
            <w:pict>
              <v:shape id="_x0000_s1035" type="#_x0000_t202" style="position:absolute;margin-left:242.70000000000002pt;margin-top:8.pt;width:237.84999999999999pt;height:31.900000000000002pt;z-index:-12582937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评估管理层聘用的外部评估师的胜任能力、专业素质及客 观性；</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日，省广集团合并财务报表中商誉账面余 额为</w:t>
      </w:r>
      <w:r>
        <w:rPr>
          <w:rFonts w:ascii="Times New Roman" w:eastAsia="Times New Roman" w:hAnsi="Times New Roman" w:cs="Times New Roman"/>
          <w:color w:val="000000"/>
          <w:spacing w:val="0"/>
          <w:w w:val="100"/>
          <w:position w:val="0"/>
          <w:sz w:val="18"/>
          <w:szCs w:val="18"/>
        </w:rPr>
        <w:t>2,048,941,397.29</w:t>
      </w:r>
      <w:r>
        <w:rPr>
          <w:color w:val="000000"/>
          <w:spacing w:val="0"/>
          <w:w w:val="100"/>
          <w:position w:val="0"/>
        </w:rPr>
        <w:t xml:space="preserve">元，减值准备金额 </w:t>
      </w:r>
      <w:r>
        <w:rPr>
          <w:rFonts w:ascii="Times New Roman" w:eastAsia="Times New Roman" w:hAnsi="Times New Roman" w:cs="Times New Roman"/>
          <w:color w:val="000000"/>
          <w:spacing w:val="0"/>
          <w:w w:val="100"/>
          <w:position w:val="0"/>
          <w:sz w:val="18"/>
          <w:szCs w:val="18"/>
        </w:rPr>
        <w:t>1,466,317,711.77</w:t>
      </w:r>
      <w:r>
        <w:rPr>
          <w:color w:val="000000"/>
          <w:spacing w:val="0"/>
          <w:w w:val="100"/>
          <w:position w:val="0"/>
        </w:rPr>
        <w:t>元，其中本年计提减值准备金额</w:t>
      </w:r>
    </w:p>
    <w:p>
      <w:pPr>
        <w:pStyle w:val="Style56"/>
        <w:keepNext w:val="0"/>
        <w:keepLines w:val="0"/>
        <w:widowControl w:val="0"/>
        <w:shd w:val="clear" w:color="auto" w:fill="auto"/>
        <w:bidi w:val="0"/>
        <w:spacing w:before="0" w:line="240" w:lineRule="auto"/>
        <w:ind w:left="0" w:right="0" w:firstLine="0"/>
        <w:jc w:val="both"/>
        <w:rPr>
          <w:sz w:val="17"/>
          <w:szCs w:val="17"/>
        </w:rPr>
      </w:pPr>
      <w:r>
        <mc:AlternateContent>
          <mc:Choice Requires="wps">
            <w:drawing>
              <wp:anchor distT="0" distB="0" distL="0" distR="0" simplePos="0" relativeHeight="125829382" behindDoc="0" locked="0" layoutInCell="1" allowOverlap="1">
                <wp:simplePos x="0" y="0"/>
                <wp:positionH relativeFrom="page">
                  <wp:posOffset>689610</wp:posOffset>
                </wp:positionH>
                <wp:positionV relativeFrom="paragraph">
                  <wp:posOffset>165100</wp:posOffset>
                </wp:positionV>
                <wp:extent cx="2411095" cy="1195070"/>
                <wp:wrapSquare wrapText="right"/>
                <wp:docPr id="11" name="Shape 11"/>
                <a:graphic xmlns:a="http://schemas.openxmlformats.org/drawingml/2006/main">
                  <a:graphicData uri="http://schemas.microsoft.com/office/word/2010/wordprocessingShape">
                    <wps:wsp>
                      <wps:cNvSpPr txBox="1"/>
                      <wps:spPr>
                        <a:xfrm>
                          <a:ext cx="2411095" cy="1195070"/>
                        </a:xfrm>
                        <a:prstGeom prst="rect"/>
                        <a:noFill/>
                      </wps:spPr>
                      <wps:txbx>
                        <w:txbxContent>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元，占总资产的比例为</w:t>
                            </w:r>
                            <w:r>
                              <w:rPr>
                                <w:rFonts w:ascii="Times New Roman" w:eastAsia="Times New Roman" w:hAnsi="Times New Roman" w:cs="Times New Roman"/>
                                <w:color w:val="000000"/>
                                <w:spacing w:val="0"/>
                                <w:w w:val="100"/>
                                <w:position w:val="0"/>
                                <w:sz w:val="18"/>
                                <w:szCs w:val="18"/>
                              </w:rPr>
                              <w:t>7.16%</w:t>
                            </w:r>
                            <w:r>
                              <w:rPr>
                                <w:color w:val="000000"/>
                                <w:spacing w:val="0"/>
                                <w:w w:val="100"/>
                                <w:position w:val="0"/>
                              </w:rPr>
                              <w:t>。省广集团按照会 计政策要求，管理层在年度终了对省广集团商誉 进行减值测试，根据减值测试的结果判断商誉发 生减值的金额，在会计处理上确认商誉减值准 备。其中，商誉减值测试很大程度上依赖于管理 层所做的估计和采用的假设，例如对资产组未来</w:t>
                            </w:r>
                          </w:p>
                        </w:txbxContent>
                      </wps:txbx>
                      <wps:bodyPr lIns="0" tIns="0" rIns="0" bIns="0">
                        <a:noAutoFit/>
                      </wps:bodyPr>
                    </wps:wsp>
                  </a:graphicData>
                </a:graphic>
              </wp:anchor>
            </w:drawing>
          </mc:Choice>
          <mc:Fallback>
            <w:pict>
              <v:shape id="_x0000_s1037" type="#_x0000_t202" style="position:absolute;margin-left:54.300000000000004pt;margin-top:13.pt;width:189.84999999999999pt;height:94.100000000000009pt;z-index:-12582937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元，占总资产的比例为</w:t>
                      </w:r>
                      <w:r>
                        <w:rPr>
                          <w:rFonts w:ascii="Times New Roman" w:eastAsia="Times New Roman" w:hAnsi="Times New Roman" w:cs="Times New Roman"/>
                          <w:color w:val="000000"/>
                          <w:spacing w:val="0"/>
                          <w:w w:val="100"/>
                          <w:position w:val="0"/>
                          <w:sz w:val="18"/>
                          <w:szCs w:val="18"/>
                        </w:rPr>
                        <w:t>7.16%</w:t>
                      </w:r>
                      <w:r>
                        <w:rPr>
                          <w:color w:val="000000"/>
                          <w:spacing w:val="0"/>
                          <w:w w:val="100"/>
                          <w:position w:val="0"/>
                        </w:rPr>
                        <w:t>。省广集团按照会 计政策要求，管理层在年度终了对省广集团商誉 进行减值测试，根据减值测试的结果判断商誉发 生减值的金额，在会计处理上确认商誉减值准 备。其中，商誉减值测试很大程度上依赖于管理 层所做的估计和采用的假设，例如对资产组未来</w:t>
                      </w:r>
                    </w:p>
                  </w:txbxContent>
                </v:textbox>
                <w10:wrap type="square" side="right" anchorx="page"/>
              </v:shape>
            </w:pict>
          </mc:Fallback>
        </mc:AlternateContent>
      </w:r>
      <w:r>
        <w:rPr>
          <w:color w:val="000000"/>
          <w:spacing w:val="0"/>
          <w:w w:val="100"/>
          <w:position w:val="0"/>
          <w:sz w:val="18"/>
          <w:szCs w:val="18"/>
        </w:rPr>
        <w:t>1,097,948,301.75</w:t>
      </w:r>
      <w:r>
        <w:rPr>
          <w:rFonts w:ascii="SimSun" w:eastAsia="SimSun" w:hAnsi="SimSun" w:cs="SimSun"/>
          <w:color w:val="000000"/>
          <w:spacing w:val="0"/>
          <w:w w:val="100"/>
          <w:position w:val="0"/>
          <w:sz w:val="17"/>
          <w:szCs w:val="17"/>
        </w:rPr>
        <w:t>元，账面价值为</w:t>
      </w:r>
      <w:r>
        <w:rPr>
          <w:color w:val="000000"/>
          <w:spacing w:val="0"/>
          <w:w w:val="100"/>
          <w:position w:val="0"/>
          <w:sz w:val="18"/>
          <w:szCs w:val="18"/>
        </w:rPr>
        <w:t>582,623,685.523</w:t>
      </w:r>
      <w:r>
        <w:rPr>
          <w:rFonts w:ascii="SimSun" w:eastAsia="SimSun" w:hAnsi="SimSun" w:cs="SimSun"/>
          <w:color w:val="000000"/>
          <w:spacing w:val="0"/>
          <w:w w:val="100"/>
          <w:position w:val="0"/>
          <w:sz w:val="17"/>
          <w:szCs w:val="17"/>
        </w:rPr>
        <w:t>.评估管理层对商誉所在资产组的确认是否恰当;</w:t>
      </w:r>
    </w:p>
    <w:p>
      <w:pPr>
        <w:pStyle w:val="Style28"/>
        <w:keepNext w:val="0"/>
        <w:keepLines w:val="0"/>
        <w:widowControl w:val="0"/>
        <w:numPr>
          <w:ilvl w:val="0"/>
          <w:numId w:val="15"/>
        </w:numPr>
        <w:shd w:val="clear" w:color="auto" w:fill="auto"/>
        <w:bidi w:val="0"/>
        <w:spacing w:before="0" w:after="100" w:line="322" w:lineRule="exact"/>
        <w:ind w:left="0" w:right="0" w:firstLine="0"/>
        <w:jc w:val="left"/>
      </w:pPr>
      <w:bookmarkStart w:id="594" w:name="bookmark594"/>
      <w:bookmarkEnd w:id="594"/>
      <w:r>
        <w:rPr>
          <w:color w:val="000000"/>
          <w:spacing w:val="0"/>
          <w:w w:val="100"/>
          <w:position w:val="0"/>
        </w:rPr>
        <w:t>参考行业惯例和估值技术，评估管理层商誉减值测试的方 法是否恰当；</w:t>
      </w:r>
    </w:p>
    <w:p>
      <w:pPr>
        <w:pStyle w:val="Style28"/>
        <w:keepNext w:val="0"/>
        <w:keepLines w:val="0"/>
        <w:widowControl w:val="0"/>
        <w:numPr>
          <w:ilvl w:val="0"/>
          <w:numId w:val="15"/>
        </w:numPr>
        <w:shd w:val="clear" w:color="auto" w:fill="auto"/>
        <w:bidi w:val="0"/>
        <w:spacing w:before="0" w:after="0" w:line="317" w:lineRule="exact"/>
        <w:ind w:left="0" w:right="0" w:firstLine="0"/>
        <w:jc w:val="left"/>
      </w:pPr>
      <w:bookmarkStart w:id="595" w:name="bookmark595"/>
      <w:bookmarkEnd w:id="595"/>
      <w:r>
        <w:rPr>
          <w:color w:val="000000"/>
          <w:spacing w:val="0"/>
          <w:w w:val="100"/>
          <w:position w:val="0"/>
        </w:rPr>
        <w:t xml:space="preserve">通过比对单个资产组的相关历史经营结果以及未来经营计 划，评估未来现金流预测中所使用的关键假设及参数，包括 预计收入增长率、毛利率等是否合理； </w:t>
      </w:r>
      <w:r>
        <w:rPr>
          <w:color w:val="000000"/>
          <w:spacing w:val="0"/>
          <w:w w:val="100"/>
          <w:position w:val="0"/>
        </w:rPr>
        <w:t>可产生现金流量的预计和对折现率的估计等。减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color w:val="000000"/>
          <w:spacing w:val="0"/>
          <w:w w:val="100"/>
          <w:position w:val="0"/>
        </w:rPr>
        <w:t>通过参考市场数据，包括可比公司的资金成本、风险因素 值测试所采用的估计受管理层对未来市场以及及市场风险溢价等，评估管理层采用的折现率是否合理；</w:t>
      </w:r>
    </w:p>
    <w:p>
      <w:pPr>
        <w:pStyle w:val="Style28"/>
        <w:keepNext w:val="0"/>
        <w:keepLines w:val="0"/>
        <w:widowControl w:val="0"/>
        <w:shd w:val="clear" w:color="auto" w:fill="auto"/>
        <w:bidi w:val="0"/>
        <w:spacing w:before="0" w:after="100" w:line="312" w:lineRule="exact"/>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3082290</wp:posOffset>
                </wp:positionH>
                <wp:positionV relativeFrom="paragraph">
                  <wp:posOffset>165100</wp:posOffset>
                </wp:positionV>
                <wp:extent cx="2142490" cy="149225"/>
                <wp:wrapSquare wrapText="left"/>
                <wp:docPr id="13" name="Shape 13"/>
                <a:graphic xmlns:a="http://schemas.openxmlformats.org/drawingml/2006/main">
                  <a:graphicData uri="http://schemas.microsoft.com/office/word/2010/wordprocessingShape">
                    <wps:wsp>
                      <wps:cNvSpPr txBox="1"/>
                      <wps:spPr>
                        <a:xfrm>
                          <a:ext cx="214249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.检查未来现金流量现值的计算准确性;</w:t>
                            </w:r>
                          </w:p>
                        </w:txbxContent>
                      </wps:txbx>
                      <wps:bodyPr wrap="none" lIns="0" tIns="0" rIns="0" bIns="0">
                        <a:noAutoFit/>
                      </wps:bodyPr>
                    </wps:wsp>
                  </a:graphicData>
                </a:graphic>
              </wp:anchor>
            </w:drawing>
          </mc:Choice>
          <mc:Fallback>
            <w:pict>
              <v:shape id="_x0000_s1039" type="#_x0000_t202" style="position:absolute;margin-left:242.70000000000002pt;margin-top:13.pt;width:168.70000000000002pt;height:11.75pt;z-index:-12582936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.检查未来现金流量现值的计算准确性;</w:t>
                      </w:r>
                    </w:p>
                  </w:txbxContent>
                </v:textbox>
                <w10:wrap type="square" side="left" anchorx="page"/>
              </v:shape>
            </w:pict>
          </mc:Fallback>
        </mc:AlternateContent>
      </w:r>
      <w:r>
        <w:rPr>
          <w:color w:val="000000"/>
          <w:spacing w:val="0"/>
          <w:w w:val="100"/>
          <w:position w:val="0"/>
        </w:rPr>
        <w:t xml:space="preserve">对经济环境判断的影响，采用不同的估计和假设 会对评估的商誉之可收回价值产生很大的影响， </w:t>
      </w:r>
      <w:r>
        <w:rPr>
          <w:color w:val="000000"/>
          <w:spacing w:val="0"/>
          <w:w w:val="100"/>
          <w:position w:val="0"/>
        </w:rPr>
        <w:t>因此我们将商誉减值准备作为关键审计事项。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color w:val="000000"/>
          <w:spacing w:val="0"/>
          <w:w w:val="100"/>
          <w:position w:val="0"/>
        </w:rPr>
        <w:t>检查与商誉减值准备相关的信息是否已在财务报表中作出</w:t>
      </w:r>
    </w:p>
    <w:p>
      <w:pPr>
        <w:pStyle w:val="Style28"/>
        <w:keepNext w:val="0"/>
        <w:keepLines w:val="0"/>
        <w:widowControl w:val="0"/>
        <w:shd w:val="clear" w:color="auto" w:fill="auto"/>
        <w:bidi w:val="0"/>
        <w:spacing w:before="0" w:after="420" w:line="240" w:lineRule="auto"/>
        <w:ind w:left="3820" w:right="0" w:firstLine="0"/>
        <w:jc w:val="left"/>
      </w:pPr>
      <w:r>
        <w:rPr>
          <w:color w:val="000000"/>
          <w:spacing w:val="0"/>
          <w:w w:val="100"/>
          <w:position w:val="0"/>
        </w:rPr>
        <w:t>恰当列报和披露。</w:t>
      </w:r>
    </w:p>
    <w:p>
      <w:pPr>
        <w:pStyle w:val="Style47"/>
        <w:keepNext w:val="0"/>
        <w:keepLines w:val="0"/>
        <w:widowControl w:val="0"/>
        <w:shd w:val="clear" w:color="auto" w:fill="auto"/>
        <w:bidi w:val="0"/>
        <w:spacing w:before="0" w:after="0" w:line="240" w:lineRule="auto"/>
        <w:ind w:left="0" w:right="0" w:firstLine="0"/>
        <w:jc w:val="left"/>
      </w:pPr>
      <w:bookmarkStart w:id="596" w:name="bookmark596"/>
      <w:r>
        <w:rPr>
          <w:color w:val="000000"/>
          <w:spacing w:val="0"/>
          <w:w w:val="100"/>
          <w:position w:val="0"/>
        </w:rPr>
        <w:t>四</w:t>
      </w:r>
      <w:bookmarkEnd w:id="596"/>
      <w:r>
        <w:rPr>
          <w:color w:val="000000"/>
          <w:spacing w:val="0"/>
          <w:w w:val="100"/>
          <w:position w:val="0"/>
        </w:rPr>
        <w:t>、其他信息</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省广集团管理层（以下简称管理层）对其他信息负责。其他信息包括省广集团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 财务报表和我们的审计报告。</w:t>
      </w:r>
    </w:p>
    <w:p>
      <w:pPr>
        <w:pStyle w:val="Style28"/>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8"/>
        <w:keepNext w:val="0"/>
        <w:keepLines w:val="0"/>
        <w:widowControl w:val="0"/>
        <w:shd w:val="clear" w:color="auto" w:fill="auto"/>
        <w:bidi w:val="0"/>
        <w:spacing w:before="0" w:after="240" w:line="317" w:lineRule="exact"/>
        <w:ind w:left="0" w:right="0" w:firstLine="4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47"/>
        <w:keepNext w:val="0"/>
        <w:keepLines w:val="0"/>
        <w:widowControl w:val="0"/>
        <w:shd w:val="clear" w:color="auto" w:fill="auto"/>
        <w:bidi w:val="0"/>
        <w:spacing w:before="0" w:after="0" w:line="240" w:lineRule="auto"/>
        <w:ind w:left="0" w:right="0" w:firstLine="0"/>
        <w:jc w:val="left"/>
      </w:pPr>
      <w:bookmarkStart w:id="597" w:name="bookmark597"/>
      <w:r>
        <w:rPr>
          <w:color w:val="000000"/>
          <w:spacing w:val="0"/>
          <w:w w:val="100"/>
          <w:position w:val="0"/>
        </w:rPr>
        <w:t>五</w:t>
      </w:r>
      <w:bookmarkEnd w:id="597"/>
      <w:r>
        <w:rPr>
          <w:color w:val="000000"/>
          <w:spacing w:val="0"/>
          <w:w w:val="100"/>
          <w:position w:val="0"/>
        </w:rPr>
        <w:t>、管理层和治理层对财务报表的责任</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省广集团管理层负责按照企业会计准则的规定编制财务报表，使其实现公允反映，并设计、执行和维护必要的内部控 制，以使财务报表不存在由于舞弊或错误导致的重大错报。</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在编制财务报表时，管理层负责评估省广集团的持续经营能力，披露与持续经营相关的事项（如适用），并运用持续 经营假设，除非管理层计划清算省广集团、终止运营或别无其他现实的选择。</w:t>
      </w:r>
    </w:p>
    <w:p>
      <w:pPr>
        <w:pStyle w:val="Style28"/>
        <w:keepNext w:val="0"/>
        <w:keepLines w:val="0"/>
        <w:widowControl w:val="0"/>
        <w:shd w:val="clear" w:color="auto" w:fill="auto"/>
        <w:bidi w:val="0"/>
        <w:spacing w:before="0" w:after="160" w:line="317" w:lineRule="exact"/>
        <w:ind w:left="0" w:right="0" w:firstLine="480"/>
        <w:jc w:val="both"/>
      </w:pPr>
      <w:r>
        <w:rPr>
          <w:color w:val="000000"/>
          <w:spacing w:val="0"/>
          <w:w w:val="100"/>
          <w:position w:val="0"/>
        </w:rPr>
        <w:t>治理层负责监督省广集团的财务报告过程。</w:t>
      </w:r>
    </w:p>
    <w:p>
      <w:pPr>
        <w:pStyle w:val="Style47"/>
        <w:keepNext w:val="0"/>
        <w:keepLines w:val="0"/>
        <w:widowControl w:val="0"/>
        <w:shd w:val="clear" w:color="auto" w:fill="auto"/>
        <w:bidi w:val="0"/>
        <w:spacing w:before="0" w:after="0" w:line="313" w:lineRule="exact"/>
        <w:ind w:left="0" w:right="0" w:firstLine="0"/>
        <w:jc w:val="left"/>
      </w:pPr>
      <w:bookmarkStart w:id="598" w:name="bookmark598"/>
      <w:r>
        <w:rPr>
          <w:color w:val="000000"/>
          <w:spacing w:val="0"/>
          <w:w w:val="100"/>
          <w:position w:val="0"/>
        </w:rPr>
        <w:t>六</w:t>
      </w:r>
      <w:bookmarkEnd w:id="598"/>
      <w:r>
        <w:rPr>
          <w:color w:val="000000"/>
          <w:spacing w:val="0"/>
          <w:w w:val="100"/>
          <w:position w:val="0"/>
        </w:rPr>
        <w:t>、注册会计师对财务报表审计的责任</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shd w:val="clear" w:color="auto" w:fill="auto"/>
        <w:tabs>
          <w:tab w:pos="1101" w:val="left"/>
        </w:tabs>
        <w:bidi w:val="0"/>
        <w:spacing w:before="0" w:after="0" w:line="313" w:lineRule="exact"/>
        <w:ind w:left="0" w:right="0" w:firstLine="480"/>
        <w:jc w:val="left"/>
      </w:pPr>
      <w:bookmarkStart w:id="599" w:name="bookmark599"/>
      <w:r>
        <w:rPr>
          <w:color w:val="000000"/>
          <w:spacing w:val="0"/>
          <w:w w:val="100"/>
          <w:position w:val="0"/>
        </w:rPr>
        <w:t>（</w:t>
      </w:r>
      <w:bookmarkEnd w:id="59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1005" w:val="left"/>
        </w:tabs>
        <w:bidi w:val="0"/>
        <w:spacing w:before="0" w:after="100" w:line="313" w:lineRule="exact"/>
        <w:ind w:left="0" w:right="0" w:firstLine="480"/>
        <w:jc w:val="left"/>
      </w:pPr>
      <w:bookmarkStart w:id="600" w:name="bookmark600"/>
      <w:r>
        <w:rPr>
          <w:color w:val="000000"/>
          <w:spacing w:val="0"/>
          <w:w w:val="100"/>
          <w:position w:val="0"/>
        </w:rPr>
        <w:t>（</w:t>
      </w:r>
      <w:bookmarkEnd w:id="600"/>
      <w:r>
        <w:rPr>
          <w:color w:val="000000"/>
          <w:spacing w:val="0"/>
          <w:w w:val="100"/>
          <w:position w:val="0"/>
        </w:rPr>
        <w:t>二）</w:t>
        <w:tab/>
        <w:t>了解与审计相关的内部控制，以设计恰当的审计程序，但目的并非对内部控制的有效性发表意见。</w:t>
      </w:r>
      <w:r>
        <w:br w:type="page"/>
      </w:r>
    </w:p>
    <w:p>
      <w:pPr>
        <w:pStyle w:val="Style28"/>
        <w:keepNext w:val="0"/>
        <w:keepLines w:val="0"/>
        <w:widowControl w:val="0"/>
        <w:shd w:val="clear" w:color="auto" w:fill="auto"/>
        <w:tabs>
          <w:tab w:pos="1011" w:val="left"/>
        </w:tabs>
        <w:bidi w:val="0"/>
        <w:spacing w:before="0" w:after="0" w:line="312" w:lineRule="exact"/>
        <w:ind w:left="0" w:right="0" w:firstLine="480"/>
        <w:jc w:val="left"/>
      </w:pPr>
      <w:bookmarkStart w:id="601" w:name="bookmark601"/>
      <w:r>
        <w:rPr>
          <w:color w:val="000000"/>
          <w:spacing w:val="0"/>
          <w:w w:val="100"/>
          <w:position w:val="0"/>
        </w:rPr>
        <w:t>（</w:t>
      </w:r>
      <w:bookmarkEnd w:id="601"/>
      <w:r>
        <w:rPr>
          <w:color w:val="000000"/>
          <w:spacing w:val="0"/>
          <w:w w:val="100"/>
          <w:position w:val="0"/>
        </w:rPr>
        <w:t>三）</w:t>
        <w:tab/>
        <w:t>评价管理层选用会计政策的恰当性和作出会计估计及相关披露的合理性。</w:t>
      </w:r>
    </w:p>
    <w:p>
      <w:pPr>
        <w:pStyle w:val="Style28"/>
        <w:keepNext w:val="0"/>
        <w:keepLines w:val="0"/>
        <w:widowControl w:val="0"/>
        <w:shd w:val="clear" w:color="auto" w:fill="auto"/>
        <w:tabs>
          <w:tab w:pos="1107" w:val="left"/>
        </w:tabs>
        <w:bidi w:val="0"/>
        <w:spacing w:before="0" w:after="0" w:line="312" w:lineRule="exact"/>
        <w:ind w:left="0" w:right="0" w:firstLine="480"/>
        <w:jc w:val="both"/>
      </w:pPr>
      <w:bookmarkStart w:id="602" w:name="bookmark602"/>
      <w:r>
        <w:rPr>
          <w:color w:val="000000"/>
          <w:spacing w:val="0"/>
          <w:w w:val="100"/>
          <w:position w:val="0"/>
        </w:rPr>
        <w:t>（</w:t>
      </w:r>
      <w:bookmarkEnd w:id="602"/>
      <w:r>
        <w:rPr>
          <w:color w:val="000000"/>
          <w:spacing w:val="0"/>
          <w:w w:val="100"/>
          <w:position w:val="0"/>
        </w:rPr>
        <w:t>四）</w:t>
        <w:tab/>
        <w:t>对管理层使用持续经营假设的恰当性得出结论。同时，根据获取的审计证据，就可能导致对省广集团持续经营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基于截至审计报告日可获得的信息。然而，未来的事项或情况可能导致省广集团不能持续经营。</w:t>
      </w:r>
    </w:p>
    <w:p>
      <w:pPr>
        <w:pStyle w:val="Style28"/>
        <w:keepNext w:val="0"/>
        <w:keepLines w:val="0"/>
        <w:widowControl w:val="0"/>
        <w:shd w:val="clear" w:color="auto" w:fill="auto"/>
        <w:tabs>
          <w:tab w:pos="1011" w:val="left"/>
        </w:tabs>
        <w:bidi w:val="0"/>
        <w:spacing w:before="0" w:after="0" w:line="312" w:lineRule="exact"/>
        <w:ind w:left="0" w:right="0" w:firstLine="480"/>
        <w:jc w:val="both"/>
      </w:pPr>
      <w:bookmarkStart w:id="603" w:name="bookmark603"/>
      <w:r>
        <w:rPr>
          <w:color w:val="000000"/>
          <w:spacing w:val="0"/>
          <w:w w:val="100"/>
          <w:position w:val="0"/>
        </w:rPr>
        <w:t>（</w:t>
      </w:r>
      <w:bookmarkEnd w:id="603"/>
      <w:r>
        <w:rPr>
          <w:color w:val="000000"/>
          <w:spacing w:val="0"/>
          <w:w w:val="100"/>
          <w:position w:val="0"/>
        </w:rPr>
        <w:t>五）</w:t>
        <w:tab/>
        <w:t>评价财务报表的总体列报、结构和内容，并评价财务报表是否公允反映相关交易和事项。</w:t>
      </w:r>
    </w:p>
    <w:p>
      <w:pPr>
        <w:pStyle w:val="Style28"/>
        <w:keepNext w:val="0"/>
        <w:keepLines w:val="0"/>
        <w:widowControl w:val="0"/>
        <w:shd w:val="clear" w:color="auto" w:fill="auto"/>
        <w:tabs>
          <w:tab w:pos="1107" w:val="left"/>
        </w:tabs>
        <w:bidi w:val="0"/>
        <w:spacing w:before="0" w:after="0" w:line="312" w:lineRule="exact"/>
        <w:ind w:left="0" w:right="0" w:firstLine="480"/>
        <w:jc w:val="both"/>
      </w:pPr>
      <w:bookmarkStart w:id="604" w:name="bookmark604"/>
      <w:r>
        <w:rPr>
          <w:color w:val="000000"/>
          <w:spacing w:val="0"/>
          <w:w w:val="100"/>
          <w:position w:val="0"/>
        </w:rPr>
        <w:t>（</w:t>
      </w:r>
      <w:bookmarkEnd w:id="604"/>
      <w:r>
        <w:rPr>
          <w:color w:val="000000"/>
          <w:spacing w:val="0"/>
          <w:w w:val="100"/>
          <w:position w:val="0"/>
        </w:rPr>
        <w:t>六）</w:t>
        <w:tab/>
        <w:t>就省广集团中实体或业务活动的财务信息获取充分、适当的审计证据，以对财务报表发表意见。我们负责指导、 监督和执行集团审计。我们对审计意见承担全部责任。</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8"/>
        <w:keepNext w:val="0"/>
        <w:keepLines w:val="0"/>
        <w:widowControl w:val="0"/>
        <w:shd w:val="clear" w:color="auto" w:fill="auto"/>
        <w:bidi w:val="0"/>
        <w:spacing w:before="0" w:after="700" w:line="312" w:lineRule="exact"/>
        <w:ind w:left="0" w:right="0" w:firstLine="4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4"/>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二</w:t>
      </w:r>
      <w:bookmarkEnd w:id="607"/>
      <w:r>
        <w:rPr>
          <w:color w:val="000000"/>
          <w:spacing w:val="0"/>
          <w:w w:val="100"/>
          <w:position w:val="0"/>
        </w:rPr>
        <w:t>、财务报表</w:t>
      </w:r>
      <w:bookmarkEnd w:id="605"/>
      <w:bookmarkEnd w:id="606"/>
      <w:bookmarkEnd w:id="60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、合并资产负债表</w:t>
      </w:r>
      <w:bookmarkEnd w:id="609"/>
      <w:bookmarkEnd w:id="610"/>
      <w:bookmarkEnd w:id="612"/>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6337935</wp:posOffset>
                </wp:positionH>
                <wp:positionV relativeFrom="paragraph">
                  <wp:posOffset>444500</wp:posOffset>
                </wp:positionV>
                <wp:extent cx="481330" cy="146050"/>
                <wp:wrapSquare wrapText="left"/>
                <wp:docPr id="15" name="Shape 1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1" type="#_x0000_t202" style="position:absolute;margin-left:499.05000000000001pt;margin-top:35.pt;width:37.899999999999999pt;height:11.5pt;z-index:-12582936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编制单位：广东省广告集团股份有限公司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6" w:h="5645" w:hSpace="10" w:vSpace="629" w:wrap="notBeside" w:vAnchor="text" w:hAnchor="text" w:x="102" w:y="630"/>
              <w:widowControl w:val="0"/>
              <w:rPr>
                <w:sz w:val="10"/>
                <w:szCs w:val="10"/>
              </w:rPr>
            </w:pPr>
          </w:p>
        </w:tc>
        <w:tc>
          <w:tcPr>
            <w:tcBorders>
              <w:top w:val="single" w:sz="4"/>
              <w:left w:val="single" w:sz="4"/>
              <w:right w:val="single" w:sz="4"/>
            </w:tcBorders>
            <w:shd w:val="clear" w:color="auto" w:fill="D3D3D3"/>
            <w:vAlign w:val="top"/>
          </w:tcPr>
          <w:p>
            <w:pPr>
              <w:framePr w:w="9586" w:h="564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2140" w:right="0" w:firstLine="0"/>
              <w:jc w:val="left"/>
            </w:pPr>
            <w:r>
              <w:rPr>
                <w:color w:val="000000"/>
                <w:spacing w:val="0"/>
                <w:w w:val="100"/>
                <w:position w:val="0"/>
              </w:rPr>
              <w:t>707,167,789.26</w:t>
            </w:r>
          </w:p>
        </w:tc>
        <w:tc>
          <w:tcPr>
            <w:tcBorders>
              <w:top w:val="single" w:sz="4"/>
              <w:left w:val="single" w:sz="4"/>
              <w:righ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1,399,472,646.45</w:t>
            </w:r>
          </w:p>
        </w:tc>
      </w:tr>
      <w:tr>
        <w:trPr>
          <w:trHeight w:val="398"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564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6" w:h="564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8,600,000.00</w:t>
            </w:r>
          </w:p>
        </w:tc>
        <w:tc>
          <w:tcPr>
            <w:tcBorders>
              <w:top w:val="single" w:sz="4"/>
              <w:left w:val="single" w:sz="4"/>
              <w:righ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10,900,000.00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564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02"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10,782,127.44</w:t>
            </w:r>
          </w:p>
        </w:tc>
        <w:tc>
          <w:tcPr>
            <w:tcBorders>
              <w:top w:val="single" w:sz="4"/>
              <w:left w:val="single" w:sz="4"/>
              <w:righ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2,063,563.40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3,150,776,058.74</w:t>
            </w:r>
          </w:p>
        </w:tc>
        <w:tc>
          <w:tcPr>
            <w:tcBorders>
              <w:top w:val="single" w:sz="4"/>
              <w:left w:val="single" w:sz="4"/>
              <w:righ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2,518,633,213.87</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2140" w:right="0" w:firstLine="0"/>
              <w:jc w:val="left"/>
            </w:pPr>
            <w:r>
              <w:rPr>
                <w:color w:val="000000"/>
                <w:spacing w:val="0"/>
                <w:w w:val="100"/>
                <w:position w:val="0"/>
              </w:rPr>
              <w:t>122,189,561.46</w:t>
            </w:r>
          </w:p>
        </w:tc>
        <w:tc>
          <w:tcPr>
            <w:tcBorders>
              <w:top w:val="single" w:sz="4"/>
              <w:left w:val="single" w:sz="4"/>
              <w:righ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164,105,358.25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2140" w:right="0" w:firstLine="0"/>
              <w:jc w:val="left"/>
            </w:pPr>
            <w:r>
              <w:rPr>
                <w:color w:val="000000"/>
                <w:spacing w:val="0"/>
                <w:w w:val="100"/>
                <w:position w:val="0"/>
              </w:rPr>
              <w:t>333,375,007.08</w:t>
            </w:r>
          </w:p>
        </w:tc>
        <w:tc>
          <w:tcPr>
            <w:tcBorders>
              <w:top w:val="single" w:sz="4"/>
              <w:left w:val="single" w:sz="4"/>
              <w:right w:val="single" w:sz="4"/>
            </w:tcBorders>
            <w:shd w:val="clear" w:color="auto" w:fill="FFFFFF"/>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613,504,695.29</w:t>
            </w:r>
          </w:p>
        </w:tc>
      </w:tr>
      <w:tr>
        <w:trPr>
          <w:trHeight w:val="398"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6" w:h="564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5645"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02"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5645"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bottom w:val="single" w:sz="4"/>
            </w:tcBorders>
            <w:shd w:val="clear" w:color="auto" w:fill="FFFFFF"/>
            <w:vAlign w:val="top"/>
          </w:tcPr>
          <w:p>
            <w:pPr>
              <w:framePr w:w="9586" w:h="5645" w:hSpace="10" w:vSpace="629" w:wrap="notBeside" w:vAnchor="text" w:hAnchor="text" w:x="102"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5645" w:hSpace="10" w:vSpace="629" w:wrap="notBeside" w:vAnchor="text" w:hAnchor="text" w:x="102" w:y="630"/>
              <w:widowControl w:val="0"/>
              <w:rPr>
                <w:sz w:val="10"/>
                <w:szCs w:val="10"/>
              </w:rPr>
            </w:pPr>
          </w:p>
        </w:tc>
      </w:tr>
    </w:tbl>
    <w:p>
      <w:pPr>
        <w:pStyle w:val="Style26"/>
        <w:keepNext w:val="0"/>
        <w:keepLines w:val="0"/>
        <w:framePr w:w="5582" w:h="206" w:hSpace="91" w:wrap="notBeside" w:vAnchor="text" w:hAnchor="text" w:x="9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186,580,249.50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282,649,474.09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869,707.97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390,366,158.09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14,010,497.96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628,895,160.87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94,815,291.50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5,541,357,192.51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5,100,156,084.81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616,989,993.34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713,093,290.68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53,697,021.26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47,999,226.12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202,325,896.00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261,527,461.56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264,219,603.60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664,585,144.03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681,482,449.95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22,237,184.40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33,726,701.62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87,894,111.88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582,623,685.52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1,680,131,420.49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15,612,961.48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17,047,579.00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140,038,912.17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106,903,342.74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2,593,364,961.38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3,660,271,024.46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8,134,722,153.89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8,760,427,109.27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337,882,370.42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601,694,913.68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193,532,908.80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89,521,421.65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2,270,525,715.62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1,560,748,458.58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946,308.14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295,458,045.38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182,620,512.02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134,471,592.64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119,385,442.85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93,651,795.66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125,252,994.05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92,294,190.19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91,943,444.01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16,235,088.67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94,629,391.81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68,993,611.98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3,400,554,785.30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2,952,998,332.18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119,819,580.71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175,468,590.71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15,734,164.95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17,427,101.05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135,820,411.98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193,362,358.12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3,536,375,197.28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3,146,360,690.30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1,743,337,128.00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1,743,337,128.00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1,398,438,960.28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1,404,862,715.35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72,354,279.75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73,679,813.54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171,592,134.30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171,592,134.30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1,035,196,597.22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1,985,493,591.27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4,420,919,099.55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5,378,965,382.46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177,427,857.06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235,101,036.51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4,598,346,956.61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5,614,066,418.97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8,134,722,153.89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8,760,427,109.27</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8" behindDoc="0" locked="0" layoutInCell="1" allowOverlap="1">
                <wp:simplePos x="0" y="0"/>
                <wp:positionH relativeFrom="page">
                  <wp:posOffset>700405</wp:posOffset>
                </wp:positionH>
                <wp:positionV relativeFrom="margin">
                  <wp:posOffset>5620385</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043" type="#_x0000_t202" style="position:absolute;margin-left:55.149999999999999pt;margin-top:442.55000000000001pt;width:83.049999999999997pt;height:11.75pt;z-index:-125829365;mso-wrap-distance-left:9.pt;mso-wrap-distance-top:11.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39700" distB="3175" distL="2348230" distR="2574290" simplePos="0" relativeHeight="125829390" behindDoc="0" locked="0" layoutInCell="1" allowOverlap="1">
                <wp:simplePos x="0" y="0"/>
                <wp:positionH relativeFrom="page">
                  <wp:posOffset>2934335</wp:posOffset>
                </wp:positionH>
                <wp:positionV relativeFrom="margin">
                  <wp:posOffset>5620385</wp:posOffset>
                </wp:positionV>
                <wp:extent cx="1393190" cy="146050"/>
                <wp:wrapTopAndBottom/>
                <wp:docPr id="19" name="Shape 1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w:t>
                            </w:r>
                          </w:p>
                        </w:txbxContent>
                      </wps:txbx>
                      <wps:bodyPr wrap="none" lIns="0" tIns="0" rIns="0" bIns="0">
                        <a:noAutoFit/>
                      </wps:bodyPr>
                    </wps:wsp>
                  </a:graphicData>
                </a:graphic>
              </wp:anchor>
            </w:drawing>
          </mc:Choice>
          <mc:Fallback>
            <w:pict>
              <v:shape id="_x0000_s1045" type="#_x0000_t202" style="position:absolute;margin-left:231.05000000000001pt;margin-top:442.55000000000001pt;width:109.7pt;height:11.5pt;z-index:-125829363;mso-wrap-distance-left:184.90000000000001pt;mso-wrap-distance-top:11.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w:t>
                      </w:r>
                    </w:p>
                  </w:txbxContent>
                </v:textbox>
                <w10:wrap type="topAndBottom" anchorx="page" anchory="margin"/>
              </v:shape>
            </w:pict>
          </mc:Fallback>
        </mc:AlternateContent>
      </w:r>
      <w:r>
        <mc:AlternateContent>
          <mc:Choice Requires="wps">
            <w:drawing>
              <wp:anchor distT="139700" distB="0" distL="4914900" distR="114300" simplePos="0" relativeHeight="125829392" behindDoc="0" locked="0" layoutInCell="1" allowOverlap="1">
                <wp:simplePos x="0" y="0"/>
                <wp:positionH relativeFrom="page">
                  <wp:posOffset>5501005</wp:posOffset>
                </wp:positionH>
                <wp:positionV relativeFrom="margin">
                  <wp:posOffset>5620385</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047" type="#_x0000_t202" style="position:absolute;margin-left:433.15000000000003pt;margin-top:442.55000000000001pt;width:101.3pt;height:11.75pt;z-index:-125829361;mso-wrap-distance-left:387.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、母公司资产负债表</w:t>
      </w:r>
      <w:bookmarkEnd w:id="613"/>
      <w:bookmarkEnd w:id="614"/>
      <w:bookmarkEnd w:id="6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244,160,490.10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986,713,243.87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1,032,397,292.62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764,706,565.37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101,142,779.32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107,964,889.80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120,760,006.70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159,284,673.38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473,893,249.72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445,350,363.07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307,076,000.00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126,557,200.19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288,332,029.97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14,010,497.96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501,693,291.07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15,402,790.39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2,762,379,139.50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2,493,433,023.84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2,657,119,609.83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3,537,773,806.71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24,901,380.47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19,203,585.33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260,421,876.00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263,196,729.60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656,983,433.97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673,997,082.20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30,293,570.10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37,068,480.42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1,005,594.55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1,510,797.95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82,579,662.33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64,238,317.35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3,774,805,127.25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4,658,488,799.56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6,537,184,266.75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7,151,921,823.40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275,422,052.37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553,600,626.25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174,521,739.90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987,650,983.50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768,060,334.12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244,405,737.11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72,098,752.50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89,054,663.01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78,520,089.15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30,761,699.73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47,338,170.63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178,042,330.36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180,966,640.93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2,814,812.52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44,596,649.14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31,725,953.30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1,852,148,870.51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1,986,067,551.49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119,819,580.71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173,719,980.71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15,698,387.74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14,732,796.97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135,784,634.77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188,919,444.04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1,987,933,505.28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2,174,986,995.53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1,743,337,128.00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1,743,337,128.00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1,934,760,707.45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1,936,131,890.88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74,732,130.29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74,732,130.29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171,592,134.30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171,592,134.30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624,828,661.43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1,051,141,544.40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4,549,250,761.47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4,976,934,827.87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6,537,184,266.75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7,151,921,823.40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、合并利润表</w:t>
      </w:r>
      <w:bookmarkEnd w:id="617"/>
      <w:bookmarkEnd w:id="618"/>
      <w:bookmarkEnd w:id="62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13,291,267,668.33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11,535,693,013.64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13,291,267,668.33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11,535,693,013.64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12,953,421,411.45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10,938,770,376.25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11,913,219,535.78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9,793,810,290.23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23,216,474.57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63,171,017.89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515,271,982.23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534,858,902.19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230,356,972.33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254,233,408.95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264,270,091.46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262,775,611.79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7,086,355.08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29,921,145.20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17,731,531.47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34,651,618.08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15,751,266.23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6,967,016.46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115,901,357.15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54,351,601.77</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-10,542,822.62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34,242,011.24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-30,678,275.87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-4,564,017.84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-2,774,853.60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1,752,637.20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-178,040,231.49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-150,498,597.71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-1,143,767,654.02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-268,745,950.90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118,360.05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-881,114,392.34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268,142,699.04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4,914,986.08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13,009,336.27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824,028.08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-877,533,702.20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280,328,007.23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23,656,782.67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97,885,494.80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-901,190,484.87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182,442,512.43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-901,190,484.87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184,301,328.64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-1,858,816.21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-932,266,939.80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149,487,578.92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31,076,454.93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32,954,933.51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-1,656,542.26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-1,325,533.79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380,779.17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-1,325,533.79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380,779.17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25,789.91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-1,325,533.79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354,989.26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-902,847,027.13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182,496,102.44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-933,592,473.59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149,868,358.09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30,745,446.46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32,627,744.35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8"/>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法定代表人：陈钿隆</w:t>
        <w:tab/>
        <w:t>主管会计工作负责人：周旭</w:t>
        <w:tab/>
        <w:t>会计机构负责人：吴俊生</w:t>
      </w:r>
    </w:p>
    <w:p>
      <w:pPr>
        <w:pStyle w:val="Style32"/>
        <w:keepNext/>
        <w:keepLines/>
        <w:widowControl w:val="0"/>
        <w:shd w:val="clear" w:color="auto" w:fill="auto"/>
        <w:bidi w:val="0"/>
        <w:spacing w:before="0" w:after="40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、母公司利润表</w:t>
      </w:r>
      <w:bookmarkEnd w:id="621"/>
      <w:bookmarkEnd w:id="622"/>
      <w:bookmarkEnd w:id="6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4,805,753,151.68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5,945,562,411.46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4,100,062,900.91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5,084,735,314.48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11,604,800.59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31,103,483.05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308,172,718.56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309,978,330.86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85,819,738.50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90,411,200.49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180,671,483.06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194,223,255.73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8,835,705.17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35,503,768.26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17,228,016.31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35,572,318.44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10,867,756.22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1,826,550.59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41,275,614.67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23,627,564.46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489,484,319.70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228,329,219.97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-41,149,434.92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-13,415,718.61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-2,774,853.60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1,685,877.00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-123,134,199.22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-79,203,074.04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-407,572,605.07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233,826,870.79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3,987,910.40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1,916,473.50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412,760.80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-403,618,028.85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235,330,583.49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-15,203,861.12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21,467,406.73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-388,414,167.73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213,863,176.76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-388,414,167.73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213,863,176.76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-388,414,167.73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213,903,927.63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、合并现金流量表</w:t>
      </w:r>
      <w:bookmarkEnd w:id="625"/>
      <w:bookmarkEnd w:id="626"/>
      <w:bookmarkEnd w:id="6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15,088,879,342.97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11,309,764,286.05</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11,163,685.17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284,564,037.98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350,468,834.04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15,384,607,066.12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11,660,233,120.09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13,638,705,317.13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9,585,196,953.16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720,945,440.29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733,154,187.05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169,414,888.67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230,895,453.08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482,853,578.12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566,145,150.76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15,011,919,224.21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11,115,391,744.05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372,687,841.91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544,841,376.04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2,451,916,389.50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1,966,800,000.00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38,852,957.96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62,532,454.98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909,821.63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219,246.45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2,039,621.00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255,143.14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2,493,973,933.23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2,055,851,701.43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17,373,152.69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46,672,562.73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2,961,519,000.00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1,367,900,000.00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160,126,816.00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2,978,892,152.69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1,574,699,378.73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-484,918,219.46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481,152,322.70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1,001,815,261.59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1,850,553,169.93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1,008,245,261.59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1,850,563,169.93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1,444,414,100.00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2,094,639,000.00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132,896,758.87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86,580,731.39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74,640,217.45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34,026,193.53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11,986,800.00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1,577,341,491.65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2,193,206,531.39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-569,096,230.06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-342,643,361.46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-681,401,985.40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683,439,707.10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1,377,114,193.95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693,674,486.85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695,712,208.55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1,377,114,193.95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6</w:t>
      </w:r>
      <w:bookmarkEnd w:id="631"/>
      <w:r>
        <w:rPr>
          <w:color w:val="000000"/>
          <w:spacing w:val="0"/>
          <w:w w:val="100"/>
          <w:position w:val="0"/>
        </w:rPr>
        <w:t>、母公司现金流量表</w:t>
      </w:r>
      <w:bookmarkEnd w:id="629"/>
      <w:bookmarkEnd w:id="630"/>
      <w:bookmarkEnd w:id="6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4,262,678,022.77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6,053,748,272.67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1,189,386.53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758,696,256.12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421,194,569.19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5,022,563,665.42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6,474,942,841.86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4,005,790,317.36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4,970,985,167.03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416,852,271.83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436,588,924.62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54,120,603.38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63,214,613.77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501,281,019.18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395,343,888.86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4,978,044,211.75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5,866,132,594.28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44,519,453.67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608,810,247.58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2,253,481,802.82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282,385,899.98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219,840,033.39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122,951.46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46,630,053.86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3,936,654.20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26,855,901.17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2,539,804,357.00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2,255,448,939.88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8,185,012.09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28,193,053.74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2,812,231,556.92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1,606,656,816.00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2,820,416,569.01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1,749,849,869.74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-280,612,212.01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505,599,070.14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929,003,189.30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1,778,966,667.00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929,003,189.30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1,883,966,667.00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2,037,839,000.00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60,627,940.19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54,379,420.27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1,418,627,940.19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2,231,218,420.27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-489,624,750.89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-347,251,753.27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-725,717,643.91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767,157,782.16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969,778,134.01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202,620,351.85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244,060,490.10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969,778,134.01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7</w:t>
      </w:r>
      <w:bookmarkEnd w:id="635"/>
      <w:r>
        <w:rPr>
          <w:color w:val="000000"/>
          <w:spacing w:val="0"/>
          <w:w w:val="100"/>
          <w:position w:val="0"/>
        </w:rPr>
        <w:t>、合并所有者权益变动表</w:t>
      </w:r>
      <w:bookmarkEnd w:id="633"/>
      <w:bookmarkEnd w:id="634"/>
      <w:bookmarkEnd w:id="63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862,71</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965,38</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1,036.</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066,41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862,71</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965,38</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1,036.</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066,41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3,179.</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66,939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-933,5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92,473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30,745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7,664.</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-7,170,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-77,42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0,961.</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5,761.</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18,635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18,635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划变动额结转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438,96</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72,354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919,09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911,90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74,295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496,54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310,373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5,518,8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911,90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742,66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496,54</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310,373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5,518,8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152,75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95,195,</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,866.91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149,48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7,578.</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-90,807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6,317.</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3,371.</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3,371.</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42,083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,039.5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862,71</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965,38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66,418.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8</w:t>
      </w:r>
      <w:bookmarkEnd w:id="639"/>
      <w:r>
        <w:rPr>
          <w:color w:val="000000"/>
          <w:spacing w:val="0"/>
          <w:w w:val="100"/>
          <w:position w:val="0"/>
        </w:rPr>
        <w:t>、母公司所有者权益变动表</w:t>
      </w:r>
      <w:bookmarkEnd w:id="637"/>
      <w:bookmarkEnd w:id="638"/>
      <w:bookmarkEnd w:id="64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37,128.</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4,976,934,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37,128.</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4,976,934,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-427,684,0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-388,41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4,167.7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-388,414,1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-1,371,1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2,198,0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826,820.1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-1,371,1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2,198,0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826,820.1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-40,096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-40,096,71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-40,096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-40,096,71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1,934,76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0,707.45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8,661.4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4,549,250,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1,937,7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01,564.</w:t>
            </w:r>
          </w:p>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150,205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875,101,6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4,782,033,9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996,429.6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1,937,7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01,564.</w:t>
            </w:r>
          </w:p>
          <w:p>
            <w:pPr>
              <w:pStyle w:val="Style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150,205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876,098,0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4,782,033,9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-1,569,6</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175,043,4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194,900,88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213,863,1</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213,903,92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21,386,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-38,819,6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-17,433,371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21,386,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-21,386,3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-17,433,371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-1,569,673.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31,890.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171,592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1,051,141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4,976,934,8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w:t>
            </w:r>
          </w:p>
        </w:tc>
      </w:tr>
    </w:tbl>
    <w:p>
      <w:pPr>
        <w:pStyle w:val="Style24"/>
        <w:keepNext/>
        <w:keepLines/>
        <w:widowControl w:val="0"/>
        <w:shd w:val="clear" w:color="auto" w:fill="auto"/>
        <w:tabs>
          <w:tab w:pos="522" w:val="left"/>
        </w:tabs>
        <w:bidi w:val="0"/>
        <w:spacing w:before="0" w:after="2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三</w:t>
      </w:r>
      <w:bookmarkEnd w:id="643"/>
      <w:r>
        <w:rPr>
          <w:color w:val="000000"/>
          <w:spacing w:val="0"/>
          <w:w w:val="100"/>
          <w:position w:val="0"/>
        </w:rPr>
        <w:t>、</w:t>
        <w:tab/>
        <w:t>公司基本情况</w:t>
      </w:r>
      <w:bookmarkEnd w:id="641"/>
      <w:bookmarkEnd w:id="642"/>
      <w:bookmarkEnd w:id="644"/>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广东省广告集团股份有限公司（以下简称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日在广州注册成立，现总部位于广东省广 州市海珠区新港东路</w:t>
      </w:r>
      <w:r>
        <w:rPr>
          <w:rFonts w:ascii="Times New Roman" w:eastAsia="Times New Roman" w:hAnsi="Times New Roman" w:cs="Times New Roman"/>
          <w:color w:val="000000"/>
          <w:spacing w:val="0"/>
          <w:w w:val="100"/>
          <w:position w:val="0"/>
          <w:sz w:val="18"/>
          <w:szCs w:val="18"/>
        </w:rPr>
        <w:t>996</w:t>
      </w:r>
      <w:r>
        <w:rPr>
          <w:color w:val="000000"/>
          <w:spacing w:val="0"/>
          <w:w w:val="100"/>
          <w:position w:val="0"/>
        </w:rPr>
        <w:t>号保利世界贸易中心</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本公司及各子公司（统称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）主要从事广告行业，提供的主要产品或服务：媒介代理、数字营销、品牌管理、 自有媒体发布、公关活动等服务。</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日决议批准报出。</w:t>
      </w:r>
    </w:p>
    <w:p>
      <w:pPr>
        <w:pStyle w:val="Style2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。本集团本年合并 范围比上年增加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tabs>
          <w:tab w:pos="522" w:val="left"/>
        </w:tabs>
        <w:bidi w:val="0"/>
        <w:spacing w:before="0" w:after="38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四</w:t>
      </w:r>
      <w:bookmarkEnd w:id="647"/>
      <w:r>
        <w:rPr>
          <w:color w:val="000000"/>
          <w:spacing w:val="0"/>
          <w:w w:val="100"/>
          <w:position w:val="0"/>
        </w:rPr>
        <w:t>、</w:t>
        <w:tab/>
        <w:t>财务报表的编制基础</w:t>
      </w:r>
      <w:bookmarkEnd w:id="645"/>
      <w:bookmarkEnd w:id="646"/>
      <w:bookmarkEnd w:id="648"/>
    </w:p>
    <w:p>
      <w:pPr>
        <w:pStyle w:val="Style32"/>
        <w:keepNext/>
        <w:keepLines/>
        <w:widowControl w:val="0"/>
        <w:shd w:val="clear" w:color="auto" w:fill="auto"/>
        <w:tabs>
          <w:tab w:pos="381"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w:t>
        <w:tab/>
        <w:t>编制基础</w:t>
      </w:r>
      <w:bookmarkEnd w:id="649"/>
      <w:bookmarkEnd w:id="650"/>
      <w:bookmarkEnd w:id="652"/>
    </w:p>
    <w:p>
      <w:pPr>
        <w:pStyle w:val="Style28"/>
        <w:keepNext w:val="0"/>
        <w:keepLines w:val="0"/>
        <w:widowControl w:val="0"/>
        <w:shd w:val="clear" w:color="auto" w:fill="auto"/>
        <w:tabs>
          <w:tab w:leader="hyphen" w:pos="3235" w:val="left"/>
        </w:tabs>
        <w:bidi w:val="0"/>
        <w:spacing w:before="0" w:after="0" w:line="311" w:lineRule="exact"/>
        <w:ind w:left="0" w:right="0" w:firstLine="440"/>
        <w:jc w:val="both"/>
      </w:pPr>
      <w:r>
        <w:rPr>
          <w:color w:val="000000"/>
          <w:spacing w:val="0"/>
          <w:w w:val="100"/>
          <w:position w:val="0"/>
        </w:rPr>
        <w:t>本集团财务报表以持续经营假设为基础，根据实际发生的交易和事项，按照财政部发布的《企业会计准则一基本准 则》（财政部令第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8"/>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根据企业会计准则的相关规定，本集团会计核算以权责发生制为基础。除某些金融工具和投资性房地产外，本财务报 表均以历史成本为计量基础。持有待售的非流动资产，按公允价值减去预计费用后的金额，以及符合持有待售条件时的原账 面价值，取两者孰低计价。资产如果发生减值，则按照相关规定计提相应的减值准备。</w:t>
      </w:r>
    </w:p>
    <w:p>
      <w:pPr>
        <w:pStyle w:val="Style32"/>
        <w:keepNext/>
        <w:keepLines/>
        <w:widowControl w:val="0"/>
        <w:shd w:val="clear" w:color="auto" w:fill="auto"/>
        <w:tabs>
          <w:tab w:pos="381"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w:t>
        <w:tab/>
        <w:t>持续经营</w:t>
      </w:r>
      <w:bookmarkEnd w:id="653"/>
      <w:bookmarkEnd w:id="654"/>
      <w:bookmarkEnd w:id="656"/>
    </w:p>
    <w:p>
      <w:pPr>
        <w:pStyle w:val="Style28"/>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公司自本报告期末至少</w:t>
      </w:r>
      <w:r>
        <w:rPr>
          <w:color w:val="000000"/>
          <w:spacing w:val="0"/>
          <w:w w:val="100"/>
          <w:position w:val="0"/>
          <w:sz w:val="16"/>
          <w:szCs w:val="16"/>
        </w:rPr>
        <w:t>12</w:t>
      </w:r>
      <w:r>
        <w:rPr>
          <w:color w:val="000000"/>
          <w:spacing w:val="0"/>
          <w:w w:val="100"/>
          <w:position w:val="0"/>
        </w:rPr>
        <w:t>个月内具备持续经营能力，无影响持续经营能力的重大事项。</w:t>
      </w:r>
    </w:p>
    <w:p>
      <w:pPr>
        <w:pStyle w:val="Style24"/>
        <w:keepNext/>
        <w:keepLines/>
        <w:widowControl w:val="0"/>
        <w:shd w:val="clear" w:color="auto" w:fill="auto"/>
        <w:tabs>
          <w:tab w:pos="522"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五</w:t>
      </w:r>
      <w:bookmarkEnd w:id="659"/>
      <w:r>
        <w:rPr>
          <w:color w:val="000000"/>
          <w:spacing w:val="0"/>
          <w:w w:val="100"/>
          <w:position w:val="0"/>
        </w:rPr>
        <w:t>、</w:t>
        <w:tab/>
        <w:t>重要会计政策及会计估计</w:t>
      </w:r>
      <w:bookmarkEnd w:id="657"/>
      <w:bookmarkEnd w:id="658"/>
      <w:bookmarkEnd w:id="660"/>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720" w:line="307" w:lineRule="exact"/>
        <w:ind w:left="0" w:right="0" w:firstLine="380"/>
        <w:jc w:val="both"/>
      </w:pPr>
      <w:r>
        <w:rPr>
          <w:color w:val="000000"/>
          <w:spacing w:val="0"/>
          <w:w w:val="100"/>
          <w:position w:val="0"/>
        </w:rPr>
        <w:t>本集团从事广告及与广告相关业务。本集团根据实际生产经营特点，依据相关企业会计准则的规定，对收入确认等交易 和事项制定了若干项具体会计政策和会计估计，详见本附注四、</w:t>
      </w:r>
      <w:r>
        <w:rPr>
          <w:color w:val="000000"/>
          <w:spacing w:val="0"/>
          <w:w w:val="100"/>
          <w:position w:val="0"/>
          <w:sz w:val="16"/>
          <w:szCs w:val="16"/>
        </w:rPr>
        <w:t>28“</w:t>
      </w:r>
      <w:r>
        <w:rPr>
          <w:color w:val="000000"/>
          <w:spacing w:val="0"/>
          <w:w w:val="100"/>
          <w:position w:val="0"/>
        </w:rPr>
        <w:t>收入”各项描述。关于管理层所作出的重大会计判断和 估计的说明，请参阅附注四、</w:t>
      </w:r>
      <w:r>
        <w:rPr>
          <w:color w:val="000000"/>
          <w:spacing w:val="0"/>
          <w:w w:val="100"/>
          <w:position w:val="0"/>
          <w:sz w:val="16"/>
          <w:szCs w:val="16"/>
        </w:rPr>
        <w:t xml:space="preserve">32 </w:t>
      </w:r>
      <w:r>
        <w:rPr>
          <w:color w:val="000000"/>
          <w:spacing w:val="0"/>
          <w:w w:val="100"/>
          <w:position w:val="0"/>
        </w:rPr>
        <w:t>“重大会计判断和估计”。</w:t>
      </w:r>
    </w:p>
    <w:p>
      <w:pPr>
        <w:pStyle w:val="Style32"/>
        <w:keepNext/>
        <w:keepLines/>
        <w:widowControl w:val="0"/>
        <w:shd w:val="clear" w:color="auto" w:fill="auto"/>
        <w:tabs>
          <w:tab w:pos="381" w:val="left"/>
        </w:tabs>
        <w:bidi w:val="0"/>
        <w:spacing w:before="0" w:after="2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w:t>
        <w:tab/>
        <w:t>遵循企业会计准则的声明</w:t>
      </w:r>
      <w:bookmarkEnd w:id="661"/>
      <w:bookmarkEnd w:id="662"/>
      <w:bookmarkEnd w:id="664"/>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p>
    <w:p>
      <w:pPr>
        <w:pStyle w:val="Style28"/>
        <w:keepNext w:val="0"/>
        <w:keepLines w:val="0"/>
        <w:widowControl w:val="0"/>
        <w:shd w:val="clear" w:color="auto" w:fill="auto"/>
        <w:bidi w:val="0"/>
        <w:spacing w:before="0" w:after="380" w:line="31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年度的经营成果和现金流量等有关信息。此外，本公司及本集团的财务报表在所有重大方面符合中国证券监督管理委员 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 求。</w:t>
      </w:r>
    </w:p>
    <w:p>
      <w:pPr>
        <w:pStyle w:val="Style32"/>
        <w:keepNext/>
        <w:keepLines/>
        <w:widowControl w:val="0"/>
        <w:shd w:val="clear" w:color="auto" w:fill="auto"/>
        <w:tabs>
          <w:tab w:pos="381" w:val="left"/>
        </w:tabs>
        <w:bidi w:val="0"/>
        <w:spacing w:before="0" w:after="26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会计期间</w:t>
      </w:r>
      <w:bookmarkEnd w:id="665"/>
      <w:bookmarkEnd w:id="666"/>
      <w:bookmarkEnd w:id="668"/>
    </w:p>
    <w:p>
      <w:pPr>
        <w:pStyle w:val="Style28"/>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 xml:space="preserve">本集团的会计期间分为年度和中期，会计中期指短于一个完整的会计年度的报告期间。本集团会计年度采用公历年度， </w:t>
      </w:r>
      <w:r>
        <w:rPr>
          <w:color w:val="000000"/>
          <w:spacing w:val="0"/>
          <w:w w:val="100"/>
          <w:position w:val="0"/>
        </w:rPr>
        <w:t>即每年自</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p>
    <w:p>
      <w:pPr>
        <w:pStyle w:val="Style32"/>
        <w:keepNext/>
        <w:keepLines/>
        <w:widowControl w:val="0"/>
        <w:shd w:val="clear" w:color="auto" w:fill="auto"/>
        <w:tabs>
          <w:tab w:pos="325" w:val="left"/>
        </w:tabs>
        <w:bidi w:val="0"/>
        <w:spacing w:before="0" w:after="26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w:t>
        <w:tab/>
        <w:t>营业周期</w:t>
      </w:r>
      <w:bookmarkEnd w:id="669"/>
      <w:bookmarkEnd w:id="670"/>
      <w:bookmarkEnd w:id="672"/>
    </w:p>
    <w:p>
      <w:pPr>
        <w:pStyle w:val="Style28"/>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16"/>
          <w:szCs w:val="16"/>
        </w:rPr>
        <w:t>12</w:t>
      </w:r>
      <w:r>
        <w:rPr>
          <w:color w:val="000000"/>
          <w:spacing w:val="0"/>
          <w:w w:val="100"/>
          <w:position w:val="0"/>
        </w:rPr>
        <w:t>个月作为一个营业周 期，并以其作为资产和负债的流动性划分标准。</w:t>
      </w:r>
    </w:p>
    <w:p>
      <w:pPr>
        <w:pStyle w:val="Style32"/>
        <w:keepNext/>
        <w:keepLines/>
        <w:widowControl w:val="0"/>
        <w:shd w:val="clear" w:color="auto" w:fill="auto"/>
        <w:tabs>
          <w:tab w:pos="325" w:val="left"/>
        </w:tabs>
        <w:bidi w:val="0"/>
        <w:spacing w:before="0" w:after="26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w:t>
        <w:tab/>
        <w:t>记账本位币</w:t>
      </w:r>
      <w:bookmarkEnd w:id="673"/>
      <w:bookmarkEnd w:id="674"/>
      <w:bookmarkEnd w:id="676"/>
    </w:p>
    <w:p>
      <w:pPr>
        <w:pStyle w:val="Style28"/>
        <w:keepNext w:val="0"/>
        <w:keepLines w:val="0"/>
        <w:widowControl w:val="0"/>
        <w:shd w:val="clear" w:color="auto" w:fill="auto"/>
        <w:bidi w:val="0"/>
        <w:spacing w:before="0" w:after="380" w:line="305"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之境外子公司根据其经营所处的主要经济环境中的货币确定为其记账本位币。本集团编制本财务报表时所采用的货币为人民 币。</w:t>
      </w:r>
    </w:p>
    <w:p>
      <w:pPr>
        <w:pStyle w:val="Style32"/>
        <w:keepNext/>
        <w:keepLines/>
        <w:widowControl w:val="0"/>
        <w:shd w:val="clear" w:color="auto" w:fill="auto"/>
        <w:tabs>
          <w:tab w:pos="325" w:val="left"/>
        </w:tabs>
        <w:bidi w:val="0"/>
        <w:spacing w:before="0" w:after="2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w:t>
        <w:tab/>
        <w:t>同一控制下和非同一控制下企业合并的会计处理方法</w:t>
      </w:r>
      <w:bookmarkEnd w:id="677"/>
      <w:bookmarkEnd w:id="678"/>
      <w:bookmarkEnd w:id="680"/>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同一控制下企业合并</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合并方取得的资产和负债均按照取得被合并方所有者权益在最终控制方合并财务报表中的账面价值的份额计量。合并方 取得的净资产账面价值与支付的合并对价账面价值（或发行股份面值总额）的差额，调整资本公积（股本溢价）；资本公积 （股本溢价）不足以冲减的，调整留存收益。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合并方为进行企业合并发生的各项直接费用，于发生时计入当期损益。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非同一控制下企业合并</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6"/>
          <w:szCs w:val="16"/>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6"/>
          <w:szCs w:val="16"/>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8"/>
        <w:keepNext w:val="0"/>
        <w:keepLines w:val="0"/>
        <w:widowControl w:val="0"/>
        <w:shd w:val="clear" w:color="auto" w:fill="auto"/>
        <w:bidi w:val="0"/>
        <w:spacing w:before="0" w:after="260" w:line="316" w:lineRule="exact"/>
        <w:ind w:left="0" w:right="0" w:firstLine="38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6"/>
          <w:szCs w:val="16"/>
        </w:rPr>
        <w:t>5</w:t>
      </w:r>
      <w:r>
        <w:rPr>
          <w:color w:val="000000"/>
          <w:spacing w:val="0"/>
          <w:w w:val="100"/>
          <w:position w:val="0"/>
        </w:rPr>
        <w:t>号的通知》（财会</w:t>
      </w:r>
      <w:r>
        <w:rPr>
          <w:color w:val="000000"/>
          <w:spacing w:val="0"/>
          <w:w w:val="100"/>
          <w:position w:val="0"/>
          <w:sz w:val="16"/>
          <w:szCs w:val="16"/>
        </w:rPr>
        <w:t>（2012） 19</w:t>
      </w:r>
      <w:r>
        <w:rPr>
          <w:color w:val="000000"/>
          <w:spacing w:val="0"/>
          <w:w w:val="100"/>
          <w:position w:val="0"/>
        </w:rPr>
        <w:t>号）和《企业会计准则第</w:t>
      </w:r>
      <w:r>
        <w:rPr>
          <w:color w:val="000000"/>
          <w:spacing w:val="0"/>
          <w:w w:val="100"/>
          <w:position w:val="0"/>
          <w:sz w:val="16"/>
          <w:szCs w:val="16"/>
        </w:rPr>
        <w:t>33</w:t>
      </w:r>
      <w:r>
        <w:rPr>
          <w:color w:val="000000"/>
          <w:spacing w:val="0"/>
          <w:w w:val="100"/>
          <w:position w:val="0"/>
        </w:rPr>
        <w:t>号一一合并财务报表》第五十一条关于“一揽子交易”的判断标准（参见本附注五、</w:t>
      </w:r>
      <w:r>
        <w:rPr>
          <w:color w:val="000000"/>
          <w:spacing w:val="0"/>
          <w:w w:val="100"/>
          <w:position w:val="0"/>
          <w:sz w:val="16"/>
          <w:szCs w:val="16"/>
        </w:rPr>
        <w:t xml:space="preserve">6 </w:t>
      </w:r>
      <w:r>
        <w:rPr>
          <w:color w:val="000000"/>
          <w:spacing w:val="0"/>
          <w:w w:val="100"/>
          <w:position w:val="0"/>
        </w:rPr>
        <w:t>“合并 财务报表的编制方法”</w:t>
      </w:r>
      <w:r>
        <w:rPr>
          <w:color w:val="000000"/>
          <w:spacing w:val="0"/>
          <w:w w:val="100"/>
          <w:position w:val="0"/>
          <w:sz w:val="16"/>
          <w:szCs w:val="16"/>
        </w:rPr>
        <w:t>（2）</w:t>
      </w:r>
      <w:r>
        <w:rPr>
          <w:color w:val="000000"/>
          <w:spacing w:val="0"/>
          <w:w w:val="100"/>
          <w:position w:val="0"/>
        </w:rPr>
        <w:t>），判断该多次交易是否属于“一揽子交易”。属于“一揽子交易”的，参考本部分前面各段 描述及本附注五、</w:t>
      </w:r>
      <w:r>
        <w:rPr>
          <w:color w:val="000000"/>
          <w:spacing w:val="0"/>
          <w:w w:val="100"/>
          <w:position w:val="0"/>
          <w:sz w:val="16"/>
          <w:szCs w:val="16"/>
        </w:rPr>
        <w:t>22“</w:t>
      </w:r>
      <w:r>
        <w:rPr>
          <w:color w:val="000000"/>
          <w:spacing w:val="0"/>
          <w:w w:val="100"/>
          <w:position w:val="0"/>
        </w:rPr>
        <w:t>长期股权投资”进行会计处理；不属于“一揽子交易”的，区分个别财务报表和合并财务报表进行相 关会计处理：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8"/>
        <w:keepNext w:val="0"/>
        <w:keepLines w:val="0"/>
        <w:widowControl w:val="0"/>
        <w:shd w:val="clear" w:color="auto" w:fill="auto"/>
        <w:bidi w:val="0"/>
        <w:spacing w:before="0" w:after="1000" w:line="312"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2"/>
        <w:keepNext/>
        <w:keepLines/>
        <w:widowControl w:val="0"/>
        <w:shd w:val="clear" w:color="auto" w:fill="auto"/>
        <w:bidi w:val="0"/>
        <w:spacing w:before="0" w:after="2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6</w:t>
      </w:r>
      <w:bookmarkEnd w:id="683"/>
      <w:r>
        <w:rPr>
          <w:color w:val="000000"/>
          <w:spacing w:val="0"/>
          <w:w w:val="100"/>
          <w:position w:val="0"/>
        </w:rPr>
        <w:t>、合并财务报表的编制方法</w:t>
      </w:r>
      <w:bookmarkEnd w:id="681"/>
      <w:bookmarkEnd w:id="682"/>
      <w:bookmarkEnd w:id="684"/>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合并财务报表范围的确定原则</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合并财务报表的合并范围以控制为基础予以确定。控制是指本集团拥有对被投资方的权力，通过参与被投资方的相关活 动而享有可变回报，并且有能力运用对被投资方的权力影响该回报金额。合并范围包括本公司及全部子公司。子公司，是指 被本集团控制的主体。</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一旦相关事实和情况的变化导致上述控制定义涉及的相关要素发生了变化，本集团将进行重新评估。</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合并财务报表编制的方法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从取得子公司的净资产和生产经营决策的实际控制权之日起，本集团开始将其纳入合并范围；从丧失实际控制权之日起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集团内所有重大往来余额、交易及未实现利润在合并财务报表编制时予以抵销。</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color w:val="000000"/>
          <w:spacing w:val="0"/>
          <w:w w:val="100"/>
          <w:position w:val="0"/>
          <w:sz w:val="16"/>
          <w:szCs w:val="16"/>
        </w:rPr>
        <w:t>2</w:t>
      </w:r>
      <w:r>
        <w:rPr>
          <w:color w:val="000000"/>
          <w:spacing w:val="0"/>
          <w:w w:val="100"/>
          <w:position w:val="0"/>
        </w:rPr>
        <w:t>号一一 长期股权投资》或《企业会计准则第</w:t>
      </w:r>
      <w:r>
        <w:rPr>
          <w:color w:val="000000"/>
          <w:spacing w:val="0"/>
          <w:w w:val="100"/>
          <w:position w:val="0"/>
          <w:sz w:val="16"/>
          <w:szCs w:val="16"/>
        </w:rPr>
        <w:t>22</w:t>
      </w:r>
      <w:r>
        <w:rPr>
          <w:color w:val="000000"/>
          <w:spacing w:val="0"/>
          <w:w w:val="100"/>
          <w:position w:val="0"/>
        </w:rPr>
        <w:t>号一一金融工具确认和计量》等相关规定进行后续计量，详见本附注四、</w:t>
      </w:r>
      <w:r>
        <w:rPr>
          <w:color w:val="000000"/>
          <w:spacing w:val="0"/>
          <w:w w:val="100"/>
          <w:position w:val="0"/>
          <w:sz w:val="16"/>
          <w:szCs w:val="16"/>
        </w:rPr>
        <w:t>14“</w:t>
      </w:r>
      <w:r>
        <w:rPr>
          <w:color w:val="000000"/>
          <w:spacing w:val="0"/>
          <w:w w:val="100"/>
          <w:position w:val="0"/>
        </w:rPr>
        <w:t>长期股 权投资”或本附注四、</w:t>
      </w:r>
      <w:r>
        <w:rPr>
          <w:color w:val="000000"/>
          <w:spacing w:val="0"/>
          <w:w w:val="100"/>
          <w:position w:val="0"/>
          <w:sz w:val="16"/>
          <w:szCs w:val="16"/>
        </w:rPr>
        <w:t xml:space="preserve">9 </w:t>
      </w:r>
      <w:r>
        <w:rPr>
          <w:color w:val="000000"/>
          <w:spacing w:val="0"/>
          <w:w w:val="100"/>
          <w:position w:val="0"/>
        </w:rPr>
        <w:t>“金融工具”。</w:t>
      </w:r>
    </w:p>
    <w:p>
      <w:pPr>
        <w:pStyle w:val="Style28"/>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 xml:space="preserve">本集团通过多次交易分步处置对子公司股权投资直至丧失控制权的，需区分处置对子公司股权投资直至丧失控制权的各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w:t>
      </w:r>
      <w:r>
        <w:rPr>
          <w:color w:val="000000"/>
          <w:spacing w:val="0"/>
          <w:w w:val="100"/>
          <w:position w:val="0"/>
        </w:rPr>
        <w:t>但是和其他交易一并考虑时是经济的。不属于一揽子交易的，对其中的每一项交易视情况分别按照“不丧失控制权的情况下 部分处置对子公司的长期股权投资”（详见本附注四、</w:t>
      </w:r>
      <w:r>
        <w:rPr>
          <w:color w:val="000000"/>
          <w:spacing w:val="0"/>
          <w:w w:val="100"/>
          <w:position w:val="0"/>
          <w:sz w:val="16"/>
          <w:szCs w:val="16"/>
        </w:rPr>
        <w:t>14“</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32"/>
        <w:keepNext/>
        <w:keepLines/>
        <w:widowControl w:val="0"/>
        <w:shd w:val="clear" w:color="auto" w:fill="auto"/>
        <w:tabs>
          <w:tab w:pos="320" w:val="left"/>
        </w:tabs>
        <w:bidi w:val="0"/>
        <w:spacing w:before="0" w:after="26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7</w:t>
      </w:r>
      <w:bookmarkEnd w:id="687"/>
      <w:r>
        <w:rPr>
          <w:color w:val="000000"/>
          <w:spacing w:val="0"/>
          <w:w w:val="100"/>
          <w:position w:val="0"/>
        </w:rPr>
        <w:t>、</w:t>
        <w:tab/>
        <w:t>合营安排分类及共同经营会计处理方法</w:t>
      </w:r>
      <w:bookmarkEnd w:id="685"/>
      <w:bookmarkEnd w:id="686"/>
      <w:bookmarkEnd w:id="688"/>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本集团对合营企业的投资采用权益法核算，按照本附注四、</w:t>
      </w:r>
      <w:r>
        <w:rPr>
          <w:color w:val="000000"/>
          <w:spacing w:val="0"/>
          <w:w w:val="100"/>
          <w:position w:val="0"/>
          <w:sz w:val="16"/>
          <w:szCs w:val="16"/>
        </w:rPr>
        <w:t>14“</w:t>
      </w:r>
      <w:r>
        <w:rPr>
          <w:color w:val="000000"/>
          <w:spacing w:val="0"/>
          <w:w w:val="100"/>
          <w:position w:val="0"/>
        </w:rPr>
        <w:t>长期股权投资”</w:t>
      </w:r>
      <w:r>
        <w:rPr>
          <w:color w:val="000000"/>
          <w:spacing w:val="0"/>
          <w:w w:val="100"/>
          <w:position w:val="0"/>
          <w:sz w:val="16"/>
          <w:szCs w:val="16"/>
        </w:rPr>
        <w:t>（2）②</w:t>
      </w:r>
      <w:r>
        <w:rPr>
          <w:color w:val="000000"/>
          <w:spacing w:val="0"/>
          <w:w w:val="100"/>
          <w:position w:val="0"/>
        </w:rPr>
        <w:t>“权益法核算的长期股权投资” 中所述的会计政策处理。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本集团作为合营方对共同经营，确认本集团单独持有的资产、单独所承担的负债，以及按本集团份额确认共同持有的资 产和共同承担的负债；确认出售本集团享有的共同经营产出份额所产生的收入；按本集团份额确认共同经营因出售产出所产 生的收入；确认本集团单独所发生的费用，以及按本集团份额确认共同经营发生的费用。</w:t>
      </w:r>
    </w:p>
    <w:p>
      <w:pPr>
        <w:pStyle w:val="Style28"/>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当本集团作为合营方向共同经营投出或出售资产（该资产不构成业务，下同）、或者自共同经营购买资产时，在该等资 产出售给第三方之前，本集团仅确认因该交易产生的损益中归属于共同经营其他参与方的部分。该等资产发生符合《企业会 计准则第</w:t>
      </w:r>
      <w:r>
        <w:rPr>
          <w:color w:val="000000"/>
          <w:spacing w:val="0"/>
          <w:w w:val="100"/>
          <w:position w:val="0"/>
          <w:sz w:val="16"/>
          <w:szCs w:val="16"/>
        </w:rPr>
        <w:t>8</w:t>
      </w:r>
      <w:r>
        <w:rPr>
          <w:color w:val="000000"/>
          <w:spacing w:val="0"/>
          <w:w w:val="100"/>
          <w:position w:val="0"/>
        </w:rPr>
        <w:t>号一一资产减值》等规定的资产减值损失的，对于由本集团向共同经营投出或出售资产的情况，本集团全额确认 该损失；对于本集团自共同经营购买资产的情况，本集团按承担的份额确认该损失。</w:t>
      </w:r>
    </w:p>
    <w:p>
      <w:pPr>
        <w:pStyle w:val="Style32"/>
        <w:keepNext/>
        <w:keepLines/>
        <w:widowControl w:val="0"/>
        <w:shd w:val="clear" w:color="auto" w:fill="auto"/>
        <w:tabs>
          <w:tab w:pos="325"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8</w:t>
      </w:r>
      <w:bookmarkEnd w:id="691"/>
      <w:r>
        <w:rPr>
          <w:color w:val="000000"/>
          <w:spacing w:val="0"/>
          <w:w w:val="100"/>
          <w:position w:val="0"/>
        </w:rPr>
        <w:t>、</w:t>
        <w:tab/>
        <w:t>现金及现金等价物的确定标准</w:t>
      </w:r>
      <w:bookmarkEnd w:id="689"/>
      <w:bookmarkEnd w:id="690"/>
      <w:bookmarkEnd w:id="692"/>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本集团现金及现金等价物包括库存现金、可以随时用于支付的存款以及本集团持有的期限短（一般为从购买日起三个月 内到期）、流动性强、易于转换为已知金额现金、价值变动风险很小的投资。</w:t>
      </w:r>
    </w:p>
    <w:p>
      <w:pPr>
        <w:pStyle w:val="Style32"/>
        <w:keepNext/>
        <w:keepLines/>
        <w:widowControl w:val="0"/>
        <w:shd w:val="clear" w:color="auto" w:fill="auto"/>
        <w:tabs>
          <w:tab w:pos="325" w:val="left"/>
        </w:tabs>
        <w:bidi w:val="0"/>
        <w:spacing w:before="0" w:after="2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9</w:t>
      </w:r>
      <w:bookmarkEnd w:id="695"/>
      <w:r>
        <w:rPr>
          <w:color w:val="000000"/>
          <w:spacing w:val="0"/>
          <w:w w:val="100"/>
          <w:position w:val="0"/>
        </w:rPr>
        <w:t>、</w:t>
        <w:tab/>
        <w:t>外币业务和外币报表折算</w:t>
      </w:r>
      <w:bookmarkEnd w:id="693"/>
      <w:bookmarkEnd w:id="694"/>
      <w:bookmarkEnd w:id="696"/>
    </w:p>
    <w:p>
      <w:pPr>
        <w:pStyle w:val="Style28"/>
        <w:keepNext w:val="0"/>
        <w:keepLines w:val="0"/>
        <w:widowControl w:val="0"/>
        <w:numPr>
          <w:ilvl w:val="0"/>
          <w:numId w:val="17"/>
        </w:numPr>
        <w:shd w:val="clear" w:color="auto" w:fill="auto"/>
        <w:tabs>
          <w:tab w:pos="633" w:val="left"/>
        </w:tabs>
        <w:bidi w:val="0"/>
        <w:spacing w:before="0" w:after="0" w:line="313" w:lineRule="exact"/>
        <w:ind w:left="0" w:right="0" w:firstLine="380"/>
        <w:jc w:val="both"/>
      </w:pPr>
      <w:bookmarkStart w:id="697" w:name="bookmark697"/>
      <w:bookmarkEnd w:id="697"/>
      <w:r>
        <w:rPr>
          <w:color w:val="000000"/>
          <w:spacing w:val="0"/>
          <w:w w:val="100"/>
          <w:position w:val="0"/>
        </w:rPr>
        <w:t>外币交易的折算方法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本集团发生的外币交易在初始确认时，按交易日的即期汇率或即期汇率的近似汇率（通常指中国人民银行公布的当日外 汇牌价的中间价，下同）</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折算为记账本位币金额，但本集团发生的外币兑换业务或涉及外币兑换的交易事项，按照实际采用的汇率折算为记账本 位币金额。</w:t>
      </w:r>
    </w:p>
    <w:p>
      <w:pPr>
        <w:pStyle w:val="Style28"/>
        <w:keepNext w:val="0"/>
        <w:keepLines w:val="0"/>
        <w:widowControl w:val="0"/>
        <w:numPr>
          <w:ilvl w:val="0"/>
          <w:numId w:val="17"/>
        </w:numPr>
        <w:shd w:val="clear" w:color="auto" w:fill="auto"/>
        <w:tabs>
          <w:tab w:pos="643" w:val="left"/>
        </w:tabs>
        <w:bidi w:val="0"/>
        <w:spacing w:before="0" w:after="0" w:line="313" w:lineRule="exact"/>
        <w:ind w:left="0" w:right="0" w:firstLine="380"/>
        <w:jc w:val="both"/>
      </w:pPr>
      <w:bookmarkStart w:id="698" w:name="bookmark698"/>
      <w:bookmarkEnd w:id="698"/>
      <w:r>
        <w:rPr>
          <w:color w:val="000000"/>
          <w:spacing w:val="0"/>
          <w:w w:val="100"/>
          <w:position w:val="0"/>
        </w:rPr>
        <w:t>对于外币货币性项目和外币非货币性项目的折算方法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本化条件的资产相关的外币专门借款产生的汇兑差额按照借款费用资本化的原则处理；以及②可供出售的外币货币性项目除 摊余成本之外的其他账面余额变动产生的汇兑差额计入其他综合收益之外，均计入当期损益。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8"/>
        <w:keepNext w:val="0"/>
        <w:keepLines w:val="0"/>
        <w:widowControl w:val="0"/>
        <w:numPr>
          <w:ilvl w:val="0"/>
          <w:numId w:val="17"/>
        </w:numPr>
        <w:shd w:val="clear" w:color="auto" w:fill="auto"/>
        <w:tabs>
          <w:tab w:pos="643" w:val="left"/>
        </w:tabs>
        <w:bidi w:val="0"/>
        <w:spacing w:before="0" w:after="0" w:line="313" w:lineRule="exact"/>
        <w:ind w:left="0" w:right="0" w:firstLine="380"/>
        <w:jc w:val="both"/>
      </w:pPr>
      <w:bookmarkStart w:id="699" w:name="bookmark699"/>
      <w:bookmarkEnd w:id="699"/>
      <w:r>
        <w:rPr>
          <w:color w:val="000000"/>
          <w:spacing w:val="0"/>
          <w:w w:val="100"/>
          <w:position w:val="0"/>
        </w:rPr>
        <w:t>外币财务报表的折算方法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境外经营的外币财务报表按以下方法折算为人民币报表：资产负债表中的资产和负债项目，采用资产负债表日国家外汇 市场汇率中间价折算为人民币金额；股东权益类项目除“未分配利润”项目外，其他项目均按发生时的国家外汇市场汇率中 间价折算为人民币金额；''未分配利润”项目以折算后的利润分配表中该项目的人民币金额列示。利润表中的收入和费用项 </w:t>
      </w:r>
      <w:r>
        <w:rPr>
          <w:color w:val="000000"/>
          <w:spacing w:val="0"/>
          <w:w w:val="100"/>
          <w:position w:val="0"/>
        </w:rPr>
        <w:t>目，采用平均汇率折算为人民币金额。年初未分配利润为上一年折算后的年末未分配利润；期末未分配利润按折算后的利润 分配各项目计算列示；折算后资产类项目与负债类项目和股东权益类项目合计数的差额，作为外币报表折算差额，确认为其 他综合收益。处置境外经营并丧失控制权时，将资产负债表中股东权益项目下列示的、与该境外经营相关的外币报表折算差 额，全部或按处置该境外经营的比例转入处置当期损益。</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外币现金流量以及境外子公司的现金流量，采用现金流量发生日的中国人民银行授权中国外汇交易中心公布的中间价折 算。汇率变动对现金的影响额作为调节项目，在现金流量表中单独列报。</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年初数和上年实际数按照上年财务报表折算后的数额列示。</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在处置本集团在境外经营的全部所有者权益或因处置部分股权投资或其他原因丧失了对境外经营控制权时，将资产负债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8"/>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32"/>
        <w:keepNext/>
        <w:keepLines/>
        <w:widowControl w:val="0"/>
        <w:shd w:val="clear" w:color="auto" w:fill="auto"/>
        <w:bidi w:val="0"/>
        <w:spacing w:before="0" w:after="26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0"/>
      <w:bookmarkEnd w:id="701"/>
      <w:bookmarkEnd w:id="703"/>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在本集团成为金融工具合同的一方时确认一项金融资产或金融负债。</w:t>
      </w:r>
    </w:p>
    <w:p>
      <w:pPr>
        <w:pStyle w:val="Style28"/>
        <w:keepNext w:val="0"/>
        <w:keepLines w:val="0"/>
        <w:widowControl w:val="0"/>
        <w:numPr>
          <w:ilvl w:val="0"/>
          <w:numId w:val="19"/>
        </w:numPr>
        <w:shd w:val="clear" w:color="auto" w:fill="auto"/>
        <w:tabs>
          <w:tab w:pos="651" w:val="left"/>
        </w:tabs>
        <w:bidi w:val="0"/>
        <w:spacing w:before="0" w:after="0" w:line="312" w:lineRule="exact"/>
        <w:ind w:left="0" w:right="0" w:firstLine="380"/>
        <w:jc w:val="both"/>
      </w:pPr>
      <w:bookmarkStart w:id="704" w:name="bookmark704"/>
      <w:bookmarkEnd w:id="704"/>
      <w:r>
        <w:rPr>
          <w:color w:val="000000"/>
          <w:spacing w:val="0"/>
          <w:w w:val="100"/>
          <w:position w:val="0"/>
        </w:rPr>
        <w:t>金融资产的分类、确认和计量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8"/>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虑重大融资成分的应收账款或应收票据，本集团按照预期有权收取的对价金额作为初始确认金额。</w:t>
      </w:r>
    </w:p>
    <w:p>
      <w:pPr>
        <w:pStyle w:val="Style28"/>
        <w:keepNext w:val="0"/>
        <w:keepLines w:val="0"/>
        <w:widowControl w:val="0"/>
        <w:numPr>
          <w:ilvl w:val="0"/>
          <w:numId w:val="21"/>
        </w:numPr>
        <w:shd w:val="clear" w:color="auto" w:fill="auto"/>
        <w:tabs>
          <w:tab w:pos="718" w:val="left"/>
        </w:tabs>
        <w:bidi w:val="0"/>
        <w:spacing w:before="0" w:after="0" w:line="311" w:lineRule="exact"/>
        <w:ind w:left="0" w:right="0" w:firstLine="380"/>
        <w:jc w:val="both"/>
      </w:pPr>
      <w:bookmarkStart w:id="705" w:name="bookmark705"/>
      <w:bookmarkEnd w:id="705"/>
      <w:r>
        <w:rPr>
          <w:color w:val="000000"/>
          <w:spacing w:val="0"/>
          <w:w w:val="100"/>
          <w:position w:val="0"/>
        </w:rPr>
        <w:t>以摊余成本计量的金融资产</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与基本借贷安排相一致，即在特定日期产生的现金流量，仅为对本金和以未偿付本金金额为基础的利息的支付。本集团对于 此类金融资产，采用实际利率法，按照摊余成本进行后续计量，其摊销或减值产生的利得或损失，计入当期损益。</w:t>
      </w:r>
    </w:p>
    <w:p>
      <w:pPr>
        <w:pStyle w:val="Style28"/>
        <w:keepNext w:val="0"/>
        <w:keepLines w:val="0"/>
        <w:widowControl w:val="0"/>
        <w:numPr>
          <w:ilvl w:val="0"/>
          <w:numId w:val="21"/>
        </w:numPr>
        <w:shd w:val="clear" w:color="auto" w:fill="auto"/>
        <w:tabs>
          <w:tab w:pos="718" w:val="left"/>
        </w:tabs>
        <w:bidi w:val="0"/>
        <w:spacing w:before="0" w:after="0" w:line="311" w:lineRule="exact"/>
        <w:ind w:left="0" w:right="0" w:firstLine="380"/>
        <w:jc w:val="both"/>
      </w:pPr>
      <w:bookmarkStart w:id="706" w:name="bookmark706"/>
      <w:bookmarkEnd w:id="706"/>
      <w:r>
        <w:rPr>
          <w:color w:val="000000"/>
          <w:spacing w:val="0"/>
          <w:w w:val="100"/>
          <w:position w:val="0"/>
        </w:rPr>
        <w:t>以公允价值计量且其变动计入其他综合收益的金融资产</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本集团管理此类金融资产的业务模式为既以收取合同现金流量为目标又以出售为目标，且此类金融资产的合同现金流量 特征与基本借贷安排相一致。本集团对此类金融资产按照公允价值计量且其变动计入其他综合收益，但减值损失或利得、汇 兑损益和按照实际利率法计算的利息收入计入当期损益。</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此外，本集团将部分非交易性权益工具投资指定为以公允价值计量且其变动计入其他综合收益的金融资产。本集团将该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8"/>
        <w:keepNext w:val="0"/>
        <w:keepLines w:val="0"/>
        <w:widowControl w:val="0"/>
        <w:numPr>
          <w:ilvl w:val="0"/>
          <w:numId w:val="21"/>
        </w:numPr>
        <w:shd w:val="clear" w:color="auto" w:fill="auto"/>
        <w:tabs>
          <w:tab w:pos="718" w:val="left"/>
        </w:tabs>
        <w:bidi w:val="0"/>
        <w:spacing w:before="0" w:after="0" w:line="311" w:lineRule="exact"/>
        <w:ind w:left="0" w:right="0" w:firstLine="380"/>
        <w:jc w:val="both"/>
      </w:pPr>
      <w:bookmarkStart w:id="707" w:name="bookmark707"/>
      <w:bookmarkEnd w:id="707"/>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本集团将上述以摊余成本计量的金融资产和以公允价值计量且其变动计入其他综合收益的金融资产之外的金融资产，分 类为以公允价值计量且其变动计入当期损益的金融资产。此外，在初始确认时，本集团为了消除或显著减少会计错配，将部 分金融资产指定为以公允价值计量且其变动计入当期损益的金融资产。对于此类金融资产，本集团采用公允价值进行后续计 量，公允价值变动计入当期损益。</w:t>
      </w:r>
    </w:p>
    <w:p>
      <w:pPr>
        <w:pStyle w:val="Style28"/>
        <w:keepNext w:val="0"/>
        <w:keepLines w:val="0"/>
        <w:widowControl w:val="0"/>
        <w:numPr>
          <w:ilvl w:val="0"/>
          <w:numId w:val="19"/>
        </w:numPr>
        <w:shd w:val="clear" w:color="auto" w:fill="auto"/>
        <w:tabs>
          <w:tab w:pos="660" w:val="left"/>
        </w:tabs>
        <w:bidi w:val="0"/>
        <w:spacing w:before="0" w:after="0" w:line="311" w:lineRule="exact"/>
        <w:ind w:left="0" w:right="0" w:firstLine="380"/>
        <w:jc w:val="both"/>
      </w:pPr>
      <w:bookmarkStart w:id="708" w:name="bookmark708"/>
      <w:bookmarkEnd w:id="708"/>
      <w:r>
        <w:rPr>
          <w:color w:val="000000"/>
          <w:spacing w:val="0"/>
          <w:w w:val="100"/>
          <w:position w:val="0"/>
        </w:rPr>
        <w:t>金融负债的分类、确认和计量</w:t>
      </w:r>
    </w:p>
    <w:p>
      <w:pPr>
        <w:pStyle w:val="Style28"/>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8"/>
        <w:keepNext w:val="0"/>
        <w:keepLines w:val="0"/>
        <w:widowControl w:val="0"/>
        <w:numPr>
          <w:ilvl w:val="0"/>
          <w:numId w:val="23"/>
        </w:numPr>
        <w:shd w:val="clear" w:color="auto" w:fill="auto"/>
        <w:tabs>
          <w:tab w:pos="699" w:val="left"/>
        </w:tabs>
        <w:bidi w:val="0"/>
        <w:spacing w:before="0" w:after="0" w:line="312" w:lineRule="exact"/>
        <w:ind w:left="0" w:right="0" w:firstLine="380"/>
        <w:jc w:val="both"/>
      </w:pPr>
      <w:bookmarkStart w:id="709" w:name="bookmark709"/>
      <w:bookmarkEnd w:id="709"/>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被指定为以公允价值计量且其变动计入当期损益的金融负债，该负债由本集团自身信用风险变动引起的公允价值变动计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会计错配的，本集团将该金融负债的全部利得或损失（包括企业自身信用风险变动的影响金额）计入当期损益。</w:t>
      </w:r>
    </w:p>
    <w:p>
      <w:pPr>
        <w:pStyle w:val="Style28"/>
        <w:keepNext w:val="0"/>
        <w:keepLines w:val="0"/>
        <w:widowControl w:val="0"/>
        <w:numPr>
          <w:ilvl w:val="0"/>
          <w:numId w:val="23"/>
        </w:numPr>
        <w:shd w:val="clear" w:color="auto" w:fill="auto"/>
        <w:tabs>
          <w:tab w:pos="699" w:val="left"/>
        </w:tabs>
        <w:bidi w:val="0"/>
        <w:spacing w:before="0" w:after="0" w:line="312" w:lineRule="exact"/>
        <w:ind w:left="0" w:right="0" w:firstLine="380"/>
        <w:jc w:val="both"/>
      </w:pPr>
      <w:bookmarkStart w:id="710" w:name="bookmark710"/>
      <w:bookmarkEnd w:id="710"/>
      <w:r>
        <w:rPr>
          <w:color w:val="000000"/>
          <w:spacing w:val="0"/>
          <w:w w:val="100"/>
          <w:position w:val="0"/>
        </w:rPr>
        <w:t>其他金融负债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8"/>
        <w:keepNext w:val="0"/>
        <w:keepLines w:val="0"/>
        <w:widowControl w:val="0"/>
        <w:numPr>
          <w:ilvl w:val="0"/>
          <w:numId w:val="19"/>
        </w:numPr>
        <w:shd w:val="clear" w:color="auto" w:fill="auto"/>
        <w:tabs>
          <w:tab w:pos="641" w:val="left"/>
        </w:tabs>
        <w:bidi w:val="0"/>
        <w:spacing w:before="0" w:after="0" w:line="312" w:lineRule="exact"/>
        <w:ind w:left="0" w:right="0" w:firstLine="380"/>
        <w:jc w:val="both"/>
      </w:pPr>
      <w:bookmarkStart w:id="711" w:name="bookmark711"/>
      <w:bookmarkEnd w:id="711"/>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8"/>
        <w:keepNext w:val="0"/>
        <w:keepLines w:val="0"/>
        <w:widowControl w:val="0"/>
        <w:numPr>
          <w:ilvl w:val="0"/>
          <w:numId w:val="19"/>
        </w:numPr>
        <w:shd w:val="clear" w:color="auto" w:fill="auto"/>
        <w:tabs>
          <w:tab w:pos="646" w:val="left"/>
        </w:tabs>
        <w:bidi w:val="0"/>
        <w:spacing w:before="0" w:after="0" w:line="312" w:lineRule="exact"/>
        <w:ind w:left="0" w:right="0" w:firstLine="380"/>
        <w:jc w:val="both"/>
      </w:pPr>
      <w:bookmarkStart w:id="712" w:name="bookmark712"/>
      <w:bookmarkEnd w:id="712"/>
      <w:r>
        <w:rPr>
          <w:color w:val="000000"/>
          <w:spacing w:val="0"/>
          <w:w w:val="100"/>
          <w:position w:val="0"/>
        </w:rPr>
        <w:t>金融负债的终止确认</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金融负债（或其一部分）的现时义务已经解除的，本集团终止确认该金融负债（或该部分金融负债）。本集团（借入方） 与借出方签订协议，以承担新金融负债的方式替换原金融负债，且新金融负债与原金融负债的合同条款实质上不同的，终止 确认原金融负债，同时确认一项新金融负债。本集团对原金融负债（或其一部分）的合同条款作出实质性修改的，终止确认 原金融负债，同时按照修改后的条款确认一项新金融负债。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金融负债（或其一部分）终止确认的，本集团将其账面价值与支付的对价（包括转出的非现金资产或承担的负债）之间 的差额，计入当期损益。</w:t>
      </w:r>
    </w:p>
    <w:p>
      <w:pPr>
        <w:pStyle w:val="Style28"/>
        <w:keepNext w:val="0"/>
        <w:keepLines w:val="0"/>
        <w:widowControl w:val="0"/>
        <w:numPr>
          <w:ilvl w:val="0"/>
          <w:numId w:val="19"/>
        </w:numPr>
        <w:shd w:val="clear" w:color="auto" w:fill="auto"/>
        <w:tabs>
          <w:tab w:pos="646" w:val="left"/>
        </w:tabs>
        <w:bidi w:val="0"/>
        <w:spacing w:before="0" w:after="0" w:line="312" w:lineRule="exact"/>
        <w:ind w:left="0" w:right="0" w:firstLine="380"/>
        <w:jc w:val="both"/>
      </w:pPr>
      <w:bookmarkStart w:id="713" w:name="bookmark713"/>
      <w:bookmarkEnd w:id="713"/>
      <w:r>
        <w:rPr>
          <w:color w:val="000000"/>
          <w:spacing w:val="0"/>
          <w:w w:val="100"/>
          <w:position w:val="0"/>
        </w:rPr>
        <w:t>金融资产和金融负债的抵销</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当本集团具有抵销已确认金额的金融资产和金融负债的法定权利，且该种法定权利是当前可执行的，同时本集团计划以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8"/>
        <w:keepNext w:val="0"/>
        <w:keepLines w:val="0"/>
        <w:widowControl w:val="0"/>
        <w:numPr>
          <w:ilvl w:val="0"/>
          <w:numId w:val="19"/>
        </w:numPr>
        <w:shd w:val="clear" w:color="auto" w:fill="auto"/>
        <w:tabs>
          <w:tab w:pos="646" w:val="left"/>
        </w:tabs>
        <w:bidi w:val="0"/>
        <w:spacing w:before="0" w:after="0" w:line="312" w:lineRule="exact"/>
        <w:ind w:left="0" w:right="0" w:firstLine="380"/>
        <w:jc w:val="both"/>
      </w:pPr>
      <w:bookmarkStart w:id="714" w:name="bookmark714"/>
      <w:bookmarkEnd w:id="714"/>
      <w:r>
        <w:rPr>
          <w:color w:val="000000"/>
          <w:spacing w:val="0"/>
          <w:w w:val="100"/>
          <w:position w:val="0"/>
        </w:rPr>
        <w:t>金融资产和金融负债的公允价值确定方法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公允价值，是指市场参与者在计量日发生的有序交易中，出售一项资产所能收到或者转移一项负债所需支付的价格。金 融工具存在活跃市场的，本集团采用活跃市场中的报价确定其公允价值。活跃市场中的报价是指易于定期从交易所、经纪商、 行业协会、定价服务机构等获得的价格，且代表了在公平交易中实际发生的市场交易的价格。金融工具不存在活跃市场的， 本集团采用估值技术确定其公允价值。估值技术包括参考熟悉情况并自愿交易的各方最近进行的市场交易中使用的价格、参 </w:t>
      </w:r>
      <w:r>
        <w:rPr>
          <w:color w:val="000000"/>
          <w:spacing w:val="0"/>
          <w:w w:val="100"/>
          <w:position w:val="0"/>
        </w:rPr>
        <w:t>照实质上相同的其他金融工具当前的公允价值、现金流量折现法和期权定价模型等。在估值时，本集团采用在当前情况下适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8"/>
        <w:keepNext w:val="0"/>
        <w:keepLines w:val="0"/>
        <w:widowControl w:val="0"/>
        <w:numPr>
          <w:ilvl w:val="0"/>
          <w:numId w:val="19"/>
        </w:numPr>
        <w:shd w:val="clear" w:color="auto" w:fill="auto"/>
        <w:tabs>
          <w:tab w:pos="671" w:val="left"/>
        </w:tabs>
        <w:bidi w:val="0"/>
        <w:spacing w:before="0" w:after="0" w:line="311" w:lineRule="exact"/>
        <w:ind w:left="0" w:right="0" w:firstLine="380"/>
        <w:jc w:val="both"/>
      </w:pPr>
      <w:bookmarkStart w:id="715" w:name="bookmark715"/>
      <w:bookmarkEnd w:id="715"/>
      <w:r>
        <w:rPr>
          <w:color w:val="000000"/>
          <w:spacing w:val="0"/>
          <w:w w:val="100"/>
          <w:position w:val="0"/>
        </w:rPr>
        <w:t>权益工具</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权益工具是指能证明拥有本集团在扣除所有负债后的资产中的剩余权益的合同。本集团发行（含再融资）、回购、出售 或注销权益工具作为权益的变动处理，与权益性交易相关的交易费用从权益中扣减。本集团不确认权益工具的公允价值变动。</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本集团权益工具在存续期间分派股利（含分类为权益工具的工具所产生的“利息”）的，作为利润分配处理。</w:t>
      </w:r>
    </w:p>
    <w:p>
      <w:pPr>
        <w:pStyle w:val="Style28"/>
        <w:keepNext w:val="0"/>
        <w:keepLines w:val="0"/>
        <w:widowControl w:val="0"/>
        <w:numPr>
          <w:ilvl w:val="0"/>
          <w:numId w:val="19"/>
        </w:numPr>
        <w:shd w:val="clear" w:color="auto" w:fill="auto"/>
        <w:tabs>
          <w:tab w:pos="671" w:val="left"/>
        </w:tabs>
        <w:bidi w:val="0"/>
        <w:spacing w:before="0" w:after="0" w:line="311" w:lineRule="exact"/>
        <w:ind w:left="0" w:right="0" w:firstLine="380"/>
        <w:jc w:val="both"/>
      </w:pPr>
      <w:bookmarkStart w:id="716" w:name="bookmark716"/>
      <w:bookmarkEnd w:id="716"/>
      <w:r>
        <w:rPr>
          <w:color w:val="000000"/>
          <w:spacing w:val="0"/>
          <w:w w:val="100"/>
          <w:position w:val="0"/>
        </w:rPr>
        <w:t>金融资产减值</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本集团需确认减值损失的金融资产系以摊余成本计量的金融资产、以公允价值计量且其变动计入其他综合收益的债务工 具投资、租赁应收款，主要包括应收票据、应收账款、其他应收款、债权投资、其他债权投资、长期应收款等。此外，对合 同资产及部分财务担保合同，也按照本部分所述会计政策计提减值准备和确认信用减值损失。</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减值准备的确认方法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本集团以预期信用损失为基础，对上述各项目按照其适用的预期信用损失计量方法（一般方法或简化方法）计提减值准 备并确认信用减值损失。</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信用损失，是指本集团按照原实际利率折现的、根据合同应收的所有合同现金流量与预期收取的所有现金流量之间的差 额，即全部现金短缺的现值。其中，对于购买或源生的已发生信用减值的金融资产，本集团按照该金融资产经信用调整的实 际利率折现。</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预期信用损失计量的一般方法是指，本集团在每个资产负债表日评估金融资产（含其他适用项目，下同）的信用风险自 初始确认后是否已经显著增加，如果信用风险自初始确认后已显著增加，本集团按照相当于整个存续期内预期信用损失的金 额计量损失准备；如果信用风险自初始确认后未显著增加，本集团按照相当于未来</w:t>
      </w:r>
      <w:r>
        <w:rPr>
          <w:color w:val="000000"/>
          <w:spacing w:val="0"/>
          <w:w w:val="100"/>
          <w:position w:val="0"/>
          <w:sz w:val="16"/>
          <w:szCs w:val="16"/>
        </w:rPr>
        <w:t>12</w:t>
      </w:r>
      <w:r>
        <w:rPr>
          <w:color w:val="000000"/>
          <w:spacing w:val="0"/>
          <w:w w:val="100"/>
          <w:position w:val="0"/>
        </w:rPr>
        <w:t>个月内预期信用损失的金额计量损失准 备。本集团在评估预期信用损失时，考虑所有合理且有依据的信息，包括前瞻性信息。</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对于在资产负债表日具有较低信用风险的金融工具，本集团假设其信用风险自初始确认后并未显著增加，选择按照未来 </w:t>
      </w:r>
      <w:r>
        <w:rPr>
          <w:color w:val="000000"/>
          <w:spacing w:val="0"/>
          <w:w w:val="100"/>
          <w:position w:val="0"/>
          <w:sz w:val="16"/>
          <w:szCs w:val="16"/>
        </w:rPr>
        <w:t>12</w:t>
      </w:r>
      <w:r>
        <w:rPr>
          <w:color w:val="000000"/>
          <w:spacing w:val="0"/>
          <w:w w:val="100"/>
          <w:position w:val="0"/>
        </w:rPr>
        <w:t>个月内的预期信用损失计量损失准备。</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信用风险自初始确认后是否显著增加的判断标准</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概率，则表明该项金融资产的信用风险显著增加。除特殊情况外，本集团采用未来</w:t>
      </w:r>
      <w:r>
        <w:rPr>
          <w:color w:val="000000"/>
          <w:spacing w:val="0"/>
          <w:w w:val="100"/>
          <w:position w:val="0"/>
          <w:sz w:val="16"/>
          <w:szCs w:val="16"/>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以组合为基础评估预期信用风险的组合方法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本集团对信用风险显著不同的金融资产单项评价信用风险，如：与对方存在争议或涉及诉讼、仲裁的应收款项；已有明 显迹象表明债务人很可能无法履行还款义务的应收款项等。</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除了单项评估信用风险的金融资产外，本集团基于共同风险特征将金融资产划分为不同的组别，在组合的基础上评估信 用风险。</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金融资产减值的会计处理方法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期末，本集团计算各类金融资产的预计信用损失，如果该预计信用损失大于其当前减值准备的账面金额，将其差额确认 为减值损失；如果小于当前减值准备的账面金额，则将差额确认为减值利得。</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各类金融资产信用损失的确定方法</w:t>
      </w:r>
    </w:p>
    <w:p>
      <w:pPr>
        <w:pStyle w:val="Style28"/>
        <w:keepNext w:val="0"/>
        <w:keepLines w:val="0"/>
        <w:widowControl w:val="0"/>
        <w:numPr>
          <w:ilvl w:val="0"/>
          <w:numId w:val="25"/>
        </w:numPr>
        <w:shd w:val="clear" w:color="auto" w:fill="auto"/>
        <w:bidi w:val="0"/>
        <w:spacing w:before="0" w:after="0" w:line="311" w:lineRule="exact"/>
        <w:ind w:left="0" w:right="0" w:firstLine="380"/>
        <w:jc w:val="both"/>
      </w:pPr>
      <w:bookmarkStart w:id="717" w:name="bookmark717"/>
      <w:bookmarkEnd w:id="717"/>
      <w:r>
        <w:rPr>
          <w:color w:val="000000"/>
          <w:spacing w:val="0"/>
          <w:w w:val="100"/>
          <w:position w:val="0"/>
        </w:rPr>
        <w:t>应收票据</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本集团对于应收票据按照相当于整个存续期内的预期信用损失金额计量损失准备。基于应收票据的信用风险特征，将其 划分为不同组合：</w:t>
      </w:r>
    </w:p>
    <w:tbl>
      <w:tblPr>
        <w:tblOverlap w:val="never"/>
        <w:jc w:val="center"/>
        <w:tblLayout w:type="fixed"/>
      </w:tblPr>
      <w:tblGrid>
        <w:gridCol w:w="1373"/>
        <w:gridCol w:w="2707"/>
        <w:gridCol w:w="559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承兑人为信用风险较小的银行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参考历史信用损失经验不计提坏账准备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承兑人为信用风险较高的企业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参照应收账款，按账龄与整个存续期预期信用损失率对照表计提</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②应收账款及合同资产</w:t>
      </w:r>
    </w:p>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对于不含重大融资成分的应收款项和合同资产，本集团按照相当于整个存续期内的预期信用损失金额计量损失准备。</w:t>
      </w:r>
    </w:p>
    <w:p>
      <w:pPr>
        <w:pStyle w:val="Style28"/>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对于包含重大融资成分的应收款项、租赁应收款，本集团选择始终按照相当于存续期内预期信用损失的金额计量损失准 备。</w:t>
      </w:r>
    </w:p>
    <w:p>
      <w:pPr>
        <w:pStyle w:val="Style26"/>
        <w:keepNext w:val="0"/>
        <w:keepLines w:val="0"/>
        <w:widowControl w:val="0"/>
        <w:shd w:val="clear" w:color="auto" w:fill="auto"/>
        <w:bidi w:val="0"/>
        <w:spacing w:before="0" w:after="0" w:line="240" w:lineRule="auto"/>
        <w:ind w:left="37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547"/>
        <w:gridCol w:w="61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本组合为客户尚未结算的广告款项。</w:t>
            </w:r>
          </w:p>
        </w:tc>
      </w:tr>
    </w:tbl>
    <w:p>
      <w:pPr>
        <w:pStyle w:val="Style26"/>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③其他应收款</w:t>
      </w:r>
    </w:p>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本集团依据其他应收款信用风险自初始确认后是否已经显著增加，采用相当于未来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个月内、或整个存续期的预期信用</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2587"/>
        <w:gridCol w:w="4459"/>
        <w:gridCol w:w="26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本组合以其他应收款的账龄作为信用风险特征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按账龄与整个存续期预期信用损 失率对照表计提</w:t>
            </w:r>
          </w:p>
        </w:tc>
      </w:tr>
    </w:tbl>
    <w:p>
      <w:pPr>
        <w:pStyle w:val="Style26"/>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④债权投资</w:t>
      </w:r>
    </w:p>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债权投资主要核算以摊余成本计量的债券投资等。本集团依据其信用风险自初始确认后是否已经显著增加，采用相当于</w:t>
      </w:r>
    </w:p>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个月内、或整个存续期的预期信用损失的金额计量减值损失。</w:t>
      </w:r>
    </w:p>
    <w:p>
      <w:pPr>
        <w:pStyle w:val="Style28"/>
        <w:keepNext w:val="0"/>
        <w:keepLines w:val="0"/>
        <w:widowControl w:val="0"/>
        <w:numPr>
          <w:ilvl w:val="0"/>
          <w:numId w:val="27"/>
        </w:numPr>
        <w:shd w:val="clear" w:color="auto" w:fill="auto"/>
        <w:tabs>
          <w:tab w:pos="733" w:val="left"/>
        </w:tabs>
        <w:bidi w:val="0"/>
        <w:spacing w:before="0" w:after="0" w:line="298" w:lineRule="exact"/>
        <w:ind w:left="0" w:right="0" w:firstLine="360"/>
        <w:jc w:val="left"/>
      </w:pPr>
      <w:bookmarkStart w:id="718" w:name="bookmark718"/>
      <w:bookmarkEnd w:id="718"/>
      <w:r>
        <w:rPr>
          <w:color w:val="000000"/>
          <w:spacing w:val="0"/>
          <w:w w:val="100"/>
          <w:position w:val="0"/>
        </w:rPr>
        <w:t>其他债权投资</w:t>
      </w:r>
    </w:p>
    <w:p>
      <w:pPr>
        <w:pStyle w:val="Style28"/>
        <w:keepNext w:val="0"/>
        <w:keepLines w:val="0"/>
        <w:widowControl w:val="0"/>
        <w:shd w:val="clear" w:color="auto" w:fill="auto"/>
        <w:bidi w:val="0"/>
        <w:spacing w:before="0" w:after="0" w:line="298" w:lineRule="exact"/>
        <w:ind w:left="0" w:right="0" w:firstLine="360"/>
        <w:jc w:val="both"/>
      </w:pPr>
      <w:r>
        <w:rPr>
          <w:color w:val="000000"/>
          <w:spacing w:val="0"/>
          <w:w w:val="100"/>
          <w:position w:val="0"/>
        </w:rPr>
        <w:t>其他债权投资主要核算以公允价值计量且其变动计入其他综合收益的债券投资等。本集团依据其信用风险自初始确认后 是否已经显著增加，采用相当于未来</w:t>
      </w:r>
      <w:r>
        <w:rPr>
          <w:color w:val="000000"/>
          <w:spacing w:val="0"/>
          <w:w w:val="100"/>
          <w:position w:val="0"/>
          <w:sz w:val="16"/>
          <w:szCs w:val="16"/>
        </w:rPr>
        <w:t>12</w:t>
      </w:r>
      <w:r>
        <w:rPr>
          <w:color w:val="000000"/>
          <w:spacing w:val="0"/>
          <w:w w:val="100"/>
          <w:position w:val="0"/>
        </w:rPr>
        <w:t>个月内、或整个存续期的预期信用损失的金额计量减值损失。</w:t>
      </w:r>
    </w:p>
    <w:p>
      <w:pPr>
        <w:pStyle w:val="Style28"/>
        <w:keepNext w:val="0"/>
        <w:keepLines w:val="0"/>
        <w:widowControl w:val="0"/>
        <w:numPr>
          <w:ilvl w:val="0"/>
          <w:numId w:val="27"/>
        </w:numPr>
        <w:shd w:val="clear" w:color="auto" w:fill="auto"/>
        <w:tabs>
          <w:tab w:pos="733" w:val="left"/>
        </w:tabs>
        <w:bidi w:val="0"/>
        <w:spacing w:before="0" w:after="0" w:line="298" w:lineRule="exact"/>
        <w:ind w:left="0" w:right="0" w:firstLine="360"/>
        <w:jc w:val="left"/>
      </w:pPr>
      <w:bookmarkStart w:id="719" w:name="bookmark719"/>
      <w:bookmarkEnd w:id="719"/>
      <w:r>
        <w:rPr>
          <w:color w:val="000000"/>
          <w:spacing w:val="0"/>
          <w:w w:val="100"/>
          <w:position w:val="0"/>
        </w:rPr>
        <w:t>长期应收款（包含重大融资成分的应收款项和租赁应收款除外）</w:t>
      </w:r>
    </w:p>
    <w:p>
      <w:pPr>
        <w:pStyle w:val="Style28"/>
        <w:keepNext w:val="0"/>
        <w:keepLines w:val="0"/>
        <w:widowControl w:val="0"/>
        <w:shd w:val="clear" w:color="auto" w:fill="auto"/>
        <w:bidi w:val="0"/>
        <w:spacing w:before="0" w:after="80" w:line="298" w:lineRule="exact"/>
        <w:ind w:left="0" w:right="0" w:firstLine="360"/>
        <w:jc w:val="left"/>
      </w:pPr>
      <w:r>
        <w:rPr>
          <w:color w:val="000000"/>
          <w:spacing w:val="0"/>
          <w:w w:val="100"/>
          <w:position w:val="0"/>
        </w:rPr>
        <w:t>本集团依据其信用风险自初始确认后是否已经显著增加，采用相当于未来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个月内、或整个存续期的预期信用损失的金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额计量长期应收款减值损失。除了单项评估信用风险的长期应收款外，基于其信用风险特征，将其划分为不同组合:</w:t>
      </w:r>
    </w:p>
    <w:tbl>
      <w:tblPr>
        <w:tblOverlap w:val="never"/>
        <w:jc w:val="center"/>
        <w:tblLayout w:type="fixed"/>
      </w:tblPr>
      <w:tblGrid>
        <w:gridCol w:w="2333"/>
        <w:gridCol w:w="3734"/>
        <w:gridCol w:w="36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：未逾期组合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本组合为未逾期风险正常的长期应收款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不计提坏账准备</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本组合以账龄作为信用风险特征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按账龄与整个存续期预期信用损失率对照表 计提</w:t>
            </w:r>
          </w:p>
        </w:tc>
      </w:tr>
    </w:tbl>
    <w:p>
      <w:pPr>
        <w:widowControl w:val="0"/>
        <w:spacing w:after="639" w:line="1" w:lineRule="exact"/>
      </w:pPr>
    </w:p>
    <w:p>
      <w:pPr>
        <w:pStyle w:val="Style32"/>
        <w:keepNext/>
        <w:keepLines/>
        <w:widowControl w:val="0"/>
        <w:shd w:val="clear" w:color="auto" w:fill="auto"/>
        <w:tabs>
          <w:tab w:pos="474"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20"/>
      <w:bookmarkEnd w:id="721"/>
      <w:bookmarkEnd w:id="723"/>
    </w:p>
    <w:p>
      <w:pPr>
        <w:pStyle w:val="Style28"/>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预期信用损失的确定方法及会计处理方法详见本附注五</w:t>
      </w:r>
      <w:r>
        <w:rPr>
          <w:color w:val="000000"/>
          <w:spacing w:val="0"/>
          <w:w w:val="100"/>
          <w:position w:val="0"/>
          <w:sz w:val="16"/>
          <w:szCs w:val="16"/>
        </w:rPr>
        <w:t>“10</w:t>
      </w:r>
      <w:r>
        <w:rPr>
          <w:color w:val="000000"/>
          <w:spacing w:val="0"/>
          <w:w w:val="100"/>
          <w:position w:val="0"/>
        </w:rPr>
        <w:t>之</w:t>
      </w:r>
      <w:r>
        <w:rPr>
          <w:color w:val="000000"/>
          <w:spacing w:val="0"/>
          <w:w w:val="100"/>
          <w:position w:val="0"/>
          <w:sz w:val="16"/>
          <w:szCs w:val="16"/>
        </w:rPr>
        <w:t>8.</w:t>
      </w:r>
      <w:r>
        <w:rPr>
          <w:color w:val="000000"/>
          <w:spacing w:val="0"/>
          <w:w w:val="100"/>
          <w:position w:val="0"/>
        </w:rPr>
        <w:t>金融资产减值”。</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24"/>
      <w:bookmarkEnd w:id="725"/>
      <w:bookmarkEnd w:id="727"/>
    </w:p>
    <w:p>
      <w:pPr>
        <w:pStyle w:val="Style28"/>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预期信用损失的确定方法及会计处理方法详见本附注五</w:t>
      </w:r>
      <w:r>
        <w:rPr>
          <w:color w:val="000000"/>
          <w:spacing w:val="0"/>
          <w:w w:val="100"/>
          <w:position w:val="0"/>
          <w:sz w:val="16"/>
          <w:szCs w:val="16"/>
        </w:rPr>
        <w:t>“10</w:t>
      </w:r>
      <w:r>
        <w:rPr>
          <w:color w:val="000000"/>
          <w:spacing w:val="0"/>
          <w:w w:val="100"/>
          <w:position w:val="0"/>
        </w:rPr>
        <w:t>之</w:t>
      </w:r>
      <w:r>
        <w:rPr>
          <w:color w:val="000000"/>
          <w:spacing w:val="0"/>
          <w:w w:val="100"/>
          <w:position w:val="0"/>
          <w:sz w:val="16"/>
          <w:szCs w:val="16"/>
        </w:rPr>
        <w:t>8.</w:t>
      </w:r>
      <w:r>
        <w:rPr>
          <w:color w:val="000000"/>
          <w:spacing w:val="0"/>
          <w:w w:val="100"/>
          <w:position w:val="0"/>
        </w:rPr>
        <w:t>金融资产减值”。</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28"/>
      <w:bookmarkEnd w:id="729"/>
      <w:bookmarkEnd w:id="731"/>
    </w:p>
    <w:p>
      <w:pPr>
        <w:pStyle w:val="Style28"/>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color w:val="000000"/>
          <w:spacing w:val="0"/>
          <w:w w:val="100"/>
          <w:position w:val="0"/>
          <w:sz w:val="16"/>
          <w:szCs w:val="16"/>
        </w:rPr>
        <w:t>10“</w:t>
      </w:r>
      <w:r>
        <w:rPr>
          <w:color w:val="000000"/>
          <w:spacing w:val="0"/>
          <w:w w:val="100"/>
          <w:position w:val="0"/>
        </w:rPr>
        <w:t>金融工具”。</w:t>
      </w:r>
    </w:p>
    <w:p>
      <w:pPr>
        <w:pStyle w:val="Style32"/>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732"/>
      <w:bookmarkEnd w:id="733"/>
      <w:bookmarkEnd w:id="735"/>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本集团依据其他应收款信用风险自初始确认后是否已经显著增加，采用相当于未来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3230"/>
        <w:gridCol w:w="3216"/>
        <w:gridCol w:w="32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本组合以其他应收款的账龄作为信用风 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按账龄与整个存续期预期信用损失率对 照表计提</w:t>
            </w:r>
          </w:p>
        </w:tc>
      </w:tr>
    </w:tbl>
    <w:p>
      <w:pPr>
        <w:widowControl w:val="0"/>
        <w:spacing w:after="319" w:line="1" w:lineRule="exact"/>
      </w:pPr>
    </w:p>
    <w:p>
      <w:pPr>
        <w:pStyle w:val="Style32"/>
        <w:keepNext/>
        <w:keepLines/>
        <w:widowControl w:val="0"/>
        <w:shd w:val="clear" w:color="auto" w:fill="auto"/>
        <w:tabs>
          <w:tab w:pos="474" w:val="left"/>
        </w:tabs>
        <w:bidi w:val="0"/>
        <w:spacing w:before="0" w:after="2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36"/>
      <w:bookmarkEnd w:id="737"/>
      <w:bookmarkEnd w:id="739"/>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存货的分类</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存货主要包括库存商品、原材料。</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存货取得和发出的计价方法</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存货在取得时按实际成本计价，存货成本包括采购成本、加工成本和其他成本。领用和发出时按加权平均法计价。</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存货可变现净值的确认和跌价准备的计提方法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存货的盘存制度为永续盘存制。</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低值易耗品和包装物的摊销方法</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低值易耗品于领用时按一次摊销法摊销；包装物于领用时按一次摊销法摊销。</w:t>
      </w:r>
    </w:p>
    <w:p>
      <w:pPr>
        <w:pStyle w:val="Style32"/>
        <w:keepNext/>
        <w:keepLines/>
        <w:widowControl w:val="0"/>
        <w:shd w:val="clear" w:color="auto" w:fill="auto"/>
        <w:tabs>
          <w:tab w:pos="474"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40"/>
      <w:bookmarkEnd w:id="741"/>
      <w:bookmarkEnd w:id="743"/>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预期信用损失的确定方法及会计处理方法详见本附注五</w:t>
      </w:r>
      <w:r>
        <w:rPr>
          <w:color w:val="000000"/>
          <w:spacing w:val="0"/>
          <w:w w:val="100"/>
          <w:position w:val="0"/>
          <w:sz w:val="16"/>
          <w:szCs w:val="16"/>
        </w:rPr>
        <w:t>“10</w:t>
      </w:r>
      <w:r>
        <w:rPr>
          <w:color w:val="000000"/>
          <w:spacing w:val="0"/>
          <w:w w:val="100"/>
          <w:position w:val="0"/>
        </w:rPr>
        <w:t>之</w:t>
      </w:r>
      <w:r>
        <w:rPr>
          <w:color w:val="000000"/>
          <w:spacing w:val="0"/>
          <w:w w:val="100"/>
          <w:position w:val="0"/>
          <w:sz w:val="16"/>
          <w:szCs w:val="16"/>
        </w:rPr>
        <w:t>8.</w:t>
      </w:r>
      <w:r>
        <w:rPr>
          <w:color w:val="000000"/>
          <w:spacing w:val="0"/>
          <w:w w:val="100"/>
          <w:position w:val="0"/>
        </w:rPr>
        <w:t>金融资产减值”。</w:t>
      </w:r>
    </w:p>
    <w:p>
      <w:pPr>
        <w:pStyle w:val="Style32"/>
        <w:keepNext/>
        <w:keepLines/>
        <w:widowControl w:val="0"/>
        <w:shd w:val="clear" w:color="auto" w:fill="auto"/>
        <w:tabs>
          <w:tab w:pos="474" w:val="left"/>
        </w:tabs>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44"/>
      <w:bookmarkEnd w:id="745"/>
      <w:bookmarkEnd w:id="747"/>
    </w:p>
    <w:p>
      <w:pPr>
        <w:pStyle w:val="Style32"/>
        <w:keepNext/>
        <w:keepLines/>
        <w:widowControl w:val="0"/>
        <w:shd w:val="clear" w:color="auto" w:fill="auto"/>
        <w:tabs>
          <w:tab w:pos="474" w:val="left"/>
        </w:tabs>
        <w:bidi w:val="0"/>
        <w:spacing w:before="0" w:after="2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48"/>
      <w:bookmarkEnd w:id="749"/>
      <w:bookmarkEnd w:id="751"/>
    </w:p>
    <w:p>
      <w:pPr>
        <w:pStyle w:val="Style28"/>
        <w:keepNext w:val="0"/>
        <w:keepLines w:val="0"/>
        <w:widowControl w:val="0"/>
        <w:shd w:val="clear" w:color="auto" w:fill="auto"/>
        <w:bidi w:val="0"/>
        <w:spacing w:before="0" w:after="280" w:line="312" w:lineRule="exact"/>
        <w:ind w:left="0" w:right="0" w:firstLine="380"/>
        <w:jc w:val="both"/>
        <w:sectPr>
          <w:footnotePr>
            <w:pos w:val="pageBottom"/>
            <w:numFmt w:val="decimal"/>
            <w:numRestart w:val="continuous"/>
          </w:footnotePr>
          <w:pgSz w:w="11900" w:h="16840"/>
          <w:pgMar w:top="1352" w:right="1070" w:bottom="1466" w:left="1053" w:header="0" w:footer="3" w:gutter="0"/>
          <w:cols w:space="720"/>
          <w:noEndnote/>
          <w:rtlGutter w:val="0"/>
          <w:docGrid w:linePitch="360"/>
        </w:sectPr>
      </w:pPr>
      <w:r>
        <w:rPr>
          <w:color w:val="000000"/>
          <w:spacing w:val="0"/>
          <w:w w:val="100"/>
          <w:position w:val="0"/>
        </w:rPr>
        <w:t>本集团若主要通过出售（包括具有商业实质的非货币性资产交换，下同）而非持续使用一项非流动资产或处置组收回其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类资产或处置组的惯例，在当前状况下即可立即出售；本集团已经就出售计划作出决议且获得确定的购买承诺；预计出售将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color w:val="000000"/>
          <w:spacing w:val="0"/>
          <w:w w:val="100"/>
          <w:position w:val="0"/>
          <w:sz w:val="16"/>
          <w:szCs w:val="16"/>
        </w:rPr>
        <w:t>8</w:t>
      </w:r>
      <w:r>
        <w:rPr>
          <w:color w:val="000000"/>
          <w:spacing w:val="0"/>
          <w:w w:val="100"/>
          <w:position w:val="0"/>
        </w:rPr>
        <w:t>号一一资产减值》分摊了企业合并 中取得的商誉的，该处置组应当包含分摊至处置组的商誉。</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6"/>
          <w:szCs w:val="16"/>
        </w:rPr>
        <w:t>42</w:t>
      </w:r>
      <w:r>
        <w:rPr>
          <w:color w:val="000000"/>
          <w:spacing w:val="0"/>
          <w:w w:val="100"/>
          <w:position w:val="0"/>
        </w:rPr>
        <w:t>号一一持有待售的非流动资产、处置组和终止经营》（以下简称“持有待售准则”）的计量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资产减值损失不得转回。</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非流动资产或处置组不再满足持有待售类别的划分条件时，本集团不再将其继续划分为持有待售类别或将非流动资产从 持有待售的处置组中移除，并按照以下两者孰低计量：</w:t>
      </w:r>
      <w:r>
        <w:rPr>
          <w:color w:val="000000"/>
          <w:spacing w:val="0"/>
          <w:w w:val="100"/>
          <w:position w:val="0"/>
          <w:sz w:val="16"/>
          <w:szCs w:val="16"/>
        </w:rPr>
        <w:t>（1）</w:t>
      </w:r>
      <w:r>
        <w:rPr>
          <w:color w:val="000000"/>
          <w:spacing w:val="0"/>
          <w:w w:val="100"/>
          <w:position w:val="0"/>
        </w:rPr>
        <w:t>划分为持有待售类别前的账面价值，按照假定不划分为持有待 售类别情况下本应确认的折旧、摊销或减值等进行调整后的金额；</w:t>
      </w:r>
      <w:r>
        <w:rPr>
          <w:color w:val="000000"/>
          <w:spacing w:val="0"/>
          <w:w w:val="100"/>
          <w:position w:val="0"/>
          <w:sz w:val="16"/>
          <w:szCs w:val="16"/>
        </w:rPr>
        <w:t>（2）</w:t>
      </w:r>
      <w:r>
        <w:rPr>
          <w:color w:val="000000"/>
          <w:spacing w:val="0"/>
          <w:w w:val="100"/>
          <w:position w:val="0"/>
        </w:rPr>
        <w:t>可收回金额。</w:t>
      </w:r>
    </w:p>
    <w:p>
      <w:pPr>
        <w:pStyle w:val="Style32"/>
        <w:keepNext/>
        <w:keepLines/>
        <w:widowControl w:val="0"/>
        <w:shd w:val="clear" w:color="auto" w:fill="auto"/>
        <w:tabs>
          <w:tab w:pos="414"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52"/>
      <w:bookmarkEnd w:id="753"/>
      <w:bookmarkEnd w:id="755"/>
    </w:p>
    <w:p>
      <w:pPr>
        <w:pStyle w:val="Style32"/>
        <w:keepNext/>
        <w:keepLines/>
        <w:widowControl w:val="0"/>
        <w:shd w:val="clear" w:color="auto" w:fill="auto"/>
        <w:tabs>
          <w:tab w:pos="423" w:val="left"/>
        </w:tabs>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56"/>
      <w:bookmarkEnd w:id="757"/>
      <w:bookmarkEnd w:id="759"/>
    </w:p>
    <w:p>
      <w:pPr>
        <w:pStyle w:val="Style32"/>
        <w:keepNext/>
        <w:keepLines/>
        <w:widowControl w:val="0"/>
        <w:shd w:val="clear" w:color="auto" w:fill="auto"/>
        <w:tabs>
          <w:tab w:pos="423" w:val="left"/>
        </w:tabs>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760"/>
      <w:bookmarkEnd w:id="761"/>
      <w:bookmarkEnd w:id="763"/>
    </w:p>
    <w:p>
      <w:pPr>
        <w:pStyle w:val="Style32"/>
        <w:keepNext/>
        <w:keepLines/>
        <w:widowControl w:val="0"/>
        <w:shd w:val="clear" w:color="auto" w:fill="auto"/>
        <w:tabs>
          <w:tab w:pos="423"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64"/>
      <w:bookmarkEnd w:id="765"/>
      <w:bookmarkEnd w:id="767"/>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本部分所指的长期股权投资是指本集团对被投资单位具有控制、共同控制或重大影响的长期股权投资。本集团对被投资 单位不具有控制、共同控制或重大影响的长期股权投资，作为以公允价值计量且其变动计入当期损益的金融资产核算，其中 如果属于非交易性的，本集团在初始确认时可选择将其指定为以公允价值计量且其变动计入其他综合收益的金融资产核算， 其会计政策详见附注五、</w:t>
      </w:r>
      <w:r>
        <w:rPr>
          <w:color w:val="000000"/>
          <w:spacing w:val="0"/>
          <w:w w:val="100"/>
          <w:position w:val="0"/>
          <w:sz w:val="16"/>
          <w:szCs w:val="16"/>
        </w:rPr>
        <w:t xml:space="preserve">10 </w:t>
      </w:r>
      <w:r>
        <w:rPr>
          <w:color w:val="000000"/>
          <w:spacing w:val="0"/>
          <w:w w:val="100"/>
          <w:position w:val="0"/>
        </w:rPr>
        <w:t>“金融工具”。</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共同控制，是指本集团按照相关约定对某项安排所共有的控制，并且该安排的相关活动必须经过分享控制权的参与方一 致同意后才能决策。重大影响，是指本集团对被投资单位的财务和经营政策有参与决策的权力，但并不能够控制或者与其他 方一起共同控制这些政策的制定。</w:t>
      </w:r>
    </w:p>
    <w:p>
      <w:pPr>
        <w:pStyle w:val="Style28"/>
        <w:keepNext w:val="0"/>
        <w:keepLines w:val="0"/>
        <w:widowControl w:val="0"/>
        <w:numPr>
          <w:ilvl w:val="0"/>
          <w:numId w:val="29"/>
        </w:numPr>
        <w:shd w:val="clear" w:color="auto" w:fill="auto"/>
        <w:bidi w:val="0"/>
        <w:spacing w:before="0" w:after="0" w:line="311" w:lineRule="exact"/>
        <w:ind w:left="0" w:right="0" w:firstLine="380"/>
        <w:jc w:val="both"/>
      </w:pPr>
      <w:bookmarkStart w:id="768" w:name="bookmark768"/>
      <w:bookmarkEnd w:id="768"/>
      <w:r>
        <w:rPr>
          <w:color w:val="000000"/>
          <w:spacing w:val="0"/>
          <w:w w:val="100"/>
          <w:position w:val="0"/>
        </w:rPr>
        <w:t>投资成本的确定</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于“一揽子交易”进行处理：属于“一揽子交易”的，将各项交易作为一项取得控制权的交易进行会计处理。不属于“一揽 子交易”的，在合并日按照应享有被合并方所有者权益在最终控制方合并财务报表中的账面价值的份额作为长期股权投资的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或作为以公允价值计量且其变动计入其他综合收益的金融资产而确认的其他综合收益，暂不进行会计处理。</w:t>
      </w:r>
    </w:p>
    <w:p>
      <w:pPr>
        <w:pStyle w:val="Style28"/>
        <w:keepNext w:val="0"/>
        <w:keepLines w:val="0"/>
        <w:widowControl w:val="0"/>
        <w:shd w:val="clear" w:color="auto" w:fill="auto"/>
        <w:bidi w:val="0"/>
        <w:spacing w:before="0" w:after="320" w:line="291" w:lineRule="exact"/>
        <w:ind w:left="0" w:right="0" w:firstLine="380"/>
        <w:jc w:val="both"/>
        <w:rPr>
          <w:sz w:val="18"/>
          <w:szCs w:val="18"/>
        </w:rPr>
        <w:sectPr>
          <w:headerReference w:type="default" r:id="rId9"/>
          <w:footerReference w:type="default" r:id="rId10"/>
          <w:footnotePr>
            <w:pos w:val="pageBottom"/>
            <w:numFmt w:val="decimal"/>
            <w:numRestart w:val="continuous"/>
          </w:footnotePr>
          <w:pgSz w:w="11900" w:h="16840"/>
          <w:pgMar w:top="1388" w:right="1023" w:bottom="1186" w:left="1104" w:header="0" w:footer="758" w:gutter="0"/>
          <w:pgNumType w:start="93"/>
          <w:cols w:space="720"/>
          <w:noEndnote/>
          <w:rtlGutter w:val="0"/>
          <w:docGrid w:linePitch="360"/>
        </w:sectPr>
      </w:pPr>
      <w:r>
        <w:rPr>
          <w:color w:val="000000"/>
          <w:spacing w:val="0"/>
          <w:w w:val="100"/>
          <w:position w:val="0"/>
          <w:sz w:val="17"/>
          <w:szCs w:val="17"/>
        </w:rPr>
        <w:t xml:space="preserve">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w:t>
      </w:r>
      <w:r>
        <w:rPr>
          <w:rFonts w:ascii="Times New Roman" w:eastAsia="Times New Roman" w:hAnsi="Times New Roman" w:cs="Times New Roman"/>
          <w:color w:val="000000"/>
          <w:spacing w:val="0"/>
          <w:w w:val="100"/>
          <w:position w:val="0"/>
          <w:sz w:val="18"/>
          <w:szCs w:val="18"/>
        </w:rPr>
        <w:t>92</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6"/>
          <w:szCs w:val="16"/>
        </w:rPr>
        <w:t>22</w:t>
      </w:r>
      <w:r>
        <w:rPr>
          <w:color w:val="000000"/>
          <w:spacing w:val="0"/>
          <w:w w:val="100"/>
          <w:position w:val="0"/>
        </w:rPr>
        <w:t>号一一金融工具确认和计量》确定的原持有股权投资的公允价值加上 新增投资成本之和。</w:t>
      </w:r>
    </w:p>
    <w:p>
      <w:pPr>
        <w:pStyle w:val="Style28"/>
        <w:keepNext w:val="0"/>
        <w:keepLines w:val="0"/>
        <w:widowControl w:val="0"/>
        <w:numPr>
          <w:ilvl w:val="0"/>
          <w:numId w:val="29"/>
        </w:numPr>
        <w:shd w:val="clear" w:color="auto" w:fill="auto"/>
        <w:bidi w:val="0"/>
        <w:spacing w:before="0" w:after="0" w:line="312" w:lineRule="exact"/>
        <w:ind w:left="0" w:right="0" w:firstLine="380"/>
        <w:jc w:val="both"/>
      </w:pPr>
      <w:bookmarkStart w:id="769" w:name="bookmark769"/>
      <w:bookmarkEnd w:id="769"/>
      <w:r>
        <w:rPr>
          <w:color w:val="000000"/>
          <w:spacing w:val="0"/>
          <w:w w:val="100"/>
          <w:position w:val="0"/>
        </w:rPr>
        <w:t>后续计量及损益确认方法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8"/>
        <w:keepNext w:val="0"/>
        <w:keepLines w:val="0"/>
        <w:widowControl w:val="0"/>
        <w:numPr>
          <w:ilvl w:val="0"/>
          <w:numId w:val="31"/>
        </w:numPr>
        <w:shd w:val="clear" w:color="auto" w:fill="auto"/>
        <w:tabs>
          <w:tab w:pos="693" w:val="left"/>
        </w:tabs>
        <w:bidi w:val="0"/>
        <w:spacing w:before="0" w:after="0" w:line="312" w:lineRule="exact"/>
        <w:ind w:left="0" w:right="0" w:firstLine="380"/>
        <w:jc w:val="both"/>
      </w:pPr>
      <w:bookmarkStart w:id="770" w:name="bookmark770"/>
      <w:bookmarkEnd w:id="770"/>
      <w:r>
        <w:rPr>
          <w:color w:val="000000"/>
          <w:spacing w:val="0"/>
          <w:w w:val="100"/>
          <w:position w:val="0"/>
        </w:rPr>
        <w:t>成本法核算的长期股权投资</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8"/>
        <w:keepNext w:val="0"/>
        <w:keepLines w:val="0"/>
        <w:widowControl w:val="0"/>
        <w:numPr>
          <w:ilvl w:val="0"/>
          <w:numId w:val="31"/>
        </w:numPr>
        <w:shd w:val="clear" w:color="auto" w:fill="auto"/>
        <w:tabs>
          <w:tab w:pos="693" w:val="left"/>
        </w:tabs>
        <w:bidi w:val="0"/>
        <w:spacing w:before="0" w:after="0" w:line="312" w:lineRule="exact"/>
        <w:ind w:left="0" w:right="0" w:firstLine="380"/>
        <w:jc w:val="both"/>
      </w:pPr>
      <w:bookmarkStart w:id="771" w:name="bookmark771"/>
      <w:bookmarkEnd w:id="771"/>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color w:val="000000"/>
          <w:spacing w:val="0"/>
          <w:w w:val="100"/>
          <w:position w:val="0"/>
          <w:sz w:val="16"/>
          <w:szCs w:val="16"/>
        </w:rPr>
        <w:t>20</w:t>
      </w:r>
      <w:r>
        <w:rPr>
          <w:color w:val="000000"/>
          <w:spacing w:val="0"/>
          <w:w w:val="100"/>
          <w:position w:val="0"/>
        </w:rPr>
        <w:t>号一一企业合并》的规定进行会计处理，全额确认与交易 相关的利得或损失。</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8"/>
        <w:keepNext w:val="0"/>
        <w:keepLines w:val="0"/>
        <w:widowControl w:val="0"/>
        <w:numPr>
          <w:ilvl w:val="0"/>
          <w:numId w:val="31"/>
        </w:numPr>
        <w:shd w:val="clear" w:color="auto" w:fill="auto"/>
        <w:tabs>
          <w:tab w:pos="693" w:val="left"/>
        </w:tabs>
        <w:bidi w:val="0"/>
        <w:spacing w:before="0" w:after="0" w:line="312" w:lineRule="exact"/>
        <w:ind w:left="0" w:right="0" w:firstLine="380"/>
        <w:jc w:val="both"/>
      </w:pPr>
      <w:bookmarkStart w:id="772" w:name="bookmark772"/>
      <w:bookmarkEnd w:id="772"/>
      <w:r>
        <w:rPr>
          <w:color w:val="000000"/>
          <w:spacing w:val="0"/>
          <w:w w:val="100"/>
          <w:position w:val="0"/>
        </w:rPr>
        <w:t>收购少数股权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8"/>
        <w:keepNext w:val="0"/>
        <w:keepLines w:val="0"/>
        <w:widowControl w:val="0"/>
        <w:numPr>
          <w:ilvl w:val="0"/>
          <w:numId w:val="31"/>
        </w:numPr>
        <w:shd w:val="clear" w:color="auto" w:fill="auto"/>
        <w:tabs>
          <w:tab w:pos="693" w:val="left"/>
        </w:tabs>
        <w:bidi w:val="0"/>
        <w:spacing w:before="0" w:after="0" w:line="312" w:lineRule="exact"/>
        <w:ind w:left="0" w:right="0" w:firstLine="380"/>
        <w:jc w:val="both"/>
      </w:pPr>
      <w:bookmarkStart w:id="773" w:name="bookmark773"/>
      <w:bookmarkEnd w:id="773"/>
      <w:r>
        <w:rPr>
          <w:color w:val="000000"/>
          <w:spacing w:val="0"/>
          <w:w w:val="100"/>
          <w:position w:val="0"/>
        </w:rPr>
        <w:t>处置长期股权投资</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w:t>
      </w:r>
      <w:r>
        <w:rPr>
          <w:color w:val="000000"/>
          <w:spacing w:val="0"/>
          <w:w w:val="100"/>
          <w:position w:val="0"/>
        </w:rPr>
        <w:t>附注四、</w:t>
      </w:r>
      <w:r>
        <w:rPr>
          <w:color w:val="000000"/>
          <w:spacing w:val="0"/>
          <w:w w:val="100"/>
          <w:position w:val="0"/>
          <w:sz w:val="16"/>
          <w:szCs w:val="16"/>
        </w:rPr>
        <w:t>5</w:t>
      </w:r>
      <w:r>
        <w:rPr>
          <w:color w:val="000000"/>
          <w:spacing w:val="0"/>
          <w:w w:val="100"/>
          <w:position w:val="0"/>
        </w:rPr>
        <w:t>、“合并财务报表编制的方法”</w:t>
      </w:r>
      <w:r>
        <w:rPr>
          <w:color w:val="000000"/>
          <w:spacing w:val="0"/>
          <w:w w:val="100"/>
          <w:position w:val="0"/>
          <w:sz w:val="16"/>
          <w:szCs w:val="16"/>
        </w:rPr>
        <w:t>（2）</w:t>
      </w:r>
      <w:r>
        <w:rPr>
          <w:color w:val="000000"/>
          <w:spacing w:val="0"/>
          <w:w w:val="100"/>
          <w:position w:val="0"/>
        </w:rPr>
        <w:t>中所述的相关会计政策处理。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丧失控制之日的公允价值与账面价值之间的差额计入当期损益。对于本集团取得对被投资单位的控制之前，因采用权益法核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2"/>
        <w:keepNext/>
        <w:keepLines/>
        <w:widowControl w:val="0"/>
        <w:shd w:val="clear" w:color="auto" w:fill="auto"/>
        <w:bidi w:val="0"/>
        <w:spacing w:before="0" w:after="28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bookmarkEnd w:id="77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74"/>
      <w:bookmarkEnd w:id="775"/>
      <w:bookmarkEnd w:id="777"/>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选择公允价值计量的依据</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转让的土地使用权、已出租的建筑物等。此外，对于本集团持有以备经营出租的空置建筑物，若董事会（或类似机构）作出 书面决议，明确表示将其用于经营出租且持有意图短期内不再发生变化的，也作为投资性房地产列报。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本集团采用公允价值模式对投资性房地产进行后续计量。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采用公允价值模式进行后续计量的投资性房地产，会计政策选择的依据为：</w:t>
      </w:r>
    </w:p>
    <w:p>
      <w:pPr>
        <w:pStyle w:val="Style28"/>
        <w:keepNext w:val="0"/>
        <w:keepLines w:val="0"/>
        <w:widowControl w:val="0"/>
        <w:numPr>
          <w:ilvl w:val="0"/>
          <w:numId w:val="33"/>
        </w:numPr>
        <w:shd w:val="clear" w:color="auto" w:fill="auto"/>
        <w:tabs>
          <w:tab w:pos="705" w:val="left"/>
        </w:tabs>
        <w:bidi w:val="0"/>
        <w:spacing w:before="0" w:after="0" w:line="312" w:lineRule="exact"/>
        <w:ind w:left="0" w:right="0" w:firstLine="380"/>
        <w:jc w:val="both"/>
      </w:pPr>
      <w:bookmarkStart w:id="778" w:name="bookmark778"/>
      <w:bookmarkEnd w:id="778"/>
      <w:r>
        <w:rPr>
          <w:color w:val="000000"/>
          <w:spacing w:val="0"/>
          <w:w w:val="100"/>
          <w:position w:val="0"/>
        </w:rPr>
        <w:t>投资性房地产所在地有活跃的房地产交易市场。</w:t>
      </w:r>
    </w:p>
    <w:p>
      <w:pPr>
        <w:pStyle w:val="Style28"/>
        <w:keepNext w:val="0"/>
        <w:keepLines w:val="0"/>
        <w:widowControl w:val="0"/>
        <w:numPr>
          <w:ilvl w:val="0"/>
          <w:numId w:val="33"/>
        </w:numPr>
        <w:shd w:val="clear" w:color="auto" w:fill="auto"/>
        <w:tabs>
          <w:tab w:pos="680" w:val="left"/>
        </w:tabs>
        <w:bidi w:val="0"/>
        <w:spacing w:before="0" w:after="0" w:line="312" w:lineRule="exact"/>
        <w:ind w:left="0" w:right="0" w:firstLine="380"/>
        <w:jc w:val="both"/>
      </w:pPr>
      <w:bookmarkStart w:id="779" w:name="bookmark779"/>
      <w:bookmarkEnd w:id="779"/>
      <w:r>
        <w:rPr>
          <w:color w:val="000000"/>
          <w:spacing w:val="0"/>
          <w:w w:val="100"/>
          <w:position w:val="0"/>
        </w:rPr>
        <w:t>本集团能够从房地产交易市场上取得同类或类似房地产的市场价格及其他相关信息，从而对投资性房地产的公允价值 作出合理的估计。</w:t>
      </w:r>
    </w:p>
    <w:p>
      <w:pPr>
        <w:pStyle w:val="Style28"/>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 xml:space="preserve">本集团不对投资性房地产计提折旧或进行摊销，在资产负债表日以投资性房地产的公允价值为基础调整其账面价值，公 </w:t>
      </w:r>
      <w:r>
        <w:rPr>
          <w:color w:val="000000"/>
          <w:spacing w:val="0"/>
          <w:w w:val="100"/>
          <w:position w:val="0"/>
        </w:rPr>
        <w:t>允价值与原账面价值之间的差额计入当期损益。</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确定投资性房地产的公允价值时，公司投资性房地产本身有交易价格时，由投资性房地产所属公司市场部门提供的同期 成交价格或报价为基础，确定其公允价值；本集团投资性房地产本身无交易价格时，由本集团聘请的具有房地产评估资质的 第三方机构出具评估报告，以评估报告的估价结论作为其公允价值。</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本集团有确凿证据表明房地产用途发生改变，将投资性房地产转换为自用房地产时，以其转换当日的公允价值作为自用 房地产的账面价值，公允价值与原账面价值的差额计入当期损益。自用房地产或存货转换为采用公允价值模式计量的投资性 房地产时，投资性房地产按照转换当日的公允价值计价，转换当日的公允价值小于原账面价值的，其差额计入当期损益；转 换当日的公允价值大于原账面价值的，其差额确认为其他综合收益。</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2"/>
        <w:keepNext/>
        <w:keepLines/>
        <w:widowControl w:val="0"/>
        <w:shd w:val="clear" w:color="auto" w:fill="auto"/>
        <w:bidi w:val="0"/>
        <w:spacing w:before="0" w:after="3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80"/>
      <w:bookmarkEnd w:id="781"/>
      <w:bookmarkEnd w:id="783"/>
    </w:p>
    <w:p>
      <w:pPr>
        <w:pStyle w:val="Style36"/>
        <w:keepNext/>
        <w:keepLines/>
        <w:widowControl w:val="0"/>
        <w:shd w:val="clear" w:color="auto" w:fill="auto"/>
        <w:bidi w:val="0"/>
        <w:spacing w:before="0" w:after="26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4"/>
      <w:bookmarkEnd w:id="785"/>
      <w:bookmarkEnd w:id="787"/>
    </w:p>
    <w:p>
      <w:pPr>
        <w:pStyle w:val="Style2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在与其有关的经济利益很可能流入本集团，且其成本能够可靠地计量时才予以确认。固定资产按成本并考虑预计弃置费用因 素的影响进行初始计量。</w:t>
      </w:r>
    </w:p>
    <w:p>
      <w:pPr>
        <w:pStyle w:val="Style36"/>
        <w:keepNext/>
        <w:keepLines/>
        <w:widowControl w:val="0"/>
        <w:shd w:val="clear" w:color="auto" w:fill="auto"/>
        <w:bidi w:val="0"/>
        <w:spacing w:before="0" w:after="320" w:line="240" w:lineRule="auto"/>
        <w:ind w:left="0" w:right="0" w:firstLine="14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8"/>
      <w:bookmarkEnd w:id="789"/>
      <w:bookmarkEnd w:id="79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2.16-3.23%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19.00-31.67%</w:t>
            </w:r>
          </w:p>
        </w:tc>
      </w:tr>
    </w:tbl>
    <w:p>
      <w:pPr>
        <w:pStyle w:val="Style26"/>
        <w:keepNext w:val="0"/>
        <w:keepLines w:val="0"/>
        <w:widowControl w:val="0"/>
        <w:shd w:val="clear" w:color="auto" w:fill="auto"/>
        <w:bidi w:val="0"/>
        <w:spacing w:before="0" w:after="100" w:line="240" w:lineRule="auto"/>
        <w:ind w:left="365" w:right="0" w:firstLine="0"/>
        <w:jc w:val="left"/>
      </w:pPr>
      <w:r>
        <w:rPr>
          <w:color w:val="000000"/>
          <w:spacing w:val="0"/>
          <w:w w:val="100"/>
          <w:position w:val="0"/>
        </w:rPr>
        <w:t>固定资产的减值测试方法及减值准备计提方法</w:t>
      </w:r>
    </w:p>
    <w:p>
      <w:pPr>
        <w:pStyle w:val="Style26"/>
        <w:keepNext w:val="0"/>
        <w:keepLines w:val="0"/>
        <w:widowControl w:val="0"/>
        <w:shd w:val="clear" w:color="auto" w:fill="auto"/>
        <w:bidi w:val="0"/>
        <w:spacing w:before="0" w:after="0" w:line="240" w:lineRule="auto"/>
        <w:ind w:left="365" w:right="0" w:firstLine="0"/>
        <w:jc w:val="left"/>
      </w:pPr>
      <w:r>
        <w:rPr>
          <w:color w:val="000000"/>
          <w:spacing w:val="0"/>
          <w:w w:val="100"/>
          <w:position w:val="0"/>
        </w:rPr>
        <w:t>固定资产的减值测试方法和减值准备计提方法详见附注五、</w:t>
      </w:r>
      <w:r>
        <w:rPr>
          <w:color w:val="000000"/>
          <w:spacing w:val="0"/>
          <w:w w:val="100"/>
          <w:position w:val="0"/>
          <w:sz w:val="16"/>
          <w:szCs w:val="16"/>
        </w:rPr>
        <w:t xml:space="preserve">31 </w:t>
      </w:r>
      <w:r>
        <w:rPr>
          <w:color w:val="000000"/>
          <w:spacing w:val="0"/>
          <w:w w:val="100"/>
          <w:position w:val="0"/>
        </w:rPr>
        <w:t>“长期资产减值”。</w:t>
      </w:r>
    </w:p>
    <w:p>
      <w:pPr>
        <w:widowControl w:val="0"/>
        <w:spacing w:after="679" w:line="1" w:lineRule="exact"/>
      </w:pPr>
    </w:p>
    <w:p>
      <w:pPr>
        <w:pStyle w:val="Style36"/>
        <w:keepNext/>
        <w:keepLines/>
        <w:widowControl w:val="0"/>
        <w:shd w:val="clear" w:color="auto" w:fill="auto"/>
        <w:bidi w:val="0"/>
        <w:spacing w:before="0" w:after="26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2"/>
      <w:bookmarkEnd w:id="793"/>
      <w:bookmarkEnd w:id="795"/>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r>
        <w:rPr>
          <w:color w:val="000000"/>
          <w:spacing w:val="0"/>
          <w:w w:val="100"/>
          <w:position w:val="0"/>
          <w:sz w:val="16"/>
          <w:szCs w:val="16"/>
        </w:rPr>
        <w:t xml:space="preserve">（5） </w:t>
      </w:r>
      <w:r>
        <w:rPr>
          <w:color w:val="000000"/>
          <w:spacing w:val="0"/>
          <w:w w:val="100"/>
          <w:position w:val="0"/>
        </w:rPr>
        <w:t>其他说明与固定资产有关的后续支出，如果与该固定资产有关的经济利益很可能 流入且其成本能可靠地计量，则计入固定资产成本，并终止确认被替换部分的账面价值。除此以外的其他后续支出，在发生 时计入当期损益。当固定资产处于处置状态或预期通过使用或处置不能产生经济利益时，终止确认该固定资产。固定资产出 售、转让、报废或毁损的处置收入扣除其账面价值和相关税费后的差额计入当期损益。本集团至少于年度终了对固定资产的 使用寿命、预计净残值和折旧方法进行复核，如发生改变则作为会计估计变更处理。</w:t>
      </w:r>
    </w:p>
    <w:p>
      <w:pPr>
        <w:pStyle w:val="Style32"/>
        <w:keepNext/>
        <w:keepLines/>
        <w:widowControl w:val="0"/>
        <w:shd w:val="clear" w:color="auto" w:fill="auto"/>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w:t>
      </w:r>
      <w:bookmarkEnd w:id="79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796"/>
      <w:bookmarkEnd w:id="797"/>
      <w:bookmarkEnd w:id="799"/>
    </w:p>
    <w:p>
      <w:pPr>
        <w:pStyle w:val="Style28"/>
        <w:keepNext w:val="0"/>
        <w:keepLines w:val="0"/>
        <w:widowControl w:val="0"/>
        <w:shd w:val="clear" w:color="auto" w:fill="auto"/>
        <w:tabs>
          <w:tab w:pos="788" w:val="left"/>
        </w:tabs>
        <w:bidi w:val="0"/>
        <w:spacing w:before="0" w:after="0" w:line="312" w:lineRule="exact"/>
        <w:ind w:left="0" w:right="0" w:firstLine="380"/>
        <w:jc w:val="both"/>
      </w:pPr>
      <w:bookmarkStart w:id="800" w:name="bookmark800"/>
      <w:r>
        <w:rPr>
          <w:color w:val="000000"/>
          <w:spacing w:val="0"/>
          <w:w w:val="100"/>
          <w:position w:val="0"/>
          <w:sz w:val="16"/>
          <w:szCs w:val="16"/>
        </w:rPr>
        <w:t>（</w:t>
      </w:r>
      <w:bookmarkEnd w:id="800"/>
      <w:r>
        <w:rPr>
          <w:color w:val="000000"/>
          <w:spacing w:val="0"/>
          <w:w w:val="100"/>
          <w:position w:val="0"/>
          <w:sz w:val="16"/>
          <w:szCs w:val="16"/>
        </w:rPr>
        <w:t>1）</w:t>
        <w:tab/>
      </w:r>
      <w:r>
        <w:rPr>
          <w:color w:val="000000"/>
          <w:spacing w:val="0"/>
          <w:w w:val="100"/>
          <w:position w:val="0"/>
        </w:rPr>
        <w:t>在建工程的类别</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本集团在建工程包括装修工程、技术改造工程和固定资产新建等。</w:t>
      </w:r>
    </w:p>
    <w:p>
      <w:pPr>
        <w:pStyle w:val="Style28"/>
        <w:keepNext w:val="0"/>
        <w:keepLines w:val="0"/>
        <w:widowControl w:val="0"/>
        <w:shd w:val="clear" w:color="auto" w:fill="auto"/>
        <w:tabs>
          <w:tab w:pos="788" w:val="left"/>
        </w:tabs>
        <w:bidi w:val="0"/>
        <w:spacing w:before="0" w:after="360" w:line="312" w:lineRule="exact"/>
        <w:ind w:left="0" w:right="0" w:firstLine="380"/>
        <w:jc w:val="both"/>
      </w:pPr>
      <w:bookmarkStart w:id="801" w:name="bookmark801"/>
      <w:r>
        <w:rPr>
          <w:color w:val="000000"/>
          <w:spacing w:val="0"/>
          <w:w w:val="100"/>
          <w:position w:val="0"/>
          <w:sz w:val="16"/>
          <w:szCs w:val="16"/>
        </w:rPr>
        <w:t>（</w:t>
      </w:r>
      <w:bookmarkEnd w:id="801"/>
      <w:r>
        <w:rPr>
          <w:color w:val="000000"/>
          <w:spacing w:val="0"/>
          <w:w w:val="100"/>
          <w:position w:val="0"/>
          <w:sz w:val="16"/>
          <w:szCs w:val="16"/>
        </w:rPr>
        <w:t>2）</w:t>
        <w:tab/>
      </w:r>
      <w:r>
        <w:rPr>
          <w:color w:val="000000"/>
          <w:spacing w:val="0"/>
          <w:w w:val="100"/>
          <w:position w:val="0"/>
        </w:rPr>
        <w:t>在建工程的计量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在建工程以实际成本计价，按照实际发生的支出确定其工程成本，工程达到预定可使用状态前因进行试运转发生的净支 出计入工程成本。工程达到预定可使用状态前所取得的试运转过程中形成的、能够对外销售的产品，其发生的成本，计入在 建工程成本，销售或结转为产成品时，按实际销售收入或者预计售价冲减在建工程成本。在建工程发生的借款费用，符合借 款费用资本化条件的，在所购建的固定资产达到预定可使用状态前，计入在建工程成本。</w:t>
      </w:r>
    </w:p>
    <w:p>
      <w:pPr>
        <w:pStyle w:val="Style28"/>
        <w:keepNext w:val="0"/>
        <w:keepLines w:val="0"/>
        <w:widowControl w:val="0"/>
        <w:shd w:val="clear" w:color="auto" w:fill="auto"/>
        <w:tabs>
          <w:tab w:pos="811" w:val="left"/>
        </w:tabs>
        <w:bidi w:val="0"/>
        <w:spacing w:before="0" w:after="0" w:line="312" w:lineRule="exact"/>
        <w:ind w:left="0" w:right="0" w:firstLine="380"/>
        <w:jc w:val="both"/>
      </w:pPr>
      <w:bookmarkStart w:id="802" w:name="bookmark802"/>
      <w:r>
        <w:rPr>
          <w:color w:val="000000"/>
          <w:spacing w:val="0"/>
          <w:w w:val="100"/>
          <w:position w:val="0"/>
          <w:sz w:val="16"/>
          <w:szCs w:val="16"/>
        </w:rPr>
        <w:t>（</w:t>
      </w:r>
      <w:bookmarkEnd w:id="802"/>
      <w:r>
        <w:rPr>
          <w:color w:val="000000"/>
          <w:spacing w:val="0"/>
          <w:w w:val="100"/>
          <w:position w:val="0"/>
          <w:sz w:val="16"/>
          <w:szCs w:val="16"/>
        </w:rPr>
        <w:t>3）</w:t>
        <w:tab/>
      </w:r>
      <w:r>
        <w:rPr>
          <w:color w:val="000000"/>
          <w:spacing w:val="0"/>
          <w:w w:val="100"/>
          <w:position w:val="0"/>
        </w:rPr>
        <w:t>在建工程结转为固定资产的时点</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在建工程按各项工程所发生的实际支出核算，在达到预定可使用状态时转作固定资产。所建造的固定资产已达到预定可 使用状态，但尚未办理竣工决算手续的，自达到预定可使用状态之日起，根据工程预算、造价或者工程实际成本等，按估计 的价值转入固定资产，并计提固定资产的折旧，待办理了竣工决算手续后再对原估计值进行调整。购建或者生产符合资本化 条件的资产而借入的专门借款或占用了一般借款发生的借款利息以及专门借款发生的辅助费用，在所购建或者生产的符合资 本化条件的资产达到预定可使用或者可销售状态之前根据其发生额予以资本化。</w:t>
      </w:r>
    </w:p>
    <w:p>
      <w:pPr>
        <w:pStyle w:val="Style28"/>
        <w:keepNext w:val="0"/>
        <w:keepLines w:val="0"/>
        <w:widowControl w:val="0"/>
        <w:shd w:val="clear" w:color="auto" w:fill="auto"/>
        <w:tabs>
          <w:tab w:pos="811" w:val="left"/>
        </w:tabs>
        <w:bidi w:val="0"/>
        <w:spacing w:before="0" w:after="0" w:line="312" w:lineRule="exact"/>
        <w:ind w:left="0" w:right="0" w:firstLine="380"/>
        <w:jc w:val="both"/>
      </w:pPr>
      <w:bookmarkStart w:id="803" w:name="bookmark803"/>
      <w:r>
        <w:rPr>
          <w:color w:val="000000"/>
          <w:spacing w:val="0"/>
          <w:w w:val="100"/>
          <w:position w:val="0"/>
          <w:sz w:val="16"/>
          <w:szCs w:val="16"/>
        </w:rPr>
        <w:t>（</w:t>
      </w:r>
      <w:bookmarkEnd w:id="803"/>
      <w:r>
        <w:rPr>
          <w:color w:val="000000"/>
          <w:spacing w:val="0"/>
          <w:w w:val="100"/>
          <w:position w:val="0"/>
          <w:sz w:val="16"/>
          <w:szCs w:val="16"/>
        </w:rPr>
        <w:t>4）</w:t>
        <w:tab/>
      </w:r>
      <w:r>
        <w:rPr>
          <w:color w:val="000000"/>
          <w:spacing w:val="0"/>
          <w:w w:val="100"/>
          <w:position w:val="0"/>
        </w:rPr>
        <w:t>在建工程的减值测试方法及减值准备计提方法</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在建工程的减值测试方法和减值准备计提方法详见附注五、</w:t>
      </w:r>
      <w:r>
        <w:rPr>
          <w:color w:val="000000"/>
          <w:spacing w:val="0"/>
          <w:w w:val="100"/>
          <w:position w:val="0"/>
          <w:sz w:val="16"/>
          <w:szCs w:val="16"/>
        </w:rPr>
        <w:t xml:space="preserve">31 </w:t>
      </w:r>
      <w:r>
        <w:rPr>
          <w:color w:val="000000"/>
          <w:spacing w:val="0"/>
          <w:w w:val="100"/>
          <w:position w:val="0"/>
        </w:rPr>
        <w:t>“长期资产减值”。</w:t>
      </w:r>
    </w:p>
    <w:p>
      <w:pPr>
        <w:pStyle w:val="Style32"/>
        <w:keepNext/>
        <w:keepLines/>
        <w:widowControl w:val="0"/>
        <w:shd w:val="clear" w:color="auto" w:fill="auto"/>
        <w:tabs>
          <w:tab w:pos="470" w:val="left"/>
        </w:tabs>
        <w:bidi w:val="0"/>
        <w:spacing w:before="0" w:after="26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04"/>
      <w:bookmarkEnd w:id="805"/>
      <w:bookmarkEnd w:id="807"/>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6"/>
          <w:szCs w:val="16"/>
        </w:rPr>
        <w:t>3</w:t>
      </w:r>
      <w:r>
        <w:rPr>
          <w:color w:val="000000"/>
          <w:spacing w:val="0"/>
          <w:w w:val="100"/>
          <w:position w:val="0"/>
        </w:rPr>
        <w:t>个月的，暂停借款费用的资 本化，直至资产的购建或生产活动重新开始。</w:t>
      </w:r>
    </w:p>
    <w:p>
      <w:pPr>
        <w:pStyle w:val="Style32"/>
        <w:keepNext/>
        <w:keepLines/>
        <w:widowControl w:val="0"/>
        <w:shd w:val="clear" w:color="auto" w:fill="auto"/>
        <w:tabs>
          <w:tab w:pos="470" w:val="left"/>
        </w:tabs>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08"/>
      <w:bookmarkEnd w:id="809"/>
      <w:bookmarkEnd w:id="811"/>
    </w:p>
    <w:p>
      <w:pPr>
        <w:pStyle w:val="Style32"/>
        <w:keepNext/>
        <w:keepLines/>
        <w:widowControl w:val="0"/>
        <w:shd w:val="clear" w:color="auto" w:fill="auto"/>
        <w:tabs>
          <w:tab w:pos="470" w:val="left"/>
        </w:tabs>
        <w:bidi w:val="0"/>
        <w:spacing w:before="0" w:after="3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12"/>
      <w:bookmarkEnd w:id="813"/>
      <w:bookmarkEnd w:id="815"/>
    </w:p>
    <w:p>
      <w:pPr>
        <w:pStyle w:val="Style32"/>
        <w:keepNext/>
        <w:keepLines/>
        <w:widowControl w:val="0"/>
        <w:shd w:val="clear" w:color="auto" w:fill="auto"/>
        <w:tabs>
          <w:tab w:pos="470" w:val="left"/>
        </w:tabs>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16"/>
      <w:bookmarkEnd w:id="817"/>
      <w:bookmarkEnd w:id="819"/>
    </w:p>
    <w:p>
      <w:pPr>
        <w:pStyle w:val="Style32"/>
        <w:keepNext/>
        <w:keepLines/>
        <w:widowControl w:val="0"/>
        <w:shd w:val="clear" w:color="auto" w:fill="auto"/>
        <w:tabs>
          <w:tab w:pos="470" w:val="left"/>
        </w:tabs>
        <w:bidi w:val="0"/>
        <w:spacing w:before="0" w:after="3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20"/>
      <w:bookmarkEnd w:id="821"/>
      <w:bookmarkEnd w:id="823"/>
    </w:p>
    <w:p>
      <w:pPr>
        <w:pStyle w:val="Style36"/>
        <w:keepNext/>
        <w:keepLines/>
        <w:widowControl w:val="0"/>
        <w:shd w:val="clear" w:color="auto" w:fill="auto"/>
        <w:bidi w:val="0"/>
        <w:spacing w:before="0" w:after="26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4"/>
      <w:bookmarkEnd w:id="825"/>
      <w:bookmarkEnd w:id="827"/>
    </w:p>
    <w:p>
      <w:pPr>
        <w:pStyle w:val="Style28"/>
        <w:keepNext w:val="0"/>
        <w:keepLines w:val="0"/>
        <w:widowControl w:val="0"/>
        <w:numPr>
          <w:ilvl w:val="0"/>
          <w:numId w:val="35"/>
        </w:numPr>
        <w:shd w:val="clear" w:color="auto" w:fill="auto"/>
        <w:bidi w:val="0"/>
        <w:spacing w:before="0" w:after="0" w:line="312" w:lineRule="exact"/>
        <w:ind w:left="0" w:right="0" w:firstLine="380"/>
        <w:jc w:val="both"/>
      </w:pPr>
      <w:bookmarkStart w:id="828" w:name="bookmark828"/>
      <w:bookmarkEnd w:id="828"/>
      <w:r>
        <w:rPr>
          <w:color w:val="000000"/>
          <w:spacing w:val="0"/>
          <w:w w:val="100"/>
          <w:position w:val="0"/>
        </w:rPr>
        <w:t>无形资产是指本集团拥有或者控制的没有实物形态的可辨认非货币性资产。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无形资产按成本进行初始计量。与无形资产有关的支出，如果相关的经济利益很可能流入本集团且其成本能可靠地计量， 则计入无形资产成本。除此以外的其他项目的支出，在发生时计入当期损益。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使用寿命有限的无形资产自可供使用时起，对其原值减去预计净残值和已计提的减值准备累计金额在其预计使用寿命内 </w:t>
      </w:r>
      <w:r>
        <w:rPr>
          <w:color w:val="000000"/>
          <w:spacing w:val="0"/>
          <w:w w:val="100"/>
          <w:position w:val="0"/>
        </w:rPr>
        <w:t>采用直线法分期平均摊销。使用寿命不确定的无形资产不予摊销。</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8"/>
        <w:keepNext w:val="0"/>
        <w:keepLines w:val="0"/>
        <w:widowControl w:val="0"/>
        <w:numPr>
          <w:ilvl w:val="0"/>
          <w:numId w:val="35"/>
        </w:numPr>
        <w:shd w:val="clear" w:color="auto" w:fill="auto"/>
        <w:bidi w:val="0"/>
        <w:spacing w:before="0" w:after="0" w:line="312" w:lineRule="exact"/>
        <w:ind w:left="0" w:right="0" w:firstLine="380"/>
        <w:jc w:val="both"/>
      </w:pPr>
      <w:bookmarkStart w:id="829" w:name="bookmark829"/>
      <w:bookmarkEnd w:id="829"/>
      <w:r>
        <w:rPr>
          <w:color w:val="000000"/>
          <w:spacing w:val="0"/>
          <w:w w:val="100"/>
          <w:position w:val="0"/>
        </w:rPr>
        <w:t>无形资产的减值测试方法及减值准备计提方法</w:t>
      </w:r>
    </w:p>
    <w:p>
      <w:pPr>
        <w:pStyle w:val="Style2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无形资产的减值测试方法和减值准备计提方法详见附注五、</w:t>
      </w:r>
      <w:r>
        <w:rPr>
          <w:color w:val="000000"/>
          <w:spacing w:val="0"/>
          <w:w w:val="100"/>
          <w:position w:val="0"/>
          <w:sz w:val="16"/>
          <w:szCs w:val="16"/>
        </w:rPr>
        <w:t xml:space="preserve">31 </w:t>
      </w:r>
      <w:r>
        <w:rPr>
          <w:color w:val="000000"/>
          <w:spacing w:val="0"/>
          <w:w w:val="100"/>
          <w:position w:val="0"/>
        </w:rPr>
        <w:t>“长期资产减值”。</w:t>
      </w:r>
    </w:p>
    <w:p>
      <w:pPr>
        <w:pStyle w:val="Style36"/>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0"/>
      <w:bookmarkEnd w:id="831"/>
      <w:bookmarkEnd w:id="833"/>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本集团内部研究开发项目的支出分为研究阶段支出与开发阶段支出。</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研究阶段的支出，于发生时计入当期损益。</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开发阶段的支出同时满足下列条件的，确认为无形资产，不能满足下述条件的开发阶段的支出计入当期损益：</w:t>
      </w:r>
    </w:p>
    <w:p>
      <w:pPr>
        <w:pStyle w:val="Style28"/>
        <w:keepNext w:val="0"/>
        <w:keepLines w:val="0"/>
        <w:widowControl w:val="0"/>
        <w:numPr>
          <w:ilvl w:val="0"/>
          <w:numId w:val="37"/>
        </w:numPr>
        <w:shd w:val="clear" w:color="auto" w:fill="auto"/>
        <w:tabs>
          <w:tab w:pos="742" w:val="left"/>
        </w:tabs>
        <w:bidi w:val="0"/>
        <w:spacing w:before="0" w:after="0" w:line="312" w:lineRule="exact"/>
        <w:ind w:left="0" w:right="0" w:firstLine="380"/>
        <w:jc w:val="left"/>
      </w:pPr>
      <w:bookmarkStart w:id="834" w:name="bookmark834"/>
      <w:bookmarkEnd w:id="834"/>
      <w:r>
        <w:rPr>
          <w:color w:val="000000"/>
          <w:spacing w:val="0"/>
          <w:w w:val="100"/>
          <w:position w:val="0"/>
        </w:rPr>
        <w:t>完成该无形资产以使其能够使用或出售在技术上具有可行性；</w:t>
      </w:r>
    </w:p>
    <w:p>
      <w:pPr>
        <w:pStyle w:val="Style28"/>
        <w:keepNext w:val="0"/>
        <w:keepLines w:val="0"/>
        <w:widowControl w:val="0"/>
        <w:numPr>
          <w:ilvl w:val="0"/>
          <w:numId w:val="37"/>
        </w:numPr>
        <w:shd w:val="clear" w:color="auto" w:fill="auto"/>
        <w:tabs>
          <w:tab w:pos="742" w:val="left"/>
        </w:tabs>
        <w:bidi w:val="0"/>
        <w:spacing w:before="0" w:after="0" w:line="312" w:lineRule="exact"/>
        <w:ind w:left="0" w:right="0" w:firstLine="380"/>
        <w:jc w:val="left"/>
      </w:pPr>
      <w:bookmarkStart w:id="835" w:name="bookmark835"/>
      <w:bookmarkEnd w:id="835"/>
      <w:r>
        <w:rPr>
          <w:color w:val="000000"/>
          <w:spacing w:val="0"/>
          <w:w w:val="100"/>
          <w:position w:val="0"/>
        </w:rPr>
        <w:t>具有完成该无形资产并使用或出售的意图；</w:t>
      </w:r>
    </w:p>
    <w:p>
      <w:pPr>
        <w:pStyle w:val="Style28"/>
        <w:keepNext w:val="0"/>
        <w:keepLines w:val="0"/>
        <w:widowControl w:val="0"/>
        <w:numPr>
          <w:ilvl w:val="0"/>
          <w:numId w:val="37"/>
        </w:numPr>
        <w:shd w:val="clear" w:color="auto" w:fill="auto"/>
        <w:tabs>
          <w:tab w:pos="712" w:val="left"/>
        </w:tabs>
        <w:bidi w:val="0"/>
        <w:spacing w:before="0" w:after="0" w:line="312" w:lineRule="exact"/>
        <w:ind w:left="0" w:right="0" w:firstLine="380"/>
        <w:jc w:val="both"/>
      </w:pPr>
      <w:bookmarkStart w:id="836" w:name="bookmark836"/>
      <w:bookmarkEnd w:id="83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8"/>
        <w:keepNext w:val="0"/>
        <w:keepLines w:val="0"/>
        <w:widowControl w:val="0"/>
        <w:numPr>
          <w:ilvl w:val="0"/>
          <w:numId w:val="37"/>
        </w:numPr>
        <w:shd w:val="clear" w:color="auto" w:fill="auto"/>
        <w:tabs>
          <w:tab w:pos="742" w:val="left"/>
        </w:tabs>
        <w:bidi w:val="0"/>
        <w:spacing w:before="0" w:after="0" w:line="312" w:lineRule="exact"/>
        <w:ind w:left="0" w:right="0" w:firstLine="380"/>
        <w:jc w:val="left"/>
      </w:pPr>
      <w:bookmarkStart w:id="837" w:name="bookmark837"/>
      <w:bookmarkEnd w:id="837"/>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37"/>
        </w:numPr>
        <w:shd w:val="clear" w:color="auto" w:fill="auto"/>
        <w:tabs>
          <w:tab w:pos="742" w:val="left"/>
        </w:tabs>
        <w:bidi w:val="0"/>
        <w:spacing w:before="0" w:after="0" w:line="312" w:lineRule="exact"/>
        <w:ind w:left="0" w:right="0" w:firstLine="380"/>
        <w:jc w:val="left"/>
      </w:pPr>
      <w:bookmarkStart w:id="838" w:name="bookmark838"/>
      <w:bookmarkEnd w:id="838"/>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tabs>
          <w:tab w:pos="472"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3</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39"/>
      <w:bookmarkEnd w:id="840"/>
      <w:bookmarkEnd w:id="842"/>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对于固定资产、在建工程、使用寿命有限的无形资产、以成本模式计量的投资性房地产及对子公司、合营企业、联营企 业的长期股权投资等非流动非金融资产，本集团于资产负债表日判断是否存在减值迹象。如存在减值迹象的，则估计其可收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72"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3</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43"/>
      <w:bookmarkEnd w:id="844"/>
      <w:bookmarkEnd w:id="846"/>
    </w:p>
    <w:p>
      <w:pPr>
        <w:pStyle w:val="Style28"/>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长期待摊费用为已经发生但应由报告期和以后各期负担的分摊期限在一年以上的各项费用。本集团的长期待摊费用主要 包括装修费。长期待摊费用在预计受益期间按直线法摊销。</w:t>
      </w:r>
    </w:p>
    <w:p>
      <w:pPr>
        <w:pStyle w:val="Style32"/>
        <w:keepNext/>
        <w:keepLines/>
        <w:widowControl w:val="0"/>
        <w:shd w:val="clear" w:color="auto" w:fill="auto"/>
        <w:tabs>
          <w:tab w:pos="483" w:val="left"/>
        </w:tabs>
        <w:bidi w:val="0"/>
        <w:spacing w:before="0" w:after="26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3</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47"/>
      <w:bookmarkEnd w:id="848"/>
      <w:bookmarkEnd w:id="850"/>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合同负债，是指本集团已收或应收客户对价而应向客户转让商品的义务。如果在本集团向客户转让商品之前，客户已经 支付了合同对价或本集团已经取得了无条件收款权，本集团在客户实际支付款项和到期应支付款项孰早时点，将该已收或应 收款项列示为合同负债。同一合同下的合同资产和合同负债以净额列示，不同合同下的合同资产和合同负债不予抵销。</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3</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51"/>
      <w:bookmarkEnd w:id="852"/>
      <w:bookmarkEnd w:id="854"/>
    </w:p>
    <w:p>
      <w:pPr>
        <w:pStyle w:val="Style36"/>
        <w:keepNext/>
        <w:keepLines/>
        <w:widowControl w:val="0"/>
        <w:shd w:val="clear" w:color="auto" w:fill="auto"/>
        <w:tabs>
          <w:tab w:pos="493" w:val="left"/>
        </w:tabs>
        <w:bidi w:val="0"/>
        <w:spacing w:before="0" w:after="26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55"/>
      <w:bookmarkEnd w:id="856"/>
      <w:bookmarkEnd w:id="858"/>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经费和职工教育经费、非货币性福利等。本集团在职工为本集团提供服务的会计期间将实际发生的短期职工薪酬确认为负债， 并计入当期损益或相关资产成本。其中非货币性福利按公允价值计量。</w:t>
      </w:r>
    </w:p>
    <w:p>
      <w:pPr>
        <w:pStyle w:val="Style36"/>
        <w:keepNext/>
        <w:keepLines/>
        <w:widowControl w:val="0"/>
        <w:shd w:val="clear" w:color="auto" w:fill="auto"/>
        <w:tabs>
          <w:tab w:pos="493" w:val="left"/>
        </w:tabs>
        <w:bidi w:val="0"/>
        <w:spacing w:before="0" w:after="26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9"/>
      <w:bookmarkEnd w:id="860"/>
      <w:bookmarkEnd w:id="862"/>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离职后福利主要包括基本养老保险、失业保险。离职后福利计划包括设定提存计划。采用设定提存计划的，相应的应缴 存金额于发生时计入相关资产成本或当期损益。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6"/>
          <w:szCs w:val="16"/>
        </w:rPr>
        <w:t>（3）</w:t>
      </w:r>
      <w:r>
        <w:rPr>
          <w:color w:val="000000"/>
          <w:spacing w:val="0"/>
          <w:w w:val="100"/>
          <w:position w:val="0"/>
        </w:rPr>
        <w:t>辞退福利的会计处理方法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在职工劳动合同到期之前解除与职工的劳动关系，或为鼓励职工自愿接受裁减而提出给予补偿的建议，在本集团不能单 方面撤回因解除劳动关系计划或裁减建议所提供的辞退福利时，和本集团确认与涉及支付辞退福利的重组相关的成本两者孰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8"/>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职工内部退休计划采用与上述辞退福利相同的原则处理。本集团将自职工停止提供服务日至正常退休日的期间拟支付的 内退人员工资和缴纳的社会保险费等，在符合预计负债确认条件时，计入当期损益（辞退福利）。</w:t>
      </w:r>
    </w:p>
    <w:p>
      <w:pPr>
        <w:pStyle w:val="Style36"/>
        <w:keepNext/>
        <w:keepLines/>
        <w:widowControl w:val="0"/>
        <w:shd w:val="clear" w:color="auto" w:fill="auto"/>
        <w:bidi w:val="0"/>
        <w:spacing w:before="0" w:after="26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63"/>
      <w:bookmarkEnd w:id="864"/>
      <w:bookmarkEnd w:id="866"/>
    </w:p>
    <w:p>
      <w:pPr>
        <w:pStyle w:val="Style2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本集团向职工提供的其他长期职工福利，符合设定提存计划的，按照设定提存计划进行会计处理，除此之外按照设定受 益计划进行会计处理。</w:t>
      </w:r>
    </w:p>
    <w:p>
      <w:pPr>
        <w:pStyle w:val="Style32"/>
        <w:keepNext/>
        <w:keepLines/>
        <w:widowControl w:val="0"/>
        <w:shd w:val="clear" w:color="auto" w:fill="auto"/>
        <w:tabs>
          <w:tab w:pos="483" w:val="left"/>
        </w:tabs>
        <w:bidi w:val="0"/>
        <w:spacing w:before="0" w:after="38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3</w:t>
      </w:r>
      <w:bookmarkEnd w:id="86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867"/>
      <w:bookmarkEnd w:id="868"/>
      <w:bookmarkEnd w:id="870"/>
    </w:p>
    <w:p>
      <w:pPr>
        <w:pStyle w:val="Style32"/>
        <w:keepNext/>
        <w:keepLines/>
        <w:widowControl w:val="0"/>
        <w:shd w:val="clear" w:color="auto" w:fill="auto"/>
        <w:tabs>
          <w:tab w:pos="483" w:val="left"/>
        </w:tabs>
        <w:bidi w:val="0"/>
        <w:spacing w:before="0" w:after="26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871"/>
      <w:bookmarkEnd w:id="872"/>
      <w:bookmarkEnd w:id="874"/>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当与或有事项相关的义务同时符合以下条件，确认为预计负债：</w:t>
      </w:r>
      <w:r>
        <w:rPr>
          <w:color w:val="000000"/>
          <w:spacing w:val="0"/>
          <w:w w:val="100"/>
          <w:position w:val="0"/>
          <w:sz w:val="16"/>
          <w:szCs w:val="16"/>
        </w:rPr>
        <w:t>（1）</w:t>
      </w:r>
      <w:r>
        <w:rPr>
          <w:color w:val="000000"/>
          <w:spacing w:val="0"/>
          <w:w w:val="100"/>
          <w:position w:val="0"/>
        </w:rPr>
        <w:t>该义务是本集团承担的现时义务；</w:t>
      </w:r>
      <w:r>
        <w:rPr>
          <w:color w:val="000000"/>
          <w:spacing w:val="0"/>
          <w:w w:val="100"/>
          <w:position w:val="0"/>
          <w:sz w:val="16"/>
          <w:szCs w:val="16"/>
        </w:rPr>
        <w:t>（2）</w:t>
      </w:r>
      <w:r>
        <w:rPr>
          <w:color w:val="000000"/>
          <w:spacing w:val="0"/>
          <w:w w:val="100"/>
          <w:position w:val="0"/>
        </w:rPr>
        <w:t>履行该义 务很可能导致经济利益流出；</w:t>
      </w:r>
      <w:r>
        <w:rPr>
          <w:color w:val="000000"/>
          <w:spacing w:val="0"/>
          <w:w w:val="100"/>
          <w:position w:val="0"/>
          <w:sz w:val="16"/>
          <w:szCs w:val="16"/>
        </w:rPr>
        <w:t>（3）</w:t>
      </w:r>
      <w:r>
        <w:rPr>
          <w:color w:val="000000"/>
          <w:spacing w:val="0"/>
          <w:w w:val="100"/>
          <w:position w:val="0"/>
        </w:rPr>
        <w:t>该义务的金额能够可靠地计量。</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sz w:val="16"/>
          <w:szCs w:val="16"/>
        </w:rPr>
        <w:t>（1）</w:t>
      </w:r>
      <w:r>
        <w:rPr>
          <w:color w:val="000000"/>
          <w:spacing w:val="0"/>
          <w:w w:val="100"/>
          <w:position w:val="0"/>
        </w:rPr>
        <w:t>亏损合同</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w:t>
      </w:r>
      <w:r>
        <w:rPr>
          <w:color w:val="000000"/>
          <w:spacing w:val="0"/>
          <w:w w:val="100"/>
          <w:position w:val="0"/>
        </w:rPr>
        <w:t>计负债。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6"/>
          <w:szCs w:val="16"/>
        </w:rPr>
        <w:t>（2）</w:t>
      </w:r>
      <w:r>
        <w:rPr>
          <w:color w:val="000000"/>
          <w:spacing w:val="0"/>
          <w:w w:val="100"/>
          <w:position w:val="0"/>
        </w:rPr>
        <w:t>重组义务</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出确定预计负债金额。对于出售部分业务的重组义务，只有在本集团承诺出售部分业务（即签订了约束性出售协议时），才 确认与重组相关的义务。</w:t>
      </w:r>
    </w:p>
    <w:p>
      <w:pPr>
        <w:pStyle w:val="Style32"/>
        <w:keepNext/>
        <w:keepLines/>
        <w:widowControl w:val="0"/>
        <w:shd w:val="clear" w:color="auto" w:fill="auto"/>
        <w:bidi w:val="0"/>
        <w:spacing w:before="0" w:after="28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3</w:t>
      </w:r>
      <w:bookmarkEnd w:id="877"/>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875"/>
      <w:bookmarkEnd w:id="876"/>
      <w:bookmarkEnd w:id="878"/>
    </w:p>
    <w:p>
      <w:pPr>
        <w:pStyle w:val="Style28"/>
        <w:keepNext w:val="0"/>
        <w:keepLines w:val="0"/>
        <w:widowControl w:val="0"/>
        <w:numPr>
          <w:ilvl w:val="0"/>
          <w:numId w:val="39"/>
        </w:numPr>
        <w:shd w:val="clear" w:color="auto" w:fill="auto"/>
        <w:tabs>
          <w:tab w:pos="651" w:val="left"/>
        </w:tabs>
        <w:bidi w:val="0"/>
        <w:spacing w:before="0" w:after="0" w:line="312" w:lineRule="exact"/>
        <w:ind w:left="0" w:right="0" w:firstLine="380"/>
        <w:jc w:val="both"/>
      </w:pPr>
      <w:bookmarkStart w:id="879" w:name="bookmark879"/>
      <w:bookmarkEnd w:id="879"/>
      <w:r>
        <w:rPr>
          <w:color w:val="000000"/>
          <w:spacing w:val="0"/>
          <w:w w:val="100"/>
          <w:position w:val="0"/>
        </w:rPr>
        <w:t>股份支付的会计处理方法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8"/>
        <w:keepNext w:val="0"/>
        <w:keepLines w:val="0"/>
        <w:widowControl w:val="0"/>
        <w:numPr>
          <w:ilvl w:val="0"/>
          <w:numId w:val="41"/>
        </w:numPr>
        <w:shd w:val="clear" w:color="auto" w:fill="auto"/>
        <w:tabs>
          <w:tab w:pos="718" w:val="left"/>
        </w:tabs>
        <w:bidi w:val="0"/>
        <w:spacing w:before="0" w:after="0" w:line="312" w:lineRule="exact"/>
        <w:ind w:left="0" w:right="0" w:firstLine="380"/>
        <w:jc w:val="both"/>
      </w:pPr>
      <w:bookmarkStart w:id="880" w:name="bookmark880"/>
      <w:bookmarkEnd w:id="880"/>
      <w:r>
        <w:rPr>
          <w:color w:val="000000"/>
          <w:spacing w:val="0"/>
          <w:w w:val="100"/>
          <w:position w:val="0"/>
        </w:rPr>
        <w:t>以权益结算的股份支付</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在等待期内每个资产负债表日，本集团根据最新取得的可行权职工人数变动等后续信息做出最佳估计，修正预计可行权 的权益工具数量。上述估计的影响计入当期相关成本或费用，并相应调整资本公积。</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8"/>
        <w:keepNext w:val="0"/>
        <w:keepLines w:val="0"/>
        <w:widowControl w:val="0"/>
        <w:numPr>
          <w:ilvl w:val="0"/>
          <w:numId w:val="41"/>
        </w:numPr>
        <w:shd w:val="clear" w:color="auto" w:fill="auto"/>
        <w:tabs>
          <w:tab w:pos="718" w:val="left"/>
        </w:tabs>
        <w:bidi w:val="0"/>
        <w:spacing w:before="0" w:after="0" w:line="312" w:lineRule="exact"/>
        <w:ind w:left="0" w:right="0" w:firstLine="380"/>
        <w:jc w:val="both"/>
      </w:pPr>
      <w:bookmarkStart w:id="881" w:name="bookmark881"/>
      <w:bookmarkEnd w:id="881"/>
      <w:r>
        <w:rPr>
          <w:color w:val="000000"/>
          <w:spacing w:val="0"/>
          <w:w w:val="100"/>
          <w:position w:val="0"/>
        </w:rPr>
        <w:t>以现金结算的股份支付</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以现金结算的股份支付，按照本集团承担的以股份或其他权益工具为基础确定的负债的公允价值计量。如授予后立即可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期的每个资产负债表日，以对可行权情况的最佳估计为基础，按照本集团承担负债的公允价值金额，将当期取得的服务计入 成本或费用，相应增加负债。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28"/>
        <w:keepNext w:val="0"/>
        <w:keepLines w:val="0"/>
        <w:widowControl w:val="0"/>
        <w:numPr>
          <w:ilvl w:val="0"/>
          <w:numId w:val="39"/>
        </w:numPr>
        <w:shd w:val="clear" w:color="auto" w:fill="auto"/>
        <w:tabs>
          <w:tab w:pos="661" w:val="left"/>
        </w:tabs>
        <w:bidi w:val="0"/>
        <w:spacing w:before="0" w:after="0" w:line="312" w:lineRule="exact"/>
        <w:ind w:left="0" w:right="0" w:firstLine="380"/>
        <w:jc w:val="both"/>
      </w:pPr>
      <w:bookmarkStart w:id="882" w:name="bookmark882"/>
      <w:bookmarkEnd w:id="882"/>
      <w:r>
        <w:rPr>
          <w:color w:val="000000"/>
          <w:spacing w:val="0"/>
          <w:w w:val="100"/>
          <w:position w:val="0"/>
        </w:rPr>
        <w:t>修改、终止股份支付计划的相关会计处理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28"/>
        <w:keepNext w:val="0"/>
        <w:keepLines w:val="0"/>
        <w:widowControl w:val="0"/>
        <w:numPr>
          <w:ilvl w:val="0"/>
          <w:numId w:val="39"/>
        </w:numPr>
        <w:shd w:val="clear" w:color="auto" w:fill="auto"/>
        <w:tabs>
          <w:tab w:pos="661" w:val="left"/>
        </w:tabs>
        <w:bidi w:val="0"/>
        <w:spacing w:before="0" w:after="0" w:line="312" w:lineRule="exact"/>
        <w:ind w:left="0" w:right="0" w:firstLine="380"/>
        <w:jc w:val="both"/>
      </w:pPr>
      <w:bookmarkStart w:id="883" w:name="bookmark883"/>
      <w:bookmarkEnd w:id="883"/>
      <w:r>
        <w:rPr>
          <w:color w:val="000000"/>
          <w:spacing w:val="0"/>
          <w:w w:val="100"/>
          <w:position w:val="0"/>
        </w:rPr>
        <w:t>涉及本集团与本集团股东或实际控制人的股份支付交易的会计处理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涉及本集团与本公司股东或实际控制人的股份支付交易，结算企业与接受服务企业中其一在本集团内，另一在本集团外 的，在本集团合并财务报表中按照以下规定进行会计处理：</w:t>
      </w:r>
    </w:p>
    <w:p>
      <w:pPr>
        <w:pStyle w:val="Style28"/>
        <w:keepNext w:val="0"/>
        <w:keepLines w:val="0"/>
        <w:widowControl w:val="0"/>
        <w:numPr>
          <w:ilvl w:val="0"/>
          <w:numId w:val="43"/>
        </w:numPr>
        <w:shd w:val="clear" w:color="auto" w:fill="auto"/>
        <w:tabs>
          <w:tab w:pos="693" w:val="left"/>
        </w:tabs>
        <w:bidi w:val="0"/>
        <w:spacing w:before="0" w:after="0" w:line="312" w:lineRule="exact"/>
        <w:ind w:left="0" w:right="0" w:firstLine="380"/>
        <w:jc w:val="both"/>
      </w:pPr>
      <w:bookmarkStart w:id="884" w:name="bookmark884"/>
      <w:bookmarkEnd w:id="884"/>
      <w:r>
        <w:rPr>
          <w:color w:val="000000"/>
          <w:spacing w:val="0"/>
          <w:w w:val="100"/>
          <w:position w:val="0"/>
        </w:rPr>
        <w:t>结算企业以其本身权益工具结算的，将该股份支付交易作为权益结算的股份支付处理；除此之外，作为现金结算的股 份支付处理。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8"/>
        <w:keepNext w:val="0"/>
        <w:keepLines w:val="0"/>
        <w:widowControl w:val="0"/>
        <w:numPr>
          <w:ilvl w:val="0"/>
          <w:numId w:val="43"/>
        </w:numPr>
        <w:shd w:val="clear" w:color="auto" w:fill="auto"/>
        <w:tabs>
          <w:tab w:pos="693" w:val="left"/>
        </w:tabs>
        <w:bidi w:val="0"/>
        <w:spacing w:before="0" w:after="0" w:line="312" w:lineRule="exact"/>
        <w:ind w:left="0" w:right="0" w:firstLine="380"/>
        <w:jc w:val="both"/>
      </w:pPr>
      <w:bookmarkStart w:id="885" w:name="bookmark885"/>
      <w:bookmarkEnd w:id="885"/>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28"/>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本集团内各企业之间发生的股份支付交易，接受服务企业和结算企业不是同一企业的，在接受服务企业和结算企业各自 的个别财务报表中对该股份支付交易的确认和计量，比照上述原则处理。</w:t>
      </w:r>
    </w:p>
    <w:p>
      <w:pPr>
        <w:pStyle w:val="Style32"/>
        <w:keepNext/>
        <w:keepLines/>
        <w:widowControl w:val="0"/>
        <w:shd w:val="clear" w:color="auto" w:fill="auto"/>
        <w:tabs>
          <w:tab w:pos="487" w:val="left"/>
        </w:tabs>
        <w:bidi w:val="0"/>
        <w:spacing w:before="0" w:after="2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3</w:t>
      </w:r>
      <w:bookmarkEnd w:id="88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886"/>
      <w:bookmarkEnd w:id="887"/>
      <w:bookmarkEnd w:id="889"/>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6"/>
          <w:szCs w:val="16"/>
        </w:rPr>
        <w:t>1</w:t>
      </w:r>
      <w:r>
        <w:rPr>
          <w:color w:val="000000"/>
          <w:spacing w:val="0"/>
          <w:w w:val="100"/>
          <w:position w:val="0"/>
        </w:rPr>
        <w:t>、永续债和优先股等的区分</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本集团发行的永续债和优先股等金融工具，同时符合以下条件的，作为权益工具：</w:t>
      </w:r>
    </w:p>
    <w:p>
      <w:pPr>
        <w:pStyle w:val="Style28"/>
        <w:keepNext w:val="0"/>
        <w:keepLines w:val="0"/>
        <w:widowControl w:val="0"/>
        <w:numPr>
          <w:ilvl w:val="0"/>
          <w:numId w:val="45"/>
        </w:numPr>
        <w:shd w:val="clear" w:color="auto" w:fill="auto"/>
        <w:tabs>
          <w:tab w:pos="684" w:val="left"/>
        </w:tabs>
        <w:bidi w:val="0"/>
        <w:spacing w:before="0" w:after="0" w:line="313" w:lineRule="exact"/>
        <w:ind w:left="0" w:right="0" w:firstLine="380"/>
        <w:jc w:val="both"/>
      </w:pPr>
      <w:bookmarkStart w:id="890" w:name="bookmark890"/>
      <w:bookmarkEnd w:id="890"/>
      <w:r>
        <w:rPr>
          <w:color w:val="000000"/>
          <w:spacing w:val="0"/>
          <w:w w:val="100"/>
          <w:position w:val="0"/>
        </w:rPr>
        <w:t>该金融工具不包括交付现金或其他金融资产给其他方，或在潜在不利条件下与其他方交换金融资产或金融负债的合同 义务；</w:t>
      </w:r>
    </w:p>
    <w:p>
      <w:pPr>
        <w:pStyle w:val="Style28"/>
        <w:keepNext w:val="0"/>
        <w:keepLines w:val="0"/>
        <w:widowControl w:val="0"/>
        <w:numPr>
          <w:ilvl w:val="0"/>
          <w:numId w:val="45"/>
        </w:numPr>
        <w:shd w:val="clear" w:color="auto" w:fill="auto"/>
        <w:tabs>
          <w:tab w:pos="684" w:val="left"/>
        </w:tabs>
        <w:bidi w:val="0"/>
        <w:spacing w:before="0" w:after="0" w:line="313" w:lineRule="exact"/>
        <w:ind w:left="0" w:right="0" w:firstLine="380"/>
        <w:jc w:val="both"/>
      </w:pPr>
      <w:bookmarkStart w:id="891" w:name="bookmark891"/>
      <w:bookmarkEnd w:id="891"/>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权益工具进行结算的合同义务；如为衍生工具，则本集团只能通过以固定数量的自身权益工具交换固定金额的现金或其他金 融资产结算该金融工具。</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除按上述条件可归类为权益工具的金融工具以外，本集团发行的其他金融工具应归类为金融负债。</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本集团发行的金融工具为复合金融工具的，按照负债成分的公允价值确认为一项负债，按实际收到的金额扣除负债成分 的公允价值后的金额，确认为“其他权益工具”。发行复合金融工具发生的交易费用，在负债成分和权益成分之间按照各自 占总发行价款的比例进行分摊。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永续债和优先股等的会计处理方法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color w:val="000000"/>
          <w:spacing w:val="0"/>
          <w:w w:val="100"/>
          <w:position w:val="0"/>
          <w:sz w:val="16"/>
          <w:szCs w:val="16"/>
        </w:rPr>
        <w:t>18“</w:t>
      </w:r>
      <w:r>
        <w:rPr>
          <w:color w:val="000000"/>
          <w:spacing w:val="0"/>
          <w:w w:val="100"/>
          <w:position w:val="0"/>
        </w:rPr>
        <w:t>借款费用”）以外，均计入当期损益。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归类为权益工具的永续债和优先股等金融工具，其发行（含再融资）、回购、出售或注销时，本集团作为权益的变动处 理，相关交易费用亦从权益中扣减。本集团对权益工具持有方的分配作为利润分配处理。</w:t>
      </w:r>
    </w:p>
    <w:p>
      <w:pPr>
        <w:pStyle w:val="Style28"/>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本集团不确认权益工具的公允价值变动。</w:t>
      </w:r>
    </w:p>
    <w:p>
      <w:pPr>
        <w:pStyle w:val="Style32"/>
        <w:keepNext/>
        <w:keepLines/>
        <w:widowControl w:val="0"/>
        <w:shd w:val="clear" w:color="auto" w:fill="auto"/>
        <w:tabs>
          <w:tab w:pos="487" w:val="left"/>
        </w:tabs>
        <w:bidi w:val="0"/>
        <w:spacing w:before="0" w:after="2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892"/>
      <w:bookmarkEnd w:id="893"/>
      <w:bookmarkEnd w:id="895"/>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收入确认和计量所采用的会计政策</w:t>
      </w:r>
    </w:p>
    <w:p>
      <w:pPr>
        <w:pStyle w:val="Style28"/>
        <w:keepNext w:val="0"/>
        <w:keepLines w:val="0"/>
        <w:widowControl w:val="0"/>
        <w:numPr>
          <w:ilvl w:val="0"/>
          <w:numId w:val="47"/>
        </w:numPr>
        <w:shd w:val="clear" w:color="auto" w:fill="auto"/>
        <w:bidi w:val="0"/>
        <w:spacing w:before="0" w:after="0" w:line="312" w:lineRule="exact"/>
        <w:ind w:left="0" w:right="0" w:firstLine="380"/>
        <w:jc w:val="both"/>
      </w:pPr>
      <w:bookmarkStart w:id="896" w:name="bookmark896"/>
      <w:bookmarkEnd w:id="896"/>
      <w:r>
        <w:rPr>
          <w:color w:val="000000"/>
          <w:spacing w:val="0"/>
          <w:w w:val="100"/>
          <w:position w:val="0"/>
        </w:rPr>
        <w:t>收入确认原则</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收入，是本集团在日常活动中形成的、会导致股东权益增加的、与股东投入资本无关的经济利益的总流入。本集团与客 户之间的合同同时满足下列条件时，在客户取得相关商品（含劳务，下同）控制权时确认收入：合同各方已批准该合同并承 诺将履行各自义务；合同明确了合同各方与所转让商品或提供劳务相关的权利和义务；合同有明确的与所转让商品相关的支 付条款；合同具有商业实质，即履行该合同将改变本集团未来现金流量的风险、时间分布或金额；本集团因向客户转让商品 而有权取得的对价很可能收回。其中，取得相关商品控制权，是指能够主导该商品的使用并从中获得几乎全部的经济利益。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在合同开始日，本集团识别合同中存在的各单项履约义务，并将交易价格按照各单项履约义务所承诺商品的单独售价的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对于合同中的每个单项履约义务，如果满足下列条件之一的，本集团在相关履约时段内按照履约进度将分摊至该单项履 约义务的交易价格确认为收入：客户在本集团履约的同时即取得并消耗本集团履约所带来的经济利益；客户能够控制本集团 履约过程中在建的商品；本集团履约过程中所产出的商品具有不可替代用途，且本集团在整个合同期间内有权就累计至今已 完成的履约部分收取款项。履约进度根据所转让商品的性质采用投入法或产出法确定，当履约进度不能合理确定时，本集团 已经发生的成本预计能够得到补偿的，按照已经发生的成本金额确认收入，直到履约进度能够合理确定为止。</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6"/>
          <w:szCs w:val="16"/>
        </w:rPr>
        <w:t>2</w:t>
      </w:r>
      <w:r>
        <w:rPr>
          <w:color w:val="000000"/>
          <w:spacing w:val="0"/>
          <w:w w:val="100"/>
          <w:position w:val="0"/>
        </w:rPr>
        <w:t>.收入的具体确认标准</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本集团业务分媒介代理、数字营销、品牌管理、自有媒体、公关活动五类。</w:t>
      </w:r>
    </w:p>
    <w:p>
      <w:pPr>
        <w:pStyle w:val="Style28"/>
        <w:keepNext w:val="0"/>
        <w:keepLines w:val="0"/>
        <w:widowControl w:val="0"/>
        <w:shd w:val="clear" w:color="auto" w:fill="auto"/>
        <w:bidi w:val="0"/>
        <w:spacing w:before="0" w:after="0" w:line="314" w:lineRule="exact"/>
        <w:ind w:left="0" w:right="0" w:firstLine="560"/>
        <w:jc w:val="both"/>
      </w:pPr>
      <w:r>
        <w:rPr>
          <w:color w:val="000000"/>
          <w:spacing w:val="0"/>
          <w:w w:val="100"/>
          <w:position w:val="0"/>
        </w:rPr>
        <w:t>媒介代理业务的具体确认标准：公司按照与客户签订的媒体代理合同约定，在广告发布完毕后，获取与客户对账确认 的广告发布排期单/订单/结算单等，确定销售收入金额可以确定，取得收款权利且相关经济利益很可能流入，服务或产品的 相关成本能够可靠地计量时按照履约进度确认销售收入。</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数字营销业务的具体确认标准，公司按照与客户合同约定的网络媒介代理合同约定，通过广告发布单、广告排期单结算 的广告代理业务，公司在广告发布完毕后，获取与客户对账确认的广告发布排期单/订单/结算单等，确定销售收入金额可以 确定，取得收款权利且相关经济利益很可能流入，服务或产品的相关成本能够可靠地计量时按照履约进度确认销售收入。基 于效果类广告收入，公司在广告投放完成后，实际投放效果达到订单要求后，根据广告发布订单金额确认收入。</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品牌管理业务收入的具体确认标准：公司承接业务后，与其签订品牌代理合同，为客户提供品牌规划、产品整合传播策 略、广告策略、创意、设计、活动策划、市场调研策划与分析等服务。按时、按量、保质的完成各项策划、设计、市场调研 等业务，定期的将所有策划方案及相关建议方案和项目阶段总结以书面形式向客户提呈并确认，经客户考核和确认后，按照 合同约定结算方式分月或阶段收取服务费，确认收入。</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自有媒体业务收入的具体确认标准：公司承接业务后，按照约定确定公司的户外媒体并与客户签订发布合同，由第三方 制作公司安装和上画，客户验收确认。广告发布后，公司业务部门定期监测户外牌的亮灯情况和维护，按合同约定提供亮灯 报告、维护情况等验收报告送客户确认，验收报告经公司和客户共同核实和确认后，按照合同约定上刊期间分期确认收入。</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公关活动业务收入的具体确认标准：公司公关活动业务在相关的广告或商业行为开始出现于公众面前时并经客户验收后 确认收入。</w:t>
      </w:r>
    </w:p>
    <w:p>
      <w:pPr>
        <w:pStyle w:val="Style28"/>
        <w:keepNext w:val="0"/>
        <w:keepLines w:val="0"/>
        <w:widowControl w:val="0"/>
        <w:shd w:val="clear" w:color="auto" w:fill="auto"/>
        <w:bidi w:val="0"/>
        <w:spacing w:before="0" w:after="400" w:line="316" w:lineRule="exact"/>
        <w:ind w:left="0" w:right="0" w:firstLine="380"/>
        <w:jc w:val="both"/>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bidi w:val="0"/>
        <w:spacing w:before="0" w:after="26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4</w:t>
      </w:r>
      <w:bookmarkEnd w:id="89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897"/>
      <w:bookmarkEnd w:id="898"/>
      <w:bookmarkEnd w:id="900"/>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政府补助是指本集团从政府无偿取得货币性资产和非货币性资产，不包括政府以投资者身份并享有相应所有者权益而投 入的资本。政府补助分为与资产相关的政府补助和与收益相关的政府补助。本集团将所取得的用于购建或以其他方式形成长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color w:val="000000"/>
          <w:spacing w:val="0"/>
          <w:w w:val="100"/>
          <w:position w:val="0"/>
          <w:sz w:val="16"/>
          <w:szCs w:val="16"/>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color w:val="000000"/>
          <w:spacing w:val="0"/>
          <w:w w:val="100"/>
          <w:position w:val="0"/>
          <w:sz w:val="16"/>
          <w:szCs w:val="16"/>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sz w:val="16"/>
          <w:szCs w:val="16"/>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sz w:val="16"/>
          <w:szCs w:val="16"/>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sz w:val="16"/>
          <w:szCs w:val="16"/>
        </w:rPr>
        <w:t>（3）</w:t>
      </w:r>
      <w:r>
        <w:rPr>
          <w:color w:val="000000"/>
          <w:spacing w:val="0"/>
          <w:w w:val="100"/>
          <w:position w:val="0"/>
        </w:rPr>
        <w:t>相关的补助款批文中已明确承诺了拨付期限，且该款项的拨付是有相应财政预算作为保障 的，因而可以合理保证其可在规定期限内收到；</w:t>
      </w:r>
      <w:r>
        <w:rPr>
          <w:color w:val="000000"/>
          <w:spacing w:val="0"/>
          <w:w w:val="100"/>
          <w:position w:val="0"/>
          <w:sz w:val="16"/>
          <w:szCs w:val="16"/>
        </w:rPr>
        <w:t>（4）</w:t>
      </w:r>
      <w:r>
        <w:rPr>
          <w:color w:val="000000"/>
          <w:spacing w:val="0"/>
          <w:w w:val="100"/>
          <w:position w:val="0"/>
        </w:rPr>
        <w:t>根据本集团和该补助事项的具体情况，应满足的其他相关条件（如有）。</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与资产相关的政府补助，确认为递延收益，并在相关资产的使用寿命内按照合理、系统的方法分期计入当期损益或冲减 相关资产的账面价值。与收益相关的政府补助，用于补偿以后期间的相关成本费用或损失的，确认为递延收益，并在确认相 关成本费用或损失的期间计入当期损益或冲减相关成本费用；用于补偿已经发生的相关成本费用或损失的，直接计入当期损 益或冲减相关成本费用。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与本集团日常活动相关的政府补助，按照经济业务的实质，计入其他收益或冲减相关成本费用；与日常活动无关的政府 </w:t>
      </w:r>
      <w:r>
        <w:rPr>
          <w:color w:val="000000"/>
          <w:spacing w:val="0"/>
          <w:w w:val="100"/>
          <w:position w:val="0"/>
        </w:rPr>
        <w:t>补助，计入营业外收支。</w:t>
      </w:r>
    </w:p>
    <w:p>
      <w:pPr>
        <w:pStyle w:val="Style28"/>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已确认的政府补助需要退回时，存在相关递延收益余额的，冲减相关递延收益账面余额，超出部分计入当期损益或对初 始确认时冲减相关资产账面价值的与资产相关的政府补助调整资产账面价值；属于其他情况的，直接计入当期损益。</w:t>
      </w:r>
    </w:p>
    <w:p>
      <w:pPr>
        <w:pStyle w:val="Style32"/>
        <w:keepNext/>
        <w:keepLines/>
        <w:widowControl w:val="0"/>
        <w:shd w:val="clear" w:color="auto" w:fill="auto"/>
        <w:bidi w:val="0"/>
        <w:spacing w:before="0" w:after="2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4</w:t>
      </w:r>
      <w:bookmarkEnd w:id="90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1"/>
      <w:bookmarkEnd w:id="902"/>
      <w:bookmarkEnd w:id="904"/>
    </w:p>
    <w:p>
      <w:pPr>
        <w:pStyle w:val="Style28"/>
        <w:keepNext w:val="0"/>
        <w:keepLines w:val="0"/>
        <w:widowControl w:val="0"/>
        <w:numPr>
          <w:ilvl w:val="0"/>
          <w:numId w:val="49"/>
        </w:numPr>
        <w:shd w:val="clear" w:color="auto" w:fill="auto"/>
        <w:tabs>
          <w:tab w:pos="640" w:val="left"/>
        </w:tabs>
        <w:bidi w:val="0"/>
        <w:spacing w:before="0" w:after="0" w:line="312" w:lineRule="exact"/>
        <w:ind w:left="0" w:right="0" w:firstLine="380"/>
        <w:jc w:val="both"/>
      </w:pPr>
      <w:bookmarkStart w:id="905" w:name="bookmark905"/>
      <w:bookmarkEnd w:id="905"/>
      <w:r>
        <w:rPr>
          <w:color w:val="000000"/>
          <w:spacing w:val="0"/>
          <w:w w:val="100"/>
          <w:position w:val="0"/>
        </w:rPr>
        <w:t>当期所得税</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8"/>
        <w:keepNext w:val="0"/>
        <w:keepLines w:val="0"/>
        <w:widowControl w:val="0"/>
        <w:numPr>
          <w:ilvl w:val="0"/>
          <w:numId w:val="49"/>
        </w:numPr>
        <w:shd w:val="clear" w:color="auto" w:fill="auto"/>
        <w:tabs>
          <w:tab w:pos="650" w:val="left"/>
        </w:tabs>
        <w:bidi w:val="0"/>
        <w:spacing w:before="0" w:after="0" w:line="312" w:lineRule="exact"/>
        <w:ind w:left="0" w:right="0" w:firstLine="380"/>
        <w:jc w:val="both"/>
      </w:pPr>
      <w:bookmarkStart w:id="906" w:name="bookmark906"/>
      <w:bookmarkEnd w:id="906"/>
      <w:r>
        <w:rPr>
          <w:color w:val="000000"/>
          <w:spacing w:val="0"/>
          <w:w w:val="100"/>
          <w:position w:val="0"/>
        </w:rPr>
        <w:t>递延所得税资产及递延所得税负债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所得额，不予确认有关的递延所得税资产。除上述例外情况，本集团以很可能取得用来抵扣可抵扣暂时性差异的应纳税所得 额为限，确认其他可抵扣暂时性差异产生的递延所得税资产。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8"/>
        <w:keepNext w:val="0"/>
        <w:keepLines w:val="0"/>
        <w:widowControl w:val="0"/>
        <w:numPr>
          <w:ilvl w:val="0"/>
          <w:numId w:val="49"/>
        </w:numPr>
        <w:shd w:val="clear" w:color="auto" w:fill="auto"/>
        <w:tabs>
          <w:tab w:pos="650" w:val="left"/>
        </w:tabs>
        <w:bidi w:val="0"/>
        <w:spacing w:before="0" w:after="0" w:line="312" w:lineRule="exact"/>
        <w:ind w:left="0" w:right="0" w:firstLine="380"/>
        <w:jc w:val="both"/>
      </w:pPr>
      <w:bookmarkStart w:id="907" w:name="bookmark907"/>
      <w:bookmarkEnd w:id="907"/>
      <w:r>
        <w:rPr>
          <w:color w:val="000000"/>
          <w:spacing w:val="0"/>
          <w:w w:val="100"/>
          <w:position w:val="0"/>
        </w:rPr>
        <w:t>所得税费用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8"/>
        <w:keepNext w:val="0"/>
        <w:keepLines w:val="0"/>
        <w:widowControl w:val="0"/>
        <w:numPr>
          <w:ilvl w:val="0"/>
          <w:numId w:val="49"/>
        </w:numPr>
        <w:shd w:val="clear" w:color="auto" w:fill="auto"/>
        <w:tabs>
          <w:tab w:pos="654" w:val="left"/>
        </w:tabs>
        <w:bidi w:val="0"/>
        <w:spacing w:before="0" w:after="0" w:line="312" w:lineRule="exact"/>
        <w:ind w:left="0" w:right="0" w:firstLine="380"/>
        <w:jc w:val="both"/>
      </w:pPr>
      <w:bookmarkStart w:id="908" w:name="bookmark908"/>
      <w:bookmarkEnd w:id="908"/>
      <w:r>
        <w:rPr>
          <w:color w:val="000000"/>
          <w:spacing w:val="0"/>
          <w:w w:val="100"/>
          <w:position w:val="0"/>
        </w:rPr>
        <w:t>所得税的抵销</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32"/>
        <w:keepNext/>
        <w:keepLines/>
        <w:widowControl w:val="0"/>
        <w:shd w:val="clear" w:color="auto" w:fill="auto"/>
        <w:tabs>
          <w:tab w:pos="483" w:val="left"/>
        </w:tabs>
        <w:bidi w:val="0"/>
        <w:spacing w:before="0" w:after="3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4</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09"/>
      <w:bookmarkEnd w:id="910"/>
      <w:bookmarkEnd w:id="912"/>
    </w:p>
    <w:p>
      <w:pPr>
        <w:pStyle w:val="Style36"/>
        <w:keepNext/>
        <w:keepLines/>
        <w:widowControl w:val="0"/>
        <w:shd w:val="clear" w:color="auto" w:fill="auto"/>
        <w:tabs>
          <w:tab w:pos="493" w:val="left"/>
        </w:tabs>
        <w:bidi w:val="0"/>
        <w:spacing w:before="0" w:after="20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13"/>
      <w:bookmarkEnd w:id="914"/>
      <w:bookmarkEnd w:id="916"/>
    </w:p>
    <w:p>
      <w:pPr>
        <w:pStyle w:val="Style28"/>
        <w:keepNext w:val="0"/>
        <w:keepLines w:val="0"/>
        <w:widowControl w:val="0"/>
        <w:numPr>
          <w:ilvl w:val="0"/>
          <w:numId w:val="51"/>
        </w:numPr>
        <w:shd w:val="clear" w:color="auto" w:fill="auto"/>
        <w:tabs>
          <w:tab w:pos="728" w:val="left"/>
        </w:tabs>
        <w:bidi w:val="0"/>
        <w:spacing w:before="0" w:after="0" w:line="346" w:lineRule="exact"/>
        <w:ind w:left="0" w:right="0" w:firstLine="380"/>
        <w:jc w:val="both"/>
      </w:pPr>
      <w:bookmarkStart w:id="917" w:name="bookmark917"/>
      <w:bookmarkEnd w:id="917"/>
      <w:r>
        <w:rPr>
          <w:color w:val="000000"/>
          <w:spacing w:val="0"/>
          <w:w w:val="100"/>
          <w:position w:val="0"/>
        </w:rPr>
        <w:t>本公司作为经营租赁承租人时，经营租赁的租金支出在租赁期内的各个期间按直线法计入相关资产成本或当期损益。 初始直接费用计入当期损益。或有租金于实际发生时计入当期损益。</w:t>
      </w:r>
    </w:p>
    <w:p>
      <w:pPr>
        <w:pStyle w:val="Style28"/>
        <w:keepNext w:val="0"/>
        <w:keepLines w:val="0"/>
        <w:widowControl w:val="0"/>
        <w:numPr>
          <w:ilvl w:val="0"/>
          <w:numId w:val="51"/>
        </w:numPr>
        <w:shd w:val="clear" w:color="auto" w:fill="auto"/>
        <w:tabs>
          <w:tab w:pos="728" w:val="left"/>
        </w:tabs>
        <w:bidi w:val="0"/>
        <w:spacing w:before="0" w:after="380" w:line="329" w:lineRule="exact"/>
        <w:ind w:left="0" w:right="0" w:firstLine="380"/>
        <w:jc w:val="both"/>
      </w:pPr>
      <w:bookmarkStart w:id="918" w:name="bookmark918"/>
      <w:bookmarkEnd w:id="918"/>
      <w:r>
        <w:rPr>
          <w:color w:val="000000"/>
          <w:spacing w:val="0"/>
          <w:w w:val="100"/>
          <w:position w:val="0"/>
        </w:rPr>
        <w:t>本公司作为经营租赁出租人时，经营租赁的租金收入在租赁期内的各个期间按直线法确认为当期损益。对金额较大的 初始直接费用于发生时予以资本化，在整个租赁期间内按照与确认租金收入相同的基础分期计入当期损益；其他金额较小的 初始直接费用于发生时计入当期损益。或有租金于实际发生时计入当期损益。</w:t>
      </w:r>
    </w:p>
    <w:p>
      <w:pPr>
        <w:pStyle w:val="Style36"/>
        <w:keepNext/>
        <w:keepLines/>
        <w:widowControl w:val="0"/>
        <w:shd w:val="clear" w:color="auto" w:fill="auto"/>
        <w:tabs>
          <w:tab w:pos="493" w:val="left"/>
        </w:tabs>
        <w:bidi w:val="0"/>
        <w:spacing w:before="0" w:after="26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19"/>
      <w:bookmarkEnd w:id="920"/>
      <w:bookmarkEnd w:id="922"/>
    </w:p>
    <w:p>
      <w:pPr>
        <w:pStyle w:val="Style28"/>
        <w:keepNext w:val="0"/>
        <w:keepLines w:val="0"/>
        <w:widowControl w:val="0"/>
        <w:numPr>
          <w:ilvl w:val="0"/>
          <w:numId w:val="53"/>
        </w:numPr>
        <w:shd w:val="clear" w:color="auto" w:fill="auto"/>
        <w:tabs>
          <w:tab w:pos="733" w:val="left"/>
        </w:tabs>
        <w:bidi w:val="0"/>
        <w:spacing w:before="0" w:after="0" w:line="320" w:lineRule="exact"/>
        <w:ind w:left="0" w:right="0" w:firstLine="380"/>
        <w:jc w:val="both"/>
      </w:pPr>
      <w:bookmarkStart w:id="923" w:name="bookmark923"/>
      <w:bookmarkEnd w:id="923"/>
      <w:r>
        <w:rPr>
          <w:color w:val="000000"/>
          <w:spacing w:val="0"/>
          <w:w w:val="100"/>
          <w:position w:val="0"/>
        </w:rPr>
        <w:t>本公司作为融资租赁承租人时，于租赁期开始日，将租赁开始日租赁资产的公允价值与最低租赁付款额现值两者中较 低者作为租入资产的入账价值，将最低租赁付款额作为长期应付款的入账价值，其差额作为未确认融资费用。此外，在租赁 谈判和签订租赁合同过程中发生的，可归属于租赁项目的初始直接费用也计入租入资产价值。最低租赁付款额扣除未确认融 资费用后的余额分别长期负债和一年内到期的长期负债列示。</w:t>
      </w:r>
    </w:p>
    <w:p>
      <w:pPr>
        <w:pStyle w:val="Style28"/>
        <w:keepNext w:val="0"/>
        <w:keepLines w:val="0"/>
        <w:widowControl w:val="0"/>
        <w:shd w:val="clear" w:color="auto" w:fill="auto"/>
        <w:bidi w:val="0"/>
        <w:spacing w:before="0" w:after="0" w:line="320" w:lineRule="exact"/>
        <w:ind w:left="0" w:right="0" w:firstLine="380"/>
        <w:jc w:val="left"/>
      </w:pPr>
      <w:r>
        <w:rPr>
          <w:color w:val="000000"/>
          <w:spacing w:val="0"/>
          <w:w w:val="100"/>
          <w:position w:val="0"/>
        </w:rPr>
        <w:t>未确认融资费用在租赁期内采用实际利率法计算确认当期的融资费用。或有租金于实际发生时计入当期损益。</w:t>
      </w:r>
    </w:p>
    <w:p>
      <w:pPr>
        <w:pStyle w:val="Style28"/>
        <w:keepNext w:val="0"/>
        <w:keepLines w:val="0"/>
        <w:widowControl w:val="0"/>
        <w:numPr>
          <w:ilvl w:val="0"/>
          <w:numId w:val="53"/>
        </w:numPr>
        <w:shd w:val="clear" w:color="auto" w:fill="auto"/>
        <w:tabs>
          <w:tab w:pos="728" w:val="left"/>
        </w:tabs>
        <w:bidi w:val="0"/>
        <w:spacing w:before="0" w:after="0" w:line="324" w:lineRule="exact"/>
        <w:ind w:left="0" w:right="0" w:firstLine="380"/>
        <w:jc w:val="both"/>
      </w:pPr>
      <w:bookmarkStart w:id="924" w:name="bookmark924"/>
      <w:bookmarkEnd w:id="924"/>
      <w:r>
        <w:rPr>
          <w:color w:val="000000"/>
          <w:spacing w:val="0"/>
          <w:w w:val="100"/>
          <w:position w:val="0"/>
        </w:rPr>
        <w:t>本公司作为融资租赁出租人时，于租赁期开始日，将租赁开始日最低租赁收款额与初始直接费用之和作为应收融资租 赁款的入账价值，同时记录未担保余值；将最低租赁收款额、初始直接费用及未担保余值之和与其现值之和的差额确认为未 实现融资收益。应收融资租赁款扣除未实现融资收益后的余额分别长期债权和一年内到期的长期债权列示。</w:t>
      </w:r>
    </w:p>
    <w:p>
      <w:pPr>
        <w:pStyle w:val="Style28"/>
        <w:keepNext w:val="0"/>
        <w:keepLines w:val="0"/>
        <w:widowControl w:val="0"/>
        <w:shd w:val="clear" w:color="auto" w:fill="auto"/>
        <w:bidi w:val="0"/>
        <w:spacing w:before="0" w:after="380" w:line="324" w:lineRule="exact"/>
        <w:ind w:left="0" w:right="0" w:firstLine="380"/>
        <w:jc w:val="left"/>
      </w:pPr>
      <w:r>
        <w:rPr>
          <w:color w:val="000000"/>
          <w:spacing w:val="0"/>
          <w:w w:val="100"/>
          <w:position w:val="0"/>
        </w:rPr>
        <w:t>未实现融资收益在租赁期内采用实际利率法计算确认当期的融资收入。或有租金于实际发生时计入当期损益。</w:t>
      </w:r>
    </w:p>
    <w:p>
      <w:pPr>
        <w:pStyle w:val="Style32"/>
        <w:keepNext/>
        <w:keepLines/>
        <w:widowControl w:val="0"/>
        <w:shd w:val="clear" w:color="auto" w:fill="auto"/>
        <w:tabs>
          <w:tab w:pos="483"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4</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25"/>
      <w:bookmarkEnd w:id="926"/>
      <w:bookmarkEnd w:id="928"/>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终止经营</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终止经营，是指满足下列条件之一的、能够单独区分且已被本集团处置或划分为持有待售类别的组成部分：①该组成部 分代表一项独立的主要业务或一个单独的主要经营地区；②该组成部分是拟对一项独立的主要业务或一个单独的主要经营地 区进行处置的一项相关联计划的一部分；③该组成部分是专为了转售而取得的子公司。</w:t>
      </w:r>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终止经营的会计处理方法参见本附注五、</w:t>
      </w:r>
      <w:r>
        <w:rPr>
          <w:color w:val="000000"/>
          <w:spacing w:val="0"/>
          <w:w w:val="100"/>
          <w:position w:val="0"/>
          <w:sz w:val="16"/>
          <w:szCs w:val="16"/>
        </w:rPr>
        <w:t xml:space="preserve">18 </w:t>
      </w:r>
      <w:r>
        <w:rPr>
          <w:color w:val="000000"/>
          <w:spacing w:val="0"/>
          <w:w w:val="100"/>
          <w:position w:val="0"/>
        </w:rPr>
        <w:t>“持有待售资产”相关描述。</w:t>
      </w:r>
    </w:p>
    <w:p>
      <w:pPr>
        <w:pStyle w:val="Style32"/>
        <w:keepNext/>
        <w:keepLines/>
        <w:widowControl w:val="0"/>
        <w:shd w:val="clear" w:color="auto" w:fill="auto"/>
        <w:tabs>
          <w:tab w:pos="483" w:val="left"/>
        </w:tabs>
        <w:bidi w:val="0"/>
        <w:spacing w:before="0" w:after="3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4</w:t>
      </w:r>
      <w:bookmarkEnd w:id="93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29"/>
      <w:bookmarkEnd w:id="930"/>
      <w:bookmarkEnd w:id="932"/>
    </w:p>
    <w:p>
      <w:pPr>
        <w:pStyle w:val="Style36"/>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3"/>
      <w:bookmarkEnd w:id="934"/>
      <w:bookmarkEnd w:id="93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根据财政部《关于修订印发〈企业会计 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收入〉的通知》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财会 </w:t>
            </w:r>
            <w:r>
              <w:rPr>
                <w:color w:val="000000"/>
                <w:spacing w:val="0"/>
                <w:w w:val="100"/>
                <w:position w:val="0"/>
                <w:sz w:val="18"/>
                <w:szCs w:val="18"/>
              </w:rPr>
              <w:t>[2017]22</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（以下简称新收入准则）</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要求境内上市公司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 起执行。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经本公司第五届董事会第二次会议决议 通过，本公司于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日起开 始执行新收入准则。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新收入准则为规范与客户之间的合同产 生的收入建立了新的收入确认模型。为 执行新收入准则，本集团重新评估主要 合同收入的确认和计量、核算和列报等 方面。根据新收入准则的规定，选择仅 对在</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日尚未完成的合同的 累积影响数进行调整。首次执行的累积 影响金额调整首次执行当期期初（即</w:t>
            </w:r>
          </w:p>
        </w:tc>
      </w:tr>
    </w:tbl>
    <w:p>
      <w:pPr>
        <w:spacing w:lineRule="exact" w:line="1"/>
        <w:rPr>
          <w:sz w:val="2"/>
          <w:szCs w:val="2"/>
        </w:rPr>
      </w:pPr>
      <w:r>
        <w:br w:type="page"/>
      </w:r>
    </w:p>
    <w:tbl>
      <w:tblPr>
        <w:tblOverlap w:val="never"/>
        <w:jc w:val="center"/>
        <w:tblLayout w:type="fixed"/>
      </w:tblPr>
      <w:tblGrid>
        <w:gridCol w:w="3202"/>
        <w:gridCol w:w="3187"/>
        <w:gridCol w:w="3197"/>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日）的留存收益及财务报 表其他相关项目金额，对可比期间信息 不予调整。</w:t>
            </w:r>
          </w:p>
        </w:tc>
      </w:tr>
    </w:tbl>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执行新收入准则的主要变化和影响如下：</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――本集团将因转让商品而预先收取客户的合同对价从“预收账款”项目变更为“合同负债”、“其他流动负债”项目 列报。</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――本集团的一些应收款项不满足无条件（即：仅取决于时间流逝）向客户收取对价的条件，本集团将其重分类列报为 合同资产。</w:t>
      </w:r>
    </w:p>
    <w:p>
      <w:pPr>
        <w:pStyle w:val="Style28"/>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――本集团将一些尚不满足收入确认条件而为履行合同发生的成本，本集团将其重分类列报为合同履约成本。</w:t>
      </w:r>
    </w:p>
    <w:p>
      <w:pPr>
        <w:pStyle w:val="Style36"/>
        <w:keepNext/>
        <w:keepLines/>
        <w:widowControl w:val="0"/>
        <w:shd w:val="clear" w:color="auto" w:fill="auto"/>
        <w:tabs>
          <w:tab w:pos="493" w:val="left"/>
        </w:tabs>
        <w:bidi w:val="0"/>
        <w:spacing w:before="0" w:line="240" w:lineRule="auto"/>
        <w:ind w:left="0" w:right="0" w:firstLine="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37"/>
      <w:bookmarkEnd w:id="938"/>
      <w:bookmarkEnd w:id="940"/>
    </w:p>
    <w:p>
      <w:pPr>
        <w:pStyle w:val="Style28"/>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6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41"/>
      <w:bookmarkEnd w:id="942"/>
      <w:bookmarkEnd w:id="944"/>
    </w:p>
    <w:p>
      <w:pPr>
        <w:pStyle w:val="Style28"/>
        <w:keepNext w:val="0"/>
        <w:keepLines w:val="0"/>
        <w:widowControl w:val="0"/>
        <w:shd w:val="clear" w:color="auto" w:fill="auto"/>
        <w:bidi w:val="0"/>
        <w:spacing w:before="0" w:after="60" w:line="312" w:lineRule="exact"/>
        <w:ind w:left="0" w:right="0" w:firstLine="0"/>
        <w:jc w:val="both"/>
      </w:pPr>
      <w:r>
        <w:rPr>
          <w:color w:val="000000"/>
          <w:spacing w:val="0"/>
          <w:w w:val="100"/>
          <w:position w:val="0"/>
        </w:rPr>
        <w:t>适用</w:t>
      </w:r>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合并资产负债表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1,399,472,646.45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1,399,472,646.45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2,063,563.40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2,063,563.40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2,518,633,213.87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2,496,535,298.99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-22,097,914.88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164,105,358.25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164,105,358.25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613,504,695.29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411,217,531.99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-202,287,163.30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282,649,474.09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282,649,474.09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22,097,914.88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22,097,914.88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202,287,163.30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202,287,163.30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14,010,497.96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14,010,497.96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94,815,291.50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94,815,291.50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5,100,156,084.81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5,100,156,084.81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713,093,290.68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713,093,290.68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47,999,226.12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47,999,226.12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264,219,603.60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264,219,603.60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681,482,449.95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681,482,449.95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87,894,111.88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87,894,111.88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1,680,131,420.49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1,680,131,420.49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17,047,579.00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17,047,579.00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106,903,342.74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106,903,342.74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3,660,271,024.46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3,660,271,024.46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8,760,427,109.27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8,760,427,109.27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601,694,913.68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601,694,913.68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89,521,421.65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89,521,421.65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1,560,748,458.58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1,560,748,458.58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295,458,045.38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-295,458,045.38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289,091,328.43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289,091,328.43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119,385,442.85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119,385,442.85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125,252,994.05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125,252,994.05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91,943,444.01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91,943,444.01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16,235,088.67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16,235,088.67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68,993,611.98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75,360,328.93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6,366,716.95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2,952,998,332.18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2,952,998,332.18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175,468,590.71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175,468,590.71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17,427,101.05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17,427,101.05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193,362,358.12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193,362,358.12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3,146,360,690.30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3,146,360,690.30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1,743,337,128.00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1,743,337,128.00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1,404,862,715.35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1,404,862,715.35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73,679,813.54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73,679,813.54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171,592,134.30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171,592,134.30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1,985,493,591.27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1,985,493,591.27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5,378,965,382.46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5,378,965,382.46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235,101,036.51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235,101,036.51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5,614,066,418.97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5,614,066,418.97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8,760,427,109.27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8,760,427,109.27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line="323"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日颁布了《关于修订印发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号），要求在 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日起执行新收入准则，根据准则规定， 首次执行本准则的累积影响数，调整期初留存收益及财务报表其他相关项目金额，对可比期间信息不予调整。执行新收入准 则预计不会对公司经营成果产生重大影响，亦不会导致本公司收入确认方式发生重大变化，不会对财务报表产生重大影响。 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986,713,243.87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986,713,243.87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764,706,565.37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764,706,565.37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107,964,889.80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107,964,889.80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159,284,673.38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91,599,254.67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445,350,363.07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445,350,363.07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1,320,153.97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126,557,200.19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126,557,200.19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14,010,497.96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14,010,497.96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15,402,790.39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83,088,209.10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2,493,433,023.84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2,493,433,023.84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3,537,773,806.71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3,537,773,806.71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19,203,585.33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19,203,585.33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263,196,729.60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263,196,729.60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673,997,082.20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673,997,082.20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37,068,480.42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37,068,480.42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1,510,797.95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1,510,797.95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64,238,317.35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64,238,317.35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4,658,488,799.56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4,658,488,799.56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7,151,921,823.40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7,151,921,823.40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553,600,626.25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553,600,626.25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768,060,334.12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768,060,334.12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244,405,737.11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-244,405,737.11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244,405,737.11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244,405,737.11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78,520,089.15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78,520,089.15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47,338,170.63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47,338,170.63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180,966,640.93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180,966,640.93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2,814,812.52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2,814,812.52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31,725,953.30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31,725,953.30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1,986,067,551.49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1,986,067,551.49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173,719,980.71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173,719,980.71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14,732,796.97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14,732,796.97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188,919,444.04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188,919,444.04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2,174,986,995.53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2,174,986,995.53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1,743,337,128.00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1,743,337,128.00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1,936,131,890.88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1,936,131,890.88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74,732,130.29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74,732,130.29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171,592,134.30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171,592,134.30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1,051,141,544.40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1,051,141,544.40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4,976,934,827.87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4,976,934,827.87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7,151,921,823.40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7,151,921,823.40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38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日颁布了《关于修订印发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号），要求在 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日起执行新收入准则，根据准则规定， 首次执行本准则的累积影响数，调整期初留存收益及财务报表其他相关项目金额，对可比期间信息不予调整。执行新收入准 则预计不会对公司经营成果产生重大影响，亦不会导致本公司收入确认方式发生重大变化，不会对财务报表产生重大影响。</w:t>
      </w:r>
    </w:p>
    <w:p>
      <w:pPr>
        <w:pStyle w:val="Style36"/>
        <w:keepNext/>
        <w:keepLines/>
        <w:widowControl w:val="0"/>
        <w:shd w:val="clear" w:color="auto" w:fill="auto"/>
        <w:bidi w:val="0"/>
        <w:spacing w:before="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45"/>
      <w:bookmarkEnd w:id="946"/>
      <w:bookmarkEnd w:id="948"/>
    </w:p>
    <w:p>
      <w:pPr>
        <w:pStyle w:val="Style28"/>
        <w:keepNext w:val="0"/>
        <w:keepLines w:val="0"/>
        <w:widowControl w:val="0"/>
        <w:shd w:val="clear" w:color="auto" w:fill="auto"/>
        <w:bidi w:val="0"/>
        <w:spacing w:before="0" w:after="30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49"/>
      <w:bookmarkEnd w:id="950"/>
      <w:bookmarkEnd w:id="951"/>
    </w:p>
    <w:p>
      <w:pPr>
        <w:pStyle w:val="Style24"/>
        <w:keepNext/>
        <w:keepLines/>
        <w:widowControl w:val="0"/>
        <w:shd w:val="clear" w:color="auto" w:fill="auto"/>
        <w:bidi w:val="0"/>
        <w:spacing w:before="0" w:after="38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六</w:t>
      </w:r>
      <w:bookmarkEnd w:id="954"/>
      <w:r>
        <w:rPr>
          <w:color w:val="000000"/>
          <w:spacing w:val="0"/>
          <w:w w:val="100"/>
          <w:position w:val="0"/>
        </w:rPr>
        <w:t>、税项</w:t>
      </w:r>
      <w:bookmarkEnd w:id="952"/>
      <w:bookmarkEnd w:id="953"/>
      <w:bookmarkEnd w:id="955"/>
    </w:p>
    <w:p>
      <w:pPr>
        <w:pStyle w:val="Style32"/>
        <w:keepNext/>
        <w:keepLines/>
        <w:widowControl w:val="0"/>
        <w:shd w:val="clear" w:color="auto" w:fill="auto"/>
        <w:bidi w:val="0"/>
        <w:spacing w:before="0" w:after="30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color w:val="000000"/>
          <w:spacing w:val="0"/>
          <w:w w:val="100"/>
          <w:position w:val="0"/>
        </w:rPr>
        <w:t>、主要税种及税率</w:t>
      </w:r>
      <w:bookmarkEnd w:id="956"/>
      <w:bookmarkEnd w:id="957"/>
      <w:bookmarkEnd w:id="95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纳税人提供应税服务（文化创意服务的 广告服务），应按照财税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36</w:t>
            </w:r>
            <w:r>
              <w:rPr>
                <w:rFonts w:ascii="SimSun" w:eastAsia="SimSun" w:hAnsi="SimSun" w:cs="SimSun"/>
                <w:color w:val="000000"/>
                <w:spacing w:val="0"/>
                <w:w w:val="100"/>
                <w:position w:val="0"/>
                <w:sz w:val="17"/>
                <w:szCs w:val="17"/>
              </w:rPr>
              <w:t>号文 的规定依法缴纳增值税，一般纳税人发 生应税行为适用一般计税方法计税，一 般计税方法的应纳税额，是指当期销项 税额抵扣当期进项税额后的余额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或适用税率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提供增值税应税服务（广告业）取得的 含税销售额（可扣除含税发布成本）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免征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房产原值的</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房产租赁收入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成都经典视线广告传媒有限公司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烟台经典视线广告传媒有限公司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福建经典视线文化传播有限公司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上海窗之外广告有限公司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上海窗外广告有限公司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北京北方窗外广告传媒有限公司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上海窗之景广告有限公司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南京金海洋窗之景广告有限公司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深圳经典视线文化传播有限公司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海南经典视线广告传媒有限公司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广东广旭整合营销传播有限公司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北京合力唯胜体育发展有限公司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省广易为（上海）文化传媒有限公司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沈阳地铁易为传媒有限公司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省广先锋（青岛）广告有限公司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北京领先世广广告有限公司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青岛慧河广告有限公司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上海美瀛联媒文化传播有限公司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省广合众（北京）国际传媒广告有限公司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省广合众文化传媒有限公司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广东广佛地铁广告资源经营有限公司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上海泛觉数字科技有限公司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广州韵翔广告有限公司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上海省广韵翔广告有限公司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省广诺时（广东）信息服务有限公司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广州蓝门数字营销顾问有限公司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广州蓝门精睿数字商业有限公司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上海御明信息技术有限公司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上海胤熹信息技术有限公司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安徽沃达网络技术有限公司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上海御欣网络科技有限公司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珠海意合未来文化传播有限公司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上海御荣网络科技有限公司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深圳前海省广资本管理有限公司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广州市绩佳省广餐饮管理有限公司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国际整合营销传播集团控股有限公司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上海晶炙信息技术有限公司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上海泓信信息技术有限公司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珠海市省广益松新动力投资合伙企业（有限合伙）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珠海市省广益松壹号文化传媒合伙企业（有限合伙）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上海辰彩信息技术服务有限公司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省广营销（贵州）有限公司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广东三赢广告传播有限公司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广东赛铂互动传媒广告有限公司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广州指标品牌管理咨询有限公司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color w:val="000000"/>
          <w:spacing w:val="0"/>
          <w:w w:val="100"/>
          <w:position w:val="0"/>
        </w:rPr>
        <w:t>、税收优惠</w:t>
      </w:r>
      <w:bookmarkEnd w:id="960"/>
      <w:bookmarkEnd w:id="961"/>
      <w:bookmarkEnd w:id="963"/>
    </w:p>
    <w:p>
      <w:pPr>
        <w:pStyle w:val="Style28"/>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本公司于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w:t>
      </w:r>
      <w:r>
        <w:rPr>
          <w:color w:val="000000"/>
          <w:spacing w:val="0"/>
          <w:w w:val="100"/>
          <w:position w:val="0"/>
        </w:rPr>
        <w:t>日取得由广东省科学技术厅、广东省财政厅、国家税务总局广东省税务局联合颁发的证书号为</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GR201944009019</w:t>
      </w:r>
      <w:r>
        <w:rPr>
          <w:color w:val="000000"/>
          <w:spacing w:val="0"/>
          <w:w w:val="100"/>
          <w:position w:val="0"/>
        </w:rPr>
        <w:t>的高新技术企业证书，有效期三年，</w:t>
      </w:r>
      <w:r>
        <w:rPr>
          <w:color w:val="000000"/>
          <w:spacing w:val="0"/>
          <w:w w:val="100"/>
          <w:position w:val="0"/>
          <w:sz w:val="16"/>
          <w:szCs w:val="16"/>
        </w:rPr>
        <w:t>2020</w:t>
      </w:r>
      <w:r>
        <w:rPr>
          <w:color w:val="000000"/>
          <w:spacing w:val="0"/>
          <w:w w:val="100"/>
          <w:position w:val="0"/>
        </w:rPr>
        <w:t>年度享受</w:t>
      </w:r>
      <w:r>
        <w:rPr>
          <w:color w:val="000000"/>
          <w:spacing w:val="0"/>
          <w:w w:val="100"/>
          <w:position w:val="0"/>
          <w:sz w:val="16"/>
          <w:szCs w:val="16"/>
        </w:rPr>
        <w:t>15%</w:t>
      </w:r>
      <w:r>
        <w:rPr>
          <w:color w:val="000000"/>
          <w:spacing w:val="0"/>
          <w:w w:val="100"/>
          <w:position w:val="0"/>
        </w:rPr>
        <w:t>的企业所得税优惠税率。</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本公司之子公司广州蓝门数字营销顾问有限公司于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w:t>
      </w:r>
      <w:r>
        <w:rPr>
          <w:color w:val="000000"/>
          <w:spacing w:val="0"/>
          <w:w w:val="100"/>
          <w:position w:val="0"/>
        </w:rPr>
        <w:t>日取得由广东省科学技术厅、广东省财政厅、广东省国 家税务局和广东省地方税务局联合颁发的证书号为</w:t>
      </w:r>
      <w:r>
        <w:rPr>
          <w:color w:val="000000"/>
          <w:spacing w:val="0"/>
          <w:w w:val="100"/>
          <w:position w:val="0"/>
          <w:sz w:val="16"/>
          <w:szCs w:val="16"/>
        </w:rPr>
        <w:t>GR201944007289</w:t>
      </w:r>
      <w:r>
        <w:rPr>
          <w:color w:val="000000"/>
          <w:spacing w:val="0"/>
          <w:w w:val="100"/>
          <w:position w:val="0"/>
        </w:rPr>
        <w:t>的高新技术企业证书，有效期三年，</w:t>
      </w:r>
      <w:r>
        <w:rPr>
          <w:color w:val="000000"/>
          <w:spacing w:val="0"/>
          <w:w w:val="100"/>
          <w:position w:val="0"/>
          <w:sz w:val="16"/>
          <w:szCs w:val="16"/>
        </w:rPr>
        <w:t>2020</w:t>
      </w:r>
      <w:r>
        <w:rPr>
          <w:color w:val="000000"/>
          <w:spacing w:val="0"/>
          <w:w w:val="100"/>
          <w:position w:val="0"/>
        </w:rPr>
        <w:t>年所得税适用 税率为</w:t>
      </w:r>
      <w:r>
        <w:rPr>
          <w:color w:val="000000"/>
          <w:spacing w:val="0"/>
          <w:w w:val="100"/>
          <w:position w:val="0"/>
          <w:sz w:val="16"/>
          <w:szCs w:val="16"/>
        </w:rPr>
        <w:t>15%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本公司之子公司广州蓝门信息科技有限公司于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9</w:t>
      </w:r>
      <w:r>
        <w:rPr>
          <w:color w:val="000000"/>
          <w:spacing w:val="0"/>
          <w:w w:val="100"/>
          <w:position w:val="0"/>
        </w:rPr>
        <w:t>日取得由广东省科学技术厅、广东省财政厅、广东省国家税 务局和广东省地方税务局联合颁发的证书号为</w:t>
      </w:r>
      <w:r>
        <w:rPr>
          <w:color w:val="000000"/>
          <w:spacing w:val="0"/>
          <w:w w:val="100"/>
          <w:position w:val="0"/>
          <w:sz w:val="16"/>
          <w:szCs w:val="16"/>
        </w:rPr>
        <w:t>GR202044004704</w:t>
      </w:r>
      <w:r>
        <w:rPr>
          <w:color w:val="000000"/>
          <w:spacing w:val="0"/>
          <w:w w:val="100"/>
          <w:position w:val="0"/>
        </w:rPr>
        <w:t>的高新技术企业证书，有效期三年。</w:t>
      </w:r>
      <w:r>
        <w:rPr>
          <w:color w:val="000000"/>
          <w:spacing w:val="0"/>
          <w:w w:val="100"/>
          <w:position w:val="0"/>
          <w:sz w:val="16"/>
          <w:szCs w:val="16"/>
        </w:rPr>
        <w:t>2020</w:t>
      </w:r>
      <w:r>
        <w:rPr>
          <w:color w:val="000000"/>
          <w:spacing w:val="0"/>
          <w:w w:val="100"/>
          <w:position w:val="0"/>
        </w:rPr>
        <w:t xml:space="preserve">年所得税适用税率为 </w:t>
      </w:r>
      <w:r>
        <w:rPr>
          <w:color w:val="000000"/>
          <w:spacing w:val="0"/>
          <w:w w:val="100"/>
          <w:position w:val="0"/>
          <w:sz w:val="16"/>
          <w:szCs w:val="16"/>
        </w:rPr>
        <w:t>15%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本公司之子公司上海拓畅信息技术有限公司于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28</w:t>
      </w:r>
      <w:r>
        <w:rPr>
          <w:color w:val="000000"/>
          <w:spacing w:val="0"/>
          <w:w w:val="100"/>
          <w:position w:val="0"/>
        </w:rPr>
        <w:t>日取得由上海市科学技术委员会、上海市财政局、国家税务 总局上海市税务局联合颁发的证书号为</w:t>
      </w:r>
      <w:r>
        <w:rPr>
          <w:color w:val="000000"/>
          <w:spacing w:val="0"/>
          <w:w w:val="100"/>
          <w:position w:val="0"/>
          <w:sz w:val="16"/>
          <w:szCs w:val="16"/>
        </w:rPr>
        <w:t>GR201931001199</w:t>
      </w:r>
      <w:r>
        <w:rPr>
          <w:color w:val="000000"/>
          <w:spacing w:val="0"/>
          <w:w w:val="100"/>
          <w:position w:val="0"/>
        </w:rPr>
        <w:t>的高新技术企业证书，有效期三年。</w:t>
      </w:r>
      <w:r>
        <w:rPr>
          <w:color w:val="000000"/>
          <w:spacing w:val="0"/>
          <w:w w:val="100"/>
          <w:position w:val="0"/>
          <w:sz w:val="16"/>
          <w:szCs w:val="16"/>
        </w:rPr>
        <w:t>2020</w:t>
      </w:r>
      <w:r>
        <w:rPr>
          <w:color w:val="000000"/>
          <w:spacing w:val="0"/>
          <w:w w:val="100"/>
          <w:position w:val="0"/>
        </w:rPr>
        <w:t>年所得税适用税率为</w:t>
      </w:r>
      <w:r>
        <w:rPr>
          <w:color w:val="000000"/>
          <w:spacing w:val="0"/>
          <w:w w:val="100"/>
          <w:position w:val="0"/>
          <w:sz w:val="16"/>
          <w:szCs w:val="16"/>
        </w:rPr>
        <w:t>15%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本公司之子公司上海传漾数字科技有限公司于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日取得由上海市科学技术委员会、上海市财政局、国家税务 总局上海市税务局联合颁发的证书号为</w:t>
      </w:r>
      <w:r>
        <w:rPr>
          <w:color w:val="000000"/>
          <w:spacing w:val="0"/>
          <w:w w:val="100"/>
          <w:position w:val="0"/>
          <w:sz w:val="16"/>
          <w:szCs w:val="16"/>
        </w:rPr>
        <w:t>GR201931004809</w:t>
      </w:r>
      <w:r>
        <w:rPr>
          <w:color w:val="000000"/>
          <w:spacing w:val="0"/>
          <w:w w:val="100"/>
          <w:position w:val="0"/>
        </w:rPr>
        <w:t>的高新技术企业证书，有效期三年。</w:t>
      </w:r>
      <w:r>
        <w:rPr>
          <w:color w:val="000000"/>
          <w:spacing w:val="0"/>
          <w:w w:val="100"/>
          <w:position w:val="0"/>
          <w:sz w:val="16"/>
          <w:szCs w:val="16"/>
        </w:rPr>
        <w:t>2020</w:t>
      </w:r>
      <w:r>
        <w:rPr>
          <w:color w:val="000000"/>
          <w:spacing w:val="0"/>
          <w:w w:val="100"/>
          <w:position w:val="0"/>
        </w:rPr>
        <w:t>年所得税适用税率为</w:t>
      </w:r>
      <w:r>
        <w:rPr>
          <w:color w:val="000000"/>
          <w:spacing w:val="0"/>
          <w:w w:val="100"/>
          <w:position w:val="0"/>
          <w:sz w:val="16"/>
          <w:szCs w:val="16"/>
        </w:rPr>
        <w:t>15%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本公司之子公司成都经典视线广告传媒有限公司已向四川省经济和信息化委员会提交资料，并取得四川省经济和信息化 委员《关于确认企业主营业务为国家鼓励类产业项目的批复》川经信产业函</w:t>
      </w:r>
      <w:r>
        <w:rPr>
          <w:color w:val="000000"/>
          <w:spacing w:val="0"/>
          <w:w w:val="100"/>
          <w:position w:val="0"/>
          <w:sz w:val="16"/>
          <w:szCs w:val="16"/>
        </w:rPr>
        <w:t>[2012]393</w:t>
      </w:r>
      <w:r>
        <w:rPr>
          <w:color w:val="000000"/>
          <w:spacing w:val="0"/>
          <w:w w:val="100"/>
          <w:position w:val="0"/>
        </w:rPr>
        <w:t>号）确认函，同时已向四川省成都市 青羊区国家税务局申请享受西部大开发税收优惠政策。</w:t>
      </w:r>
      <w:r>
        <w:rPr>
          <w:color w:val="000000"/>
          <w:spacing w:val="0"/>
          <w:w w:val="100"/>
          <w:position w:val="0"/>
          <w:sz w:val="16"/>
          <w:szCs w:val="16"/>
        </w:rPr>
        <w:t>2020</w:t>
      </w:r>
      <w:r>
        <w:rPr>
          <w:color w:val="000000"/>
          <w:spacing w:val="0"/>
          <w:w w:val="100"/>
          <w:position w:val="0"/>
        </w:rPr>
        <w:t>年所得税适用税率为</w:t>
      </w:r>
      <w:r>
        <w:rPr>
          <w:color w:val="000000"/>
          <w:spacing w:val="0"/>
          <w:w w:val="100"/>
          <w:position w:val="0"/>
          <w:sz w:val="16"/>
          <w:szCs w:val="16"/>
        </w:rPr>
        <w:t>15%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本公司之子公司上海御明信息技术有限公司于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日取得由上海市科学技术委员会、上海市财政局、国家税务 总局上海市税务局联合颁发的证书号为</w:t>
      </w:r>
      <w:r>
        <w:rPr>
          <w:color w:val="000000"/>
          <w:spacing w:val="0"/>
          <w:w w:val="100"/>
          <w:position w:val="0"/>
          <w:sz w:val="16"/>
          <w:szCs w:val="16"/>
        </w:rPr>
        <w:t>GR202031005767</w:t>
      </w:r>
      <w:r>
        <w:rPr>
          <w:color w:val="000000"/>
          <w:spacing w:val="0"/>
          <w:w w:val="100"/>
          <w:position w:val="0"/>
        </w:rPr>
        <w:t>的高新技术企业证书，有效期三年。</w:t>
      </w:r>
      <w:r>
        <w:rPr>
          <w:color w:val="000000"/>
          <w:spacing w:val="0"/>
          <w:w w:val="100"/>
          <w:position w:val="0"/>
          <w:sz w:val="16"/>
          <w:szCs w:val="16"/>
        </w:rPr>
        <w:t>2020</w:t>
      </w:r>
      <w:r>
        <w:rPr>
          <w:color w:val="000000"/>
          <w:spacing w:val="0"/>
          <w:w w:val="100"/>
          <w:position w:val="0"/>
        </w:rPr>
        <w:t>年所得税适用税率为</w:t>
      </w:r>
      <w:r>
        <w:rPr>
          <w:color w:val="000000"/>
          <w:spacing w:val="0"/>
          <w:w w:val="100"/>
          <w:position w:val="0"/>
          <w:sz w:val="16"/>
          <w:szCs w:val="16"/>
        </w:rPr>
        <w:t>15%</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本公司之子公司省广合众文化传媒有限公司、珠海市省广韵翔广告有限公司，设立在广东珠海横琴新区。根据《关于广 东横琴新区福建平潭综合实验区深圳前海深港现代服务业合作区企业所得税优惠政策及优惠目录的通知》（财税</w:t>
      </w:r>
      <w:r>
        <w:rPr>
          <w:color w:val="000000"/>
          <w:spacing w:val="0"/>
          <w:w w:val="100"/>
          <w:position w:val="0"/>
          <w:sz w:val="16"/>
          <w:szCs w:val="16"/>
        </w:rPr>
        <w:t xml:space="preserve">[2014]26 </w:t>
      </w:r>
      <w:r>
        <w:rPr>
          <w:color w:val="000000"/>
          <w:spacing w:val="0"/>
          <w:w w:val="100"/>
          <w:position w:val="0"/>
        </w:rPr>
        <w:t>号）规定，自</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日，对设在横琴新区、平潭综合实验区和前海深港现代服务业合作区的鼓励类 产业企业减按</w:t>
      </w:r>
      <w:r>
        <w:rPr>
          <w:color w:val="000000"/>
          <w:spacing w:val="0"/>
          <w:w w:val="100"/>
          <w:position w:val="0"/>
          <w:sz w:val="16"/>
          <w:szCs w:val="16"/>
        </w:rPr>
        <w:t>15%</w:t>
      </w:r>
      <w:r>
        <w:rPr>
          <w:color w:val="000000"/>
          <w:spacing w:val="0"/>
          <w:w w:val="100"/>
          <w:position w:val="0"/>
        </w:rPr>
        <w:t>的税率征收企业所得税。</w:t>
      </w:r>
      <w:r>
        <w:rPr>
          <w:color w:val="000000"/>
          <w:spacing w:val="0"/>
          <w:w w:val="100"/>
          <w:position w:val="0"/>
          <w:sz w:val="16"/>
          <w:szCs w:val="16"/>
        </w:rPr>
        <w:t>2020</w:t>
      </w:r>
      <w:r>
        <w:rPr>
          <w:color w:val="000000"/>
          <w:spacing w:val="0"/>
          <w:w w:val="100"/>
          <w:position w:val="0"/>
        </w:rPr>
        <w:t>年度享受</w:t>
      </w:r>
      <w:r>
        <w:rPr>
          <w:color w:val="000000"/>
          <w:spacing w:val="0"/>
          <w:w w:val="100"/>
          <w:position w:val="0"/>
          <w:sz w:val="16"/>
          <w:szCs w:val="16"/>
        </w:rPr>
        <w:t>15%</w:t>
      </w:r>
      <w:r>
        <w:rPr>
          <w:color w:val="000000"/>
          <w:spacing w:val="0"/>
          <w:w w:val="100"/>
          <w:position w:val="0"/>
        </w:rPr>
        <w:t>的企业所得税优惠税率。</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本公司之子公司烟台经典视线广告传媒有限公司、福建经典视线文化传播有限公司、海口中行天策传媒有限公司、上海 窗外广告有限公司、北京北方窗外广告传媒有限公司、南京金海洋窗之景广告有限公司（本期已注销）、海南经典视线广告 传媒有限公司、广东广旭整合营销传播有限公司、北京领先世广广告有限公司、青岛慧河广告有限公司（本期已注销）、上 海美瀛联媒文化传播有限公司、上海御欣网络科技有限公司、上海泛觉数字科技有限公司（本期已注销）、广州韵翔广告有 限公司、上海省广韵翔广告有限公司、广州蓝门精睿数字商业有限公司、深圳前海省广资本管理有限公司、广州市绩佳省广 餐饮管理有限公司（本期新收购）、广东三赢广告传播有限公司、珠海意合未来文化传播有限公司、广东赛铂互动传媒广告 有限公司，根据《国家税务总局关于实施小型微利企业普惠性所得税减免政策有关问题的公告》（国家税务总局公告</w:t>
      </w:r>
      <w:r>
        <w:rPr>
          <w:color w:val="000000"/>
          <w:spacing w:val="0"/>
          <w:w w:val="100"/>
          <w:position w:val="0"/>
          <w:sz w:val="16"/>
          <w:szCs w:val="16"/>
        </w:rPr>
        <w:t>2019</w:t>
      </w:r>
      <w:r>
        <w:rPr>
          <w:color w:val="000000"/>
          <w:spacing w:val="0"/>
          <w:w w:val="100"/>
          <w:position w:val="0"/>
        </w:rPr>
        <w:t>年 第</w:t>
      </w:r>
      <w:r>
        <w:rPr>
          <w:color w:val="000000"/>
          <w:spacing w:val="0"/>
          <w:w w:val="100"/>
          <w:position w:val="0"/>
          <w:sz w:val="16"/>
          <w:szCs w:val="16"/>
        </w:rPr>
        <w:t>2</w:t>
      </w:r>
      <w:r>
        <w:rPr>
          <w:color w:val="000000"/>
          <w:spacing w:val="0"/>
          <w:w w:val="100"/>
          <w:position w:val="0"/>
        </w:rPr>
        <w:t>号）规定，自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日，对小型微利企业年应纳税所得额不超过</w:t>
      </w:r>
      <w:r>
        <w:rPr>
          <w:color w:val="000000"/>
          <w:spacing w:val="0"/>
          <w:w w:val="100"/>
          <w:position w:val="0"/>
          <w:sz w:val="16"/>
          <w:szCs w:val="16"/>
        </w:rPr>
        <w:t>100</w:t>
      </w:r>
      <w:r>
        <w:rPr>
          <w:color w:val="000000"/>
          <w:spacing w:val="0"/>
          <w:w w:val="100"/>
          <w:position w:val="0"/>
        </w:rPr>
        <w:t>万元的部分，减按</w:t>
      </w:r>
      <w:r>
        <w:rPr>
          <w:color w:val="000000"/>
          <w:spacing w:val="0"/>
          <w:w w:val="100"/>
          <w:position w:val="0"/>
          <w:sz w:val="16"/>
          <w:szCs w:val="16"/>
        </w:rPr>
        <w:t>25%</w:t>
      </w:r>
      <w:r>
        <w:rPr>
          <w:color w:val="000000"/>
          <w:spacing w:val="0"/>
          <w:w w:val="100"/>
          <w:position w:val="0"/>
        </w:rPr>
        <w:t>计入应纳 税所得额，按</w:t>
      </w:r>
      <w:r>
        <w:rPr>
          <w:color w:val="000000"/>
          <w:spacing w:val="0"/>
          <w:w w:val="100"/>
          <w:position w:val="0"/>
          <w:sz w:val="16"/>
          <w:szCs w:val="16"/>
        </w:rPr>
        <w:t>20%</w:t>
      </w:r>
      <w:r>
        <w:rPr>
          <w:color w:val="000000"/>
          <w:spacing w:val="0"/>
          <w:w w:val="100"/>
          <w:position w:val="0"/>
        </w:rPr>
        <w:t>的税率缴纳企业所得税；对年应纳税所得额超过</w:t>
      </w:r>
      <w:r>
        <w:rPr>
          <w:color w:val="000000"/>
          <w:spacing w:val="0"/>
          <w:w w:val="100"/>
          <w:position w:val="0"/>
          <w:sz w:val="16"/>
          <w:szCs w:val="16"/>
        </w:rPr>
        <w:t>100</w:t>
      </w:r>
      <w:r>
        <w:rPr>
          <w:color w:val="000000"/>
          <w:spacing w:val="0"/>
          <w:w w:val="100"/>
          <w:position w:val="0"/>
        </w:rPr>
        <w:t>万元但不超过</w:t>
      </w:r>
      <w:r>
        <w:rPr>
          <w:color w:val="000000"/>
          <w:spacing w:val="0"/>
          <w:w w:val="100"/>
          <w:position w:val="0"/>
          <w:sz w:val="16"/>
          <w:szCs w:val="16"/>
        </w:rPr>
        <w:t>300</w:t>
      </w:r>
      <w:r>
        <w:rPr>
          <w:color w:val="000000"/>
          <w:spacing w:val="0"/>
          <w:w w:val="100"/>
          <w:position w:val="0"/>
        </w:rPr>
        <w:t>万元的部分，减按</w:t>
      </w:r>
      <w:r>
        <w:rPr>
          <w:color w:val="000000"/>
          <w:spacing w:val="0"/>
          <w:w w:val="100"/>
          <w:position w:val="0"/>
          <w:sz w:val="16"/>
          <w:szCs w:val="16"/>
        </w:rPr>
        <w:t>50%</w:t>
      </w:r>
      <w:r>
        <w:rPr>
          <w:color w:val="000000"/>
          <w:spacing w:val="0"/>
          <w:w w:val="100"/>
          <w:position w:val="0"/>
        </w:rPr>
        <w:t>计入应纳税所得 额，按</w:t>
      </w:r>
      <w:r>
        <w:rPr>
          <w:color w:val="000000"/>
          <w:spacing w:val="0"/>
          <w:w w:val="100"/>
          <w:position w:val="0"/>
          <w:sz w:val="16"/>
          <w:szCs w:val="16"/>
        </w:rPr>
        <w:t>20%</w:t>
      </w:r>
      <w:r>
        <w:rPr>
          <w:color w:val="000000"/>
          <w:spacing w:val="0"/>
          <w:w w:val="100"/>
          <w:position w:val="0"/>
        </w:rPr>
        <w:t>的税率缴纳企业所得税。</w:t>
      </w:r>
      <w:r>
        <w:rPr>
          <w:color w:val="000000"/>
          <w:spacing w:val="0"/>
          <w:w w:val="100"/>
          <w:position w:val="0"/>
          <w:sz w:val="16"/>
          <w:szCs w:val="16"/>
        </w:rPr>
        <w:t>2020</w:t>
      </w:r>
      <w:r>
        <w:rPr>
          <w:color w:val="000000"/>
          <w:spacing w:val="0"/>
          <w:w w:val="100"/>
          <w:position w:val="0"/>
        </w:rPr>
        <w:t>年度享受</w:t>
      </w:r>
      <w:r>
        <w:rPr>
          <w:color w:val="000000"/>
          <w:spacing w:val="0"/>
          <w:w w:val="100"/>
          <w:position w:val="0"/>
          <w:sz w:val="16"/>
          <w:szCs w:val="16"/>
        </w:rPr>
        <w:t>20%</w:t>
      </w:r>
      <w:r>
        <w:rPr>
          <w:color w:val="000000"/>
          <w:spacing w:val="0"/>
          <w:w w:val="100"/>
          <w:position w:val="0"/>
        </w:rPr>
        <w:t>的企业所得税优惠税率。</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本公司之子公司国际整合营销传播集团控股有限公司根据香港《</w:t>
      </w:r>
      <w:r>
        <w:rPr>
          <w:color w:val="000000"/>
          <w:spacing w:val="0"/>
          <w:w w:val="100"/>
          <w:position w:val="0"/>
          <w:sz w:val="16"/>
          <w:szCs w:val="16"/>
        </w:rPr>
        <w:t>2018</w:t>
      </w:r>
      <w:r>
        <w:rPr>
          <w:color w:val="000000"/>
          <w:spacing w:val="0"/>
          <w:w w:val="100"/>
          <w:position w:val="0"/>
        </w:rPr>
        <w:t>年税务（修订</w:t>
      </w:r>
      <w:r>
        <w:rPr>
          <w:color w:val="000000"/>
          <w:spacing w:val="0"/>
          <w:w w:val="100"/>
          <w:position w:val="0"/>
          <w:sz w:val="16"/>
          <w:szCs w:val="16"/>
        </w:rPr>
        <w:t>）（</w:t>
      </w:r>
      <w:r>
        <w:rPr>
          <w:color w:val="000000"/>
          <w:spacing w:val="0"/>
          <w:w w:val="100"/>
          <w:position w:val="0"/>
        </w:rPr>
        <w:t>第</w:t>
      </w:r>
      <w:r>
        <w:rPr>
          <w:color w:val="000000"/>
          <w:spacing w:val="0"/>
          <w:w w:val="100"/>
          <w:position w:val="0"/>
          <w:sz w:val="16"/>
          <w:szCs w:val="16"/>
        </w:rPr>
        <w:t>3</w:t>
      </w:r>
      <w:r>
        <w:rPr>
          <w:color w:val="000000"/>
          <w:spacing w:val="0"/>
          <w:w w:val="100"/>
          <w:position w:val="0"/>
        </w:rPr>
        <w:t>号）条例》规定，利得税两级制 将适用于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日或之后开始的课税年度。法团首</w:t>
      </w:r>
      <w:r>
        <w:rPr>
          <w:color w:val="000000"/>
          <w:spacing w:val="0"/>
          <w:w w:val="100"/>
          <w:position w:val="0"/>
          <w:sz w:val="16"/>
          <w:szCs w:val="16"/>
        </w:rPr>
        <w:t>200</w:t>
      </w:r>
      <w:r>
        <w:rPr>
          <w:color w:val="000000"/>
          <w:spacing w:val="0"/>
          <w:w w:val="100"/>
          <w:position w:val="0"/>
        </w:rPr>
        <w:t>万元（港币）的利得税税率将降至</w:t>
      </w:r>
      <w:r>
        <w:rPr>
          <w:color w:val="000000"/>
          <w:spacing w:val="0"/>
          <w:w w:val="100"/>
          <w:position w:val="0"/>
          <w:sz w:val="16"/>
          <w:szCs w:val="16"/>
        </w:rPr>
        <w:t xml:space="preserve">8. </w:t>
      </w:r>
      <w:r>
        <w:rPr>
          <w:color w:val="000000"/>
          <w:spacing w:val="0"/>
          <w:w w:val="100"/>
          <w:position w:val="0"/>
          <w:sz w:val="16"/>
          <w:szCs w:val="16"/>
        </w:rPr>
        <w:t>25%，</w:t>
      </w:r>
      <w:r>
        <w:rPr>
          <w:color w:val="000000"/>
          <w:spacing w:val="0"/>
          <w:w w:val="100"/>
          <w:position w:val="0"/>
        </w:rPr>
        <w:t>其后的利润则继续按</w:t>
      </w:r>
      <w:r>
        <w:rPr>
          <w:color w:val="000000"/>
          <w:spacing w:val="0"/>
          <w:w w:val="100"/>
          <w:position w:val="0"/>
          <w:sz w:val="16"/>
          <w:szCs w:val="16"/>
        </w:rPr>
        <w:t xml:space="preserve">16.5% </w:t>
      </w:r>
      <w:r>
        <w:rPr>
          <w:color w:val="000000"/>
          <w:spacing w:val="0"/>
          <w:w w:val="100"/>
          <w:position w:val="0"/>
        </w:rPr>
        <w:t>征税。</w:t>
      </w:r>
      <w:r>
        <w:rPr>
          <w:color w:val="000000"/>
          <w:spacing w:val="0"/>
          <w:w w:val="100"/>
          <w:position w:val="0"/>
          <w:sz w:val="16"/>
          <w:szCs w:val="16"/>
        </w:rPr>
        <w:t>2020</w:t>
      </w:r>
      <w:r>
        <w:rPr>
          <w:color w:val="000000"/>
          <w:spacing w:val="0"/>
          <w:w w:val="100"/>
          <w:position w:val="0"/>
        </w:rPr>
        <w:t>年度按</w:t>
      </w:r>
      <w:r>
        <w:rPr>
          <w:color w:val="000000"/>
          <w:spacing w:val="0"/>
          <w:w w:val="100"/>
          <w:position w:val="0"/>
          <w:sz w:val="16"/>
          <w:szCs w:val="16"/>
        </w:rPr>
        <w:t>16.5%</w:t>
      </w:r>
      <w:r>
        <w:rPr>
          <w:color w:val="000000"/>
          <w:spacing w:val="0"/>
          <w:w w:val="100"/>
          <w:position w:val="0"/>
        </w:rPr>
        <w:t>税率缴纳企业所得税。</w:t>
      </w:r>
    </w:p>
    <w:p>
      <w:pPr>
        <w:pStyle w:val="Style28"/>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本公司之子公司香港拓畅信息技术有限公司根据香港《税务条例》，香港采用地域来源原则，向在香港经营任何行业、 专业或业务所得的利润征税。只有源自香港的利润才须在香港课税，即任何人在香港营商，但其利润是从香港以外的地方所 获得，则不须在香港就有关利润缴税，按照上述规定，报告期内本公司之子公司香港拓畅信息技术有限公司</w:t>
      </w:r>
      <w:r>
        <w:rPr>
          <w:color w:val="000000"/>
          <w:spacing w:val="0"/>
          <w:w w:val="100"/>
          <w:position w:val="0"/>
          <w:sz w:val="16"/>
          <w:szCs w:val="16"/>
        </w:rPr>
        <w:t>2020</w:t>
      </w:r>
      <w:r>
        <w:rPr>
          <w:color w:val="000000"/>
          <w:spacing w:val="0"/>
          <w:w w:val="100"/>
          <w:position w:val="0"/>
        </w:rPr>
        <w:t>年收入均来 自于香港以外的地方，因此，</w:t>
      </w:r>
      <w:r>
        <w:rPr>
          <w:color w:val="000000"/>
          <w:spacing w:val="0"/>
          <w:w w:val="100"/>
          <w:position w:val="0"/>
          <w:sz w:val="16"/>
          <w:szCs w:val="16"/>
        </w:rPr>
        <w:t>2020</w:t>
      </w:r>
      <w:r>
        <w:rPr>
          <w:color w:val="000000"/>
          <w:spacing w:val="0"/>
          <w:w w:val="100"/>
          <w:position w:val="0"/>
        </w:rPr>
        <w:t>年免征企业所得税。</w:t>
      </w:r>
    </w:p>
    <w:p>
      <w:pPr>
        <w:pStyle w:val="Style32"/>
        <w:keepNext/>
        <w:keepLines/>
        <w:widowControl w:val="0"/>
        <w:shd w:val="clear" w:color="auto" w:fill="auto"/>
        <w:bidi w:val="0"/>
        <w:spacing w:before="0" w:after="2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color w:val="000000"/>
          <w:spacing w:val="0"/>
          <w:w w:val="100"/>
          <w:position w:val="0"/>
        </w:rPr>
        <w:t>、其他</w:t>
      </w:r>
      <w:bookmarkEnd w:id="964"/>
      <w:bookmarkEnd w:id="965"/>
      <w:bookmarkEnd w:id="967"/>
    </w:p>
    <w:p>
      <w:pPr>
        <w:pStyle w:val="Style28"/>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注①：合伙企业适用“先分后税”原则计税，按照取得利润分配合伙人的合伙人适用税率以及合伙企业应纳税所得额计 税。</w:t>
      </w:r>
    </w:p>
    <w:p>
      <w:pPr>
        <w:pStyle w:val="Style24"/>
        <w:keepNext/>
        <w:keepLines/>
        <w:widowControl w:val="0"/>
        <w:shd w:val="clear" w:color="auto" w:fill="auto"/>
        <w:bidi w:val="0"/>
        <w:spacing w:before="0" w:after="380" w:line="240" w:lineRule="auto"/>
        <w:ind w:left="0" w:right="0" w:firstLine="0"/>
        <w:jc w:val="both"/>
      </w:pPr>
      <w:bookmarkStart w:id="968" w:name="bookmark968"/>
      <w:bookmarkStart w:id="969" w:name="bookmark969"/>
      <w:bookmarkStart w:id="970" w:name="bookmark970"/>
      <w:bookmarkStart w:id="971" w:name="bookmark971"/>
      <w:r>
        <w:rPr>
          <w:color w:val="000000"/>
          <w:spacing w:val="0"/>
          <w:w w:val="100"/>
          <w:position w:val="0"/>
        </w:rPr>
        <w:t>七</w:t>
      </w:r>
      <w:bookmarkEnd w:id="970"/>
      <w:r>
        <w:rPr>
          <w:color w:val="000000"/>
          <w:spacing w:val="0"/>
          <w:w w:val="100"/>
          <w:position w:val="0"/>
        </w:rPr>
        <w:t>、合并财务报表项目注释</w:t>
      </w:r>
      <w:bookmarkEnd w:id="968"/>
      <w:bookmarkEnd w:id="969"/>
      <w:bookmarkEnd w:id="971"/>
    </w:p>
    <w:p>
      <w:pPr>
        <w:pStyle w:val="Style32"/>
        <w:keepNext/>
        <w:keepLines/>
        <w:widowControl w:val="0"/>
        <w:shd w:val="clear" w:color="auto" w:fill="auto"/>
        <w:bidi w:val="0"/>
        <w:spacing w:before="0" w:after="380" w:line="240"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color w:val="000000"/>
          <w:spacing w:val="0"/>
          <w:w w:val="100"/>
          <w:position w:val="0"/>
        </w:rPr>
        <w:t>、货币资金</w:t>
      </w:r>
      <w:bookmarkEnd w:id="972"/>
      <w:bookmarkEnd w:id="973"/>
      <w:bookmarkEnd w:id="97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263,768.63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327,652.75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694,987,684.03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1,377,476,243.19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11,916,336.60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21,668,750.51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707,167,789.26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1,399,472,646.45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1,837,759.30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8,320,179.52</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本公司为开具银行承兑汇票存放在银行的保证金</w:t>
      </w:r>
      <w:r>
        <w:rPr>
          <w:color w:val="000000"/>
          <w:spacing w:val="0"/>
          <w:w w:val="100"/>
          <w:position w:val="0"/>
          <w:sz w:val="16"/>
          <w:szCs w:val="16"/>
        </w:rPr>
        <w:t>100,</w:t>
      </w:r>
      <w:r>
        <w:rPr>
          <w:color w:val="000000"/>
          <w:spacing w:val="0"/>
          <w:w w:val="100"/>
          <w:position w:val="0"/>
          <w:sz w:val="16"/>
          <w:szCs w:val="16"/>
        </w:rPr>
        <w:t>000.</w:t>
      </w:r>
      <w:r>
        <w:rPr>
          <w:color w:val="000000"/>
          <w:spacing w:val="0"/>
          <w:w w:val="100"/>
          <w:position w:val="0"/>
          <w:sz w:val="16"/>
          <w:szCs w:val="16"/>
        </w:rPr>
        <w:t>00</w:t>
      </w:r>
      <w:r>
        <w:rPr>
          <w:color w:val="000000"/>
          <w:spacing w:val="0"/>
          <w:w w:val="100"/>
          <w:position w:val="0"/>
        </w:rPr>
        <w:t>元、</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子公司广州蓝门数字营销顾问有限公司为开具银行承兑汇票存放在银行的保证金</w:t>
      </w:r>
      <w:r>
        <w:rPr>
          <w:color w:val="000000"/>
          <w:spacing w:val="0"/>
          <w:w w:val="100"/>
          <w:position w:val="0"/>
          <w:sz w:val="16"/>
          <w:szCs w:val="16"/>
        </w:rPr>
        <w:t xml:space="preserve">9, 996,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子公司广州旗智企业管理咨询有限公司为开具银行承兑汇票存放在银行的保证金</w:t>
      </w:r>
      <w:r>
        <w:rPr>
          <w:color w:val="000000"/>
          <w:spacing w:val="0"/>
          <w:w w:val="100"/>
          <w:position w:val="0"/>
          <w:sz w:val="16"/>
          <w:szCs w:val="16"/>
        </w:rPr>
        <w:t xml:space="preserve">375, </w:t>
      </w:r>
      <w:r>
        <w:rPr>
          <w:color w:val="000000"/>
          <w:spacing w:val="0"/>
          <w:w w:val="100"/>
          <w:position w:val="0"/>
          <w:sz w:val="16"/>
          <w:szCs w:val="16"/>
        </w:rPr>
        <w:t xml:space="preserve">331. </w:t>
      </w:r>
      <w:r>
        <w:rPr>
          <w:color w:val="000000"/>
          <w:spacing w:val="0"/>
          <w:w w:val="100"/>
          <w:position w:val="0"/>
          <w:sz w:val="16"/>
          <w:szCs w:val="16"/>
        </w:rPr>
        <w:t>21</w:t>
      </w:r>
      <w:r>
        <w:rPr>
          <w:color w:val="000000"/>
          <w:spacing w:val="0"/>
          <w:w w:val="100"/>
          <w:position w:val="0"/>
        </w:rPr>
        <w:t>元。</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子公司深圳经典视线文化传播有限公司因诉讼冻结货币资金</w:t>
      </w:r>
      <w:r>
        <w:rPr>
          <w:color w:val="000000"/>
          <w:spacing w:val="0"/>
          <w:w w:val="100"/>
          <w:position w:val="0"/>
          <w:sz w:val="16"/>
          <w:szCs w:val="16"/>
        </w:rPr>
        <w:t xml:space="preserve">984, </w:t>
      </w:r>
      <w:r>
        <w:rPr>
          <w:color w:val="000000"/>
          <w:spacing w:val="0"/>
          <w:w w:val="100"/>
          <w:position w:val="0"/>
          <w:sz w:val="16"/>
          <w:szCs w:val="16"/>
        </w:rPr>
        <w:t xml:space="preserve">249. </w:t>
      </w:r>
      <w:r>
        <w:rPr>
          <w:color w:val="000000"/>
          <w:spacing w:val="0"/>
          <w:w w:val="100"/>
          <w:position w:val="0"/>
          <w:sz w:val="16"/>
          <w:szCs w:val="16"/>
        </w:rPr>
        <w:t>50</w:t>
      </w:r>
      <w:r>
        <w:rPr>
          <w:color w:val="000000"/>
          <w:spacing w:val="0"/>
          <w:w w:val="100"/>
          <w:position w:val="0"/>
        </w:rPr>
        <w:t>元。</w:t>
      </w:r>
    </w:p>
    <w:p>
      <w:pPr>
        <w:pStyle w:val="Style2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除上述货币资金使用受限以外，年末公司货币资金余额中不存在其他使用受限制或被冻结或存在潜在回收风险的情况。</w:t>
      </w:r>
    </w:p>
    <w:p>
      <w:pPr>
        <w:pStyle w:val="Style32"/>
        <w:keepNext/>
        <w:keepLines/>
        <w:widowControl w:val="0"/>
        <w:shd w:val="clear" w:color="auto" w:fill="auto"/>
        <w:bidi w:val="0"/>
        <w:spacing w:before="0" w:after="38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color w:val="000000"/>
          <w:spacing w:val="0"/>
          <w:w w:val="100"/>
          <w:position w:val="0"/>
        </w:rPr>
        <w:t>、交易性金融资产</w:t>
      </w:r>
      <w:bookmarkEnd w:id="976"/>
      <w:bookmarkEnd w:id="977"/>
      <w:bookmarkEnd w:id="97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本公司之子公司珠海市省广益松新动力投资合伙企业（有限合伙）、广州市绩佳省广餐饮管理有限公司购买理财产品- 招商银行公司理财朝招金。</w:t>
      </w:r>
    </w:p>
    <w:p>
      <w:pPr>
        <w:pStyle w:val="Style32"/>
        <w:keepNext/>
        <w:keepLines/>
        <w:widowControl w:val="0"/>
        <w:shd w:val="clear" w:color="auto" w:fill="auto"/>
        <w:tabs>
          <w:tab w:pos="378" w:val="left"/>
        </w:tabs>
        <w:bidi w:val="0"/>
        <w:spacing w:before="0" w:after="380" w:line="240"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color w:val="000000"/>
          <w:spacing w:val="0"/>
          <w:w w:val="100"/>
          <w:position w:val="0"/>
        </w:rPr>
        <w:t>、</w:t>
        <w:tab/>
        <w:t>衍生金融资产</w:t>
      </w:r>
      <w:bookmarkEnd w:id="980"/>
      <w:bookmarkEnd w:id="981"/>
      <w:bookmarkEnd w:id="983"/>
    </w:p>
    <w:p>
      <w:pPr>
        <w:pStyle w:val="Style32"/>
        <w:keepNext/>
        <w:keepLines/>
        <w:widowControl w:val="0"/>
        <w:shd w:val="clear" w:color="auto" w:fill="auto"/>
        <w:tabs>
          <w:tab w:pos="378" w:val="left"/>
        </w:tabs>
        <w:bidi w:val="0"/>
        <w:spacing w:before="0" w:after="380" w:line="240"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4</w:t>
      </w:r>
      <w:bookmarkEnd w:id="986"/>
      <w:r>
        <w:rPr>
          <w:color w:val="000000"/>
          <w:spacing w:val="0"/>
          <w:w w:val="100"/>
          <w:position w:val="0"/>
        </w:rPr>
        <w:t>、</w:t>
        <w:tab/>
        <w:t>应收票据</w:t>
      </w:r>
      <w:bookmarkEnd w:id="984"/>
      <w:bookmarkEnd w:id="985"/>
      <w:bookmarkEnd w:id="987"/>
    </w:p>
    <w:p>
      <w:pPr>
        <w:pStyle w:val="Style36"/>
        <w:keepNext/>
        <w:keepLines/>
        <w:widowControl w:val="0"/>
        <w:shd w:val="clear" w:color="auto" w:fill="auto"/>
        <w:bidi w:val="0"/>
        <w:spacing w:before="0" w:after="26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88"/>
      <w:bookmarkEnd w:id="989"/>
      <w:bookmarkEnd w:id="991"/>
    </w:p>
    <w:p>
      <w:pPr>
        <w:pStyle w:val="Style28"/>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9,873,780.00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912,912.00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591,320.00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10,782,127.44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2,063,563.40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912,912.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908,347.4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591,320.0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588,363.4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912,912.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908,347.4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591,320.0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588,363.4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912,912.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4,564.56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908,347.4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591,320.0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2,956.60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588,363.4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4564.56</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912,912.00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912,912.00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numPr>
          <w:ilvl w:val="0"/>
          <w:numId w:val="55"/>
        </w:numPr>
        <w:shd w:val="clear" w:color="auto" w:fill="auto"/>
        <w:bidi w:val="0"/>
        <w:spacing w:before="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本期计提、收回或转回的坏账准备情况</w:t>
      </w:r>
      <w:bookmarkEnd w:id="992"/>
      <w:bookmarkEnd w:id="993"/>
      <w:bookmarkEnd w:id="995"/>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996"/>
      <w:bookmarkEnd w:id="997"/>
      <w:bookmarkEnd w:id="999"/>
    </w:p>
    <w:p>
      <w:pPr>
        <w:pStyle w:val="Style36"/>
        <w:keepNext/>
        <w:keepLines/>
        <w:widowControl w:val="0"/>
        <w:shd w:val="clear" w:color="auto" w:fill="auto"/>
        <w:tabs>
          <w:tab w:pos="493" w:val="left"/>
        </w:tabs>
        <w:bidi w:val="0"/>
        <w:spacing w:before="0" w:after="36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00"/>
      <w:bookmarkEnd w:id="1001"/>
      <w:bookmarkEnd w:id="1003"/>
    </w:p>
    <w:p>
      <w:pPr>
        <w:pStyle w:val="Style36"/>
        <w:keepNext/>
        <w:keepLines/>
        <w:widowControl w:val="0"/>
        <w:shd w:val="clear" w:color="auto" w:fill="auto"/>
        <w:tabs>
          <w:tab w:pos="493" w:val="left"/>
        </w:tabs>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04"/>
      <w:bookmarkEnd w:id="1005"/>
      <w:bookmarkEnd w:id="1007"/>
    </w:p>
    <w:p>
      <w:pPr>
        <w:pStyle w:val="Style36"/>
        <w:keepNext/>
        <w:keepLines/>
        <w:widowControl w:val="0"/>
        <w:shd w:val="clear" w:color="auto" w:fill="auto"/>
        <w:tabs>
          <w:tab w:pos="493" w:val="left"/>
        </w:tabs>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008"/>
      <w:bookmarkEnd w:id="1009"/>
      <w:bookmarkEnd w:id="1011"/>
    </w:p>
    <w:p>
      <w:pPr>
        <w:pStyle w:val="Style32"/>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5</w:t>
      </w:r>
      <w:bookmarkEnd w:id="1014"/>
      <w:r>
        <w:rPr>
          <w:color w:val="000000"/>
          <w:spacing w:val="0"/>
          <w:w w:val="100"/>
          <w:position w:val="0"/>
        </w:rPr>
        <w:t>、应收账款</w:t>
      </w:r>
      <w:bookmarkEnd w:id="1012"/>
      <w:bookmarkEnd w:id="1013"/>
      <w:bookmarkEnd w:id="1015"/>
    </w:p>
    <w:p>
      <w:pPr>
        <w:pStyle w:val="Style36"/>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6"/>
      <w:bookmarkEnd w:id="1017"/>
      <w:bookmarkEnd w:id="101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397,095,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397,095,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227,714,2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227,714,2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3,209,47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58,703,1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3,150,776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2,552,901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56,366,48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2,496,535,2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3,606,57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455,798,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3,150,776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2,780,616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284,080,7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2,496,535,2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98.99</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397,095,110.20</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华晨汽车集团控股有限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重庆比速汽车销售有限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重庆北汽幻速汽车销售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乐视控股（北京）有限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杭州星推网络科技股份</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湖南猎豹汽车股份有限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17,172,023.87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17,172,023.87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上海雅润文化传播有限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12,784,585.76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12,784,585.76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海南汉风科技有限公司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10,599,378.89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10,599,378.89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9,874,999.99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9,874,999.99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霍尔果斯潘达文化有限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8,351,335.99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8,351,335.99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浙江子也自动化设备有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兰州科天环保节能科技</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深圳乐智游网络科技有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5,820,534.35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5,820,534.35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浙江青年莲花汽车有限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上海熊猫互娱文化有限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5,375,988.01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5,375,988.01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武汉道森媒体股份有限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上海巨蚁文化传播有限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4,621,512.00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4,621,512.00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常州淡墨堂广告有限公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温州百纳传媒有限公司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4,428,161.00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4,428,161.00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北京纵亚广告传媒有限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成都武侯华颜医疗美容 门诊部有限公司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3,276,910.00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3,276,910.00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上海思派恩广告有限公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3,257,760.00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四川杰烽伟业房地产开 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南京乔恩广告传播有限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3,038,688.00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3,038,688.00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海南一汽海马汽车销售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3,011,662.57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3,011,662.57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索菲克天然乳品（上海）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上海尚恒广告有限公司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汕头市兽游互娱网络科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1,982,355.29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1,982,355.29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上海得嘉文化传媒中心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1,758,720.00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上海安娓贸易有限公司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暴风体育（北京）有限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1,543,075.46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1,543,075.46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乐视品牌营销策划（北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1,463,800.00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北京楚枫网络科技有限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1,444,046.13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1,444,046.13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南充市仁和春天投资有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1,398,561.24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1,398,561.24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上海新鲁广告有限公司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1,362,528.00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1,362,528.00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深圳市永秀医疗美容门 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1,346,327.76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1,346,327.76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上海汉大卓银企业管理</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北京汇享合一信息技术</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1,268,008.33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1,268,008.33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上海视家投资管理有限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1,122,719.54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1,122,719.54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浙江众泰汽车销售有限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21,626,600.84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21,626,600.84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397,095,110.20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397,095,110.20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58,703,174.57</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3,065,796,231.65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15,328,981.16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84,880,284.07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8,488,028.41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34,661,670.42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10,745,117.83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24,141,047.17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24,141,047.17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3,209,479,233.31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58,703,174.57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3,076,701,516.69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200,986,920.79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144,379,098.81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184,506,807.22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54,030,257.26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78,629,672.70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51,846,877.26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3,606,574,343.51</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0"/>
      <w:bookmarkEnd w:id="1021"/>
      <w:bookmarkEnd w:id="102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284,080,787.06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171,138,501.96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578,995.75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455,798,284.77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284,080,787.06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171,138,501.96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578,995.75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455,798,284.77</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4"/>
      <w:bookmarkEnd w:id="1025"/>
      <w:bookmarkEnd w:id="1027"/>
    </w:p>
    <w:p>
      <w:pPr>
        <w:pStyle w:val="Style36"/>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8"/>
      <w:bookmarkEnd w:id="1029"/>
      <w:bookmarkEnd w:id="1031"/>
    </w:p>
    <w:p>
      <w:pPr>
        <w:pStyle w:val="Style2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省广博报堂整合营销有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176,362,502.00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881,812.47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江苏苏宁易购电子商务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153,448,971.50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767,244.86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TikTokPte.Ltd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153,010,114.10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765,050.57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长城汽车股份有限公司 徐水哈弗销售分公司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140,315,647.70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701,578.24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华晨汽车集团控股有限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137,553,244.80</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760,690,480.10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6"/>
        <w:keepNext/>
        <w:keepLines/>
        <w:widowControl w:val="0"/>
        <w:numPr>
          <w:ilvl w:val="0"/>
          <w:numId w:val="57"/>
        </w:numPr>
        <w:shd w:val="clear" w:color="auto" w:fill="auto"/>
        <w:tabs>
          <w:tab w:pos="493" w:val="left"/>
        </w:tabs>
        <w:bidi w:val="0"/>
        <w:spacing w:before="0" w:after="40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因金融资产转移而终止确认的应收账款</w:t>
      </w:r>
      <w:bookmarkEnd w:id="1032"/>
      <w:bookmarkEnd w:id="1033"/>
      <w:bookmarkEnd w:id="1035"/>
    </w:p>
    <w:p>
      <w:pPr>
        <w:pStyle w:val="Style28"/>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年末无因金融资产转移而终止确认的应收账款。</w:t>
      </w:r>
    </w:p>
    <w:p>
      <w:pPr>
        <w:pStyle w:val="Style36"/>
        <w:keepNext/>
        <w:keepLines/>
        <w:widowControl w:val="0"/>
        <w:numPr>
          <w:ilvl w:val="0"/>
          <w:numId w:val="57"/>
        </w:numPr>
        <w:shd w:val="clear" w:color="auto" w:fill="auto"/>
        <w:tabs>
          <w:tab w:pos="493" w:val="left"/>
        </w:tabs>
        <w:bidi w:val="0"/>
        <w:spacing w:before="0" w:after="400" w:line="240" w:lineRule="auto"/>
        <w:ind w:left="0" w:right="0" w:firstLine="0"/>
        <w:jc w:val="left"/>
        <w:rPr>
          <w:sz w:val="17"/>
          <w:szCs w:val="17"/>
        </w:rPr>
      </w:pPr>
      <w:bookmarkStart w:id="1036" w:name="bookmark1036"/>
      <w:bookmarkStart w:id="1037" w:name="bookmark1037"/>
      <w:bookmarkStart w:id="1038" w:name="bookmark1038"/>
      <w:bookmarkStart w:id="1039" w:name="bookmark1039"/>
      <w:bookmarkEnd w:id="1038"/>
      <w:r>
        <w:rPr>
          <w:color w:val="000000"/>
          <w:spacing w:val="0"/>
          <w:w w:val="100"/>
          <w:position w:val="0"/>
          <w:sz w:val="17"/>
          <w:szCs w:val="17"/>
        </w:rPr>
        <w:t>转移应收账款且继续涉入形成的资产、负债金额</w:t>
      </w:r>
      <w:bookmarkEnd w:id="1036"/>
      <w:bookmarkEnd w:id="1037"/>
      <w:bookmarkEnd w:id="1039"/>
    </w:p>
    <w:p>
      <w:pPr>
        <w:pStyle w:val="Style28"/>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年末无转移应收账款且继续涉入形成的资产、负债的金额。</w:t>
      </w:r>
    </w:p>
    <w:p>
      <w:pPr>
        <w:pStyle w:val="Style32"/>
        <w:keepNext/>
        <w:keepLines/>
        <w:widowControl w:val="0"/>
        <w:shd w:val="clear" w:color="auto" w:fill="auto"/>
        <w:bidi w:val="0"/>
        <w:spacing w:before="0" w:after="40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6</w:t>
      </w:r>
      <w:bookmarkEnd w:id="1042"/>
      <w:r>
        <w:rPr>
          <w:color w:val="000000"/>
          <w:spacing w:val="0"/>
          <w:w w:val="100"/>
          <w:position w:val="0"/>
        </w:rPr>
        <w:t>、应收款项融资</w:t>
      </w:r>
      <w:bookmarkEnd w:id="1040"/>
      <w:bookmarkEnd w:id="1041"/>
      <w:bookmarkEnd w:id="10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122,189,561.46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164,105,358.25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122,189,561.46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164,105,358.25</w:t>
            </w:r>
          </w:p>
        </w:tc>
      </w:tr>
    </w:tbl>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年末已质</w:t>
      </w:r>
      <w:r>
        <w:rPr>
          <w:color w:val="000000"/>
          <w:spacing w:val="0"/>
          <w:w w:val="100"/>
          <w:position w:val="0"/>
        </w:rPr>
        <w:t>押的应收票据</w:t>
      </w:r>
    </w:p>
    <w:tbl>
      <w:tblPr>
        <w:tblOverlap w:val="never"/>
        <w:jc w:val="center"/>
        <w:tblLayout w:type="fixed"/>
      </w:tblPr>
      <w:tblGrid>
        <w:gridCol w:w="3499"/>
        <w:gridCol w:w="617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年末已质押金额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2,883,950.00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2,883,950.00</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年末已背书或贴现且在资产负债表日尚未到期的应收票据</w:t>
      </w:r>
    </w:p>
    <w:tbl>
      <w:tblPr>
        <w:tblOverlap w:val="never"/>
        <w:jc w:val="center"/>
        <w:tblLayout w:type="fixed"/>
      </w:tblPr>
      <w:tblGrid>
        <w:gridCol w:w="3504"/>
        <w:gridCol w:w="3211"/>
        <w:gridCol w:w="296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年末未终止确认金额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316,841,229.09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316,841,229.09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坏账准备的情况</w:t>
      </w:r>
    </w:p>
    <w:tbl>
      <w:tblPr>
        <w:tblOverlap w:val="never"/>
        <w:jc w:val="center"/>
        <w:tblLayout w:type="fixed"/>
      </w:tblPr>
      <w:tblGrid>
        <w:gridCol w:w="1666"/>
        <w:gridCol w:w="1848"/>
        <w:gridCol w:w="1536"/>
        <w:gridCol w:w="1536"/>
        <w:gridCol w:w="1541"/>
        <w:gridCol w:w="1550"/>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转销或核销</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7</w:t>
      </w:r>
      <w:bookmarkEnd w:id="1046"/>
      <w:r>
        <w:rPr>
          <w:color w:val="000000"/>
          <w:spacing w:val="0"/>
          <w:w w:val="100"/>
          <w:position w:val="0"/>
        </w:rPr>
        <w:t>、预付款项</w:t>
      </w:r>
      <w:bookmarkEnd w:id="1044"/>
      <w:bookmarkEnd w:id="1045"/>
      <w:bookmarkEnd w:id="1047"/>
    </w:p>
    <w:p>
      <w:pPr>
        <w:pStyle w:val="Style36"/>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8"/>
      <w:bookmarkEnd w:id="1049"/>
      <w:bookmarkEnd w:id="10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311,252,712.36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374,801,066.78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11,864,570.81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21,463,151.35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3,606,345.99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6,515,650.28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6,651,377.92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8,437,663.58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333,375,007.08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411,217,531.99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4118"/>
        <w:gridCol w:w="2208"/>
        <w:gridCol w:w="1440"/>
        <w:gridCol w:w="19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未及时结算原因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中国广视索福瑞媒介研究有限责任公司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1,358,490.57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南通日报社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1,445,792.45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2,804,283.02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639" w:line="1" w:lineRule="exact"/>
      </w:pPr>
    </w:p>
    <w:p>
      <w:pPr>
        <w:pStyle w:val="Style36"/>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2"/>
      <w:bookmarkEnd w:id="1053"/>
      <w:bookmarkEnd w:id="1055"/>
    </w:p>
    <w:p>
      <w:pPr>
        <w:pStyle w:val="Style28"/>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本集团按预付对象归集的年末余额前五名预付账款汇总金额为</w:t>
      </w:r>
      <w:r>
        <w:rPr>
          <w:rFonts w:ascii="Times New Roman" w:eastAsia="Times New Roman" w:hAnsi="Times New Roman" w:cs="Times New Roman"/>
          <w:color w:val="000000"/>
          <w:spacing w:val="0"/>
          <w:w w:val="100"/>
          <w:position w:val="0"/>
          <w:sz w:val="18"/>
          <w:szCs w:val="18"/>
        </w:rPr>
        <w:t>148,448,098.63</w:t>
      </w:r>
      <w:r>
        <w:rPr>
          <w:color w:val="000000"/>
          <w:spacing w:val="0"/>
          <w:w w:val="100"/>
          <w:position w:val="0"/>
        </w:rPr>
        <w:t>元，占预付账款年末余额合计数的比例为</w:t>
      </w:r>
    </w:p>
    <w:p>
      <w:pPr>
        <w:pStyle w:val="Style56"/>
        <w:keepNext w:val="0"/>
        <w:keepLines w:val="0"/>
        <w:widowControl w:val="0"/>
        <w:shd w:val="clear" w:color="auto" w:fill="auto"/>
        <w:bidi w:val="0"/>
        <w:spacing w:before="0" w:after="460" w:line="240" w:lineRule="auto"/>
        <w:ind w:left="0" w:right="0" w:firstLine="0"/>
        <w:jc w:val="left"/>
        <w:rPr>
          <w:sz w:val="17"/>
          <w:szCs w:val="17"/>
        </w:rPr>
      </w:pPr>
      <w:r>
        <w:rPr>
          <w:color w:val="000000"/>
          <w:spacing w:val="0"/>
          <w:w w:val="100"/>
          <w:position w:val="0"/>
          <w:sz w:val="18"/>
          <w:szCs w:val="18"/>
        </w:rPr>
        <w:t>44.53%</w:t>
      </w:r>
      <w:r>
        <w:rPr>
          <w:rFonts w:ascii="SimSun" w:eastAsia="SimSun" w:hAnsi="SimSun" w:cs="SimSun"/>
          <w:color w:val="000000"/>
          <w:spacing w:val="0"/>
          <w:w w:val="100"/>
          <w:position w:val="0"/>
          <w:sz w:val="17"/>
          <w:szCs w:val="17"/>
        </w:rPr>
        <w:t>。</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8</w:t>
      </w:r>
      <w:bookmarkEnd w:id="1058"/>
      <w:r>
        <w:rPr>
          <w:color w:val="000000"/>
          <w:spacing w:val="0"/>
          <w:w w:val="100"/>
          <w:position w:val="0"/>
        </w:rPr>
        <w:t>、其他应收款</w:t>
      </w:r>
      <w:bookmarkEnd w:id="1056"/>
      <w:bookmarkEnd w:id="1057"/>
      <w:bookmarkEnd w:id="10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186,266,249.50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272,849,474.09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186,580,249.50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282,649,474.09</w:t>
            </w:r>
          </w:p>
        </w:tc>
      </w:tr>
    </w:tbl>
    <w:p>
      <w:pPr>
        <w:pStyle w:val="Style36"/>
        <w:keepNext/>
        <w:keepLines/>
        <w:widowControl w:val="0"/>
        <w:shd w:val="clear" w:color="auto" w:fill="auto"/>
        <w:tabs>
          <w:tab w:pos="493" w:val="left"/>
        </w:tabs>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060"/>
      <w:bookmarkEnd w:id="1061"/>
      <w:bookmarkEnd w:id="1063"/>
    </w:p>
    <w:p>
      <w:pPr>
        <w:pStyle w:val="Style69"/>
        <w:keepNext/>
        <w:keepLines/>
        <w:widowControl w:val="0"/>
        <w:shd w:val="clear" w:color="auto" w:fill="auto"/>
        <w:tabs>
          <w:tab w:pos="382" w:val="left"/>
        </w:tabs>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color w:val="000000"/>
          <w:spacing w:val="0"/>
          <w:w w:val="100"/>
          <w:position w:val="0"/>
        </w:rPr>
        <w:t>）</w:t>
        <w:tab/>
        <w:t>应收利息分类</w:t>
      </w:r>
      <w:bookmarkEnd w:id="1064"/>
      <w:bookmarkEnd w:id="1065"/>
      <w:bookmarkEnd w:id="1067"/>
    </w:p>
    <w:p>
      <w:pPr>
        <w:pStyle w:val="Style69"/>
        <w:keepNext/>
        <w:keepLines/>
        <w:widowControl w:val="0"/>
        <w:shd w:val="clear" w:color="auto" w:fill="auto"/>
        <w:tabs>
          <w:tab w:pos="392" w:val="left"/>
        </w:tabs>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color w:val="000000"/>
          <w:spacing w:val="0"/>
          <w:w w:val="100"/>
          <w:position w:val="0"/>
        </w:rPr>
        <w:t>）</w:t>
        <w:tab/>
        <w:t>重要逾期利息</w:t>
      </w:r>
      <w:bookmarkEnd w:id="1068"/>
      <w:bookmarkEnd w:id="1069"/>
      <w:bookmarkEnd w:id="1071"/>
    </w:p>
    <w:p>
      <w:pPr>
        <w:pStyle w:val="Style69"/>
        <w:keepNext/>
        <w:keepLines/>
        <w:widowControl w:val="0"/>
        <w:shd w:val="clear" w:color="auto" w:fill="auto"/>
        <w:tabs>
          <w:tab w:pos="392" w:val="left"/>
        </w:tabs>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color w:val="000000"/>
          <w:spacing w:val="0"/>
          <w:w w:val="100"/>
          <w:position w:val="0"/>
        </w:rPr>
        <w:t>）</w:t>
        <w:tab/>
        <w:t>坏账准备计提情况</w:t>
      </w:r>
      <w:bookmarkEnd w:id="1072"/>
      <w:bookmarkEnd w:id="1073"/>
      <w:bookmarkEnd w:id="10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076"/>
      <w:bookmarkEnd w:id="1077"/>
      <w:bookmarkEnd w:id="1079"/>
    </w:p>
    <w:p>
      <w:pPr>
        <w:pStyle w:val="Style69"/>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color w:val="000000"/>
          <w:spacing w:val="0"/>
          <w:w w:val="100"/>
          <w:position w:val="0"/>
        </w:rPr>
        <w:t>）应收股利分类</w:t>
      </w:r>
      <w:bookmarkEnd w:id="1080"/>
      <w:bookmarkEnd w:id="1081"/>
      <w:bookmarkEnd w:id="108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bl>
    <w:p>
      <w:pPr>
        <w:widowControl w:val="0"/>
        <w:spacing w:after="359" w:line="1" w:lineRule="exact"/>
      </w:pPr>
    </w:p>
    <w:p>
      <w:pPr>
        <w:pStyle w:val="Style69"/>
        <w:keepNext/>
        <w:keepLines/>
        <w:widowControl w:val="0"/>
        <w:shd w:val="clear" w:color="auto" w:fill="auto"/>
        <w:tabs>
          <w:tab w:pos="392" w:val="left"/>
        </w:tabs>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84"/>
      <w:bookmarkEnd w:id="1085"/>
      <w:bookmarkEnd w:id="1087"/>
    </w:p>
    <w:p>
      <w:pPr>
        <w:pStyle w:val="Style69"/>
        <w:keepNext/>
        <w:keepLines/>
        <w:widowControl w:val="0"/>
        <w:shd w:val="clear" w:color="auto" w:fill="auto"/>
        <w:tabs>
          <w:tab w:pos="397" w:val="left"/>
        </w:tabs>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color w:val="000000"/>
          <w:spacing w:val="0"/>
          <w:w w:val="100"/>
          <w:position w:val="0"/>
        </w:rPr>
        <w:t>）</w:t>
        <w:tab/>
        <w:t>坏账准备计提情况</w:t>
      </w:r>
      <w:bookmarkEnd w:id="1088"/>
      <w:bookmarkEnd w:id="1089"/>
      <w:bookmarkEnd w:id="109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92"/>
      <w:bookmarkEnd w:id="1093"/>
      <w:bookmarkEnd w:id="1095"/>
    </w:p>
    <w:p>
      <w:pPr>
        <w:pStyle w:val="Style69"/>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color w:val="000000"/>
          <w:spacing w:val="0"/>
          <w:w w:val="100"/>
          <w:position w:val="0"/>
        </w:rPr>
        <w:t>）其他应收款按款项性质分类情况</w:t>
      </w:r>
      <w:bookmarkEnd w:id="1096"/>
      <w:bookmarkEnd w:id="1097"/>
      <w:bookmarkEnd w:id="10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270,417,052.95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315,941,650.17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132,967,489.00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121,243,033.77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118,194,500.00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156,713,600.00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8,774,893.61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13,462,593.95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507,390.92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348,110.39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530,637,904.13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608,216,379.20</w:t>
            </w:r>
          </w:p>
        </w:tc>
      </w:tr>
    </w:tbl>
    <w:p>
      <w:pPr>
        <w:spacing w:lineRule="exact" w:line="1"/>
        <w:rPr>
          <w:sz w:val="2"/>
          <w:szCs w:val="2"/>
        </w:rPr>
      </w:pPr>
      <w:r>
        <w:br w:type="page"/>
      </w:r>
    </w:p>
    <w:p>
      <w:pPr>
        <w:pStyle w:val="Style69"/>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color w:val="000000"/>
          <w:spacing w:val="0"/>
          <w:w w:val="100"/>
          <w:position w:val="0"/>
        </w:rPr>
        <w:t>）坏账准备计提情况</w:t>
      </w:r>
      <w:bookmarkEnd w:id="1100"/>
      <w:bookmarkEnd w:id="1101"/>
      <w:bookmarkEnd w:id="11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27,452,330.97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307,914,574.14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335,366,905.11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10,435,173.65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8,449,596.87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18,884,770.52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28,005,547.60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316,366,107.03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344,371,654.63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85,636,156.22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68,859,875.41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50,559,980.26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325,581,892.24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271,982,555.39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41,822,129.81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11,777,207.04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530,637,904.13</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color w:val="000000"/>
          <w:spacing w:val="0"/>
          <w:w w:val="100"/>
          <w:position w:val="0"/>
        </w:rPr>
        <w:t>）本期计提、收回或转回的坏账准备情况</w:t>
      </w:r>
      <w:bookmarkEnd w:id="1104"/>
      <w:bookmarkEnd w:id="1105"/>
      <w:bookmarkEnd w:id="110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335,366,905.1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18,884,770.52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344,371,654.63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335,366,905.1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18,884,770.52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344,371,654.63</w:t>
            </w:r>
          </w:p>
        </w:tc>
      </w:tr>
    </w:tbl>
    <w:p>
      <w:pPr>
        <w:spacing w:lineRule="exact" w:line="1"/>
        <w:rPr>
          <w:sz w:val="2"/>
          <w:szCs w:val="2"/>
        </w:rPr>
      </w:pPr>
      <w:r>
        <w:br w:type="page"/>
      </w:r>
    </w:p>
    <w:tbl>
      <w:tblPr>
        <w:tblOverlap w:val="never"/>
        <w:jc w:val="center"/>
        <w:tblLayout w:type="fixed"/>
      </w:tblPr>
      <w:tblGrid>
        <w:gridCol w:w="1421"/>
        <w:gridCol w:w="1099"/>
        <w:gridCol w:w="1190"/>
        <w:gridCol w:w="1306"/>
        <w:gridCol w:w="1090"/>
        <w:gridCol w:w="1738"/>
        <w:gridCol w:w="173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应臻恺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股权置换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413" w:right="0" w:firstLine="0"/>
        <w:jc w:val="left"/>
      </w:pPr>
      <w:r>
        <w:rPr>
          <w:color w:val="000000"/>
          <w:spacing w:val="0"/>
          <w:w w:val="100"/>
          <w:position w:val="0"/>
        </w:rPr>
        <w:t>注：原按照账龄组合对照整个存续期预期信用损失率计提坏账准备</w:t>
      </w:r>
      <w:r>
        <w:rPr>
          <w:rFonts w:ascii="Times New Roman" w:eastAsia="Times New Roman" w:hAnsi="Times New Roman" w:cs="Times New Roman"/>
          <w:color w:val="000000"/>
          <w:spacing w:val="0"/>
          <w:w w:val="100"/>
          <w:position w:val="0"/>
          <w:sz w:val="18"/>
          <w:szCs w:val="18"/>
        </w:rPr>
        <w:t>9,880,000.00</w:t>
      </w:r>
      <w:r>
        <w:rPr>
          <w:color w:val="000000"/>
          <w:spacing w:val="0"/>
          <w:w w:val="100"/>
          <w:position w:val="0"/>
        </w:rPr>
        <w:t>元，本年通过股权置换等方式收回上述</w:t>
      </w:r>
    </w:p>
    <w:p>
      <w:pPr>
        <w:widowControl w:val="0"/>
        <w:spacing w:after="99" w:line="1" w:lineRule="exact"/>
      </w:pPr>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款项。</w:t>
      </w:r>
    </w:p>
    <w:p>
      <w:pPr>
        <w:pStyle w:val="Style69"/>
        <w:keepNext/>
        <w:keepLines/>
        <w:widowControl w:val="0"/>
        <w:shd w:val="clear" w:color="auto" w:fill="auto"/>
        <w:tabs>
          <w:tab w:pos="392" w:val="left"/>
        </w:tabs>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color w:val="000000"/>
          <w:spacing w:val="0"/>
          <w:w w:val="100"/>
          <w:position w:val="0"/>
        </w:rPr>
        <w:t>）</w:t>
        <w:tab/>
        <w:t>本期实际核销的其他应收款情况</w:t>
      </w:r>
      <w:bookmarkEnd w:id="1108"/>
      <w:bookmarkEnd w:id="1109"/>
      <w:bookmarkEnd w:id="1111"/>
    </w:p>
    <w:p>
      <w:pPr>
        <w:pStyle w:val="Style2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本年无实际核销的其他应收款情况。</w:t>
      </w:r>
    </w:p>
    <w:p>
      <w:pPr>
        <w:pStyle w:val="Style69"/>
        <w:keepNext/>
        <w:keepLines/>
        <w:widowControl w:val="0"/>
        <w:shd w:val="clear" w:color="auto" w:fill="auto"/>
        <w:tabs>
          <w:tab w:pos="392" w:val="left"/>
        </w:tabs>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5</w:t>
      </w:r>
      <w:bookmarkEnd w:id="1114"/>
      <w:r>
        <w:rPr>
          <w:color w:val="000000"/>
          <w:spacing w:val="0"/>
          <w:w w:val="100"/>
          <w:position w:val="0"/>
        </w:rPr>
        <w:t>）</w:t>
        <w:tab/>
        <w:t>按欠款方归集的期末余额前五名的其他应收款情况</w:t>
      </w:r>
      <w:bookmarkEnd w:id="1112"/>
      <w:bookmarkEnd w:id="1113"/>
      <w:bookmarkEnd w:id="111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上海雅润文化传播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8,190,000.00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广州市一汽巴士有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13,694,460.00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1,369,446.00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福州城市客运场站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霍尔果斯潘达文化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364,404,602.34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313,469,588.34</w:t>
            </w:r>
          </w:p>
        </w:tc>
      </w:tr>
    </w:tbl>
    <w:p>
      <w:pPr>
        <w:widowControl w:val="0"/>
        <w:spacing w:after="319" w:line="1" w:lineRule="exact"/>
      </w:pPr>
    </w:p>
    <w:p>
      <w:pPr>
        <w:pStyle w:val="Style69"/>
        <w:keepNext/>
        <w:keepLines/>
        <w:widowControl w:val="0"/>
        <w:shd w:val="clear" w:color="auto" w:fill="auto"/>
        <w:tabs>
          <w:tab w:pos="392" w:val="left"/>
        </w:tabs>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6</w:t>
      </w:r>
      <w:bookmarkEnd w:id="1118"/>
      <w:r>
        <w:rPr>
          <w:color w:val="000000"/>
          <w:spacing w:val="0"/>
          <w:w w:val="100"/>
          <w:position w:val="0"/>
        </w:rPr>
        <w:t>）</w:t>
        <w:tab/>
        <w:t>涉及政府补助的应收款项</w:t>
      </w:r>
      <w:bookmarkEnd w:id="1116"/>
      <w:bookmarkEnd w:id="1117"/>
      <w:bookmarkEnd w:id="1119"/>
    </w:p>
    <w:p>
      <w:pPr>
        <w:pStyle w:val="Style2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年末无涉及政府补助的应收款项。</w:t>
      </w:r>
    </w:p>
    <w:p>
      <w:pPr>
        <w:pStyle w:val="Style69"/>
        <w:keepNext/>
        <w:keepLines/>
        <w:widowControl w:val="0"/>
        <w:shd w:val="clear" w:color="auto" w:fill="auto"/>
        <w:tabs>
          <w:tab w:pos="387" w:val="left"/>
        </w:tabs>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7</w:t>
      </w:r>
      <w:bookmarkEnd w:id="1122"/>
      <w:r>
        <w:rPr>
          <w:color w:val="000000"/>
          <w:spacing w:val="0"/>
          <w:w w:val="100"/>
          <w:position w:val="0"/>
        </w:rPr>
        <w:t>）</w:t>
        <w:tab/>
        <w:t>因金融资产转移而终止确认的其他应收款</w:t>
      </w:r>
      <w:bookmarkEnd w:id="1120"/>
      <w:bookmarkEnd w:id="1121"/>
      <w:bookmarkEnd w:id="1123"/>
    </w:p>
    <w:p>
      <w:pPr>
        <w:pStyle w:val="Style2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年末无因金融资产转移而终止确认的其他应收款。</w:t>
      </w:r>
    </w:p>
    <w:p>
      <w:pPr>
        <w:pStyle w:val="Style69"/>
        <w:keepNext/>
        <w:keepLines/>
        <w:widowControl w:val="0"/>
        <w:shd w:val="clear" w:color="auto" w:fill="auto"/>
        <w:tabs>
          <w:tab w:pos="392" w:val="left"/>
        </w:tabs>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8</w:t>
      </w:r>
      <w:bookmarkEnd w:id="1126"/>
      <w:r>
        <w:rPr>
          <w:color w:val="000000"/>
          <w:spacing w:val="0"/>
          <w:w w:val="100"/>
          <w:position w:val="0"/>
        </w:rPr>
        <w:t>）</w:t>
        <w:tab/>
        <w:t>转移其他应收款且继续涉入形成的资产、负债金额</w:t>
      </w:r>
      <w:bookmarkEnd w:id="1124"/>
      <w:bookmarkEnd w:id="1125"/>
      <w:bookmarkEnd w:id="1127"/>
    </w:p>
    <w:p>
      <w:pPr>
        <w:pStyle w:val="Style2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年末无转移其他应收款且继续涉入形成的资产、负债。</w:t>
      </w:r>
      <w:r>
        <w:br w:type="page"/>
      </w:r>
    </w:p>
    <w:p>
      <w:pPr>
        <w:pStyle w:val="Style32"/>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9</w:t>
      </w:r>
      <w:bookmarkEnd w:id="1130"/>
      <w:r>
        <w:rPr>
          <w:color w:val="000000"/>
          <w:spacing w:val="0"/>
          <w:w w:val="100"/>
          <w:position w:val="0"/>
        </w:rPr>
        <w:t>、存货</w:t>
      </w:r>
      <w:bookmarkEnd w:id="1128"/>
      <w:bookmarkEnd w:id="1129"/>
      <w:bookmarkEnd w:id="11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2"/>
      <w:bookmarkEnd w:id="1133"/>
      <w:bookmarkEnd w:id="11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767,668.96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767,668.96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869,707.97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869,707.97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1,344.00</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存货跌价准备和合同履约成本减值准备</w:t>
      </w:r>
      <w:bookmarkEnd w:id="1136"/>
      <w:bookmarkEnd w:id="1137"/>
      <w:bookmarkEnd w:id="1139"/>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年末无计提存货跌价准备。</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40"/>
      <w:bookmarkEnd w:id="1141"/>
      <w:bookmarkEnd w:id="1143"/>
    </w:p>
    <w:p>
      <w:pPr>
        <w:pStyle w:val="Style36"/>
        <w:keepNext/>
        <w:keepLines/>
        <w:widowControl w:val="0"/>
        <w:shd w:val="clear" w:color="auto" w:fill="auto"/>
        <w:tabs>
          <w:tab w:pos="493" w:val="left"/>
        </w:tabs>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44"/>
      <w:bookmarkEnd w:id="1145"/>
      <w:bookmarkEnd w:id="1147"/>
    </w:p>
    <w:p>
      <w:pPr>
        <w:pStyle w:val="Style32"/>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48"/>
      <w:bookmarkEnd w:id="1149"/>
      <w:bookmarkEnd w:id="115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15,392,109.69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13,636,737.59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1,755,372.10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25,560,082.96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3,462,168.08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22,097,914.88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15,392,109.69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13,636,737.59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1,755,372.10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25,560,082.96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3,462,168.08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22,097,914.88</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99" w:line="1" w:lineRule="exact"/>
      </w:pPr>
    </w:p>
    <w:p>
      <w:pPr>
        <w:pStyle w:val="Style26"/>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本年合同资产计提坏账准备情况</w:t>
      </w:r>
    </w:p>
    <w:tbl>
      <w:tblPr>
        <w:tblOverlap w:val="never"/>
        <w:jc w:val="center"/>
        <w:tblLayout w:type="fixed"/>
      </w:tblPr>
      <w:tblGrid>
        <w:gridCol w:w="2731"/>
        <w:gridCol w:w="1786"/>
        <w:gridCol w:w="1819"/>
        <w:gridCol w:w="1877"/>
        <w:gridCol w:w="1464"/>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整个存续期预期信用损 失（未发生信用减值）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整个存续期预期信用损 失（已发生信用减值）</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2,266,332.08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1,195,836.00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3,462,168.08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1"/>
        <w:gridCol w:w="1786"/>
        <w:gridCol w:w="1819"/>
        <w:gridCol w:w="1877"/>
        <w:gridCol w:w="146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3,564,325.51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6,610,244.00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10,174,569.51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5,830,657.59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7,806,080.00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13,636,737.59</w:t>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年末单项计提坏账准备的合同资产</w:t>
      </w:r>
    </w:p>
    <w:tbl>
      <w:tblPr>
        <w:tblOverlap w:val="never"/>
        <w:jc w:val="center"/>
        <w:tblLayout w:type="fixed"/>
      </w:tblPr>
      <w:tblGrid>
        <w:gridCol w:w="3509"/>
        <w:gridCol w:w="1541"/>
        <w:gridCol w:w="1531"/>
        <w:gridCol w:w="1094"/>
        <w:gridCol w:w="2002"/>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杭州希游旅游发展有限公司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上海安菲旅游发展有限公司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北京博达悦途文化交流有限公司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上海乐瑞广告有限公司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上海智敏特广告传播有限公司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深圳市精零视界科技有限公司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威睿（北京）广告有限公司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7,806,080.00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7,806,080.00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坏账准备的情况</w:t>
      </w:r>
    </w:p>
    <w:tbl>
      <w:tblPr>
        <w:tblOverlap w:val="never"/>
        <w:jc w:val="center"/>
        <w:tblLayout w:type="fixed"/>
      </w:tblPr>
      <w:tblGrid>
        <w:gridCol w:w="1282"/>
        <w:gridCol w:w="1459"/>
        <w:gridCol w:w="1541"/>
        <w:gridCol w:w="1229"/>
        <w:gridCol w:w="1234"/>
        <w:gridCol w:w="1205"/>
        <w:gridCol w:w="1728"/>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转销或核销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3,462,168.08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10,174,569.51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13,636,737.59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3,462,168.08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10,174,569.51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13,636,737.59</w:t>
            </w:r>
          </w:p>
        </w:tc>
      </w:tr>
    </w:tbl>
    <w:p>
      <w:pPr>
        <w:widowControl w:val="0"/>
        <w:spacing w:after="339" w:line="1" w:lineRule="exact"/>
      </w:pPr>
    </w:p>
    <w:p>
      <w:pPr>
        <w:pStyle w:val="Style32"/>
        <w:keepNext/>
        <w:keepLines/>
        <w:widowControl w:val="0"/>
        <w:shd w:val="clear" w:color="auto" w:fill="auto"/>
        <w:tabs>
          <w:tab w:pos="474" w:val="left"/>
        </w:tabs>
        <w:bidi w:val="0"/>
        <w:spacing w:before="0" w:after="34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52"/>
      <w:bookmarkEnd w:id="1153"/>
      <w:bookmarkEnd w:id="1155"/>
    </w:p>
    <w:p>
      <w:pPr>
        <w:pStyle w:val="Style32"/>
        <w:keepNext/>
        <w:keepLines/>
        <w:widowControl w:val="0"/>
        <w:shd w:val="clear" w:color="auto" w:fill="auto"/>
        <w:tabs>
          <w:tab w:pos="474" w:val="left"/>
        </w:tabs>
        <w:bidi w:val="0"/>
        <w:spacing w:before="0" w:after="34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56"/>
      <w:bookmarkEnd w:id="1157"/>
      <w:bookmarkEnd w:id="1159"/>
    </w:p>
    <w:p>
      <w:pPr>
        <w:pStyle w:val="Style32"/>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0"/>
      <w:bookmarkEnd w:id="1161"/>
      <w:bookmarkEnd w:id="11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待认证、抵扣进项税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124,184,032.94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90,263,134.96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26,107,231.87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2,603,896.06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2,016,581.64</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已背书或贴现未终止确认的票据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1,002,402.93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847,146.86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686,025.11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628,895,160.87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94,815,291.50</w:t>
            </w:r>
          </w:p>
        </w:tc>
      </w:tr>
    </w:tbl>
    <w:p>
      <w:pPr>
        <w:widowControl w:val="0"/>
        <w:spacing w:after="319" w:line="1" w:lineRule="exact"/>
      </w:pPr>
    </w:p>
    <w:p>
      <w:pPr>
        <w:pStyle w:val="Style32"/>
        <w:keepNext/>
        <w:keepLines/>
        <w:widowControl w:val="0"/>
        <w:shd w:val="clear" w:color="auto" w:fill="auto"/>
        <w:tabs>
          <w:tab w:pos="474" w:val="left"/>
        </w:tabs>
        <w:bidi w:val="0"/>
        <w:spacing w:before="0" w:after="38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164"/>
      <w:bookmarkEnd w:id="1165"/>
      <w:bookmarkEnd w:id="1167"/>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168"/>
      <w:bookmarkEnd w:id="1169"/>
      <w:bookmarkEnd w:id="117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72"/>
      <w:bookmarkEnd w:id="1173"/>
      <w:bookmarkEnd w:id="1175"/>
    </w:p>
    <w:p>
      <w:pPr>
        <w:pStyle w:val="Style36"/>
        <w:keepNext/>
        <w:keepLines/>
        <w:widowControl w:val="0"/>
        <w:shd w:val="clear" w:color="auto" w:fill="auto"/>
        <w:tabs>
          <w:tab w:pos="493" w:val="left"/>
        </w:tabs>
        <w:bidi w:val="0"/>
        <w:spacing w:before="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176"/>
      <w:bookmarkEnd w:id="1177"/>
      <w:bookmarkEnd w:id="117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80"/>
      <w:bookmarkEnd w:id="1181"/>
      <w:bookmarkEnd w:id="1183"/>
    </w:p>
    <w:p>
      <w:pPr>
        <w:pStyle w:val="Style36"/>
        <w:keepNext/>
        <w:keepLines/>
        <w:widowControl w:val="0"/>
        <w:shd w:val="clear" w:color="auto" w:fill="auto"/>
        <w:bidi w:val="0"/>
        <w:spacing w:before="0" w:line="240" w:lineRule="auto"/>
        <w:ind w:left="0" w:right="0" w:firstLine="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184"/>
      <w:bookmarkEnd w:id="1185"/>
      <w:bookmarkEnd w:id="1187"/>
    </w:p>
    <w:p>
      <w:pPr>
        <w:pStyle w:val="Style32"/>
        <w:keepNext/>
        <w:keepLines/>
        <w:widowControl w:val="0"/>
        <w:shd w:val="clear" w:color="auto" w:fill="auto"/>
        <w:tabs>
          <w:tab w:pos="474" w:val="left"/>
        </w:tabs>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188"/>
      <w:bookmarkEnd w:id="1189"/>
      <w:bookmarkEnd w:id="11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省广博报 堂整合营 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45,574,19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24,225,36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59,799,55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代思博报 堂广告有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32,809,01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33,659,72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78,383,20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93,459,28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深圳钛铂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新媒体营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414,214.1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34,154,01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销股份有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合宝文娱 集团有限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26,645,77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广州多触 电商传媒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1,784,620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1,630,270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-667,458.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2,141,937</w:t>
            </w: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数字技术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珠海市省 广盛世体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1,583,832</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验营销有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7,462,255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-55,565.3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7,406,690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上海凯淳 实业股份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56,257,47</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10,153,26</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66,410,73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北京省广 阳光传媒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上海瑞格 市场营销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96,497,10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广凯酷传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709,784.9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-599,740.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110,044.8</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媒有限公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中懋（广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206,019,1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-58,019,1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州）广告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广华屹智 能数字营 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996,538.8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824,088.8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省广翰威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14,269,80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154,890.8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14,424,69</w:t>
            </w: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上海恺达 广告有限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124,139,6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473,778.6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广众烁数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30,294,49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字营销有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广州梦洁 宝贝蓝门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4,743,454</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数字商业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珠海博纳 思品牌管 理咨询有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3,508,122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64,723.84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3,258,846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广星美达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3,966,348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377,556.1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4,343,905</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文化传媒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广东南奥 文创集团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402,969.3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1,917,224</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北京创极 科技有限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1,633,777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1,476,312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1,476,312</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珠海市旭 彩文化传 媒合伙企 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322,123,1</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17,569.67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322,140,7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媒捷（中 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广州开合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汽车数字 营销有限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950,410,0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221,110,5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-56,254,3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-1,224,18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673,007,0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149,476,3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1,028,793</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221,110,5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-30,678,2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-1,224,18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10,814,00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766,466,3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149,476,3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92"/>
      <w:bookmarkEnd w:id="1193"/>
      <w:bookmarkEnd w:id="119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53,697,021.26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47,999,226.12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53,697,021.26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47,999,226.12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广州骏伯网络科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 xml:space="preserve">深圳九宇银河智 能互联投资基金 </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939,837.40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996,429.67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易简传媒科技集 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广东省轻工进出 口股份有限公司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939,837.40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996,429.67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196"/>
      <w:bookmarkEnd w:id="1197"/>
      <w:bookmarkEnd w:id="119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分类以公允价值计量且其变动计入当期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202,325,896.00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202,325,896.00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61,500,000.00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权益工具投资情况</w:t>
      </w:r>
    </w:p>
    <w:tbl>
      <w:tblPr>
        <w:tblOverlap w:val="never"/>
        <w:jc w:val="center"/>
        <w:tblLayout w:type="fixed"/>
      </w:tblPr>
      <w:tblGrid>
        <w:gridCol w:w="1973"/>
        <w:gridCol w:w="1541"/>
        <w:gridCol w:w="1224"/>
        <w:gridCol w:w="1536"/>
        <w:gridCol w:w="3403"/>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本年公允价值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指定为以公允价值计量且其变动计入当期 损益的原因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上海博泰悦臻电子设备 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140,825,896.00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战略投资长期持股，不是以近期出售短期获 利为目的。投资不符合本金加利息的合同现 金流量特征</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深圳市东信时代信息技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61,500,000.00</w:t>
            </w:r>
          </w:p>
        </w:tc>
        <w:tc>
          <w:tcPr>
            <w:vMerge/>
            <w:tcBorders>
              <w:left w:val="single" w:sz="4"/>
              <w:bottom w:val="single" w:sz="4"/>
              <w:right w:val="single" w:sz="4"/>
            </w:tcBorders>
            <w:shd w:val="clear" w:color="auto" w:fill="FFFFFF"/>
            <w:vAlign w:val="center"/>
          </w:tcPr>
          <w:p>
            <w:pP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00"/>
      <w:bookmarkEnd w:id="1201"/>
      <w:bookmarkEnd w:id="1203"/>
    </w:p>
    <w:p>
      <w:pPr>
        <w:pStyle w:val="Style36"/>
        <w:keepNext/>
        <w:keepLines/>
        <w:widowControl w:val="0"/>
        <w:shd w:val="clear" w:color="auto" w:fill="auto"/>
        <w:tabs>
          <w:tab w:pos="493" w:val="left"/>
        </w:tabs>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04"/>
      <w:bookmarkEnd w:id="1205"/>
      <w:bookmarkEnd w:id="120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08"/>
      <w:bookmarkEnd w:id="1209"/>
      <w:bookmarkEnd w:id="121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264,219,603.60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264,219,603.60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-2,692,142.04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-2,692,142.04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82,711.56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82,711.56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r>
    </w:tbl>
    <w:p>
      <w:pPr>
        <w:widowControl w:val="0"/>
        <w:spacing w:after="359" w:line="1" w:lineRule="exact"/>
      </w:pPr>
    </w:p>
    <w:p>
      <w:pPr>
        <w:pStyle w:val="Style36"/>
        <w:keepNext/>
        <w:keepLines/>
        <w:widowControl w:val="0"/>
        <w:numPr>
          <w:ilvl w:val="0"/>
          <w:numId w:val="59"/>
        </w:numPr>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未办妥产权证书的投资性房地产情况</w:t>
      </w:r>
      <w:bookmarkEnd w:id="1212"/>
      <w:bookmarkEnd w:id="1213"/>
      <w:bookmarkEnd w:id="1215"/>
    </w:p>
    <w:p>
      <w:pPr>
        <w:pStyle w:val="Style32"/>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16"/>
      <w:bookmarkEnd w:id="1217"/>
      <w:bookmarkEnd w:id="1219"/>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681,482,449.95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681,482,449.95</w:t>
            </w:r>
          </w:p>
        </w:tc>
      </w:tr>
    </w:tbl>
    <w:p>
      <w:pPr>
        <w:widowControl w:val="0"/>
        <w:spacing w:after="359" w:line="1" w:lineRule="exact"/>
      </w:pPr>
    </w:p>
    <w:p>
      <w:pPr>
        <w:pStyle w:val="Style36"/>
        <w:keepNext/>
        <w:keepLines/>
        <w:widowControl w:val="0"/>
        <w:numPr>
          <w:ilvl w:val="0"/>
          <w:numId w:val="61"/>
        </w:numPr>
        <w:shd w:val="clear" w:color="auto" w:fill="auto"/>
        <w:bidi w:val="0"/>
        <w:spacing w:before="0" w:after="360" w:line="240" w:lineRule="auto"/>
        <w:ind w:left="0" w:right="0" w:firstLine="0"/>
        <w:jc w:val="both"/>
      </w:pPr>
      <w:bookmarkStart w:id="1220" w:name="bookmark1220"/>
      <w:bookmarkStart w:id="1221" w:name="bookmark1221"/>
      <w:bookmarkStart w:id="1222" w:name="bookmark1222"/>
      <w:bookmarkStart w:id="1223" w:name="bookmark1223"/>
      <w:bookmarkEnd w:id="1222"/>
      <w:r>
        <w:rPr>
          <w:color w:val="000000"/>
          <w:spacing w:val="0"/>
          <w:w w:val="100"/>
          <w:position w:val="0"/>
        </w:rPr>
        <w:t>固定资产情况</w:t>
      </w:r>
      <w:bookmarkEnd w:id="1220"/>
      <w:bookmarkEnd w:id="1221"/>
      <w:bookmarkEnd w:id="1223"/>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702,767,067.72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14,003,452.58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59,338,262.01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776,108,782.31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529,615.99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10,654,822.40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535,079.30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11,719,517.69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529,615.99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10,290,974.03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10,820,590.02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535,079.30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898,927.67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3,551,937.65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1,680,237.89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2,469,038.87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7,701,214.41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3,551,937.65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1,680,237.89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2,469,038.87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7,701,214.41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699,215,130.07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12,852,830.68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67,524,045.54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535,079.30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780,127,085.59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40,411,685.00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11,178,219.14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43,036,428.22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94,626,332.36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17,426,605.93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688,935.15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9,506,121.41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290,782.51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27,912,445.00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17,426,605.93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688,935.15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9,365,341.92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27,480,883.00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290,782.51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431,562.00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3,091,136.67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1,551,705.13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2,353,994.00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6,996,835.80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3,091,136.67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1,551,705.13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2,353,994.00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6,996,835.80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54,747,154.26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10,315,449.16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50,188,555.63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290,782.51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115,541,941.56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644,467,975.81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2,537,381.52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17,335,489.91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244,296.79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664,585,144.03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662,355,382.72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2,825,233.44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16,301,833.79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681,482,449.95</w:t>
            </w:r>
          </w:p>
        </w:tc>
      </w:tr>
    </w:tbl>
    <w:p>
      <w:pPr>
        <w:sectPr>
          <w:headerReference w:type="default" r:id="rId11"/>
          <w:footerReference w:type="default" r:id="rId12"/>
          <w:footnotePr>
            <w:pos w:val="pageBottom"/>
            <w:numFmt w:val="decimal"/>
            <w:numRestart w:val="continuous"/>
          </w:footnotePr>
          <w:pgSz w:w="11900" w:h="16840"/>
          <w:pgMar w:top="1347" w:right="1063" w:bottom="1468" w:left="1065" w:header="0" w:footer="3" w:gutter="0"/>
          <w:pgNumType w:start="93"/>
          <w:cols w:space="720"/>
          <w:noEndnote/>
          <w:rtlGutter w:val="0"/>
          <w:docGrid w:linePitch="360"/>
        </w:sectPr>
      </w:pPr>
    </w:p>
    <w:p>
      <w:pPr>
        <w:pStyle w:val="Style36"/>
        <w:keepNext/>
        <w:keepLines/>
        <w:widowControl w:val="0"/>
        <w:shd w:val="clear" w:color="auto" w:fill="auto"/>
        <w:tabs>
          <w:tab w:pos="493" w:val="left"/>
        </w:tabs>
        <w:bidi w:val="0"/>
        <w:spacing w:before="80" w:after="36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24"/>
      <w:bookmarkEnd w:id="1225"/>
      <w:bookmarkEnd w:id="1227"/>
    </w:p>
    <w:p>
      <w:pPr>
        <w:pStyle w:val="Style36"/>
        <w:keepNext/>
        <w:keepLines/>
        <w:widowControl w:val="0"/>
        <w:shd w:val="clear" w:color="auto" w:fill="auto"/>
        <w:tabs>
          <w:tab w:pos="493" w:val="left"/>
        </w:tabs>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228"/>
      <w:bookmarkEnd w:id="1229"/>
      <w:bookmarkEnd w:id="1231"/>
    </w:p>
    <w:p>
      <w:pPr>
        <w:pStyle w:val="Style36"/>
        <w:keepNext/>
        <w:keepLines/>
        <w:widowControl w:val="0"/>
        <w:shd w:val="clear" w:color="auto" w:fill="auto"/>
        <w:tabs>
          <w:tab w:pos="493" w:val="left"/>
        </w:tabs>
        <w:bidi w:val="0"/>
        <w:spacing w:before="0" w:after="36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232"/>
      <w:bookmarkEnd w:id="1233"/>
      <w:bookmarkEnd w:id="1235"/>
    </w:p>
    <w:p>
      <w:pPr>
        <w:pStyle w:val="Style36"/>
        <w:keepNext/>
        <w:keepLines/>
        <w:widowControl w:val="0"/>
        <w:shd w:val="clear" w:color="auto" w:fill="auto"/>
        <w:tabs>
          <w:tab w:pos="493" w:val="left"/>
        </w:tabs>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236"/>
      <w:bookmarkEnd w:id="1237"/>
      <w:bookmarkEnd w:id="1239"/>
    </w:p>
    <w:p>
      <w:pPr>
        <w:pStyle w:val="Style36"/>
        <w:keepNext/>
        <w:keepLines/>
        <w:widowControl w:val="0"/>
        <w:shd w:val="clear" w:color="auto" w:fill="auto"/>
        <w:tabs>
          <w:tab w:pos="493" w:val="left"/>
        </w:tabs>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bookmarkEnd w:id="1240"/>
      <w:bookmarkEnd w:id="1241"/>
      <w:bookmarkEnd w:id="1243"/>
    </w:p>
    <w:p>
      <w:pPr>
        <w:pStyle w:val="Style32"/>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44"/>
      <w:bookmarkEnd w:id="1245"/>
      <w:bookmarkEnd w:id="12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8"/>
      <w:bookmarkEnd w:id="1249"/>
      <w:bookmarkEnd w:id="12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东悦荟房产项目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22,237,184.40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22,237,184.40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22,237,184.40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22,237,184.40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2"/>
      <w:bookmarkEnd w:id="1253"/>
      <w:bookmarkEnd w:id="12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东悦荟 房产项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22,237,1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22,237,1</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22,237,1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22,237,1</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pStyle w:val="Style36"/>
        <w:keepNext/>
        <w:keepLines/>
        <w:widowControl w:val="0"/>
        <w:shd w:val="clear" w:color="auto" w:fill="auto"/>
        <w:tabs>
          <w:tab w:pos="493" w:val="left"/>
        </w:tabs>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256"/>
      <w:bookmarkEnd w:id="1257"/>
      <w:bookmarkEnd w:id="1259"/>
    </w:p>
    <w:p>
      <w:pPr>
        <w:pStyle w:val="Style36"/>
        <w:keepNext/>
        <w:keepLines/>
        <w:widowControl w:val="0"/>
        <w:shd w:val="clear" w:color="auto" w:fill="auto"/>
        <w:tabs>
          <w:tab w:pos="493" w:val="left"/>
        </w:tabs>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260"/>
      <w:bookmarkEnd w:id="1261"/>
      <w:bookmarkEnd w:id="1263"/>
    </w:p>
    <w:p>
      <w:pPr>
        <w:pStyle w:val="Style32"/>
        <w:keepNext/>
        <w:keepLines/>
        <w:widowControl w:val="0"/>
        <w:shd w:val="clear" w:color="auto" w:fill="auto"/>
        <w:tabs>
          <w:tab w:pos="483" w:val="left"/>
        </w:tabs>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4"/>
      <w:bookmarkEnd w:id="1265"/>
      <w:bookmarkEnd w:id="1267"/>
    </w:p>
    <w:p>
      <w:pPr>
        <w:pStyle w:val="Style36"/>
        <w:keepNext/>
        <w:keepLines/>
        <w:widowControl w:val="0"/>
        <w:shd w:val="clear" w:color="auto" w:fill="auto"/>
        <w:tabs>
          <w:tab w:pos="493" w:val="left"/>
        </w:tabs>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68"/>
      <w:bookmarkEnd w:id="1269"/>
      <w:bookmarkEnd w:id="127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72"/>
      <w:bookmarkEnd w:id="1273"/>
      <w:bookmarkEnd w:id="12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6"/>
      <w:bookmarkEnd w:id="1277"/>
      <w:bookmarkEnd w:id="127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80"/>
      <w:bookmarkEnd w:id="1281"/>
      <w:bookmarkEnd w:id="1283"/>
    </w:p>
    <w:p>
      <w:pPr>
        <w:pStyle w:val="Style32"/>
        <w:keepNext/>
        <w:keepLines/>
        <w:widowControl w:val="0"/>
        <w:shd w:val="clear" w:color="auto" w:fill="auto"/>
        <w:tabs>
          <w:tab w:pos="483" w:val="left"/>
        </w:tabs>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284"/>
      <w:bookmarkEnd w:id="1285"/>
      <w:bookmarkEnd w:id="1287"/>
    </w:p>
    <w:p>
      <w:pPr>
        <w:pStyle w:val="Style36"/>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8"/>
      <w:bookmarkEnd w:id="1289"/>
      <w:bookmarkEnd w:id="12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数字化运营系 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23,537,369.19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98,813,534.95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25,743,113.01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148,094,017.15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43,689.32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43,689.32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23,537,369.19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98,813,534.95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25,786,802.33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148,137,706.47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6,614,541.29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46,582,903.62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7,002,460.36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60,199,905.27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2,303,667.64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15,146,858.40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2,592,103.02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20,042,629.06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2,303,667.64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15,146,858.40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2,592,103.02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20,042,629.06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8,918,208.93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61,729,762.02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9,594,563.38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80,242,534.33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18,853,508.02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15,314,962.50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34,168,470.52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18,853,508.02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15,314,962.50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34,168,470.52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18,853,508.02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15,314,962.50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34,168,470.52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14,619,160.26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18,230,264.91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877,276.45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33,726,701.62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16,922,827.90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52,230,631.33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18,740,652.65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87,894,111.88</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w:t>
      </w:r>
    </w:p>
    <w:p>
      <w:pPr>
        <w:pStyle w:val="Style36"/>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92"/>
      <w:bookmarkEnd w:id="1293"/>
      <w:bookmarkEnd w:id="1295"/>
    </w:p>
    <w:p>
      <w:pPr>
        <w:pStyle w:val="Style32"/>
        <w:keepNext/>
        <w:keepLines/>
        <w:widowControl w:val="0"/>
        <w:shd w:val="clear" w:color="auto" w:fill="auto"/>
        <w:tabs>
          <w:tab w:pos="483" w:val="left"/>
        </w:tabs>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296"/>
      <w:bookmarkEnd w:id="1297"/>
      <w:bookmarkEnd w:id="1299"/>
    </w:p>
    <w:p>
      <w:pPr>
        <w:pStyle w:val="Style32"/>
        <w:keepNext/>
        <w:keepLines/>
        <w:widowControl w:val="0"/>
        <w:shd w:val="clear" w:color="auto" w:fill="auto"/>
        <w:tabs>
          <w:tab w:pos="483" w:val="left"/>
        </w:tabs>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00"/>
      <w:bookmarkEnd w:id="1301"/>
      <w:bookmarkEnd w:id="1303"/>
    </w:p>
    <w:p>
      <w:pPr>
        <w:pStyle w:val="Style36"/>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04"/>
      <w:bookmarkEnd w:id="1305"/>
      <w:bookmarkEnd w:id="13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南京金海洋窗之 景广告有限公司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6,782,948.04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6,782,948.04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上海窗之外广告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25,815,101.75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25,815,101.75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26,440,493.06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26,440,493.06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青岛慧河广告有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112,027,895.14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112,027,895.14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广州旗智企业管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2,559,258.18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2,559,258.18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上海传漾数字科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520,114,284.92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520,114,284.92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225,560,316.51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225,560,316.51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广州蓝门数字营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64,406,683.44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64,406,683.44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618,227,060.56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618,227,060.56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安徽沃达网络技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211,837.04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211,837.04</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14,471,700.50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14,471,700.50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438,543,814.63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438,543,814.63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广州市绩佳省广 餐饮管理有限公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440,566.78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440,566.78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2,055,444,681.61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440,566.78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6,943,851.10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2,048,941,397.29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8"/>
      <w:bookmarkEnd w:id="1309"/>
      <w:bookmarkEnd w:id="13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南京金海洋窗之 景广告有限公司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6,782,948.04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6,782,948.04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上海窗之外广告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18,866,800.00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6,948,301.75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25,815,101.75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26,440,493.06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26,440,493.06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青岛慧河广告有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112,027,895.14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112,027,895.14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广州旗智企业管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上海传漾数字科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371,500,000.00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198,600,000.00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广州蓝门数字营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562,400,000.00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安徽沃达网络技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211,837.04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广州市绩佳省广 餐饮管理有限公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375,313,261.12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1,097,948,301.75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6,943,851.10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1,466,317,711.77</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①商誉的减值测试过程:</w:t>
      </w:r>
    </w:p>
    <w:tbl>
      <w:tblPr>
        <w:tblOverlap w:val="never"/>
        <w:jc w:val="center"/>
        <w:tblLayout w:type="fixed"/>
      </w:tblPr>
      <w:tblGrid>
        <w:gridCol w:w="2861"/>
        <w:gridCol w:w="1286"/>
        <w:gridCol w:w="1838"/>
        <w:gridCol w:w="1838"/>
        <w:gridCol w:w="18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25,815,101.75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2,559,258.18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520,114,284.92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商誉减值准备余额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18,866,800.00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6,948,301.75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2,559,258.18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451,114,284.92</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未确认归属于少数股东权益的商誉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6,675,819.33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2,460,863.79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112,778,571.23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商誉整体价值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e=c+d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13,624,121.08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5,020,121.97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563,892,856.15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-8,085,291.80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93,978,377.64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131,396,828.22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包含整体商誉的资产组价值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g=e+f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5,538,829.28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98,998,499.61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695,289,684.37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-8,088,442.09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99,217,700.94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317,221,694.88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i=g-h </w:t>
            </w: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13,627,271.37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378,067,989.49</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按持股比例取整</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（以商誉账面余 额为限）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6,948,301.75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302,500,000.00</w:t>
            </w:r>
          </w:p>
        </w:tc>
      </w:tr>
    </w:tbl>
    <w:p>
      <w:pPr>
        <w:pStyle w:val="Style26"/>
        <w:keepNext w:val="0"/>
        <w:keepLines w:val="0"/>
        <w:widowControl w:val="0"/>
        <w:shd w:val="clear" w:color="auto" w:fill="auto"/>
        <w:bidi w:val="0"/>
        <w:spacing w:before="0" w:after="0" w:line="240" w:lineRule="auto"/>
        <w:ind w:left="518" w:right="0" w:firstLine="0"/>
        <w:jc w:val="left"/>
      </w:pPr>
      <w:r>
        <w:rPr>
          <w:color w:val="000000"/>
          <w:spacing w:val="0"/>
          <w:w w:val="100"/>
          <w:position w:val="0"/>
        </w:rPr>
        <w:t>（续）</w:t>
      </w:r>
    </w:p>
    <w:tbl>
      <w:tblPr>
        <w:tblOverlap w:val="never"/>
        <w:jc w:val="center"/>
        <w:tblLayout w:type="fixed"/>
      </w:tblPr>
      <w:tblGrid>
        <w:gridCol w:w="2861"/>
        <w:gridCol w:w="1286"/>
        <w:gridCol w:w="1838"/>
        <w:gridCol w:w="1838"/>
        <w:gridCol w:w="185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225,560,316.51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618,227,060.56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商誉减值准备余额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170,460,316.51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585,827,060.56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未确认归属于少数股东权益的商誉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139,467,531.69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32,769,166.44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146,456,765.14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商誉整体价值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e=c+d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309,927,848.20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66,875,850.00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732,283,825.70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69,436,600.00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87,003,800.00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406,378,827.99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包含整体商誉的资产组价值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g=e+f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379,364,448.20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153,879,650.00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1,138,662,653.69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118,694,700.00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114,821,281.02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476,402,250.28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i=g-h </w:t>
            </w: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260,669,748.20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39,058,368.98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662,260,403.41</w:t>
            </w:r>
          </w:p>
        </w:tc>
      </w:tr>
    </w:tbl>
    <w:p>
      <w:pPr>
        <w:spacing w:lineRule="exact" w:line="1"/>
        <w:rPr>
          <w:sz w:val="2"/>
          <w:szCs w:val="2"/>
        </w:rPr>
      </w:pPr>
      <w:r>
        <w:br w:type="page"/>
      </w:r>
    </w:p>
    <w:tbl>
      <w:tblPr>
        <w:tblOverlap w:val="never"/>
        <w:jc w:val="center"/>
        <w:tblLayout w:type="fixed"/>
      </w:tblPr>
      <w:tblGrid>
        <w:gridCol w:w="2851"/>
        <w:gridCol w:w="1296"/>
        <w:gridCol w:w="1843"/>
        <w:gridCol w:w="1838"/>
        <w:gridCol w:w="1848"/>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归属于母公司的商誉减值损失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按持股比例取整 （以商誉账面余 额为限）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530,000,000.00</w:t>
            </w:r>
          </w:p>
        </w:tc>
      </w:tr>
      <w:tr>
        <w:trPr>
          <w:trHeight w:val="322"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海口中行天策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上海拓畅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广州绩佳</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14,471,700.50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438,543,814.63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440,566.78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商誉减值准备余额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14,471,700.50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414,643,814.63</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 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6,202,157.36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103,660,953.66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商誉整体价值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e=c+d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20,673,857.86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518,304,768.29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3,295,941.24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334,813,419.97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包含整体商誉的资产组价值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g=e+f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23,969,799.10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853,118,188.26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7,835,055.63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748,617,589.79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i=g-h </w:t>
            </w: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16,134,743.47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104,500,598.47</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按持股比例取整 （以商誉账面余 额为限）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11,300,000.00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②关键参数:</w:t>
      </w:r>
    </w:p>
    <w:p>
      <w:pPr>
        <w:pStyle w:val="Style56"/>
        <w:keepNext w:val="0"/>
        <w:keepLines w:val="0"/>
        <w:widowControl w:val="0"/>
        <w:shd w:val="clear" w:color="auto" w:fill="auto"/>
        <w:bidi w:val="0"/>
        <w:spacing w:before="0" w:after="0" w:line="311" w:lineRule="exact"/>
        <w:ind w:left="0" w:right="0" w:firstLine="440"/>
        <w:jc w:val="both"/>
        <w:rPr>
          <w:sz w:val="17"/>
          <w:szCs w:val="17"/>
        </w:rPr>
      </w:pPr>
      <w:r>
        <w:rPr>
          <w:rFonts w:ascii="SimSun" w:eastAsia="SimSun" w:hAnsi="SimSun" w:cs="SimSun"/>
          <w:color w:val="000000"/>
          <w:spacing w:val="0"/>
          <w:w w:val="100"/>
          <w:position w:val="0"/>
          <w:sz w:val="17"/>
          <w:szCs w:val="17"/>
        </w:rPr>
        <w:t>评估报告基于资产组过去的业绩、公司对市场发展的预期估计等预测该资产组未来现金流量，将</w:t>
      </w:r>
      <w:r>
        <w:rPr>
          <w:color w:val="000000"/>
          <w:spacing w:val="0"/>
          <w:w w:val="100"/>
          <w:position w:val="0"/>
          <w:sz w:val="18"/>
          <w:szCs w:val="18"/>
        </w:rPr>
        <w:t>2021</w:t>
      </w:r>
      <w:r>
        <w:rPr>
          <w:rFonts w:ascii="SimSun" w:eastAsia="SimSun" w:hAnsi="SimSun" w:cs="SimSun"/>
          <w:color w:val="000000"/>
          <w:spacing w:val="0"/>
          <w:w w:val="100"/>
          <w:position w:val="0"/>
          <w:sz w:val="17"/>
          <w:szCs w:val="17"/>
        </w:rPr>
        <w:t>年至</w:t>
      </w:r>
      <w:r>
        <w:rPr>
          <w:color w:val="000000"/>
          <w:spacing w:val="0"/>
          <w:w w:val="100"/>
          <w:position w:val="0"/>
          <w:sz w:val="18"/>
          <w:szCs w:val="18"/>
        </w:rPr>
        <w:t>2025</w:t>
      </w:r>
      <w:r>
        <w:rPr>
          <w:rFonts w:ascii="SimSun" w:eastAsia="SimSun" w:hAnsi="SimSun" w:cs="SimSun"/>
          <w:color w:val="000000"/>
          <w:spacing w:val="0"/>
          <w:w w:val="100"/>
          <w:position w:val="0"/>
          <w:sz w:val="17"/>
          <w:szCs w:val="17"/>
        </w:rPr>
        <w:t>年确定 为明确的预测期，</w:t>
      </w:r>
      <w:r>
        <w:rPr>
          <w:color w:val="000000"/>
          <w:spacing w:val="0"/>
          <w:w w:val="100"/>
          <w:position w:val="0"/>
          <w:sz w:val="18"/>
          <w:szCs w:val="18"/>
        </w:rPr>
        <w:t>2025</w:t>
      </w:r>
      <w:r>
        <w:rPr>
          <w:rFonts w:ascii="SimSun" w:eastAsia="SimSun" w:hAnsi="SimSun" w:cs="SimSun"/>
          <w:color w:val="000000"/>
          <w:spacing w:val="0"/>
          <w:w w:val="100"/>
          <w:position w:val="0"/>
          <w:sz w:val="17"/>
          <w:szCs w:val="17"/>
        </w:rPr>
        <w:t>年后为稳定期，计算未来现金流量现值所采用的税前折现率（预测期</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稳定期）分别为：上海窗之外 </w:t>
      </w:r>
      <w:r>
        <w:rPr>
          <w:color w:val="000000"/>
          <w:spacing w:val="0"/>
          <w:w w:val="100"/>
          <w:position w:val="0"/>
          <w:sz w:val="18"/>
          <w:szCs w:val="18"/>
        </w:rPr>
        <w:t>20.03%/20.03%</w:t>
      </w:r>
      <w:r>
        <w:rPr>
          <w:rFonts w:ascii="SimSun" w:eastAsia="SimSun" w:hAnsi="SimSun" w:cs="SimSun"/>
          <w:color w:val="000000"/>
          <w:spacing w:val="0"/>
          <w:w w:val="100"/>
          <w:position w:val="0"/>
          <w:sz w:val="17"/>
          <w:szCs w:val="17"/>
        </w:rPr>
        <w:t xml:space="preserve">、广州旗智 </w:t>
      </w:r>
      <w:r>
        <w:rPr>
          <w:color w:val="000000"/>
          <w:spacing w:val="0"/>
          <w:w w:val="100"/>
          <w:position w:val="0"/>
          <w:sz w:val="18"/>
          <w:szCs w:val="18"/>
        </w:rPr>
        <w:t>18.71%/18.71%</w:t>
      </w:r>
      <w:r>
        <w:rPr>
          <w:rFonts w:ascii="SimSun" w:eastAsia="SimSun" w:hAnsi="SimSun" w:cs="SimSun"/>
          <w:color w:val="000000"/>
          <w:spacing w:val="0"/>
          <w:w w:val="100"/>
          <w:position w:val="0"/>
          <w:sz w:val="17"/>
          <w:szCs w:val="17"/>
        </w:rPr>
        <w:t xml:space="preserve">、上海传漾 </w:t>
      </w:r>
      <w:r>
        <w:rPr>
          <w:color w:val="000000"/>
          <w:spacing w:val="0"/>
          <w:w w:val="100"/>
          <w:position w:val="0"/>
          <w:sz w:val="18"/>
          <w:szCs w:val="18"/>
        </w:rPr>
        <w:t>16.09%/18.14%</w:t>
      </w:r>
      <w:r>
        <w:rPr>
          <w:rFonts w:ascii="SimSun" w:eastAsia="SimSun" w:hAnsi="SimSun" w:cs="SimSun"/>
          <w:color w:val="000000"/>
          <w:spacing w:val="0"/>
          <w:w w:val="100"/>
          <w:position w:val="0"/>
          <w:sz w:val="17"/>
          <w:szCs w:val="17"/>
        </w:rPr>
        <w:t xml:space="preserve">、上海韵翔 </w:t>
      </w:r>
      <w:r>
        <w:rPr>
          <w:color w:val="000000"/>
          <w:spacing w:val="0"/>
          <w:w w:val="100"/>
          <w:position w:val="0"/>
          <w:sz w:val="18"/>
          <w:szCs w:val="18"/>
        </w:rPr>
        <w:t>16.42%/16.42%</w:t>
      </w:r>
      <w:r>
        <w:rPr>
          <w:rFonts w:ascii="SimSun" w:eastAsia="SimSun" w:hAnsi="SimSun" w:cs="SimSun"/>
          <w:color w:val="000000"/>
          <w:spacing w:val="0"/>
          <w:w w:val="100"/>
          <w:position w:val="0"/>
          <w:sz w:val="17"/>
          <w:szCs w:val="17"/>
        </w:rPr>
        <w:t xml:space="preserve">、广州蓝门 </w:t>
      </w:r>
      <w:r>
        <w:rPr>
          <w:color w:val="000000"/>
          <w:spacing w:val="0"/>
          <w:w w:val="100"/>
          <w:position w:val="0"/>
          <w:sz w:val="18"/>
          <w:szCs w:val="18"/>
        </w:rPr>
        <w:t>14.98%/16.85%</w:t>
      </w:r>
      <w:r>
        <w:rPr>
          <w:rFonts w:ascii="SimSun" w:eastAsia="SimSun" w:hAnsi="SimSun" w:cs="SimSun"/>
          <w:color w:val="000000"/>
          <w:spacing w:val="0"/>
          <w:w w:val="100"/>
          <w:position w:val="0"/>
          <w:sz w:val="17"/>
          <w:szCs w:val="17"/>
        </w:rPr>
        <w:t>、 上海晋拓</w:t>
      </w:r>
      <w:r>
        <w:rPr>
          <w:color w:val="000000"/>
          <w:spacing w:val="0"/>
          <w:w w:val="100"/>
          <w:position w:val="0"/>
          <w:sz w:val="18"/>
          <w:szCs w:val="18"/>
        </w:rPr>
        <w:t>15.67%/15.67%</w:t>
      </w:r>
      <w:r>
        <w:rPr>
          <w:rFonts w:ascii="SimSun" w:eastAsia="SimSun" w:hAnsi="SimSun" w:cs="SimSun"/>
          <w:color w:val="000000"/>
          <w:spacing w:val="0"/>
          <w:w w:val="100"/>
          <w:position w:val="0"/>
          <w:sz w:val="17"/>
          <w:szCs w:val="17"/>
        </w:rPr>
        <w:t>、海口中行天策</w:t>
      </w:r>
      <w:r>
        <w:rPr>
          <w:color w:val="000000"/>
          <w:spacing w:val="0"/>
          <w:w w:val="100"/>
          <w:position w:val="0"/>
          <w:sz w:val="18"/>
          <w:szCs w:val="18"/>
        </w:rPr>
        <w:t>19.81%/19.81%</w:t>
      </w:r>
      <w:r>
        <w:rPr>
          <w:rFonts w:ascii="SimSun" w:eastAsia="SimSun" w:hAnsi="SimSun" w:cs="SimSun"/>
          <w:color w:val="000000"/>
          <w:spacing w:val="0"/>
          <w:w w:val="100"/>
          <w:position w:val="0"/>
          <w:sz w:val="17"/>
          <w:szCs w:val="17"/>
        </w:rPr>
        <w:t>、上海拓畅</w:t>
      </w:r>
      <w:r>
        <w:rPr>
          <w:color w:val="000000"/>
          <w:spacing w:val="0"/>
          <w:w w:val="100"/>
          <w:position w:val="0"/>
          <w:sz w:val="18"/>
          <w:szCs w:val="18"/>
        </w:rPr>
        <w:t>13.76%/14.24%</w:t>
      </w:r>
      <w:r>
        <w:rPr>
          <w:rFonts w:ascii="SimSun" w:eastAsia="SimSun" w:hAnsi="SimSun" w:cs="SimSun"/>
          <w:color w:val="000000"/>
          <w:spacing w:val="0"/>
          <w:w w:val="100"/>
          <w:position w:val="0"/>
          <w:sz w:val="17"/>
          <w:szCs w:val="17"/>
        </w:rPr>
        <w:t>；预测</w:t>
      </w:r>
      <w:r>
        <w:rPr>
          <w:color w:val="000000"/>
          <w:spacing w:val="0"/>
          <w:w w:val="100"/>
          <w:position w:val="0"/>
          <w:sz w:val="18"/>
          <w:szCs w:val="18"/>
        </w:rPr>
        <w:t>2021</w:t>
      </w:r>
      <w:r>
        <w:rPr>
          <w:rFonts w:ascii="SimSun" w:eastAsia="SimSun" w:hAnsi="SimSun" w:cs="SimSun"/>
          <w:color w:val="000000"/>
          <w:spacing w:val="0"/>
          <w:w w:val="100"/>
          <w:position w:val="0"/>
          <w:sz w:val="17"/>
          <w:szCs w:val="17"/>
        </w:rPr>
        <w:t>年至</w:t>
      </w:r>
      <w:r>
        <w:rPr>
          <w:color w:val="000000"/>
          <w:spacing w:val="0"/>
          <w:w w:val="100"/>
          <w:position w:val="0"/>
          <w:sz w:val="18"/>
          <w:szCs w:val="18"/>
        </w:rPr>
        <w:t>2025</w:t>
      </w:r>
      <w:r>
        <w:rPr>
          <w:rFonts w:ascii="SimSun" w:eastAsia="SimSun" w:hAnsi="SimSun" w:cs="SimSun"/>
          <w:color w:val="000000"/>
          <w:spacing w:val="0"/>
          <w:w w:val="100"/>
          <w:position w:val="0"/>
          <w:sz w:val="17"/>
          <w:szCs w:val="17"/>
        </w:rPr>
        <w:t>年营业收入的增长率 分别为：上海窗之外卜</w:t>
      </w:r>
      <w:r>
        <w:rPr>
          <w:color w:val="000000"/>
          <w:spacing w:val="0"/>
          <w:w w:val="100"/>
          <w:position w:val="0"/>
          <w:sz w:val="18"/>
          <w:szCs w:val="18"/>
        </w:rPr>
        <w:t>2.73%-5.45%</w:t>
      </w:r>
      <w:r>
        <w:rPr>
          <w:rFonts w:ascii="SimSun" w:eastAsia="SimSun" w:hAnsi="SimSun" w:cs="SimSun"/>
          <w:color w:val="000000"/>
          <w:spacing w:val="0"/>
          <w:w w:val="100"/>
          <w:position w:val="0"/>
          <w:sz w:val="17"/>
          <w:szCs w:val="17"/>
        </w:rPr>
        <w:t>、广州旗智</w:t>
      </w:r>
      <w:r>
        <w:rPr>
          <w:color w:val="000000"/>
          <w:spacing w:val="0"/>
          <w:w w:val="100"/>
          <w:position w:val="0"/>
          <w:sz w:val="18"/>
          <w:szCs w:val="18"/>
        </w:rPr>
        <w:t>4.89%-6.91%</w:t>
      </w:r>
      <w:r>
        <w:rPr>
          <w:rFonts w:ascii="SimSun" w:eastAsia="SimSun" w:hAnsi="SimSun" w:cs="SimSun"/>
          <w:color w:val="000000"/>
          <w:spacing w:val="0"/>
          <w:w w:val="100"/>
          <w:position w:val="0"/>
          <w:sz w:val="17"/>
          <w:szCs w:val="17"/>
        </w:rPr>
        <w:t>、上海传漾</w:t>
      </w:r>
      <w:r>
        <w:rPr>
          <w:color w:val="000000"/>
          <w:spacing w:val="0"/>
          <w:w w:val="100"/>
          <w:position w:val="0"/>
          <w:sz w:val="18"/>
          <w:szCs w:val="18"/>
        </w:rPr>
        <w:t>3.98%-9.92%</w:t>
      </w:r>
      <w:r>
        <w:rPr>
          <w:rFonts w:ascii="SimSun" w:eastAsia="SimSun" w:hAnsi="SimSun" w:cs="SimSun"/>
          <w:color w:val="000000"/>
          <w:spacing w:val="0"/>
          <w:w w:val="100"/>
          <w:position w:val="0"/>
          <w:sz w:val="17"/>
          <w:szCs w:val="17"/>
        </w:rPr>
        <w:t>、上海韵翔</w:t>
      </w:r>
      <w:r>
        <w:rPr>
          <w:color w:val="000000"/>
          <w:spacing w:val="0"/>
          <w:w w:val="100"/>
          <w:position w:val="0"/>
          <w:sz w:val="18"/>
          <w:szCs w:val="18"/>
        </w:rPr>
        <w:t>10.00%-25.00%</w:t>
      </w:r>
      <w:r>
        <w:rPr>
          <w:rFonts w:ascii="SimSun" w:eastAsia="SimSun" w:hAnsi="SimSun" w:cs="SimSun"/>
          <w:color w:val="000000"/>
          <w:spacing w:val="0"/>
          <w:w w:val="100"/>
          <w:position w:val="0"/>
          <w:sz w:val="17"/>
          <w:szCs w:val="17"/>
        </w:rPr>
        <w:t xml:space="preserve">、广州蓝门 </w:t>
      </w:r>
      <w:r>
        <w:rPr>
          <w:color w:val="000000"/>
          <w:spacing w:val="0"/>
          <w:w w:val="100"/>
          <w:position w:val="0"/>
          <w:sz w:val="18"/>
          <w:szCs w:val="18"/>
        </w:rPr>
        <w:t>-25.41%-8.04%</w:t>
      </w:r>
      <w:r>
        <w:rPr>
          <w:rFonts w:ascii="SimSun" w:eastAsia="SimSun" w:hAnsi="SimSun" w:cs="SimSun"/>
          <w:color w:val="000000"/>
          <w:spacing w:val="0"/>
          <w:w w:val="100"/>
          <w:position w:val="0"/>
          <w:sz w:val="17"/>
          <w:szCs w:val="17"/>
        </w:rPr>
        <w:t>、上海晋拓</w:t>
      </w:r>
      <w:r>
        <w:rPr>
          <w:color w:val="000000"/>
          <w:spacing w:val="0"/>
          <w:w w:val="100"/>
          <w:position w:val="0"/>
          <w:sz w:val="18"/>
          <w:szCs w:val="18"/>
        </w:rPr>
        <w:t>3.00%-5.00%</w:t>
      </w:r>
      <w:r>
        <w:rPr>
          <w:rFonts w:ascii="SimSun" w:eastAsia="SimSun" w:hAnsi="SimSun" w:cs="SimSun"/>
          <w:color w:val="000000"/>
          <w:spacing w:val="0"/>
          <w:w w:val="100"/>
          <w:position w:val="0"/>
          <w:sz w:val="17"/>
          <w:szCs w:val="17"/>
        </w:rPr>
        <w:t>、海口中行天策</w:t>
      </w:r>
      <w:r>
        <w:rPr>
          <w:color w:val="000000"/>
          <w:spacing w:val="0"/>
          <w:w w:val="100"/>
          <w:position w:val="0"/>
          <w:sz w:val="18"/>
          <w:szCs w:val="18"/>
        </w:rPr>
        <w:t>10.00%-15.00%</w:t>
      </w:r>
      <w:r>
        <w:rPr>
          <w:rFonts w:ascii="SimSun" w:eastAsia="SimSun" w:hAnsi="SimSun" w:cs="SimSun"/>
          <w:color w:val="000000"/>
          <w:spacing w:val="0"/>
          <w:w w:val="100"/>
          <w:position w:val="0"/>
          <w:sz w:val="17"/>
          <w:szCs w:val="17"/>
        </w:rPr>
        <w:t>、上海拓畅</w:t>
      </w:r>
      <w:r>
        <w:rPr>
          <w:color w:val="000000"/>
          <w:spacing w:val="0"/>
          <w:w w:val="100"/>
          <w:position w:val="0"/>
          <w:sz w:val="18"/>
          <w:szCs w:val="18"/>
        </w:rPr>
        <w:t>2.00%-5.00%</w:t>
      </w:r>
      <w:r>
        <w:rPr>
          <w:rFonts w:ascii="SimSun" w:eastAsia="SimSun" w:hAnsi="SimSun" w:cs="SimSun"/>
          <w:color w:val="000000"/>
          <w:spacing w:val="0"/>
          <w:w w:val="100"/>
          <w:position w:val="0"/>
          <w:sz w:val="17"/>
          <w:szCs w:val="17"/>
        </w:rPr>
        <w:t>。稳定期增长率均为</w:t>
      </w:r>
      <w:r>
        <w:rPr>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③可收回金额的确定方法</w:t>
      </w:r>
    </w:p>
    <w:p>
      <w:pPr>
        <w:pStyle w:val="Style28"/>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资产存在减值迹象的，应当估计其可收回金额。可收回金额应当根据资 产的公允价值减去处置费用后的净额与资产预计未来现金流量的现值两者之间较高者确定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40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12"/>
      <w:bookmarkEnd w:id="1313"/>
      <w:bookmarkEnd w:id="13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候车厅安装费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5,121,224.74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8,885,646.22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3,543,292.78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10,463,578.18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5,289,215.49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2,062,628.56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3,254,835.09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信息系统构建支出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4,851,322.47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158,934.89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3,862,777.90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1,147,479.46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广告灯箱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1,450,182.98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237,326.36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1,033,128.29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654,381.05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新办公楼房租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281,010.37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680,831.20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60,123.87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其他需分摊支出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32,563.83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17,047,579.00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9,798,402.21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11,233,019.73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15,612,961.48</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6"/>
      <w:bookmarkEnd w:id="1317"/>
      <w:bookmarkEnd w:id="1319"/>
    </w:p>
    <w:p>
      <w:pPr>
        <w:pStyle w:val="Style36"/>
        <w:keepNext/>
        <w:keepLines/>
        <w:widowControl w:val="0"/>
        <w:numPr>
          <w:ilvl w:val="0"/>
          <w:numId w:val="63"/>
        </w:numPr>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未经抵销的递延所得税资产</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787,178,328.78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133,137,955.13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584,563,249.53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92,394,659.77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19,173,472.87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2,473,878.25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47,946,137.70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7,760,148.61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33,024,017.21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4,003,667.62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41,790,016.65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6,652,431.83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预提工资费用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96,102.53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842,198,559.99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140,038,912.17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674,683,814.00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106,903,342.74</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未经抵销的递延所得税负债</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17,863,412.47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2,679,511.87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投资性房地产公允价值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104,754,532.99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15,713,179.95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98,317,261.19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14,747,589.18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104,894,432.99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15,734,164.95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116,180,673.66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17,427,101.05</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以抵销后净额列示的递延所得税资产或负债</w:t>
      </w:r>
      <w:bookmarkEnd w:id="1328"/>
      <w:bookmarkEnd w:id="1329"/>
      <w:bookmarkEnd w:id="1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140,038,912.17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106,903,342.74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15,734,164.95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17,427,101.05</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未确认递延所得税资产明细</w:t>
      </w:r>
      <w:bookmarkEnd w:id="1332"/>
      <w:bookmarkEnd w:id="1333"/>
      <w:bookmarkEnd w:id="13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192,074,763.67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360,652,567.32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60,793,187.83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44,141,188.06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252,867,951.50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404,793,755.38</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14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36"/>
      <w:bookmarkEnd w:id="1337"/>
      <w:bookmarkEnd w:id="13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7,547,971.96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3,332,537.38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3,390,816.43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7,762,428.68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14,737,537.35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10,437,831.68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14,886,713.80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15,060,418.36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23,654,898.91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4,042,069.07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60,793,187.83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44,141,188.06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tabs>
          <w:tab w:pos="473" w:val="left"/>
        </w:tabs>
        <w:bidi w:val="0"/>
        <w:spacing w:before="0" w:after="34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340"/>
      <w:bookmarkEnd w:id="1341"/>
      <w:bookmarkEnd w:id="1343"/>
    </w:p>
    <w:p>
      <w:pPr>
        <w:pStyle w:val="Style32"/>
        <w:keepNext/>
        <w:keepLines/>
        <w:widowControl w:val="0"/>
        <w:shd w:val="clear" w:color="auto" w:fill="auto"/>
        <w:tabs>
          <w:tab w:pos="473" w:val="left"/>
        </w:tabs>
        <w:bidi w:val="0"/>
        <w:spacing w:before="0" w:after="38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344"/>
      <w:bookmarkEnd w:id="1345"/>
      <w:bookmarkEnd w:id="1347"/>
    </w:p>
    <w:p>
      <w:pPr>
        <w:pStyle w:val="Style36"/>
        <w:keepNext/>
        <w:keepLines/>
        <w:widowControl w:val="0"/>
        <w:shd w:val="clear" w:color="auto" w:fill="auto"/>
        <w:bidi w:val="0"/>
        <w:spacing w:before="0" w:line="240" w:lineRule="auto"/>
        <w:ind w:left="0" w:right="0" w:firstLine="0"/>
        <w:jc w:val="both"/>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8"/>
      <w:bookmarkEnd w:id="1349"/>
      <w:bookmarkEnd w:id="13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44,076,725.07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293,647,932.55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558,422,850.00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157,712.80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608,410.75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402,402.93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337,882,370.42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601,694,913.68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本公司之子公司广州蓝门数字营销顾问有限公司与中国光大银行股份有限公司广东自贸试验区南沙支行签订了合同号 为</w:t>
      </w:r>
      <w:r>
        <w:rPr>
          <w:rFonts w:ascii="Times New Roman" w:eastAsia="Times New Roman" w:hAnsi="Times New Roman" w:cs="Times New Roman"/>
          <w:color w:val="000000"/>
          <w:spacing w:val="0"/>
          <w:w w:val="100"/>
          <w:position w:val="0"/>
          <w:sz w:val="18"/>
          <w:szCs w:val="18"/>
        </w:rPr>
        <w:t>NS</w:t>
      </w:r>
      <w:r>
        <w:rPr>
          <w:color w:val="000000"/>
          <w:spacing w:val="0"/>
          <w:w w:val="100"/>
          <w:position w:val="0"/>
        </w:rPr>
        <w:t>贷字</w:t>
      </w:r>
      <w:r>
        <w:rPr>
          <w:rFonts w:ascii="Times New Roman" w:eastAsia="Times New Roman" w:hAnsi="Times New Roman" w:cs="Times New Roman"/>
          <w:color w:val="000000"/>
          <w:spacing w:val="0"/>
          <w:w w:val="100"/>
          <w:position w:val="0"/>
          <w:sz w:val="18"/>
          <w:szCs w:val="18"/>
        </w:rPr>
        <w:t>51582020008</w:t>
      </w:r>
      <w:r>
        <w:rPr>
          <w:color w:val="000000"/>
          <w:spacing w:val="0"/>
          <w:w w:val="100"/>
          <w:position w:val="0"/>
        </w:rPr>
        <w:t>《流动资金贷款合同》，取得贷款</w:t>
      </w:r>
      <w:r>
        <w:rPr>
          <w:rFonts w:ascii="Times New Roman" w:eastAsia="Times New Roman" w:hAnsi="Times New Roman" w:cs="Times New Roman"/>
          <w:color w:val="000000"/>
          <w:spacing w:val="0"/>
          <w:w w:val="100"/>
          <w:position w:val="0"/>
          <w:sz w:val="18"/>
          <w:szCs w:val="18"/>
        </w:rPr>
        <w:t>4,296,725.07</w:t>
      </w:r>
      <w:r>
        <w:rPr>
          <w:color w:val="000000"/>
          <w:spacing w:val="0"/>
          <w:w w:val="100"/>
          <w:position w:val="0"/>
        </w:rPr>
        <w:t>元，该借款由关联方刘浩宇、史舒海、胡文恺提供担保。 广州蓝门数字营销顾问有限公司与广州银行股份有限公司森保支行签订了合同号为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）广银森保授信字借字</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号的《流 动资金借款合同》，取得借款</w:t>
      </w:r>
      <w:r>
        <w:rPr>
          <w:rFonts w:ascii="Times New Roman" w:eastAsia="Times New Roman" w:hAnsi="Times New Roman" w:cs="Times New Roman"/>
          <w:color w:val="000000"/>
          <w:spacing w:val="0"/>
          <w:w w:val="100"/>
          <w:position w:val="0"/>
          <w:sz w:val="18"/>
          <w:szCs w:val="18"/>
        </w:rPr>
        <w:t>9,970,000.00</w:t>
      </w:r>
      <w:r>
        <w:rPr>
          <w:color w:val="000000"/>
          <w:spacing w:val="0"/>
          <w:w w:val="100"/>
          <w:position w:val="0"/>
        </w:rPr>
        <w:t>元，该借款由关联方刘浩宇、史舒海、胡文恺提供担保。</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本公司之子公司上海拓畅信息技术有限公司与平安银行股份有限公司深圳分行签订了平银前海四贷字</w:t>
      </w:r>
      <w:r>
        <w:rPr>
          <w:rFonts w:ascii="Times New Roman" w:eastAsia="Times New Roman" w:hAnsi="Times New Roman" w:cs="Times New Roman"/>
          <w:color w:val="000000"/>
          <w:spacing w:val="0"/>
          <w:w w:val="100"/>
          <w:position w:val="0"/>
          <w:sz w:val="18"/>
          <w:szCs w:val="18"/>
        </w:rPr>
        <w:t>20201119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001 </w:t>
      </w:r>
      <w:r>
        <w:rPr>
          <w:color w:val="000000"/>
          <w:spacing w:val="0"/>
          <w:w w:val="100"/>
          <w:position w:val="0"/>
        </w:rPr>
        <w:t>号的《流动资金借款合同》，取得借款</w:t>
      </w:r>
      <w:r>
        <w:rPr>
          <w:rFonts w:ascii="Times New Roman" w:eastAsia="Times New Roman" w:hAnsi="Times New Roman" w:cs="Times New Roman"/>
          <w:color w:val="000000"/>
          <w:spacing w:val="0"/>
          <w:w w:val="100"/>
          <w:position w:val="0"/>
          <w:sz w:val="18"/>
          <w:szCs w:val="18"/>
        </w:rPr>
        <w:t>19,800,000.00</w:t>
      </w:r>
      <w:r>
        <w:rPr>
          <w:color w:val="000000"/>
          <w:spacing w:val="0"/>
          <w:w w:val="100"/>
          <w:position w:val="0"/>
        </w:rPr>
        <w:t>元，该借款由关联方李健提供担保。上海拓畅信息技术有限公司与交通 银行股份有限公司上海五角场支行签订了</w:t>
      </w:r>
      <w:r>
        <w:rPr>
          <w:rFonts w:ascii="Times New Roman" w:eastAsia="Times New Roman" w:hAnsi="Times New Roman" w:cs="Times New Roman"/>
          <w:color w:val="000000"/>
          <w:spacing w:val="0"/>
          <w:w w:val="100"/>
          <w:position w:val="0"/>
          <w:sz w:val="18"/>
          <w:szCs w:val="18"/>
        </w:rPr>
        <w:t>Z2010LN1568803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号的《流动资金借款合同》，取得借款</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 xml:space="preserve">元，该借款 由关联方李健、上海市中小微企业政策性融资担保基金管理中心提供担保，李健、姚继红为上海市中小微企业政策性融资担 保基金管理中心提供反担保。上海拓畅信息技术有限公司与上海农村商业银行股份有限公司祁连支行签订了 </w:t>
      </w:r>
      <w:r>
        <w:rPr>
          <w:rFonts w:ascii="Times New Roman" w:eastAsia="Times New Roman" w:hAnsi="Times New Roman" w:cs="Times New Roman"/>
          <w:color w:val="000000"/>
          <w:spacing w:val="0"/>
          <w:w w:val="100"/>
          <w:position w:val="0"/>
          <w:sz w:val="18"/>
          <w:szCs w:val="18"/>
        </w:rPr>
        <w:t xml:space="preserve">31063194010155 </w:t>
      </w:r>
      <w:r>
        <w:rPr>
          <w:color w:val="000000"/>
          <w:spacing w:val="0"/>
          <w:w w:val="100"/>
          <w:position w:val="0"/>
        </w:rPr>
        <w:t>号的《流动资金借款合同》，取得借款</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元，该借款由关联方李健、姚继红、孙公司上海泓</w:t>
      </w:r>
      <w:r>
        <w:rPr>
          <w:color w:val="0C0C0C"/>
          <w:spacing w:val="0"/>
          <w:w w:val="100"/>
          <w:position w:val="0"/>
        </w:rPr>
        <w:t>信信息技术有限公司 提供担保。</w:t>
      </w:r>
    </w:p>
    <w:p>
      <w:pPr>
        <w:pStyle w:val="Style28"/>
        <w:keepNext w:val="0"/>
        <w:keepLines w:val="0"/>
        <w:widowControl w:val="0"/>
        <w:shd w:val="clear" w:color="auto" w:fill="auto"/>
        <w:bidi w:val="0"/>
        <w:spacing w:before="0" w:after="380" w:line="317" w:lineRule="exact"/>
        <w:ind w:left="0" w:right="0" w:firstLine="440"/>
        <w:jc w:val="both"/>
      </w:pPr>
      <w:r>
        <w:rPr>
          <w:color w:val="0C0C0C"/>
          <w:spacing w:val="0"/>
          <w:w w:val="100"/>
          <w:position w:val="0"/>
        </w:rPr>
        <w:t>本公司之子公司成都经典视线广告传媒有限公司与成都银行股份有限公司营业部签订了合同号为</w:t>
      </w:r>
      <w:r>
        <w:rPr>
          <w:rFonts w:ascii="Times New Roman" w:eastAsia="Times New Roman" w:hAnsi="Times New Roman" w:cs="Times New Roman"/>
          <w:color w:val="0C0C0C"/>
          <w:spacing w:val="0"/>
          <w:w w:val="100"/>
          <w:position w:val="0"/>
          <w:sz w:val="18"/>
          <w:szCs w:val="18"/>
        </w:rPr>
        <w:t xml:space="preserve">H010101200519481 </w:t>
      </w:r>
      <w:r>
        <w:rPr>
          <w:color w:val="0C0C0C"/>
          <w:spacing w:val="0"/>
          <w:w w:val="100"/>
          <w:position w:val="0"/>
        </w:rPr>
        <w:t>的《借款合同》，取得借款</w:t>
      </w:r>
      <w:r>
        <w:rPr>
          <w:rFonts w:ascii="Times New Roman" w:eastAsia="Times New Roman" w:hAnsi="Times New Roman" w:cs="Times New Roman"/>
          <w:color w:val="0C0C0C"/>
          <w:spacing w:val="0"/>
          <w:w w:val="100"/>
          <w:position w:val="0"/>
          <w:sz w:val="18"/>
          <w:szCs w:val="18"/>
        </w:rPr>
        <w:t>10,000</w:t>
      </w:r>
      <w:r>
        <w:rPr>
          <w:color w:val="0C0C0C"/>
          <w:spacing w:val="0"/>
          <w:w w:val="100"/>
          <w:position w:val="0"/>
        </w:rPr>
        <w:t>元，该借款由成都中小企业融资担保有限责任公司提供担保。</w:t>
      </w:r>
    </w:p>
    <w:p>
      <w:pPr>
        <w:pStyle w:val="Style36"/>
        <w:keepNext/>
        <w:keepLines/>
        <w:widowControl w:val="0"/>
        <w:numPr>
          <w:ilvl w:val="0"/>
          <w:numId w:val="61"/>
        </w:numPr>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已逾期未偿还的短期借款情况</w:t>
      </w:r>
      <w:bookmarkEnd w:id="1352"/>
      <w:bookmarkEnd w:id="1353"/>
      <w:bookmarkEnd w:id="1355"/>
    </w:p>
    <w:p>
      <w:pPr>
        <w:pStyle w:val="Style32"/>
        <w:keepNext/>
        <w:keepLines/>
        <w:widowControl w:val="0"/>
        <w:shd w:val="clear" w:color="auto" w:fill="auto"/>
        <w:tabs>
          <w:tab w:pos="483" w:val="left"/>
        </w:tabs>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56"/>
      <w:bookmarkEnd w:id="1357"/>
      <w:bookmarkEnd w:id="1359"/>
    </w:p>
    <w:p>
      <w:pPr>
        <w:pStyle w:val="Style32"/>
        <w:keepNext/>
        <w:keepLines/>
        <w:widowControl w:val="0"/>
        <w:shd w:val="clear" w:color="auto" w:fill="auto"/>
        <w:tabs>
          <w:tab w:pos="483"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60"/>
      <w:bookmarkEnd w:id="1361"/>
      <w:bookmarkEnd w:id="1363"/>
    </w:p>
    <w:p>
      <w:pPr>
        <w:pStyle w:val="Style32"/>
        <w:keepNext/>
        <w:keepLines/>
        <w:widowControl w:val="0"/>
        <w:shd w:val="clear" w:color="auto" w:fill="auto"/>
        <w:tabs>
          <w:tab w:pos="483" w:val="left"/>
        </w:tabs>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64"/>
      <w:bookmarkEnd w:id="1365"/>
      <w:bookmarkEnd w:id="13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193,532,908.80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89,521,421.65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193,532,908.80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89,521,421.65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68"/>
      <w:bookmarkEnd w:id="1369"/>
      <w:bookmarkEnd w:id="1371"/>
    </w:p>
    <w:p>
      <w:pPr>
        <w:pStyle w:val="Style36"/>
        <w:keepNext/>
        <w:keepLines/>
        <w:widowControl w:val="0"/>
        <w:numPr>
          <w:ilvl w:val="0"/>
          <w:numId w:val="65"/>
        </w:numPr>
        <w:shd w:val="clear" w:color="auto" w:fill="auto"/>
        <w:bidi w:val="0"/>
        <w:spacing w:before="0" w:line="240" w:lineRule="auto"/>
        <w:ind w:left="0" w:right="0" w:firstLine="14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应付账款列示</w:t>
      </w:r>
      <w:bookmarkEnd w:id="1372"/>
      <w:bookmarkEnd w:id="1373"/>
      <w:bookmarkEnd w:id="13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2,137,754,326.32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1,378,851,939.88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77,733,087.57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141,239,974.39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17,016,918.30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14,964,265.36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38,021,383.43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25,692,278.95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2,270,525,715.62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1,560,748,458.58</w:t>
            </w:r>
          </w:p>
        </w:tc>
      </w:tr>
    </w:tbl>
    <w:p>
      <w:pPr>
        <w:widowControl w:val="0"/>
        <w:spacing w:after="319" w:line="1" w:lineRule="exact"/>
      </w:pPr>
    </w:p>
    <w:p>
      <w:pPr>
        <w:pStyle w:val="Style36"/>
        <w:keepNext/>
        <w:keepLines/>
        <w:widowControl w:val="0"/>
        <w:numPr>
          <w:ilvl w:val="0"/>
          <w:numId w:val="65"/>
        </w:numPr>
        <w:shd w:val="clear" w:color="auto" w:fill="auto"/>
        <w:bidi w:val="0"/>
        <w:spacing w:before="0" w:line="240" w:lineRule="auto"/>
        <w:ind w:left="0" w:right="0" w:firstLine="14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6"/>
      <w:bookmarkEnd w:id="1377"/>
      <w:bookmarkEnd w:id="137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13,465,248.24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北京派瑞威行互联技术有限公司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9,654,959.44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珠海博纳思品牌管理咨询有限公司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4,446,484.78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深圳市快闪科技有限公司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3,615,028.11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浩趣信息科技(上海)有限公司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2,215,581.18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1,851,723.50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上海源腾广告设计制作有限公司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1,772,917.00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格里斯帕有限公司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1,404,432.72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乐视网（上海）信息技术有限公司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1,325,068.00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北京泛为信息科技有限公司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1,025,962.56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40,777,405.53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80"/>
      <w:bookmarkEnd w:id="1381"/>
      <w:bookmarkEnd w:id="1383"/>
    </w:p>
    <w:p>
      <w:pPr>
        <w:pStyle w:val="Style36"/>
        <w:keepNext/>
        <w:keepLines/>
        <w:widowControl w:val="0"/>
        <w:shd w:val="clear" w:color="auto" w:fill="auto"/>
        <w:bidi w:val="0"/>
        <w:spacing w:before="0" w:line="240" w:lineRule="auto"/>
        <w:ind w:left="0" w:right="0" w:firstLine="0"/>
        <w:jc w:val="both"/>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84"/>
      <w:bookmarkEnd w:id="1385"/>
      <w:bookmarkEnd w:id="13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946,308.14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946,308.14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8"/>
      <w:bookmarkEnd w:id="1389"/>
      <w:bookmarkEnd w:id="1391"/>
    </w:p>
    <w:p>
      <w:pPr>
        <w:pStyle w:val="Style32"/>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92"/>
      <w:bookmarkEnd w:id="1393"/>
      <w:bookmarkEnd w:id="13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182,620,512.02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289,091,328.43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182,620,512.02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289,091,328.43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96"/>
      <w:bookmarkEnd w:id="1397"/>
      <w:bookmarkEnd w:id="1399"/>
    </w:p>
    <w:p>
      <w:pPr>
        <w:pStyle w:val="Style36"/>
        <w:keepNext/>
        <w:keepLines/>
        <w:widowControl w:val="0"/>
        <w:shd w:val="clear" w:color="auto" w:fill="auto"/>
        <w:bidi w:val="0"/>
        <w:spacing w:before="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0"/>
      <w:bookmarkEnd w:id="1401"/>
      <w:bookmarkEnd w:id="14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116,831,361.63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704,596,607.95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689,898,989.04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131,528,980.54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33,703,079.17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33,022,810.91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1,495,854.48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1,738,495.00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10,543,149.59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10,834,886.97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1,446,757.62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119,385,442.85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748,842,836.71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733,756,686.92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134,471,592.64</w:t>
            </w:r>
          </w:p>
        </w:tc>
      </w:tr>
    </w:tbl>
    <w:p>
      <w:pPr>
        <w:spacing w:lineRule="exact" w:line="1"/>
        <w:rPr>
          <w:sz w:val="2"/>
          <w:szCs w:val="2"/>
        </w:rPr>
      </w:pPr>
      <w:r>
        <w:br w:type="page"/>
      </w:r>
    </w:p>
    <w:p>
      <w:pPr>
        <w:pStyle w:val="Style36"/>
        <w:keepNext/>
        <w:keepLines/>
        <w:widowControl w:val="0"/>
        <w:numPr>
          <w:ilvl w:val="0"/>
          <w:numId w:val="67"/>
        </w:numPr>
        <w:shd w:val="clear" w:color="auto" w:fill="auto"/>
        <w:bidi w:val="0"/>
        <w:spacing w:before="0" w:line="240" w:lineRule="auto"/>
        <w:ind w:left="0" w:right="0" w:firstLine="14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短期薪酬列示</w:t>
      </w:r>
      <w:bookmarkEnd w:id="1404"/>
      <w:bookmarkEnd w:id="1405"/>
      <w:bookmarkEnd w:id="14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111,674,887.61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631,207,714.59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616,668,372.28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126,214,229.92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246,745.00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17,310,017.58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17,357,217.58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468,250.38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25,133,854.85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24,991,641.12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610,464.11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417,010.55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21,779,331.19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21,633,019.59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563,322.15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18,349.26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32,890.57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2,572,387.22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596,211.29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1,441,476.40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26,097,863.32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25,983,376.11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1,555,963.61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4,845,515.53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2,948,777.90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116,831,361.63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704,596,607.95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689,898,989.04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131,528,980.54</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14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设定提存计划列示</w:t>
      </w:r>
      <w:bookmarkEnd w:id="1408"/>
      <w:bookmarkEnd w:id="1409"/>
      <w:bookmarkEnd w:id="14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786,481.87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21,223,812.13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21,315,282.66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695,011.34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29,104.35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632,672.59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11,857,621.78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11,074,855.66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782,766.12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815,586.22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33,703,079.17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33,022,810.91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1,495,854.48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注：除上述缴存费用外，本集团不再承担进一步支付义务。相应的支出于发生时计入当期损益或相关资产的成本。</w:t>
      </w:r>
    </w:p>
    <w:p>
      <w:pPr>
        <w:pStyle w:val="Style32"/>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12"/>
      <w:bookmarkEnd w:id="1413"/>
      <w:bookmarkEnd w:id="14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14,813,009.79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11,338,226.95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48,944,788.03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81,477,693.50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25,831,817.89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17,695,506.16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528,164.61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704,159.81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561,927.44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11,411,893.16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2,425,036.78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1,735,975.67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346,124.52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228,306.59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217,438.38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80,871.30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93,651,795.66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125,252,994.05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16"/>
      <w:bookmarkEnd w:id="1417"/>
      <w:bookmarkEnd w:id="141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16,235,088.67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85,544,190.19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75,708,355.34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92,294,190.19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91,943,444.01</w:t>
            </w:r>
          </w:p>
        </w:tc>
      </w:tr>
    </w:tbl>
    <w:p>
      <w:pPr>
        <w:widowControl w:val="0"/>
        <w:spacing w:after="319" w:line="1" w:lineRule="exact"/>
      </w:pPr>
    </w:p>
    <w:p>
      <w:pPr>
        <w:pStyle w:val="Style47"/>
        <w:keepNext w:val="0"/>
        <w:keepLines w:val="0"/>
        <w:widowControl w:val="0"/>
        <w:numPr>
          <w:ilvl w:val="0"/>
          <w:numId w:val="69"/>
        </w:numPr>
        <w:shd w:val="clear" w:color="auto" w:fill="auto"/>
        <w:tabs>
          <w:tab w:pos="493" w:val="left"/>
        </w:tabs>
        <w:bidi w:val="0"/>
        <w:spacing w:before="0" w:after="320" w:line="240" w:lineRule="auto"/>
        <w:ind w:left="0" w:right="0" w:firstLine="0"/>
        <w:jc w:val="both"/>
      </w:pPr>
      <w:bookmarkStart w:id="1420" w:name="bookmark1420"/>
      <w:bookmarkStart w:id="1421" w:name="bookmark1421"/>
      <w:bookmarkEnd w:id="1420"/>
      <w:r>
        <w:rPr>
          <w:color w:val="000000"/>
          <w:spacing w:val="0"/>
          <w:w w:val="100"/>
          <w:position w:val="0"/>
        </w:rPr>
        <w:t>应付利息</w:t>
      </w:r>
      <w:bookmarkEnd w:id="1421"/>
    </w:p>
    <w:p>
      <w:pPr>
        <w:pStyle w:val="Style47"/>
        <w:keepNext w:val="0"/>
        <w:keepLines w:val="0"/>
        <w:widowControl w:val="0"/>
        <w:numPr>
          <w:ilvl w:val="0"/>
          <w:numId w:val="69"/>
        </w:numPr>
        <w:shd w:val="clear" w:color="auto" w:fill="auto"/>
        <w:tabs>
          <w:tab w:pos="493" w:val="left"/>
        </w:tabs>
        <w:bidi w:val="0"/>
        <w:spacing w:before="0" w:line="240" w:lineRule="auto"/>
        <w:ind w:left="0" w:right="0" w:firstLine="0"/>
        <w:jc w:val="both"/>
      </w:pPr>
      <w:bookmarkStart w:id="1422" w:name="bookmark1422"/>
      <w:bookmarkStart w:id="1423" w:name="bookmark1423"/>
      <w:bookmarkEnd w:id="1422"/>
      <w:r>
        <w:rPr>
          <w:color w:val="000000"/>
          <w:spacing w:val="0"/>
          <w:w w:val="100"/>
          <w:position w:val="0"/>
        </w:rPr>
        <w:t>应付股利</w:t>
      </w:r>
      <w:bookmarkEnd w:id="142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16,235,088.67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16,235,088.67</w:t>
            </w:r>
          </w:p>
        </w:tc>
      </w:tr>
    </w:tbl>
    <w:p>
      <w:pPr>
        <w:widowControl w:val="0"/>
        <w:spacing w:after="319" w:line="1" w:lineRule="exact"/>
      </w:pPr>
    </w:p>
    <w:p>
      <w:pPr>
        <w:pStyle w:val="Style36"/>
        <w:keepNext/>
        <w:keepLines/>
        <w:widowControl w:val="0"/>
        <w:numPr>
          <w:ilvl w:val="0"/>
          <w:numId w:val="69"/>
        </w:numPr>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其他应付款</w:t>
      </w:r>
      <w:bookmarkEnd w:id="1424"/>
      <w:bookmarkEnd w:id="1425"/>
      <w:bookmarkEnd w:id="1427"/>
    </w:p>
    <w:p>
      <w:pPr>
        <w:pStyle w:val="Style69"/>
        <w:keepNext/>
        <w:keepLines/>
        <w:widowControl w:val="0"/>
        <w:numPr>
          <w:ilvl w:val="0"/>
          <w:numId w:val="71"/>
        </w:numPr>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按款项性质列示其他应付款</w:t>
      </w:r>
      <w:bookmarkEnd w:id="1428"/>
      <w:bookmarkEnd w:id="1429"/>
      <w:bookmarkEnd w:id="143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5,671,720.64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27,635,730.64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10,291,592.92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25,629,693.10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13,066,778.14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11,246,012.46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3,380,216.10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3,737,866.57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其他应付员工工资社保公积金款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2,062,833.51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2,603,912.87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8,071,048.88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4,855,139.70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85,544,190.19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75,708,355.34</w:t>
            </w:r>
          </w:p>
        </w:tc>
      </w:tr>
    </w:tbl>
    <w:p>
      <w:pPr>
        <w:widowControl w:val="0"/>
        <w:spacing w:after="339" w:line="1" w:lineRule="exact"/>
      </w:pPr>
    </w:p>
    <w:p>
      <w:pPr>
        <w:pStyle w:val="Style69"/>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32"/>
      <w:bookmarkEnd w:id="1433"/>
      <w:bookmarkEnd w:id="143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北京畅思互娱科技合伙企业（有限合伙）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上海渠聚广告有限公司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优刻得科技股份有限公司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TAI HE TIANXIA TECHNOLOGY 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1,631,225.00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10,993,625.00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tabs>
          <w:tab w:pos="483" w:val="left"/>
        </w:tabs>
        <w:bidi w:val="0"/>
        <w:spacing w:before="0" w:after="34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36"/>
      <w:bookmarkEnd w:id="1437"/>
      <w:bookmarkEnd w:id="1439"/>
    </w:p>
    <w:p>
      <w:pPr>
        <w:pStyle w:val="Style32"/>
        <w:keepNext/>
        <w:keepLines/>
        <w:widowControl w:val="0"/>
        <w:shd w:val="clear" w:color="auto" w:fill="auto"/>
        <w:tabs>
          <w:tab w:pos="483" w:val="left"/>
        </w:tabs>
        <w:bidi w:val="0"/>
        <w:spacing w:before="0" w:after="34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40"/>
      <w:bookmarkEnd w:id="1441"/>
      <w:bookmarkEnd w:id="1443"/>
    </w:p>
    <w:p>
      <w:pPr>
        <w:pStyle w:val="Style32"/>
        <w:keepNext/>
        <w:keepLines/>
        <w:widowControl w:val="0"/>
        <w:shd w:val="clear" w:color="auto" w:fill="auto"/>
        <w:tabs>
          <w:tab w:pos="483" w:val="left"/>
        </w:tabs>
        <w:bidi w:val="0"/>
        <w:spacing w:before="0" w:after="40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44"/>
      <w:bookmarkEnd w:id="1445"/>
      <w:bookmarkEnd w:id="144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94,629,391.81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73,844,020.04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已背书未到期尚未终止确认的票据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916,308.89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94,629,391.81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75,360,328.93</w:t>
            </w:r>
          </w:p>
        </w:tc>
      </w:tr>
    </w:tbl>
    <w:p>
      <w:pPr>
        <w:sectPr>
          <w:footnotePr>
            <w:pos w:val="pageBottom"/>
            <w:numFmt w:val="decimal"/>
            <w:numRestart w:val="continuous"/>
          </w:footnotePr>
          <w:pgSz w:w="11900" w:h="16840"/>
          <w:pgMar w:top="1388" w:right="1074" w:bottom="1474" w:left="1054" w:header="0" w:footer="3" w:gutter="0"/>
          <w:cols w:space="720"/>
          <w:noEndnote/>
          <w:rtlGutter w:val="0"/>
          <w:docGrid w:linePitch="360"/>
        </w:sectPr>
      </w:pPr>
    </w:p>
    <w:p>
      <w:pPr>
        <w:pStyle w:val="Style32"/>
        <w:keepNext/>
        <w:keepLines/>
        <w:widowControl w:val="0"/>
        <w:shd w:val="clear" w:color="auto" w:fill="auto"/>
        <w:tabs>
          <w:tab w:pos="483" w:val="left"/>
        </w:tabs>
        <w:bidi w:val="0"/>
        <w:spacing w:before="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48"/>
      <w:bookmarkEnd w:id="1449"/>
      <w:bookmarkEnd w:id="1451"/>
    </w:p>
    <w:p>
      <w:pPr>
        <w:pStyle w:val="Style36"/>
        <w:keepNext/>
        <w:keepLines/>
        <w:widowControl w:val="0"/>
        <w:shd w:val="clear" w:color="auto" w:fill="auto"/>
        <w:bidi w:val="0"/>
        <w:spacing w:before="0" w:after="360" w:line="240" w:lineRule="auto"/>
        <w:ind w:left="0" w:right="0" w:firstLine="0"/>
        <w:jc w:val="both"/>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2"/>
      <w:bookmarkEnd w:id="1453"/>
      <w:bookmarkEnd w:id="1455"/>
    </w:p>
    <w:p>
      <w:pPr>
        <w:pStyle w:val="Style32"/>
        <w:keepNext/>
        <w:keepLines/>
        <w:widowControl w:val="0"/>
        <w:shd w:val="clear" w:color="auto" w:fill="auto"/>
        <w:tabs>
          <w:tab w:pos="483" w:val="left"/>
        </w:tabs>
        <w:bidi w:val="0"/>
        <w:spacing w:before="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56"/>
      <w:bookmarkEnd w:id="1457"/>
      <w:bookmarkEnd w:id="1459"/>
    </w:p>
    <w:p>
      <w:pPr>
        <w:pStyle w:val="Style36"/>
        <w:keepNext/>
        <w:keepLines/>
        <w:widowControl w:val="0"/>
        <w:shd w:val="clear" w:color="auto" w:fill="auto"/>
        <w:tabs>
          <w:tab w:pos="493" w:val="left"/>
        </w:tabs>
        <w:bidi w:val="0"/>
        <w:spacing w:before="0" w:after="360" w:line="240" w:lineRule="auto"/>
        <w:ind w:left="0" w:right="0" w:firstLine="0"/>
        <w:jc w:val="both"/>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60"/>
      <w:bookmarkEnd w:id="1461"/>
      <w:bookmarkEnd w:id="1463"/>
    </w:p>
    <w:p>
      <w:pPr>
        <w:pStyle w:val="Style36"/>
        <w:keepNext/>
        <w:keepLines/>
        <w:widowControl w:val="0"/>
        <w:shd w:val="clear" w:color="auto" w:fill="auto"/>
        <w:bidi w:val="0"/>
        <w:spacing w:before="0" w:after="360" w:line="240" w:lineRule="auto"/>
        <w:ind w:left="0" w:right="0" w:firstLine="0"/>
        <w:jc w:val="both"/>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64"/>
      <w:bookmarkEnd w:id="1465"/>
      <w:bookmarkEnd w:id="1467"/>
    </w:p>
    <w:p>
      <w:pPr>
        <w:pStyle w:val="Style36"/>
        <w:keepNext/>
        <w:keepLines/>
        <w:widowControl w:val="0"/>
        <w:shd w:val="clear" w:color="auto" w:fill="auto"/>
        <w:tabs>
          <w:tab w:pos="493" w:val="left"/>
        </w:tabs>
        <w:bidi w:val="0"/>
        <w:spacing w:before="0" w:after="360" w:line="240" w:lineRule="auto"/>
        <w:ind w:left="0" w:right="0" w:firstLine="0"/>
        <w:jc w:val="both"/>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68"/>
      <w:bookmarkEnd w:id="1469"/>
      <w:bookmarkEnd w:id="1471"/>
    </w:p>
    <w:p>
      <w:pPr>
        <w:pStyle w:val="Style36"/>
        <w:keepNext/>
        <w:keepLines/>
        <w:widowControl w:val="0"/>
        <w:shd w:val="clear" w:color="auto" w:fill="auto"/>
        <w:tabs>
          <w:tab w:pos="493" w:val="left"/>
        </w:tabs>
        <w:bidi w:val="0"/>
        <w:spacing w:before="0" w:after="360" w:line="240" w:lineRule="auto"/>
        <w:ind w:left="0" w:right="0" w:firstLine="0"/>
        <w:jc w:val="both"/>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72"/>
      <w:bookmarkEnd w:id="1473"/>
      <w:bookmarkEnd w:id="1475"/>
    </w:p>
    <w:p>
      <w:pPr>
        <w:pStyle w:val="Style32"/>
        <w:keepNext/>
        <w:keepLines/>
        <w:widowControl w:val="0"/>
        <w:shd w:val="clear" w:color="auto" w:fill="auto"/>
        <w:tabs>
          <w:tab w:pos="483" w:val="left"/>
        </w:tabs>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76"/>
      <w:bookmarkEnd w:id="1477"/>
      <w:bookmarkEnd w:id="1479"/>
    </w:p>
    <w:p>
      <w:pPr>
        <w:pStyle w:val="Style32"/>
        <w:keepNext/>
        <w:keepLines/>
        <w:widowControl w:val="0"/>
        <w:shd w:val="clear" w:color="auto" w:fill="auto"/>
        <w:tabs>
          <w:tab w:pos="483" w:val="left"/>
        </w:tabs>
        <w:bidi w:val="0"/>
        <w:spacing w:before="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480"/>
      <w:bookmarkEnd w:id="1481"/>
      <w:bookmarkEnd w:id="1483"/>
    </w:p>
    <w:p>
      <w:pPr>
        <w:pStyle w:val="Style36"/>
        <w:keepNext/>
        <w:keepLines/>
        <w:widowControl w:val="0"/>
        <w:shd w:val="clear" w:color="auto" w:fill="auto"/>
        <w:tabs>
          <w:tab w:pos="493" w:val="left"/>
        </w:tabs>
        <w:bidi w:val="0"/>
        <w:spacing w:before="0" w:after="360" w:line="240" w:lineRule="auto"/>
        <w:ind w:left="0" w:right="0" w:firstLine="0"/>
        <w:jc w:val="both"/>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484"/>
      <w:bookmarkEnd w:id="1485"/>
      <w:bookmarkEnd w:id="1487"/>
    </w:p>
    <w:p>
      <w:pPr>
        <w:pStyle w:val="Style36"/>
        <w:keepNext/>
        <w:keepLines/>
        <w:widowControl w:val="0"/>
        <w:shd w:val="clear" w:color="auto" w:fill="auto"/>
        <w:tabs>
          <w:tab w:pos="493" w:val="left"/>
        </w:tabs>
        <w:bidi w:val="0"/>
        <w:spacing w:before="0" w:after="360" w:line="240" w:lineRule="auto"/>
        <w:ind w:left="0" w:right="0" w:firstLine="0"/>
        <w:jc w:val="both"/>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488"/>
      <w:bookmarkEnd w:id="1489"/>
      <w:bookmarkEnd w:id="1491"/>
    </w:p>
    <w:p>
      <w:pPr>
        <w:pStyle w:val="Style32"/>
        <w:keepNext/>
        <w:keepLines/>
        <w:widowControl w:val="0"/>
        <w:shd w:val="clear" w:color="auto" w:fill="auto"/>
        <w:tabs>
          <w:tab w:pos="483" w:val="left"/>
        </w:tabs>
        <w:bidi w:val="0"/>
        <w:spacing w:before="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492"/>
      <w:bookmarkEnd w:id="1493"/>
      <w:bookmarkEnd w:id="1495"/>
    </w:p>
    <w:p>
      <w:pPr>
        <w:pStyle w:val="Style36"/>
        <w:keepNext/>
        <w:keepLines/>
        <w:widowControl w:val="0"/>
        <w:shd w:val="clear" w:color="auto" w:fill="auto"/>
        <w:bidi w:val="0"/>
        <w:spacing w:before="0" w:after="360" w:line="240" w:lineRule="auto"/>
        <w:ind w:left="0" w:right="0" w:firstLine="0"/>
        <w:jc w:val="both"/>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96"/>
      <w:bookmarkEnd w:id="1497"/>
      <w:bookmarkEnd w:id="1498"/>
    </w:p>
    <w:p>
      <w:pPr>
        <w:pStyle w:val="Style32"/>
        <w:keepNext/>
        <w:keepLines/>
        <w:widowControl w:val="0"/>
        <w:shd w:val="clear" w:color="auto" w:fill="auto"/>
        <w:tabs>
          <w:tab w:pos="483" w:val="left"/>
        </w:tabs>
        <w:bidi w:val="0"/>
        <w:spacing w:before="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99"/>
      <w:bookmarkEnd w:id="1500"/>
      <w:bookmarkEnd w:id="150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收购股权的或有对价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119,819,580.71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174,233,180.71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预计诉讼损失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1,235,410.00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119,819,580.71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175,468,590.71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其他说明，包括重要预计负债的相关重要假设、估计说明：</w:t>
      </w:r>
    </w:p>
    <w:p>
      <w:pPr>
        <w:pStyle w:val="Style2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）收购股权的或有对价项目</w:t>
      </w:r>
    </w:p>
    <w:p>
      <w:pPr>
        <w:pStyle w:val="Style2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根据公司收购股权与交易对手签订附条件合同约定，所收购标的公司经营达到一定的目标后，由公司向交易对手支付 </w:t>
      </w:r>
      <w:r>
        <w:rPr>
          <w:color w:val="000000"/>
          <w:spacing w:val="0"/>
          <w:w w:val="100"/>
          <w:position w:val="0"/>
        </w:rPr>
        <w:t>相关的股权转让款。在收购标的公司时，预期标的公司很可能实现经营目标，因此将预计未来很可能支付的股权转让款项计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入预计负债。报告期末，由于收购标的公司暂未实现经营业绩的约定条件而未支付的股权转让款情况如下:</w:t>
      </w:r>
    </w:p>
    <w:tbl>
      <w:tblPr>
        <w:tblOverlap w:val="never"/>
        <w:jc w:val="center"/>
        <w:tblLayout w:type="fixed"/>
      </w:tblPr>
      <w:tblGrid>
        <w:gridCol w:w="4584"/>
        <w:gridCol w:w="2611"/>
        <w:gridCol w:w="24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收购的标的公司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收购上海拓畅信息技术有限公司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75,488,400.00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118,805,100.00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收购上海传漾数字科技有限公司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16,313,700.00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收购省广先锋（青岛）广告有限公司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15,270,757.28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15,270,757.28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收购省广合众（北京）国际传媒广告有限公司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13,238,930.05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13,238,930.05</w:t>
            </w:r>
          </w:p>
        </w:tc>
      </w:tr>
    </w:tbl>
    <w:p>
      <w:pPr>
        <w:spacing w:lineRule="exact" w:line="1"/>
        <w:rPr>
          <w:sz w:val="2"/>
          <w:szCs w:val="2"/>
        </w:rPr>
      </w:pPr>
      <w:r>
        <w:br w:type="page"/>
      </w:r>
    </w:p>
    <w:tbl>
      <w:tblPr>
        <w:tblOverlap w:val="never"/>
        <w:jc w:val="center"/>
        <w:tblLayout w:type="fixed"/>
      </w:tblPr>
      <w:tblGrid>
        <w:gridCol w:w="4584"/>
        <w:gridCol w:w="2611"/>
        <w:gridCol w:w="24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收购广州旗智企业管理咨询有限公司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3,917,674.56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3,917,674.56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收购广州蓝门数字营销顾问有限公司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3,791,385.93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收购中懋（广州）广告有限公司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1,849,893.36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1,849,893.36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收购上海晋拓文化传播有限公司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532,539.53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532,539.53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收购海口中行天策传媒有限公司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513,200.00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119,819,580.71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174,233,180.71</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03"/>
      <w:bookmarkEnd w:id="1504"/>
      <w:bookmarkEnd w:id="150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466,666.36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266,666.32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政府拨款项目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466,666.36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266,666.32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"GDAD</w:t>
            </w:r>
            <w:r>
              <w:rPr>
                <w:rFonts w:ascii="SimSun" w:eastAsia="SimSun" w:hAnsi="SimSun" w:cs="SimSun"/>
                <w:color w:val="000000"/>
                <w:spacing w:val="0"/>
                <w:w w:val="100"/>
                <w:position w:val="0"/>
                <w:sz w:val="17"/>
                <w:szCs w:val="17"/>
              </w:rPr>
              <w:t>数 字化品牌引 擎建设项目</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专项补助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466,666.36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266,666.32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after="33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07"/>
      <w:bookmarkEnd w:id="1508"/>
      <w:bookmarkEnd w:id="1510"/>
    </w:p>
    <w:p>
      <w:pPr>
        <w:pStyle w:val="Style32"/>
        <w:keepNext/>
        <w:keepLines/>
        <w:widowControl w:val="0"/>
        <w:shd w:val="clear" w:color="auto" w:fill="auto"/>
        <w:tabs>
          <w:tab w:pos="483" w:val="left"/>
        </w:tabs>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11"/>
      <w:bookmarkEnd w:id="1512"/>
      <w:bookmarkEnd w:id="151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1,743,337,128.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1,743,337,128.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sectPr>
          <w:footnotePr>
            <w:pos w:val="pageBottom"/>
            <w:numFmt w:val="decimal"/>
            <w:numRestart w:val="continuous"/>
          </w:footnotePr>
          <w:pgSz w:w="11900" w:h="16840"/>
          <w:pgMar w:top="1441" w:right="1051" w:bottom="1479" w:left="1085" w:header="0" w:footer="3" w:gutter="0"/>
          <w:cols w:space="720"/>
          <w:noEndnote/>
          <w:rtlGutter w:val="0"/>
          <w:docGrid w:linePitch="360"/>
        </w:sectPr>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15"/>
      <w:bookmarkEnd w:id="1516"/>
      <w:bookmarkEnd w:id="1518"/>
    </w:p>
    <w:p>
      <w:pPr>
        <w:pStyle w:val="Style36"/>
        <w:keepNext/>
        <w:keepLines/>
        <w:widowControl w:val="0"/>
        <w:shd w:val="clear" w:color="auto" w:fill="auto"/>
        <w:tabs>
          <w:tab w:pos="493" w:val="left"/>
        </w:tabs>
        <w:bidi w:val="0"/>
        <w:spacing w:before="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19"/>
      <w:bookmarkEnd w:id="1520"/>
      <w:bookmarkEnd w:id="1522"/>
    </w:p>
    <w:p>
      <w:pPr>
        <w:pStyle w:val="Style36"/>
        <w:keepNext/>
        <w:keepLines/>
        <w:widowControl w:val="0"/>
        <w:shd w:val="clear" w:color="auto" w:fill="auto"/>
        <w:tabs>
          <w:tab w:pos="493" w:val="left"/>
        </w:tabs>
        <w:bidi w:val="0"/>
        <w:spacing w:before="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23"/>
      <w:bookmarkEnd w:id="1524"/>
      <w:bookmarkEnd w:id="1526"/>
    </w:p>
    <w:p>
      <w:pPr>
        <w:pStyle w:val="Style32"/>
        <w:keepNext/>
        <w:keepLines/>
        <w:widowControl w:val="0"/>
        <w:shd w:val="clear" w:color="auto" w:fill="auto"/>
        <w:tabs>
          <w:tab w:pos="483" w:val="left"/>
        </w:tabs>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27"/>
      <w:bookmarkEnd w:id="1528"/>
      <w:bookmarkEnd w:id="15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1,379,744,024.65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5,199,571.64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1,374,544,453.01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25,118,690.70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1,224,183.43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23,894,507.27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1,404,862,715.35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6,423,755.07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1,398,438,960.28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本公司与上海峰移网络科技有限公司签订《股权转让协议》，由本公司受让其持有的上海传漾数字科技有限公司</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股权，收购价款为</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部分少数股东权益</w:t>
      </w:r>
      <w:r>
        <w:rPr>
          <w:rFonts w:ascii="Times New Roman" w:eastAsia="Times New Roman" w:hAnsi="Times New Roman" w:cs="Times New Roman"/>
          <w:color w:val="000000"/>
          <w:spacing w:val="0"/>
          <w:w w:val="100"/>
          <w:position w:val="0"/>
          <w:sz w:val="18"/>
          <w:szCs w:val="18"/>
        </w:rPr>
        <w:t>8,800,428.36</w:t>
      </w:r>
      <w:r>
        <w:rPr>
          <w:color w:val="000000"/>
          <w:spacing w:val="0"/>
          <w:w w:val="100"/>
          <w:position w:val="0"/>
        </w:rPr>
        <w:t>元差异</w:t>
      </w:r>
      <w:r>
        <w:rPr>
          <w:rFonts w:ascii="Times New Roman" w:eastAsia="Times New Roman" w:hAnsi="Times New Roman" w:cs="Times New Roman"/>
          <w:color w:val="000000"/>
          <w:spacing w:val="0"/>
          <w:w w:val="100"/>
          <w:position w:val="0"/>
          <w:sz w:val="18"/>
          <w:szCs w:val="18"/>
        </w:rPr>
        <w:t>5,199,571.64</w:t>
      </w:r>
      <w:r>
        <w:rPr>
          <w:color w:val="000000"/>
          <w:spacing w:val="0"/>
          <w:w w:val="100"/>
          <w:position w:val="0"/>
        </w:rPr>
        <w:t xml:space="preserve">元，冲减资本公积（资本溢价） </w:t>
      </w:r>
      <w:r>
        <w:rPr>
          <w:rFonts w:ascii="Times New Roman" w:eastAsia="Times New Roman" w:hAnsi="Times New Roman" w:cs="Times New Roman"/>
          <w:color w:val="000000"/>
          <w:spacing w:val="0"/>
          <w:w w:val="100"/>
          <w:position w:val="0"/>
          <w:sz w:val="18"/>
          <w:szCs w:val="18"/>
        </w:rPr>
        <w:t xml:space="preserve">5,199,571.64 </w:t>
      </w:r>
      <w:r>
        <w:rPr>
          <w:color w:val="000000"/>
          <w:spacing w:val="0"/>
          <w:w w:val="100"/>
          <w:position w:val="0"/>
        </w:rPr>
        <w:t>元。</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 xml:space="preserve">本公司按照联营企业合宝文娱集团有限公司的持股比例计算年末应享有其净资产份额，调整减少资本公积（其他资本公积） </w:t>
      </w:r>
      <w:r>
        <w:rPr>
          <w:rFonts w:ascii="Times New Roman" w:eastAsia="Times New Roman" w:hAnsi="Times New Roman" w:cs="Times New Roman"/>
          <w:color w:val="000000"/>
          <w:spacing w:val="0"/>
          <w:w w:val="100"/>
          <w:position w:val="0"/>
          <w:sz w:val="18"/>
          <w:szCs w:val="18"/>
        </w:rPr>
        <w:t xml:space="preserve">1,224,183.43 </w:t>
      </w:r>
      <w:r>
        <w:rPr>
          <w:color w:val="000000"/>
          <w:spacing w:val="0"/>
          <w:w w:val="100"/>
          <w:position w:val="0"/>
        </w:rPr>
        <w:t>元。</w:t>
      </w:r>
    </w:p>
    <w:p>
      <w:pPr>
        <w:pStyle w:val="Style32"/>
        <w:keepNext/>
        <w:keepLines/>
        <w:widowControl w:val="0"/>
        <w:shd w:val="clear" w:color="auto" w:fill="auto"/>
        <w:tabs>
          <w:tab w:pos="483" w:val="left"/>
        </w:tabs>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31"/>
      <w:bookmarkEnd w:id="1532"/>
      <w:bookmarkEnd w:id="1534"/>
    </w:p>
    <w:p>
      <w:pPr>
        <w:pStyle w:val="Style32"/>
        <w:keepNext/>
        <w:keepLines/>
        <w:widowControl w:val="0"/>
        <w:shd w:val="clear" w:color="auto" w:fill="auto"/>
        <w:tabs>
          <w:tab w:pos="483" w:val="left"/>
        </w:tabs>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35"/>
      <w:bookmarkEnd w:id="1536"/>
      <w:bookmarkEnd w:id="153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07"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-996,429.67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-996,429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both"/>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-996,429.67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-996,429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74,676,243.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-1,325,533</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-1,325,533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-331,008.4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-1,037,355.7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-1,325,533</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-1,325,533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-331,008.4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自有房产重分类为以公允价值 计量的投资性房地产计入其他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75,728,559.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73,679,813.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-331,008.4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72,354,2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w:t>
            </w:r>
          </w:p>
        </w:tc>
      </w:tr>
    </w:tbl>
    <w:p>
      <w:pPr>
        <w:widowControl w:val="0"/>
        <w:spacing w:after="359" w:line="1" w:lineRule="exact"/>
      </w:pPr>
    </w:p>
    <w:p>
      <w:pPr>
        <w:pStyle w:val="Style32"/>
        <w:keepNext/>
        <w:keepLines/>
        <w:widowControl w:val="0"/>
        <w:shd w:val="clear" w:color="auto" w:fill="auto"/>
        <w:tabs>
          <w:tab w:pos="483" w:val="left"/>
        </w:tabs>
        <w:bidi w:val="0"/>
        <w:spacing w:before="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39"/>
      <w:bookmarkEnd w:id="1540"/>
      <w:bookmarkEnd w:id="1542"/>
    </w:p>
    <w:p>
      <w:pPr>
        <w:pStyle w:val="Style32"/>
        <w:keepNext/>
        <w:keepLines/>
        <w:widowControl w:val="0"/>
        <w:shd w:val="clear" w:color="auto" w:fill="auto"/>
        <w:tabs>
          <w:tab w:pos="483" w:val="left"/>
        </w:tabs>
        <w:bidi w:val="0"/>
        <w:spacing w:before="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43"/>
      <w:bookmarkEnd w:id="1544"/>
      <w:bookmarkEnd w:id="15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171,592,134.30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171,592,134.30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171,592,134.30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171,592,134.30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0" w:line="302" w:lineRule="exact"/>
        <w:ind w:left="0" w:right="0" w:firstLine="440"/>
        <w:jc w:val="left"/>
      </w:pPr>
      <w:r>
        <w:rPr>
          <w:color w:val="000000"/>
          <w:spacing w:val="0"/>
          <w:w w:val="100"/>
          <w:position w:val="0"/>
        </w:rPr>
        <w:t>注：根据《公司法》公司章程的规定，本公司按净利润的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提取法定盈余公积。法定盈余公积累计额达到本公司注 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w:t>
      </w:r>
    </w:p>
    <w:p>
      <w:pPr>
        <w:pStyle w:val="Style28"/>
        <w:keepNext w:val="0"/>
        <w:keepLines w:val="0"/>
        <w:widowControl w:val="0"/>
        <w:shd w:val="clear" w:color="auto" w:fill="auto"/>
        <w:bidi w:val="0"/>
        <w:spacing w:before="0" w:after="400" w:line="302" w:lineRule="exact"/>
        <w:ind w:left="0" w:right="0" w:firstLine="0"/>
        <w:jc w:val="both"/>
      </w:pPr>
      <w:r>
        <w:rPr>
          <w:color w:val="000000"/>
          <w:spacing w:val="0"/>
          <w:w w:val="100"/>
          <w:position w:val="0"/>
        </w:rPr>
        <w:t>本公司在提取法定盈余公积金后，可提取任意盈余公积金。经批准，任意盈余公积金可用于弥补以前年度亏损或增加股本。</w:t>
      </w:r>
    </w:p>
    <w:p>
      <w:pPr>
        <w:pStyle w:val="Style32"/>
        <w:keepNext/>
        <w:keepLines/>
        <w:widowControl w:val="0"/>
        <w:shd w:val="clear" w:color="auto" w:fill="auto"/>
        <w:bidi w:val="0"/>
        <w:spacing w:before="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47"/>
      <w:bookmarkEnd w:id="1548"/>
      <w:bookmarkEnd w:id="155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1,985,493,591.27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1,831,746,232.09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996,429.67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1,985,493,591.27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1,832,742,661.76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-932,266,939.80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149,487,578.92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53,458,583.23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21,386,317.68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40,096,718.85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17,433,371.28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-22,066,664.60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-42,083,039.55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1,035,196,597.22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1,985,493,591.27</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51"/>
      <w:bookmarkEnd w:id="1552"/>
      <w:bookmarkEnd w:id="155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13,284,449,286.38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11,912,357,729.32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11,525,862,872.71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9,792,192,619.93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6,818,381.95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9,830,140.93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1,617,670.30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13,291,267,668.33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11,913,219,535.78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11,535,693,013.64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9,793,810,290.23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13,291,267,668.33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11,535,693,013.64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营业收入中含有与主营业 务无关的经营租赁及其他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9,830,140.93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营业收入中含有与主营业 务无关的经营租赁及其他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5,632,161.53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7,140,670.03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1,186,220.42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2,689,470.90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9,830,140.93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营业收入中含有与主营业 务无关的经营租赁及其他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营业收入中无不具备商业 实质的收入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13,284,449,286.38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11,525,862,872.71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425,500,000.00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425,500,000.00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年度确认收入，元预计将于年度确认收入，元预计将于年度确认收入。</w:t>
      </w:r>
    </w:p>
    <w:p>
      <w:pPr>
        <w:pStyle w:val="Style32"/>
        <w:keepNext/>
        <w:keepLines/>
        <w:widowControl w:val="0"/>
        <w:shd w:val="clear" w:color="auto" w:fill="auto"/>
        <w:bidi w:val="0"/>
        <w:spacing w:before="0" w:after="38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6</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55"/>
      <w:bookmarkEnd w:id="1556"/>
      <w:bookmarkEnd w:id="15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2,560,262.96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5,357,102.59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1,124,202.51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2,472,935.77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5,743,499.93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7,652,641.29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29,687.98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22,260.00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12,898,967.42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11,527,796.29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1,545,412.28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27,894.44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57,818.99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34,550,777.80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23,216,474.57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63,171,017.89</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59"/>
      <w:bookmarkEnd w:id="1560"/>
      <w:bookmarkEnd w:id="156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436,668,263.19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429,835,096.56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49,890,875.38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49,390,745.31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11,568,177.26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12,746,710.41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9,760,383.69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12,469,923.23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7,384,282.71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30,416,426.68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515,271,982.23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534,858,902.19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63"/>
      <w:bookmarkEnd w:id="1564"/>
      <w:bookmarkEnd w:id="156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112,542,090.57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122,286,549.19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28,795,020.34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35,552,184.26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21,440,776.99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21,151,865.43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10,372,156.67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14,666,380.17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9,784,769.29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11,833,288.77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13,378,891.30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11,089,330.96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8,108,961.36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8,970,911.98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4,107,093.86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4,948,284.84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21,827,211.95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23,734,613.35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230,356,972.33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254,233,408.95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67"/>
      <w:bookmarkEnd w:id="1568"/>
      <w:bookmarkEnd w:id="157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204,281,890.42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190,375,006.65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20,152,805.78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23,585,953.45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14,148,539.80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9,098,775.57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25,686,855.46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39,715,876.12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264,270,091.46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262,775,611.79</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71"/>
      <w:bookmarkEnd w:id="1572"/>
      <w:bookmarkEnd w:id="157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17,731,531.47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34,651,618.08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15,751,266.23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6,967,016.46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1,232,403.26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701,815.91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1,025,887.68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38,496.32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2,847,798.90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1,496,231.35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7,086,355.08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29,921,145.20</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75"/>
      <w:bookmarkEnd w:id="1576"/>
      <w:bookmarkEnd w:id="15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115,901,357.15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54,351,601.77</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6</w:t>
      </w:r>
      <w:bookmarkEnd w:id="158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79"/>
      <w:bookmarkEnd w:id="1580"/>
      <w:bookmarkEnd w:id="15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-30,678,275.87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-4,564,017.84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5,217,738.29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-703,420.88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939,837.40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处置其他权益工具取得的投资收益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1,772,378.67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12,873,639.41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38,790,890.73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1,104,238.15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-1,053,819.44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-10,542,822.62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34,242,011.24</w:t>
            </w:r>
          </w:p>
        </w:tc>
      </w:tr>
    </w:tbl>
    <w:p>
      <w:pPr>
        <w:widowControl w:val="0"/>
        <w:spacing w:after="339" w:line="1" w:lineRule="exact"/>
      </w:pPr>
    </w:p>
    <w:p>
      <w:pPr>
        <w:pStyle w:val="Style32"/>
        <w:keepNext/>
        <w:keepLines/>
        <w:widowControl w:val="0"/>
        <w:shd w:val="clear" w:color="auto" w:fill="auto"/>
        <w:tabs>
          <w:tab w:pos="483" w:val="left"/>
        </w:tabs>
        <w:bidi w:val="0"/>
        <w:spacing w:before="0" w:after="34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6</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83"/>
      <w:bookmarkEnd w:id="1584"/>
      <w:bookmarkEnd w:id="1586"/>
    </w:p>
    <w:p>
      <w:pPr>
        <w:pStyle w:val="Style32"/>
        <w:keepNext/>
        <w:keepLines/>
        <w:widowControl w:val="0"/>
        <w:shd w:val="clear" w:color="auto" w:fill="auto"/>
        <w:tabs>
          <w:tab w:pos="478"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87"/>
      <w:bookmarkEnd w:id="1588"/>
      <w:bookmarkEnd w:id="159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1,752,637.20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-2,774,853.60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1,752,637.20</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7</w:t>
      </w:r>
      <w:bookmarkEnd w:id="159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91"/>
      <w:bookmarkEnd w:id="1592"/>
      <w:bookmarkEnd w:id="159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-6,903,121.57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-17,777,029.87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-171,138,501.96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-132,716,893.19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-178,040,231.49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-150,498,597.71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95"/>
      <w:bookmarkEnd w:id="1596"/>
      <w:bookmarkEnd w:id="159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-1,030,547.32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-1,476,312.24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-124,700,000.00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-34,168,470.52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-1,097,948,301.75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-145,700,000.00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-10,174,569.51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2,684,596.42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-1,143,767,654.02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-268,745,950.90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99"/>
      <w:bookmarkEnd w:id="1600"/>
      <w:bookmarkEnd w:id="160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处置未划分为持有待售的固定资产而产 生的处置利得或损失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263,555.36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118,360.05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7</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03"/>
      <w:bookmarkEnd w:id="1604"/>
      <w:bookmarkEnd w:id="160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3,640,803.17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157,174.33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2,401,740.29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157,174.33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458,067.23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2,149,006.18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458,067.23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633,338.45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633,338.45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4,914,986.08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13,009,336.27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82,338,840.1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40,982,302.0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17,644,560.1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128,369.42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产业或地方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产业或地方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6,692,815.70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6,232,941.63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3,548,705.49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所得税退还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所得税退还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个税手续费 等返还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个税手续费 等返还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1,288,435.69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734,688.59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业认定受理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业认定受理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发展专项资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发展专项资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科技专项资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科技专项资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946,000.00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企业研究开 发补助资金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企业研究开 发补助资金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高企海珠区 配套资金奖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高企海珠区 配套资金奖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数字化运营 系统项目摊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数字化运营 系统项目摊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珠海横琴新 区财政补贴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珠海横琴新 区财政补贴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地方政府财 政补贴或奖 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地方政府财 政补贴或奖 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7</w:t>
      </w:r>
      <w:bookmarkEnd w:id="160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07"/>
      <w:bookmarkEnd w:id="1608"/>
      <w:bookmarkEnd w:id="161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1,906,523.32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842,672.37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842,672.37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202,938.34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202,938.34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-2,484,793.71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189,620.46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825,703.62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189,620.46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1,334,295.94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824,028.08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1,334,295.94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7</w:t>
      </w:r>
      <w:bookmarkEnd w:id="161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11"/>
      <w:bookmarkEnd w:id="1612"/>
      <w:bookmarkEnd w:id="1614"/>
    </w:p>
    <w:p>
      <w:pPr>
        <w:pStyle w:val="Style36"/>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15"/>
      <w:bookmarkEnd w:id="1616"/>
      <w:bookmarkEnd w:id="1617"/>
    </w:p>
    <w:p>
      <w:pPr>
        <w:pStyle w:val="Style28"/>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58,485,288.20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101,415,482.03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-34,828,505.53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-3,529,987.23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23,656,782.67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97,885,494.80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8"/>
      <w:bookmarkEnd w:id="1619"/>
      <w:bookmarkEnd w:id="162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-877,533,702.20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-131,630,055.33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8,821,651.00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-2,291,730.54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-3,977,475.37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-11,658,308.55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-447,881.61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6,479,910.25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158,360,672.82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23,656,782.67</w:t>
            </w:r>
          </w:p>
        </w:tc>
      </w:tr>
    </w:tbl>
    <w:p>
      <w:pPr>
        <w:widowControl w:val="0"/>
        <w:spacing w:after="319" w:line="1" w:lineRule="exact"/>
      </w:pPr>
    </w:p>
    <w:p>
      <w:pPr>
        <w:pStyle w:val="Style32"/>
        <w:keepNext/>
        <w:keepLines/>
        <w:widowControl w:val="0"/>
        <w:shd w:val="clear" w:color="auto" w:fill="auto"/>
        <w:tabs>
          <w:tab w:pos="478" w:val="left"/>
        </w:tabs>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21"/>
      <w:bookmarkEnd w:id="1622"/>
      <w:bookmarkEnd w:id="162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详见附注六、</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25"/>
      <w:bookmarkEnd w:id="1626"/>
      <w:bookmarkEnd w:id="1628"/>
    </w:p>
    <w:p>
      <w:pPr>
        <w:pStyle w:val="Style36"/>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9"/>
      <w:bookmarkEnd w:id="1630"/>
      <w:bookmarkEnd w:id="163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33,376,917.64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17,929,299.64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725,839.68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772,213.70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15,749,918.36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6,967,016.46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234,711,362.30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324,800,304.24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284,564,037.98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350,468,834.04</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2"/>
      <w:bookmarkEnd w:id="1633"/>
      <w:bookmarkEnd w:id="163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支付的各项运营费用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175,298,910.96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263,696,784.85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264,771.82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674,623.81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307,289,895.34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301,773,742.10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482,853,578.12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566,145,150.76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35"/>
      <w:bookmarkEnd w:id="1636"/>
      <w:bookmarkEnd w:id="16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255,143.14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收到关联方资金拆借归还的现金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收到被投资企业支付的业绩补偿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255,143.14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18,670,000.00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39"/>
      <w:bookmarkEnd w:id="1640"/>
      <w:bookmarkEnd w:id="16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偿还关联方资金拆借支付的现金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收购少数股东股权支付的现金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3"/>
      <w:bookmarkEnd w:id="1644"/>
      <w:bookmarkEnd w:id="164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47"/>
      <w:bookmarkEnd w:id="1648"/>
      <w:bookmarkEnd w:id="16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偿还关联方资金拆借支付的现金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收购少数股东股权支付的现金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30,632.78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11,986,800.00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51"/>
      <w:bookmarkEnd w:id="1652"/>
      <w:bookmarkEnd w:id="1654"/>
    </w:p>
    <w:p>
      <w:pPr>
        <w:pStyle w:val="Style36"/>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5"/>
      <w:bookmarkEnd w:id="1656"/>
      <w:bookmarkEnd w:id="16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-901,190,484.87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182,442,512.43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1,143,767,654.02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268,745,950.90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178,040,231.49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150,498,597.71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27,496,051.17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25,162,175.06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20,042,629.06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17,375,710.24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7,547,873.02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16,777,775.70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-118,360.05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1,906,523.32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-1,752,637.20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18,757,419.14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33,317,704.18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10,542,822.62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-34,242,011.24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-33,135,569.43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-3,436,378.49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-1,692,936.10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-93,608.74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270,991.07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-927,813,693.88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-92,322,968.95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828,379,259.91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-17,020,599.90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-2,670,000.00</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372,687,841.91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544,841,376.04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695,712,208.55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1,377,114,193.95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1,377,114,193.95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693,674,486.85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-681,401,985.40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683,439,707.10</w:t>
            </w: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58"/>
      <w:bookmarkEnd w:id="1659"/>
      <w:bookmarkEnd w:id="166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62"/>
      <w:bookmarkEnd w:id="1663"/>
      <w:bookmarkEnd w:id="166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3,049,479.00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其中：广东省广汽车数字营销有限公司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2,552,761.99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江西合众光华国际传媒广告有限公司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496,717.01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5,089,100.00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重庆年度广告传媒有限公司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5,089,100.00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2,039,621.00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66"/>
      <w:bookmarkEnd w:id="1667"/>
      <w:bookmarkEnd w:id="166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695,712,208.55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1,377,114,193.95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263,768.63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327,652.75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694,003,434.53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1,376,780,733.33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1,445,005.39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695,712,208.55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1,377,114,193.95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现金和现金等价物不含母公司或集团内子公司使用受限制的现金和现金等价物。</w:t>
      </w:r>
    </w:p>
    <w:p>
      <w:pPr>
        <w:pStyle w:val="Style32"/>
        <w:keepNext/>
        <w:keepLines/>
        <w:widowControl w:val="0"/>
        <w:shd w:val="clear" w:color="auto" w:fill="auto"/>
        <w:tabs>
          <w:tab w:pos="483" w:val="left"/>
        </w:tabs>
        <w:bidi w:val="0"/>
        <w:spacing w:before="0" w:after="38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8</w:t>
      </w:r>
      <w:bookmarkEnd w:id="167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70"/>
      <w:bookmarkEnd w:id="1671"/>
      <w:bookmarkEnd w:id="1673"/>
    </w:p>
    <w:p>
      <w:pPr>
        <w:pStyle w:val="Style32"/>
        <w:keepNext/>
        <w:keepLines/>
        <w:widowControl w:val="0"/>
        <w:shd w:val="clear" w:color="auto" w:fill="auto"/>
        <w:tabs>
          <w:tab w:pos="483" w:val="left"/>
        </w:tabs>
        <w:bidi w:val="0"/>
        <w:spacing w:before="0" w:after="38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8</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74"/>
      <w:bookmarkEnd w:id="1675"/>
      <w:bookmarkEnd w:id="16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11,455,580.71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银行承兑汇票保证金等</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应收票据质押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14,339,530.71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8</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78"/>
      <w:bookmarkEnd w:id="1679"/>
      <w:bookmarkEnd w:id="1681"/>
    </w:p>
    <w:p>
      <w:pPr>
        <w:pStyle w:val="Style36"/>
        <w:keepNext/>
        <w:keepLines/>
        <w:widowControl w:val="0"/>
        <w:shd w:val="clear" w:color="auto" w:fill="auto"/>
        <w:bidi w:val="0"/>
        <w:spacing w:before="0" w:line="240" w:lineRule="auto"/>
        <w:ind w:left="0" w:right="0" w:firstLine="0"/>
        <w:jc w:val="both"/>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2"/>
      <w:bookmarkEnd w:id="1683"/>
      <w:bookmarkEnd w:id="16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1,074,019.16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7,007,867.62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4,975.64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52,525,015.18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342,720,471.55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46,952,179.20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306,358,274.06</w:t>
            </w:r>
          </w:p>
        </w:tc>
      </w:tr>
    </w:tbl>
    <w:p>
      <w:pPr>
        <w:widowControl w:val="0"/>
        <w:spacing w:after="239" w:line="1" w:lineRule="exact"/>
      </w:pPr>
    </w:p>
    <w:p>
      <w:pPr>
        <w:pStyle w:val="Style36"/>
        <w:keepNext/>
        <w:keepLines/>
        <w:widowControl w:val="0"/>
        <w:shd w:val="clear" w:color="auto" w:fill="auto"/>
        <w:bidi w:val="0"/>
        <w:spacing w:before="0" w:line="331" w:lineRule="exact"/>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5"/>
      <w:bookmarkEnd w:id="1686"/>
      <w:bookmarkEnd w:id="168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688"/>
      <w:bookmarkEnd w:id="1689"/>
      <w:bookmarkEnd w:id="1690"/>
    </w:p>
    <w:p>
      <w:pPr>
        <w:pStyle w:val="Style32"/>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691"/>
      <w:bookmarkEnd w:id="1692"/>
      <w:bookmarkEnd w:id="1693"/>
    </w:p>
    <w:p>
      <w:pPr>
        <w:pStyle w:val="Style36"/>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94"/>
      <w:bookmarkEnd w:id="1695"/>
      <w:bookmarkEnd w:id="16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82,338,840.14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82,338,840.14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17,644,560.13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17,626,286.53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产业或地方扶持资金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6,692,815.70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6,692,815.70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3,548,705.49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3,548,705.49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所得税退还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个税手续费等返还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1,288,435.69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1,279,760.93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高新技术企业认定受理补贴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地方政府财政补贴或奖励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97"/>
      <w:bookmarkEnd w:id="1698"/>
      <w:bookmarkEnd w:id="1699"/>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19" w:right="1091" w:bottom="1467"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100" w:after="38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00"/>
      <w:bookmarkEnd w:id="1701"/>
      <w:bookmarkEnd w:id="1702"/>
    </w:p>
    <w:p>
      <w:pPr>
        <w:pStyle w:val="Style24"/>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八</w:t>
      </w:r>
      <w:bookmarkEnd w:id="1705"/>
      <w:r>
        <w:rPr>
          <w:color w:val="000000"/>
          <w:spacing w:val="0"/>
          <w:w w:val="100"/>
          <w:position w:val="0"/>
        </w:rPr>
        <w:t>、合并范围的变更</w:t>
      </w:r>
      <w:bookmarkEnd w:id="1703"/>
      <w:bookmarkEnd w:id="1704"/>
      <w:bookmarkEnd w:id="1706"/>
    </w:p>
    <w:p>
      <w:pPr>
        <w:pStyle w:val="Style32"/>
        <w:keepNext/>
        <w:keepLines/>
        <w:widowControl w:val="0"/>
        <w:shd w:val="clear" w:color="auto" w:fill="auto"/>
        <w:tabs>
          <w:tab w:pos="381" w:val="left"/>
        </w:tabs>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bookmarkEnd w:id="1709"/>
      <w:r>
        <w:rPr>
          <w:color w:val="000000"/>
          <w:spacing w:val="0"/>
          <w:w w:val="100"/>
          <w:position w:val="0"/>
        </w:rPr>
        <w:t>、</w:t>
        <w:tab/>
        <w:t>非同一控制下企业合并</w:t>
      </w:r>
      <w:bookmarkEnd w:id="1707"/>
      <w:bookmarkEnd w:id="1708"/>
      <w:bookmarkEnd w:id="1710"/>
    </w:p>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本期发生的非同一控制下企业合并</w:t>
      </w:r>
      <w:bookmarkEnd w:id="1711"/>
      <w:bookmarkEnd w:id="1712"/>
      <w:bookmarkEnd w:id="1714"/>
    </w:p>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合并成本及商誉</w:t>
      </w:r>
      <w:bookmarkEnd w:id="1715"/>
      <w:bookmarkEnd w:id="1716"/>
      <w:bookmarkEnd w:id="1718"/>
    </w:p>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被购买方于购买日可辨认资产、负债</w:t>
      </w:r>
      <w:bookmarkEnd w:id="1719"/>
      <w:bookmarkEnd w:id="1720"/>
      <w:bookmarkEnd w:id="1722"/>
    </w:p>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购买日之前持有的股权按照公允价值重新计量产生的利得或损失</w:t>
      </w:r>
      <w:bookmarkEnd w:id="1723"/>
      <w:bookmarkEnd w:id="1724"/>
      <w:bookmarkEnd w:id="172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numPr>
          <w:ilvl w:val="0"/>
          <w:numId w:val="73"/>
        </w:numPr>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 xml:space="preserve"> 购买日或合并当期期末无法合理确定合并对价或被购买方可辨认资产、负债公允价值的相关说明</w:t>
      </w:r>
      <w:bookmarkEnd w:id="1727"/>
      <w:bookmarkEnd w:id="1728"/>
      <w:bookmarkEnd w:id="1730"/>
    </w:p>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727" w:name="bookmark1727"/>
      <w:bookmarkStart w:id="1728" w:name="bookmark1728"/>
      <w:bookmarkStart w:id="1731" w:name="bookmark1731"/>
      <w:bookmarkStart w:id="1732" w:name="bookmark1732"/>
      <w:bookmarkEnd w:id="1731"/>
      <w:r>
        <w:rPr>
          <w:color w:val="000000"/>
          <w:spacing w:val="0"/>
          <w:w w:val="100"/>
          <w:position w:val="0"/>
        </w:rPr>
        <w:t>其他说明</w:t>
      </w:r>
      <w:bookmarkEnd w:id="1727"/>
      <w:bookmarkEnd w:id="1728"/>
      <w:bookmarkEnd w:id="1732"/>
    </w:p>
    <w:p>
      <w:pPr>
        <w:pStyle w:val="Style32"/>
        <w:keepNext/>
        <w:keepLines/>
        <w:widowControl w:val="0"/>
        <w:shd w:val="clear" w:color="auto" w:fill="auto"/>
        <w:tabs>
          <w:tab w:pos="381"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bookmarkEnd w:id="1735"/>
      <w:r>
        <w:rPr>
          <w:color w:val="000000"/>
          <w:spacing w:val="0"/>
          <w:w w:val="100"/>
          <w:position w:val="0"/>
        </w:rPr>
        <w:t>、</w:t>
        <w:tab/>
        <w:t>同一控制下企业合并</w:t>
      </w:r>
      <w:bookmarkEnd w:id="1733"/>
      <w:bookmarkEnd w:id="1734"/>
      <w:bookmarkEnd w:id="1736"/>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本期发生的同一控制下企业合并</w:t>
      </w:r>
      <w:bookmarkEnd w:id="1737"/>
      <w:bookmarkEnd w:id="1738"/>
      <w:bookmarkEnd w:id="1740"/>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737" w:name="bookmark1737"/>
      <w:bookmarkStart w:id="1738" w:name="bookmark1738"/>
      <w:bookmarkStart w:id="1741" w:name="bookmark1741"/>
      <w:bookmarkStart w:id="1742" w:name="bookmark1742"/>
      <w:bookmarkEnd w:id="1741"/>
      <w:r>
        <w:rPr>
          <w:color w:val="000000"/>
          <w:spacing w:val="0"/>
          <w:w w:val="100"/>
          <w:position w:val="0"/>
        </w:rPr>
        <w:t>合并成本</w:t>
      </w:r>
      <w:bookmarkEnd w:id="1737"/>
      <w:bookmarkEnd w:id="1738"/>
      <w:bookmarkEnd w:id="1742"/>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合并日被合并方资产、负债的账面价值</w:t>
      </w:r>
      <w:bookmarkEnd w:id="1743"/>
      <w:bookmarkEnd w:id="1744"/>
      <w:bookmarkEnd w:id="1746"/>
    </w:p>
    <w:p>
      <w:pPr>
        <w:pStyle w:val="Style32"/>
        <w:keepNext/>
        <w:keepLines/>
        <w:widowControl w:val="0"/>
        <w:shd w:val="clear" w:color="auto" w:fill="auto"/>
        <w:tabs>
          <w:tab w:pos="381" w:val="left"/>
        </w:tabs>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3</w:t>
      </w:r>
      <w:bookmarkEnd w:id="1749"/>
      <w:r>
        <w:rPr>
          <w:color w:val="000000"/>
          <w:spacing w:val="0"/>
          <w:w w:val="100"/>
          <w:position w:val="0"/>
        </w:rPr>
        <w:t>、</w:t>
        <w:tab/>
        <w:t>反向购买</w:t>
      </w:r>
      <w:bookmarkEnd w:id="1747"/>
      <w:bookmarkEnd w:id="1748"/>
      <w:bookmarkEnd w:id="175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2"/>
        <w:keepNext/>
        <w:keepLines/>
        <w:widowControl w:val="0"/>
        <w:shd w:val="clear" w:color="auto" w:fill="auto"/>
        <w:tabs>
          <w:tab w:pos="381" w:val="left"/>
        </w:tabs>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4</w:t>
      </w:r>
      <w:bookmarkEnd w:id="1753"/>
      <w:r>
        <w:rPr>
          <w:color w:val="000000"/>
          <w:spacing w:val="0"/>
          <w:w w:val="100"/>
          <w:position w:val="0"/>
        </w:rPr>
        <w:t>、</w:t>
        <w:tab/>
        <w:t>处置子公司</w:t>
      </w:r>
      <w:bookmarkEnd w:id="1751"/>
      <w:bookmarkEnd w:id="1752"/>
      <w:bookmarkEnd w:id="175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股权的 账面价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股权的 公允价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按照公 允价值 重新计 量剩余 股权产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股权公 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务报表 层面享 有该子 公司净 资产份 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生的利 得或损 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的确定 方法及 主要假 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合收益 转入投 资损益 的金额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 广汽车 数字营 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挂牌转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402,865.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江西合 众光华 国际传 媒广告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挂牌转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1,146,03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color w:val="000000"/>
          <w:spacing w:val="0"/>
          <w:w w:val="100"/>
          <w:position w:val="0"/>
        </w:rPr>
        <w:t>、其他原因的合并范围变动</w:t>
      </w:r>
      <w:bookmarkEnd w:id="1755"/>
      <w:bookmarkEnd w:id="1756"/>
      <w:bookmarkEnd w:id="175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）本年新增子公司情况</w:t>
      </w:r>
    </w:p>
    <w:tbl>
      <w:tblPr>
        <w:tblOverlap w:val="never"/>
        <w:jc w:val="center"/>
        <w:tblLayout w:type="fixed"/>
      </w:tblPr>
      <w:tblGrid>
        <w:gridCol w:w="4430"/>
        <w:gridCol w:w="1973"/>
        <w:gridCol w:w="1632"/>
        <w:gridCol w:w="164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省广易为（上海）文化传媒有限公司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沈阳地铁易为传媒有限公司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广州市绩佳省广餐饮管理有限公司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上海胤熹信息技术有限公司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上海辰彩信息技术服务有限公司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投资设立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省广营销（贵州）有限公司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）本年因工商注销而减少的子公司情况</w:t>
      </w:r>
    </w:p>
    <w:tbl>
      <w:tblPr>
        <w:tblOverlap w:val="never"/>
        <w:jc w:val="center"/>
        <w:tblLayout w:type="fixed"/>
      </w:tblPr>
      <w:tblGrid>
        <w:gridCol w:w="5333"/>
        <w:gridCol w:w="2371"/>
        <w:gridCol w:w="197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33333"/>
                <w:spacing w:val="0"/>
                <w:w w:val="100"/>
                <w:position w:val="0"/>
                <w:sz w:val="17"/>
                <w:szCs w:val="17"/>
              </w:rPr>
              <w:t>南京金海洋窗之景广告有限公司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33333"/>
                <w:spacing w:val="0"/>
                <w:w w:val="100"/>
                <w:position w:val="0"/>
                <w:sz w:val="17"/>
                <w:szCs w:val="17"/>
              </w:rPr>
              <w:t>青岛慧河广告有限公司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33333"/>
                <w:spacing w:val="0"/>
                <w:w w:val="100"/>
                <w:position w:val="0"/>
                <w:sz w:val="17"/>
                <w:szCs w:val="17"/>
              </w:rPr>
              <w:t>广东广佛地铁广告资源经营有限公司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33333"/>
                <w:spacing w:val="0"/>
                <w:w w:val="100"/>
                <w:position w:val="0"/>
                <w:sz w:val="17"/>
                <w:szCs w:val="17"/>
              </w:rPr>
              <w:t>上海泛觉数字科技有限公司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33333"/>
                <w:spacing w:val="0"/>
                <w:w w:val="100"/>
                <w:position w:val="0"/>
                <w:sz w:val="17"/>
                <w:szCs w:val="17"/>
              </w:rPr>
              <w:t>上海御荣网络科技有限公司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color w:val="000000"/>
          <w:spacing w:val="0"/>
          <w:w w:val="100"/>
          <w:position w:val="0"/>
        </w:rPr>
        <w:t>、其他</w:t>
      </w:r>
      <w:bookmarkEnd w:id="1759"/>
      <w:bookmarkEnd w:id="1760"/>
      <w:bookmarkEnd w:id="1762"/>
    </w:p>
    <w:p>
      <w:pPr>
        <w:pStyle w:val="Style24"/>
        <w:keepNext/>
        <w:keepLines/>
        <w:widowControl w:val="0"/>
        <w:shd w:val="clear" w:color="auto" w:fill="auto"/>
        <w:bidi w:val="0"/>
        <w:spacing w:before="0" w:after="34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九</w:t>
      </w:r>
      <w:bookmarkEnd w:id="1765"/>
      <w:r>
        <w:rPr>
          <w:color w:val="000000"/>
          <w:spacing w:val="0"/>
          <w:w w:val="100"/>
          <w:position w:val="0"/>
        </w:rPr>
        <w:t>、在其他主体中的权益</w:t>
      </w:r>
      <w:bookmarkEnd w:id="1763"/>
      <w:bookmarkEnd w:id="1764"/>
      <w:bookmarkEnd w:id="1766"/>
    </w:p>
    <w:p>
      <w:pPr>
        <w:pStyle w:val="Style32"/>
        <w:keepNext/>
        <w:keepLines/>
        <w:widowControl w:val="0"/>
        <w:shd w:val="clear" w:color="auto" w:fill="auto"/>
        <w:bidi w:val="0"/>
        <w:spacing w:before="0" w:after="340" w:line="240" w:lineRule="auto"/>
        <w:ind w:left="0" w:right="0" w:firstLine="0"/>
        <w:jc w:val="left"/>
      </w:pPr>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67"/>
      <w:bookmarkEnd w:id="1768"/>
      <w:bookmarkEnd w:id="1769"/>
    </w:p>
    <w:p>
      <w:pPr>
        <w:pStyle w:val="Style36"/>
        <w:keepNext/>
        <w:keepLines/>
        <w:widowControl w:val="0"/>
        <w:shd w:val="clear" w:color="auto" w:fill="auto"/>
        <w:bidi w:val="0"/>
        <w:spacing w:before="0" w:after="340" w:line="240" w:lineRule="auto"/>
        <w:ind w:left="0" w:right="0" w:firstLine="14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70"/>
      <w:bookmarkEnd w:id="1771"/>
      <w:bookmarkEnd w:id="177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成都经典视线广 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烟台经典视线广 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福建经典视线文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省广易为(上海) 文化传媒有限公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文化艺术业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沈阳地铁易为传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上海窗之外广告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上海窗外广告有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北京北方窗外广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上海窗之景广告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代理广告及形象 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深圳经典视线文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海南经典视线广 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广东广旭整合营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北京合力唯胜体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体育项目经营、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育发展有限公司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广告、公关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广州旗智企业管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企业管理咨询、 文化交流活动策 划、广告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上海美瀛联媒文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策划、广告、咨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省广合众文化传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上海传漾数字科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广州韵翔广告有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珠海市省广韵翔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上海省广韵翔广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省广诺时（广东） 信息服务有限公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广州蓝门数字营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广州蓝门精睿数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字商业有限公司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广州蓝门信息科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上海御明信息技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安徽沃达网络技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上海御泽信息技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上海御欣网络科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珠海意合未来文 化传播有限公司 </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深圳前海省广资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广州市绩佳省广 餐饮管理有限公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国际整合营销传 播集团控股有限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科技推广和应用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上海晶炙信息技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上海泓信信息技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上海胤熹信息技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珠海市省广益松 新动力投资合伙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珠海市省广益松 壹号文化传媒合 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上海辰彩信息技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其他广告服务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省广营销集团有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广东三赢广告传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广州指标品牌管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品牌管理咨询、 商务咨询、市场 调研、会议策划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广东赛铂互动传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广告代理发布、 网络开发网站设 计；市场分析调 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省广营销(贵州)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注：本公司之子公司上海晋拓文化传播有限公司持有珠海意合未来文化传播有限公司(以下简称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珠海意合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 权。根据公司章程及出资协议约定，上海晋拓文化传播有限公司按</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的比例行使表决权。珠海意合不设董事会，只设一名 执行董事，执行董事及财务总监由本公司委派，其生产经营活动在本公司控制下进行，本公司将其纳入合并报表范围。</w:t>
      </w:r>
    </w:p>
    <w:p>
      <w:pPr>
        <w:pStyle w:val="Style36"/>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73"/>
      <w:bookmarkEnd w:id="1774"/>
      <w:bookmarkEnd w:id="17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广东广旭整合营销传播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588,727.67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2,840,500.46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-287,248.38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29,861,612.93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上海晋拓文化传播有限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7,872,952.35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6,278,659.20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广州蓝门数字营销顾问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4,050,627.21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38,279,260.58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上海拓畅信息技术有限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9,321,028.13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21,546,964.81</w:t>
            </w:r>
          </w:p>
        </w:tc>
      </w:tr>
    </w:tbl>
    <w:p>
      <w:pPr>
        <w:widowControl w:val="0"/>
        <w:spacing w:after="319" w:line="1" w:lineRule="exact"/>
      </w:pPr>
    </w:p>
    <w:p>
      <w:pPr>
        <w:pStyle w:val="Style36"/>
        <w:keepNext/>
        <w:keepLines/>
        <w:widowControl w:val="0"/>
        <w:numPr>
          <w:ilvl w:val="0"/>
          <w:numId w:val="77"/>
        </w:numPr>
        <w:shd w:val="clear" w:color="auto" w:fill="auto"/>
        <w:bidi w:val="0"/>
        <w:spacing w:before="0" w:line="240" w:lineRule="auto"/>
        <w:ind w:left="0" w:right="0" w:firstLine="14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重要非全资子公司的主要财务信息</w:t>
      </w:r>
      <w:bookmarkEnd w:id="1776"/>
      <w:bookmarkEnd w:id="1777"/>
      <w:bookmarkEnd w:id="17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50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广东广 旭整合 营销传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3,381,51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37,975,6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8,863,33</w:t>
            </w:r>
          </w:p>
        </w:tc>
      </w:tr>
      <w:tr>
        <w:trPr>
          <w:trHeight w:val="49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38.05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05.79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播有限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翔广告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336,108,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946,096.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270,695,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821,151.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135,066,</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722.69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582.83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978.68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660.49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660.49</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拓文化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765,305,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778,104,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9,634,80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535,055,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535,055,</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传播有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805.34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554.39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176.07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176.07</w:t>
            </w:r>
          </w:p>
        </w:tc>
      </w:tr>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门数字 营销顾 问有限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184,226,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6,075,52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51,857,7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51,857,7</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082.76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612.44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672.46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672.46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251.71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065.32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畅信息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958,060,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964,560,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863,956,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301,506,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2,679,51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304,185,</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603.06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687.44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948.64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771.09</w:t>
            </w:r>
          </w:p>
        </w:tc>
      </w:tr>
      <w:tr>
        <w:trPr>
          <w:trHeight w:val="374"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广东广旭整 合营销传播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103,102,586.</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1,471,819.18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1,471,819.18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4,302,394.11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80,957,134.3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-4,074,872.03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-4,074,872.03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-9,349,846.34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550,166,123.</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48,888,068.2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281,062,564.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29,267,058.8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29,267,058.8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16,948,893.9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上海晋拓文 化传播有限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2,470,537,91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39,611,863.5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39,611,863.5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136,395,560.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1,931,956,09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70,901,906.8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70,901,906.8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-66,188,067.8</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广州蓝门数 字营销顾问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238,548,584.</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8,266,586.15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8,266,586.15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11,119,428.4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150,999,599.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4,629,327.84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4,629,327.84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-14,086,583.2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上海拓畅信 息技术有限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3,710,187,18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48,652,408.1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46,997,365.7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51,973,154.9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1,714,246,48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78,904,998.8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78,932,708.6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-51,390,905.4</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6.27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6"/>
        <w:keepNext/>
        <w:keepLines/>
        <w:widowControl w:val="0"/>
        <w:numPr>
          <w:ilvl w:val="0"/>
          <w:numId w:val="77"/>
        </w:numPr>
        <w:shd w:val="clear" w:color="auto" w:fill="auto"/>
        <w:bidi w:val="0"/>
        <w:spacing w:before="0" w:after="20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使用企业集团资产和清偿企业集团债务的重大限制</w:t>
      </w:r>
      <w:bookmarkEnd w:id="1780"/>
      <w:bookmarkEnd w:id="1781"/>
      <w:bookmarkEnd w:id="1783"/>
    </w:p>
    <w:p>
      <w:pPr>
        <w:pStyle w:val="Style36"/>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w:t>
      </w:r>
      <w:bookmarkEnd w:id="1786"/>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784"/>
      <w:bookmarkEnd w:id="1785"/>
      <w:bookmarkEnd w:id="178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color w:val="000000"/>
          <w:spacing w:val="0"/>
          <w:w w:val="100"/>
          <w:position w:val="0"/>
        </w:rPr>
        <w:t>、</w:t>
        <w:tab/>
        <w:t>在子公司的所有者权益份额发生变化且仍控制子公司的交易</w:t>
      </w:r>
      <w:bookmarkEnd w:id="1788"/>
      <w:bookmarkEnd w:id="1789"/>
      <w:bookmarkEnd w:id="1791"/>
    </w:p>
    <w:p>
      <w:pPr>
        <w:pStyle w:val="Style36"/>
        <w:keepNext/>
        <w:keepLines/>
        <w:widowControl w:val="0"/>
        <w:shd w:val="clear" w:color="auto" w:fill="auto"/>
        <w:tabs>
          <w:tab w:pos="493"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92"/>
      <w:bookmarkEnd w:id="1793"/>
      <w:bookmarkEnd w:id="179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96"/>
      <w:bookmarkEnd w:id="1797"/>
      <w:bookmarkEnd w:id="1799"/>
    </w:p>
    <w:p>
      <w:pPr>
        <w:pStyle w:val="Style32"/>
        <w:keepNext/>
        <w:keepLines/>
        <w:widowControl w:val="0"/>
        <w:shd w:val="clear" w:color="auto" w:fill="auto"/>
        <w:tabs>
          <w:tab w:pos="378" w:val="left"/>
        </w:tabs>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3</w:t>
      </w:r>
      <w:bookmarkEnd w:id="1802"/>
      <w:r>
        <w:rPr>
          <w:color w:val="000000"/>
          <w:spacing w:val="0"/>
          <w:w w:val="100"/>
          <w:position w:val="0"/>
        </w:rPr>
        <w:t>、</w:t>
        <w:tab/>
        <w:t>在合营安排或联营企业中的权益</w:t>
      </w:r>
      <w:bookmarkEnd w:id="1800"/>
      <w:bookmarkEnd w:id="1801"/>
      <w:bookmarkEnd w:id="1803"/>
    </w:p>
    <w:p>
      <w:pPr>
        <w:pStyle w:val="Style36"/>
        <w:keepNext/>
        <w:keepLines/>
        <w:widowControl w:val="0"/>
        <w:shd w:val="clear" w:color="auto" w:fill="auto"/>
        <w:bidi w:val="0"/>
        <w:spacing w:before="0" w:after="32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04"/>
      <w:bookmarkEnd w:id="1805"/>
      <w:bookmarkEnd w:id="180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省广博报堂整合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广东省广代思博 报堂广告有限公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07"/>
      <w:bookmarkEnd w:id="1808"/>
      <w:bookmarkEnd w:id="18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省广博报堂整合营销有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广东省广代思博报堂广 告有限公司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省广博报堂整合营销有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广东省广代思博报堂广 告有限公司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421,750,765.69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223,559,999.23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356,846,799.86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199,647,136.24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209,698,264.95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44,499,502.36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153,965,627.55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23,036,659.41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2,160,419.20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2,566,999.97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2,230,301.40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1,940,291.41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423,911,184.89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226,126,999.20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359,077,101.26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201,587,427.65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304,312,069.38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158,803,680.12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267,928,709.52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135,969,400.01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304,312,069.38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158,803,680.12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267,928,709.52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135,969,400.01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119,599,115.51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67,323,319.08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91,148,391.74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65,618,027.64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59,799,557.76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33,661,659.54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45,574,195.87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32,809,013.82</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对合营企业权益投资的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59,799,557.76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33,659,723.26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45,574,195.87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32,809,013.82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1,441,985,133.25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528,446,032.02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1,267,780,109.58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449,050,166.77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-1,117,661.76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-3,003,228.41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-571,401.31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16,175,640.73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9,350,743.39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847,061.94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48,450,723.77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2,701,418.87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27,101,254.24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2,088,411.20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48,450,723.77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2,701,418.87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27,101,254.24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2,088,411.20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本年度收到的来自合营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w:t>
            </w:r>
          </w:p>
        </w:tc>
      </w:tr>
    </w:tbl>
    <w:p>
      <w:pPr>
        <w:widowControl w:val="0"/>
        <w:spacing w:after="339" w:line="1" w:lineRule="exact"/>
      </w:pPr>
    </w:p>
    <w:p>
      <w:pPr>
        <w:pStyle w:val="Style36"/>
        <w:keepNext/>
        <w:keepLines/>
        <w:widowControl w:val="0"/>
        <w:shd w:val="clear" w:color="auto" w:fill="auto"/>
        <w:tabs>
          <w:tab w:pos="493" w:val="left"/>
        </w:tabs>
        <w:bidi w:val="0"/>
        <w:spacing w:before="0" w:after="34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10"/>
      <w:bookmarkEnd w:id="1811"/>
      <w:bookmarkEnd w:id="1813"/>
    </w:p>
    <w:p>
      <w:pPr>
        <w:pStyle w:val="Style36"/>
        <w:keepNext/>
        <w:keepLines/>
        <w:widowControl w:val="0"/>
        <w:shd w:val="clear" w:color="auto" w:fill="auto"/>
        <w:tabs>
          <w:tab w:pos="493" w:val="left"/>
        </w:tabs>
        <w:bidi w:val="0"/>
        <w:spacing w:before="0" w:after="40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14"/>
      <w:bookmarkEnd w:id="1815"/>
      <w:bookmarkEnd w:id="181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523,530,712.32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950,410,080.99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-56,855,866.53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-19,158,850.56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-56,855,866.53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-19,133,052.83</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818" w:name="bookmark1818"/>
      <w:bookmarkStart w:id="1819" w:name="bookmark1819"/>
      <w:bookmarkStart w:id="1820" w:name="bookmark1820"/>
      <w:r>
        <w:rPr>
          <w:color w:val="000000"/>
          <w:spacing w:val="0"/>
          <w:w w:val="100"/>
          <w:position w:val="0"/>
        </w:rPr>
        <w:t>⑸合营企业或联营企业向本公司转移资金的能力存在重大限制的说明</w:t>
      </w:r>
      <w:bookmarkEnd w:id="1818"/>
      <w:bookmarkEnd w:id="1819"/>
      <w:bookmarkEnd w:id="1820"/>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821"/>
      <w:bookmarkEnd w:id="1822"/>
      <w:bookmarkEnd w:id="18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本期末累积未确认的损失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媒捷（中国）有限公司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-153,822.45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广州开合科技有限公司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-1,988,495.53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-1,912,920.96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北京省广阳光传媒有限公司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-1,169,659.42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-88,905.19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-1,258,564.61</w:t>
            </w:r>
          </w:p>
        </w:tc>
      </w:tr>
    </w:tbl>
    <w:p>
      <w:pPr>
        <w:pStyle w:val="Style36"/>
        <w:keepNext/>
        <w:keepLines/>
        <w:widowControl w:val="0"/>
        <w:shd w:val="clear" w:color="auto" w:fill="auto"/>
        <w:tabs>
          <w:tab w:pos="493" w:val="left"/>
        </w:tabs>
        <w:bidi w:val="0"/>
        <w:spacing w:before="0" w:after="280" w:line="311" w:lineRule="exact"/>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25"/>
      <w:bookmarkEnd w:id="1826"/>
      <w:bookmarkEnd w:id="1828"/>
    </w:p>
    <w:p>
      <w:pPr>
        <w:pStyle w:val="Style36"/>
        <w:keepNext/>
        <w:keepLines/>
        <w:widowControl w:val="0"/>
        <w:shd w:val="clear" w:color="auto" w:fill="auto"/>
        <w:tabs>
          <w:tab w:pos="493" w:val="left"/>
        </w:tabs>
        <w:bidi w:val="0"/>
        <w:spacing w:before="0" w:after="280" w:line="311" w:lineRule="exact"/>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29"/>
      <w:bookmarkEnd w:id="1830"/>
      <w:bookmarkEnd w:id="1832"/>
    </w:p>
    <w:p>
      <w:pPr>
        <w:pStyle w:val="Style32"/>
        <w:keepNext/>
        <w:keepLines/>
        <w:widowControl w:val="0"/>
        <w:shd w:val="clear" w:color="auto" w:fill="auto"/>
        <w:tabs>
          <w:tab w:pos="378" w:val="left"/>
        </w:tabs>
        <w:bidi w:val="0"/>
        <w:spacing w:before="0" w:after="280" w:line="311" w:lineRule="exact"/>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4</w:t>
      </w:r>
      <w:bookmarkEnd w:id="1835"/>
      <w:r>
        <w:rPr>
          <w:color w:val="000000"/>
          <w:spacing w:val="0"/>
          <w:w w:val="100"/>
          <w:position w:val="0"/>
        </w:rPr>
        <w:t>、</w:t>
        <w:tab/>
        <w:t>重要的共同经营</w:t>
      </w:r>
      <w:bookmarkEnd w:id="1833"/>
      <w:bookmarkEnd w:id="1834"/>
      <w:bookmarkEnd w:id="1836"/>
    </w:p>
    <w:p>
      <w:pPr>
        <w:pStyle w:val="Style32"/>
        <w:keepNext/>
        <w:keepLines/>
        <w:widowControl w:val="0"/>
        <w:shd w:val="clear" w:color="auto" w:fill="auto"/>
        <w:tabs>
          <w:tab w:pos="378" w:val="left"/>
        </w:tabs>
        <w:bidi w:val="0"/>
        <w:spacing w:before="0" w:after="280" w:line="311" w:lineRule="exact"/>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5</w:t>
      </w:r>
      <w:bookmarkEnd w:id="1839"/>
      <w:r>
        <w:rPr>
          <w:color w:val="000000"/>
          <w:spacing w:val="0"/>
          <w:w w:val="100"/>
          <w:position w:val="0"/>
        </w:rPr>
        <w:t>、</w:t>
        <w:tab/>
        <w:t>在未纳入合并财务报表范围的结构化主体中的权益</w:t>
      </w:r>
      <w:bookmarkEnd w:id="1837"/>
      <w:bookmarkEnd w:id="1838"/>
      <w:bookmarkEnd w:id="1840"/>
    </w:p>
    <w:p>
      <w:pPr>
        <w:pStyle w:val="Style32"/>
        <w:keepNext/>
        <w:keepLines/>
        <w:widowControl w:val="0"/>
        <w:shd w:val="clear" w:color="auto" w:fill="auto"/>
        <w:tabs>
          <w:tab w:pos="378" w:val="left"/>
        </w:tabs>
        <w:bidi w:val="0"/>
        <w:spacing w:before="0" w:line="311" w:lineRule="exact"/>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6</w:t>
      </w:r>
      <w:bookmarkEnd w:id="1843"/>
      <w:r>
        <w:rPr>
          <w:color w:val="000000"/>
          <w:spacing w:val="0"/>
          <w:w w:val="100"/>
          <w:position w:val="0"/>
        </w:rPr>
        <w:t>、</w:t>
        <w:tab/>
        <w:t>其他</w:t>
      </w:r>
      <w:bookmarkEnd w:id="1841"/>
      <w:bookmarkEnd w:id="1842"/>
      <w:bookmarkEnd w:id="1844"/>
    </w:p>
    <w:p>
      <w:pPr>
        <w:pStyle w:val="Style24"/>
        <w:keepNext/>
        <w:keepLines/>
        <w:widowControl w:val="0"/>
        <w:shd w:val="clear" w:color="auto" w:fill="auto"/>
        <w:bidi w:val="0"/>
        <w:spacing w:before="0" w:after="280" w:line="240" w:lineRule="auto"/>
        <w:ind w:left="0" w:right="0" w:firstLine="0"/>
        <w:jc w:val="left"/>
      </w:pPr>
      <w:bookmarkStart w:id="1845" w:name="bookmark1845"/>
      <w:bookmarkStart w:id="1846" w:name="bookmark1846"/>
      <w:bookmarkStart w:id="1847" w:name="bookmark1847"/>
      <w:r>
        <w:rPr>
          <w:color w:val="000000"/>
          <w:spacing w:val="0"/>
          <w:w w:val="100"/>
          <w:position w:val="0"/>
        </w:rPr>
        <w:t>十、与金融工具相关的风险</w:t>
      </w:r>
      <w:bookmarkEnd w:id="1845"/>
      <w:bookmarkEnd w:id="1846"/>
      <w:bookmarkEnd w:id="1847"/>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本集团的主要金融工具包括股权投资、借款、应收账款、应付账款等，各项金融工具的详细情况说明见本附注六相关 项目。与这些金融工具有关的风险，以及本集团为降低这些风险所采取的风险管理政策如下所述。本集团管理层对这些风险 敞口进行管理和监控以确保将上述风险控制在限定的范围之内。</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本集团采用敏感性分析技术分析风险变量的合理、可能变化对当期损益或股东权益可能产生的影响。由于任何风险变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47"/>
        <w:keepNext w:val="0"/>
        <w:keepLines w:val="0"/>
        <w:widowControl w:val="0"/>
        <w:numPr>
          <w:ilvl w:val="0"/>
          <w:numId w:val="79"/>
        </w:numPr>
        <w:shd w:val="clear" w:color="auto" w:fill="auto"/>
        <w:tabs>
          <w:tab w:pos="356" w:val="left"/>
        </w:tabs>
        <w:bidi w:val="0"/>
        <w:spacing w:before="0" w:after="0" w:line="311" w:lineRule="exact"/>
        <w:ind w:left="0" w:right="0" w:firstLine="0"/>
        <w:jc w:val="left"/>
      </w:pPr>
      <w:bookmarkStart w:id="1848" w:name="bookmark1848"/>
      <w:bookmarkEnd w:id="1848"/>
      <w:r>
        <w:rPr>
          <w:color w:val="000000"/>
          <w:spacing w:val="0"/>
          <w:w w:val="100"/>
          <w:position w:val="0"/>
        </w:rPr>
        <w:t>风险管理目标和政策</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本集团从事风险管理的目标是在风险和收益之间取得适当的平衡，将风险对本集团经营业绩的负面影响降低到最低水 平，使股东及其其他权益投资者的利益最大化。基于该风险管理目标，本集团风险管理的基本策略是确定和分析本集团所面 临的各种风险，建立适当的风险承受底线和进行风险管理，并及时可靠地对各种风险进行监督，将风险控制在限定的范围之 内。</w:t>
      </w:r>
    </w:p>
    <w:p>
      <w:pPr>
        <w:pStyle w:val="Style47"/>
        <w:keepNext w:val="0"/>
        <w:keepLines w:val="0"/>
        <w:widowControl w:val="0"/>
        <w:numPr>
          <w:ilvl w:val="0"/>
          <w:numId w:val="79"/>
        </w:numPr>
        <w:shd w:val="clear" w:color="auto" w:fill="auto"/>
        <w:tabs>
          <w:tab w:pos="356" w:val="left"/>
        </w:tabs>
        <w:bidi w:val="0"/>
        <w:spacing w:before="0" w:after="60" w:line="311" w:lineRule="exact"/>
        <w:ind w:left="0" w:right="0" w:firstLine="0"/>
        <w:jc w:val="both"/>
      </w:pPr>
      <w:bookmarkStart w:id="1849" w:name="bookmark1849"/>
      <w:bookmarkEnd w:id="1849"/>
      <w:r>
        <w:rPr>
          <w:color w:val="000000"/>
          <w:spacing w:val="0"/>
          <w:w w:val="100"/>
          <w:position w:val="0"/>
        </w:rPr>
        <w:t>市场风险</w:t>
      </w:r>
    </w:p>
    <w:p>
      <w:pPr>
        <w:pStyle w:val="Style47"/>
        <w:keepNext w:val="0"/>
        <w:keepLines w:val="0"/>
        <w:widowControl w:val="0"/>
        <w:numPr>
          <w:ilvl w:val="0"/>
          <w:numId w:val="79"/>
        </w:numPr>
        <w:shd w:val="clear" w:color="auto" w:fill="auto"/>
        <w:tabs>
          <w:tab w:pos="356" w:val="left"/>
        </w:tabs>
        <w:bidi w:val="0"/>
        <w:spacing w:before="0" w:after="0" w:line="360" w:lineRule="auto"/>
        <w:ind w:left="0" w:right="0" w:firstLine="0"/>
        <w:jc w:val="both"/>
      </w:pPr>
      <w:bookmarkStart w:id="1850" w:name="bookmark1850"/>
      <w:bookmarkEnd w:id="1850"/>
      <w:r>
        <w:rPr>
          <w:b w:val="0"/>
          <w:bCs w:val="0"/>
          <w:color w:val="000000"/>
          <w:spacing w:val="0"/>
          <w:w w:val="100"/>
          <w:position w:val="0"/>
        </w:rPr>
        <w:t>外汇风险</w:t>
      </w:r>
    </w:p>
    <w:p>
      <w:pPr>
        <w:pStyle w:val="Style28"/>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外汇风险指因汇率变动产生损失的风险。本集团承受外汇风险主要与美元、港元有关，除本集团的几个下属子公司以 美元、港元进行采购和销售外，本集团的其他主要业务活动以人民币计价结算。于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日，除下表所述资产或负债 为美元、港元余额外，本集团的资产及负债均为人民币余额。该等外币余额的资产和负债产生的外汇风险可能对本集团的经 营业绩产生影响。</w:t>
      </w:r>
    </w:p>
    <w:tbl>
      <w:tblPr>
        <w:tblOverlap w:val="never"/>
        <w:jc w:val="center"/>
        <w:tblLayout w:type="fixed"/>
      </w:tblPr>
      <w:tblGrid>
        <w:gridCol w:w="2438"/>
        <w:gridCol w:w="2496"/>
        <w:gridCol w:w="2232"/>
        <w:gridCol w:w="251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6"/>
                <w:szCs w:val="16"/>
              </w:rPr>
              <w:t>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1,074,019.16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1,211,987.11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1,211,987.11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52,525,015.18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10,282,499.12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10,282,499.12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46,952,179.20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4,415,902.43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4,415,902.43</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本集团密切关注汇率变动对本集团外汇风险的影响。本集团目前并未采取任何措施规避外汇风险。</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4.</w:t>
      </w:r>
      <w:r>
        <w:rPr>
          <w:color w:val="000000"/>
          <w:spacing w:val="0"/>
          <w:w w:val="100"/>
          <w:position w:val="0"/>
          <w:sz w:val="20"/>
          <w:szCs w:val="20"/>
        </w:rPr>
        <w:t>利率风险一现金流量变动风险</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本集团因利率变动引起金融工具现金流量变动的风险主要与浮动利率银行借款（详见本附注六、</w:t>
      </w:r>
      <w:r>
        <w:rPr>
          <w:color w:val="000000"/>
          <w:spacing w:val="0"/>
          <w:w w:val="100"/>
          <w:position w:val="0"/>
          <w:sz w:val="16"/>
          <w:szCs w:val="16"/>
        </w:rPr>
        <w:t>22）</w:t>
      </w:r>
      <w:r>
        <w:rPr>
          <w:color w:val="000000"/>
          <w:spacing w:val="0"/>
          <w:w w:val="100"/>
          <w:position w:val="0"/>
        </w:rPr>
        <w:t>有关。本集团的政 策是保持这些借款的浮动利率。</w:t>
      </w:r>
    </w:p>
    <w:p>
      <w:pPr>
        <w:pStyle w:val="Style47"/>
        <w:keepNext w:val="0"/>
        <w:keepLines w:val="0"/>
        <w:widowControl w:val="0"/>
        <w:numPr>
          <w:ilvl w:val="0"/>
          <w:numId w:val="81"/>
        </w:numPr>
        <w:shd w:val="clear" w:color="auto" w:fill="auto"/>
        <w:bidi w:val="0"/>
        <w:spacing w:before="0" w:after="0" w:line="317" w:lineRule="exact"/>
        <w:ind w:left="0" w:right="0" w:firstLine="0"/>
        <w:jc w:val="left"/>
      </w:pPr>
      <w:bookmarkStart w:id="1851" w:name="bookmark1851"/>
      <w:bookmarkEnd w:id="1851"/>
      <w:r>
        <w:rPr>
          <w:color w:val="000000"/>
          <w:spacing w:val="0"/>
          <w:w w:val="100"/>
          <w:position w:val="0"/>
        </w:rPr>
        <w:t>信用风险</w:t>
      </w:r>
    </w:p>
    <w:p>
      <w:pPr>
        <w:pStyle w:val="Style28"/>
        <w:keepNext w:val="0"/>
        <w:keepLines w:val="0"/>
        <w:widowControl w:val="0"/>
        <w:shd w:val="clear" w:color="auto" w:fill="auto"/>
        <w:bidi w:val="0"/>
        <w:spacing w:before="0" w:after="280" w:line="326" w:lineRule="exact"/>
        <w:ind w:left="0" w:right="0" w:firstLine="44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日，可能引起本集团财务损失的最大信用风险敞口主要来自于合同另一方未能履行义务而导致本集团金 融资产产生的损失以及本集团承担的财务担保，具体包括：</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本附注六、</w:t>
      </w:r>
      <w:r>
        <w:rPr>
          <w:color w:val="000000"/>
          <w:spacing w:val="0"/>
          <w:w w:val="100"/>
          <w:position w:val="0"/>
          <w:sz w:val="16"/>
          <w:szCs w:val="16"/>
        </w:rPr>
        <w:t xml:space="preserve">22 </w:t>
      </w:r>
      <w:r>
        <w:rPr>
          <w:color w:val="000000"/>
          <w:spacing w:val="0"/>
          <w:w w:val="100"/>
          <w:position w:val="0"/>
        </w:rPr>
        <w:t>“短期借款”中披露的本公司借款及担保情况。</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为降低信用风险，本集团成立了一个小组负责确定信用额度、进行信用审批，并执行其他监控程序以确保采取必要的 措施回收过期债权。此外，本集团于每个资产负债表日审核每一单项应收款的回收情况，以确保就无法回收的款项计提充分 的坏账准备。因此，本集团管理层认为本集团所承担的信用风险已经大为降低。</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本集团的流动资金存放在信用评级较高的银行，故流动资金的信用风险较低。</w:t>
      </w:r>
    </w:p>
    <w:p>
      <w:pPr>
        <w:pStyle w:val="Style47"/>
        <w:keepNext w:val="0"/>
        <w:keepLines w:val="0"/>
        <w:widowControl w:val="0"/>
        <w:numPr>
          <w:ilvl w:val="0"/>
          <w:numId w:val="83"/>
        </w:numPr>
        <w:shd w:val="clear" w:color="auto" w:fill="auto"/>
        <w:bidi w:val="0"/>
        <w:spacing w:before="0" w:after="0" w:line="312" w:lineRule="exact"/>
        <w:ind w:left="0" w:right="0" w:firstLine="0"/>
        <w:jc w:val="left"/>
      </w:pPr>
      <w:bookmarkStart w:id="1852" w:name="bookmark1852"/>
      <w:bookmarkEnd w:id="1852"/>
      <w:r>
        <w:rPr>
          <w:color w:val="000000"/>
          <w:spacing w:val="0"/>
          <w:w w:val="100"/>
          <w:position w:val="0"/>
        </w:rPr>
        <w:t>流动风险</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管理流动风险时，本集团保持管理层认为充分的现金及现金等价物并对其进行监控，以满足本集团经营需要，并降低 现金流量波动的影响。本集团管理层对银行借款的使用情况进行监控并确保遵守借款协议。</w:t>
      </w:r>
    </w:p>
    <w:p>
      <w:pPr>
        <w:pStyle w:val="Style47"/>
        <w:keepNext w:val="0"/>
        <w:keepLines w:val="0"/>
        <w:widowControl w:val="0"/>
        <w:numPr>
          <w:ilvl w:val="0"/>
          <w:numId w:val="85"/>
        </w:numPr>
        <w:shd w:val="clear" w:color="auto" w:fill="auto"/>
        <w:bidi w:val="0"/>
        <w:spacing w:before="0" w:after="0" w:line="312" w:lineRule="exact"/>
        <w:ind w:left="0" w:right="0" w:firstLine="0"/>
        <w:jc w:val="left"/>
      </w:pPr>
      <w:bookmarkStart w:id="1853" w:name="bookmark1853"/>
      <w:bookmarkEnd w:id="1853"/>
      <w:r>
        <w:rPr>
          <w:color w:val="000000"/>
          <w:spacing w:val="0"/>
          <w:w w:val="100"/>
          <w:position w:val="0"/>
        </w:rPr>
        <w:t>金融资产转移</w:t>
      </w:r>
    </w:p>
    <w:p>
      <w:pPr>
        <w:pStyle w:val="Style47"/>
        <w:keepNext w:val="0"/>
        <w:keepLines w:val="0"/>
        <w:widowControl w:val="0"/>
        <w:numPr>
          <w:ilvl w:val="0"/>
          <w:numId w:val="81"/>
        </w:numPr>
        <w:shd w:val="clear" w:color="auto" w:fill="auto"/>
        <w:tabs>
          <w:tab w:pos="371" w:val="left"/>
        </w:tabs>
        <w:bidi w:val="0"/>
        <w:spacing w:before="0" w:after="0" w:line="312" w:lineRule="exact"/>
        <w:ind w:left="0" w:right="0" w:firstLine="0"/>
        <w:jc w:val="left"/>
      </w:pPr>
      <w:bookmarkStart w:id="1854" w:name="bookmark1854"/>
      <w:bookmarkEnd w:id="1854"/>
      <w:r>
        <w:rPr>
          <w:color w:val="000000"/>
          <w:spacing w:val="0"/>
          <w:w w:val="100"/>
          <w:position w:val="0"/>
        </w:rPr>
        <w:t>已转移但未整体终止确认的金融资产</w:t>
      </w:r>
    </w:p>
    <w:p>
      <w:pPr>
        <w:pStyle w:val="Style47"/>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无。</w:t>
      </w:r>
    </w:p>
    <w:p>
      <w:pPr>
        <w:pStyle w:val="Style47"/>
        <w:keepNext w:val="0"/>
        <w:keepLines w:val="0"/>
        <w:widowControl w:val="0"/>
        <w:numPr>
          <w:ilvl w:val="0"/>
          <w:numId w:val="81"/>
        </w:numPr>
        <w:shd w:val="clear" w:color="auto" w:fill="auto"/>
        <w:tabs>
          <w:tab w:pos="371" w:val="left"/>
        </w:tabs>
        <w:bidi w:val="0"/>
        <w:spacing w:before="0" w:after="0" w:line="312" w:lineRule="exact"/>
        <w:ind w:left="0" w:right="0" w:firstLine="0"/>
        <w:jc w:val="left"/>
      </w:pPr>
      <w:bookmarkStart w:id="1855" w:name="bookmark1855"/>
      <w:bookmarkEnd w:id="1855"/>
      <w:r>
        <w:rPr>
          <w:color w:val="000000"/>
          <w:spacing w:val="0"/>
          <w:w w:val="100"/>
          <w:position w:val="0"/>
        </w:rPr>
        <w:t>已整体终止确认但转出方继续涉入已转移金融资产</w:t>
      </w:r>
    </w:p>
    <w:p>
      <w:pPr>
        <w:pStyle w:val="Style47"/>
        <w:keepNext w:val="0"/>
        <w:keepLines w:val="0"/>
        <w:widowControl w:val="0"/>
        <w:shd w:val="clear" w:color="auto" w:fill="auto"/>
        <w:bidi w:val="0"/>
        <w:spacing w:before="0" w:after="0" w:line="312" w:lineRule="exact"/>
        <w:ind w:left="0" w:right="0" w:firstLine="440"/>
        <w:jc w:val="both"/>
      </w:pPr>
      <w:r>
        <w:rPr>
          <w:b w:val="0"/>
          <w:bCs w:val="0"/>
          <w:color w:val="000000"/>
          <w:spacing w:val="0"/>
          <w:w w:val="100"/>
          <w:position w:val="0"/>
        </w:rPr>
        <w:t>无。</w:t>
      </w:r>
    </w:p>
    <w:p>
      <w:pPr>
        <w:pStyle w:val="Style47"/>
        <w:keepNext w:val="0"/>
        <w:keepLines w:val="0"/>
        <w:widowControl w:val="0"/>
        <w:numPr>
          <w:ilvl w:val="0"/>
          <w:numId w:val="81"/>
        </w:numPr>
        <w:shd w:val="clear" w:color="auto" w:fill="auto"/>
        <w:tabs>
          <w:tab w:pos="371" w:val="left"/>
        </w:tabs>
        <w:bidi w:val="0"/>
        <w:spacing w:before="0" w:after="0" w:line="312" w:lineRule="exact"/>
        <w:ind w:left="0" w:right="0" w:firstLine="0"/>
        <w:jc w:val="left"/>
      </w:pPr>
      <w:bookmarkStart w:id="1856" w:name="bookmark1856"/>
      <w:bookmarkEnd w:id="1856"/>
      <w:r>
        <w:rPr>
          <w:color w:val="000000"/>
          <w:spacing w:val="0"/>
          <w:w w:val="100"/>
          <w:position w:val="0"/>
        </w:rPr>
        <w:t>金融资产与金融负债的抵销</w:t>
      </w:r>
    </w:p>
    <w:p>
      <w:pPr>
        <w:pStyle w:val="Style47"/>
        <w:keepNext w:val="0"/>
        <w:keepLines w:val="0"/>
        <w:widowControl w:val="0"/>
        <w:shd w:val="clear" w:color="auto" w:fill="auto"/>
        <w:bidi w:val="0"/>
        <w:spacing w:before="0" w:after="360" w:line="312" w:lineRule="exact"/>
        <w:ind w:left="0" w:right="0" w:firstLine="440"/>
        <w:jc w:val="both"/>
      </w:pPr>
      <w:r>
        <w:rPr>
          <w:b w:val="0"/>
          <w:bCs w:val="0"/>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color w:val="000000"/>
          <w:spacing w:val="0"/>
          <w:w w:val="100"/>
          <w:position w:val="0"/>
        </w:rPr>
        <w:t>十一、公允价值的披露</w:t>
      </w:r>
      <w:bookmarkEnd w:id="1857"/>
      <w:bookmarkEnd w:id="1858"/>
      <w:bookmarkEnd w:id="1859"/>
    </w:p>
    <w:p>
      <w:pPr>
        <w:pStyle w:val="Style32"/>
        <w:keepNext/>
        <w:keepLines/>
        <w:widowControl w:val="0"/>
        <w:shd w:val="clear" w:color="auto" w:fill="auto"/>
        <w:bidi w:val="0"/>
        <w:spacing w:before="0" w:after="260" w:line="326" w:lineRule="auto"/>
        <w:ind w:left="0" w:right="0" w:firstLine="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60"/>
      <w:bookmarkEnd w:id="1861"/>
      <w:bookmarkEnd w:id="18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53,697,021.26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53,697,021.26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261,527,461.56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261,527,461.56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261,527,461.56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261,527,461.56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122,189,561.46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122,189,561.46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202,325,896.00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202,325,896.00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261,527,461.56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386,812,478.72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648,339,940.28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32"/>
        <w:keepNext/>
        <w:keepLines/>
        <w:widowControl w:val="0"/>
        <w:shd w:val="clear" w:color="auto" w:fill="auto"/>
        <w:tabs>
          <w:tab w:pos="378"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bookmarkEnd w:id="1865"/>
      <w:r>
        <w:rPr>
          <w:color w:val="000000"/>
          <w:spacing w:val="0"/>
          <w:w w:val="100"/>
          <w:position w:val="0"/>
        </w:rPr>
        <w:t>、</w:t>
        <w:tab/>
        <w:t>持续和非持续第一层次公允价值计量项目市价的确定依据</w:t>
      </w:r>
      <w:bookmarkEnd w:id="1863"/>
      <w:bookmarkEnd w:id="1864"/>
      <w:bookmarkEnd w:id="1866"/>
    </w:p>
    <w:p>
      <w:pPr>
        <w:pStyle w:val="Style32"/>
        <w:keepNext/>
        <w:keepLines/>
        <w:widowControl w:val="0"/>
        <w:shd w:val="clear" w:color="auto" w:fill="auto"/>
        <w:tabs>
          <w:tab w:pos="378" w:val="left"/>
        </w:tabs>
        <w:bidi w:val="0"/>
        <w:spacing w:before="0" w:after="28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3</w:t>
      </w:r>
      <w:bookmarkEnd w:id="1869"/>
      <w:r>
        <w:rPr>
          <w:color w:val="000000"/>
          <w:spacing w:val="0"/>
          <w:w w:val="100"/>
          <w:position w:val="0"/>
        </w:rPr>
        <w:t>、</w:t>
        <w:tab/>
        <w:t>持续和非持续第二层次公允价值计量项目，采用的估值技术和重要参数的定性及定量信息</w:t>
      </w:r>
      <w:bookmarkEnd w:id="1867"/>
      <w:bookmarkEnd w:id="1868"/>
      <w:bookmarkEnd w:id="1870"/>
    </w:p>
    <w:p>
      <w:pPr>
        <w:pStyle w:val="Style28"/>
        <w:keepNext w:val="0"/>
        <w:keepLines w:val="0"/>
        <w:widowControl w:val="0"/>
        <w:shd w:val="clear" w:color="auto" w:fill="auto"/>
        <w:bidi w:val="0"/>
        <w:spacing w:before="0" w:after="680" w:line="317" w:lineRule="exact"/>
        <w:ind w:left="0" w:right="0" w:firstLine="440"/>
        <w:jc w:val="left"/>
      </w:pPr>
      <w:r>
        <w:rPr>
          <w:color w:val="000000"/>
          <w:spacing w:val="0"/>
          <w:w w:val="100"/>
          <w:position w:val="0"/>
        </w:rPr>
        <w:t>对于类似房地产交易活跃的投资性房地产，本公司采用估值技术确定其公允价值。所采用估值技术为比较法和收益法。 估值技术的输入值主要包括交易日期、交易情况、区域因素、个别因素等。</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4</w:t>
      </w:r>
      <w:bookmarkEnd w:id="1873"/>
      <w:r>
        <w:rPr>
          <w:color w:val="000000"/>
          <w:spacing w:val="0"/>
          <w:w w:val="100"/>
          <w:position w:val="0"/>
        </w:rPr>
        <w:t>、</w:t>
        <w:tab/>
        <w:t>持续和非持续第三层次公允价值计量项目，采用的估值技术和重要参数的定性及定量信息</w:t>
      </w:r>
      <w:bookmarkEnd w:id="1871"/>
      <w:bookmarkEnd w:id="1872"/>
      <w:bookmarkEnd w:id="1874"/>
    </w:p>
    <w:p>
      <w:pPr>
        <w:pStyle w:val="Style28"/>
        <w:keepNext w:val="0"/>
        <w:keepLines w:val="0"/>
        <w:widowControl w:val="0"/>
        <w:shd w:val="clear" w:color="auto" w:fill="auto"/>
        <w:tabs>
          <w:tab w:pos="958" w:val="left"/>
        </w:tabs>
        <w:bidi w:val="0"/>
        <w:spacing w:before="0" w:after="0" w:line="306" w:lineRule="exact"/>
        <w:ind w:left="0" w:right="0" w:firstLine="440"/>
        <w:jc w:val="both"/>
      </w:pPr>
      <w:bookmarkStart w:id="1875" w:name="bookmark1875"/>
      <w:r>
        <w:rPr>
          <w:color w:val="000000"/>
          <w:spacing w:val="0"/>
          <w:w w:val="100"/>
          <w:position w:val="0"/>
          <w:sz w:val="16"/>
          <w:szCs w:val="16"/>
        </w:rPr>
        <w:t>（</w:t>
      </w:r>
      <w:bookmarkEnd w:id="1875"/>
      <w:r>
        <w:rPr>
          <w:color w:val="000000"/>
          <w:spacing w:val="0"/>
          <w:w w:val="100"/>
          <w:position w:val="0"/>
          <w:sz w:val="16"/>
          <w:szCs w:val="16"/>
        </w:rPr>
        <w:t>1）</w:t>
        <w:tab/>
      </w:r>
      <w:r>
        <w:rPr>
          <w:color w:val="000000"/>
          <w:spacing w:val="0"/>
          <w:w w:val="100"/>
          <w:position w:val="0"/>
        </w:rPr>
        <w:t>第三层次公允价值计量的交易性金融资产为银行理财产品，因不存在活跃的交易市场，其公允价值不能持续可靠 取得，且预计对财务报表影响不重大，本公司以投资成本作为公允价值。</w:t>
      </w:r>
    </w:p>
    <w:p>
      <w:pPr>
        <w:pStyle w:val="Style28"/>
        <w:keepNext w:val="0"/>
        <w:keepLines w:val="0"/>
        <w:widowControl w:val="0"/>
        <w:shd w:val="clear" w:color="auto" w:fill="auto"/>
        <w:tabs>
          <w:tab w:pos="958" w:val="left"/>
        </w:tabs>
        <w:bidi w:val="0"/>
        <w:spacing w:before="0" w:after="0" w:line="306" w:lineRule="exact"/>
        <w:ind w:left="0" w:right="0" w:firstLine="440"/>
        <w:jc w:val="both"/>
      </w:pPr>
      <w:bookmarkStart w:id="1876" w:name="bookmark1876"/>
      <w:r>
        <w:rPr>
          <w:color w:val="000000"/>
          <w:spacing w:val="0"/>
          <w:w w:val="100"/>
          <w:position w:val="0"/>
          <w:sz w:val="16"/>
          <w:szCs w:val="16"/>
        </w:rPr>
        <w:t>（</w:t>
      </w:r>
      <w:bookmarkEnd w:id="1876"/>
      <w:r>
        <w:rPr>
          <w:color w:val="000000"/>
          <w:spacing w:val="0"/>
          <w:w w:val="100"/>
          <w:position w:val="0"/>
          <w:sz w:val="16"/>
          <w:szCs w:val="16"/>
        </w:rPr>
        <w:t>2）</w:t>
        <w:tab/>
      </w:r>
      <w:r>
        <w:rPr>
          <w:color w:val="000000"/>
          <w:spacing w:val="0"/>
          <w:w w:val="100"/>
          <w:position w:val="0"/>
        </w:rPr>
        <w:t>第三层次公允价值计量的应收款项融资系本公司持有的应收票据，主要为银行承兑汇票，其信用风险可以忽略不 计，且剩余期限较短（小于</w:t>
      </w:r>
      <w:r>
        <w:rPr>
          <w:color w:val="000000"/>
          <w:spacing w:val="0"/>
          <w:w w:val="100"/>
          <w:position w:val="0"/>
          <w:sz w:val="16"/>
          <w:szCs w:val="16"/>
        </w:rPr>
        <w:t>12</w:t>
      </w:r>
      <w:r>
        <w:rPr>
          <w:color w:val="000000"/>
          <w:spacing w:val="0"/>
          <w:w w:val="100"/>
          <w:position w:val="0"/>
        </w:rPr>
        <w:t>个月），账面价值与公允价值相近，本公司以账面价值作为公允价值。</w:t>
      </w:r>
    </w:p>
    <w:p>
      <w:pPr>
        <w:pStyle w:val="Style28"/>
        <w:keepNext w:val="0"/>
        <w:keepLines w:val="0"/>
        <w:widowControl w:val="0"/>
        <w:shd w:val="clear" w:color="auto" w:fill="auto"/>
        <w:tabs>
          <w:tab w:pos="958" w:val="left"/>
        </w:tabs>
        <w:bidi w:val="0"/>
        <w:spacing w:before="0" w:after="400" w:line="306" w:lineRule="exact"/>
        <w:ind w:left="0" w:right="0" w:firstLine="440"/>
        <w:jc w:val="both"/>
      </w:pPr>
      <w:bookmarkStart w:id="1877" w:name="bookmark1877"/>
      <w:r>
        <w:rPr>
          <w:color w:val="000000"/>
          <w:spacing w:val="0"/>
          <w:w w:val="100"/>
          <w:position w:val="0"/>
          <w:sz w:val="16"/>
          <w:szCs w:val="16"/>
        </w:rPr>
        <w:t>（</w:t>
      </w:r>
      <w:bookmarkEnd w:id="1877"/>
      <w:r>
        <w:rPr>
          <w:color w:val="000000"/>
          <w:spacing w:val="0"/>
          <w:w w:val="100"/>
          <w:position w:val="0"/>
          <w:sz w:val="16"/>
          <w:szCs w:val="16"/>
        </w:rPr>
        <w:t>3）</w:t>
        <w:tab/>
      </w:r>
      <w:r>
        <w:rPr>
          <w:color w:val="000000"/>
          <w:spacing w:val="0"/>
          <w:w w:val="100"/>
          <w:position w:val="0"/>
        </w:rPr>
        <w:t>第三层次公允价值计量的其他权益工具投资、其他非流动金融资产为公司持有的非上市公司的股权，如被投资公 司在接近报告日进行了股权融资，本公司以此次融资价格作为公允价值；如被投资公司在接近报告日无可参考的股权融资价 格，本公司以按照权益法核算的结果或投资成本作为公允价值。</w:t>
      </w:r>
    </w:p>
    <w:p>
      <w:pPr>
        <w:pStyle w:val="Style32"/>
        <w:keepNext/>
        <w:keepLines/>
        <w:widowControl w:val="0"/>
        <w:shd w:val="clear" w:color="auto" w:fill="auto"/>
        <w:tabs>
          <w:tab w:pos="378"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w:t>
        <w:tab/>
        <w:t>持续的第三层次公允价值计量项目，期初与期末账面价值间的调节信息及不可观察参数敏感性分析</w:t>
      </w:r>
      <w:bookmarkEnd w:id="1878"/>
      <w:bookmarkEnd w:id="1879"/>
      <w:bookmarkEnd w:id="1881"/>
    </w:p>
    <w:p>
      <w:pPr>
        <w:pStyle w:val="Style32"/>
        <w:keepNext/>
        <w:keepLines/>
        <w:widowControl w:val="0"/>
        <w:shd w:val="clear" w:color="auto" w:fill="auto"/>
        <w:tabs>
          <w:tab w:pos="378"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6</w:t>
      </w:r>
      <w:bookmarkEnd w:id="1884"/>
      <w:r>
        <w:rPr>
          <w:color w:val="000000"/>
          <w:spacing w:val="0"/>
          <w:w w:val="100"/>
          <w:position w:val="0"/>
        </w:rPr>
        <w:t>、</w:t>
        <w:tab/>
        <w:t>持续的公允价值计量项目，本期内发生各层级之间转换的，转换的原因及确定转换时点的政策</w:t>
      </w:r>
      <w:bookmarkEnd w:id="1882"/>
      <w:bookmarkEnd w:id="1883"/>
      <w:bookmarkEnd w:id="1885"/>
    </w:p>
    <w:p>
      <w:pPr>
        <w:pStyle w:val="Style32"/>
        <w:keepNext/>
        <w:keepLines/>
        <w:widowControl w:val="0"/>
        <w:shd w:val="clear" w:color="auto" w:fill="auto"/>
        <w:tabs>
          <w:tab w:pos="378"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7</w:t>
      </w:r>
      <w:bookmarkEnd w:id="1888"/>
      <w:r>
        <w:rPr>
          <w:color w:val="000000"/>
          <w:spacing w:val="0"/>
          <w:w w:val="100"/>
          <w:position w:val="0"/>
        </w:rPr>
        <w:t>、</w:t>
        <w:tab/>
        <w:t>本期内发生的估值技术变更及变更原因</w:t>
      </w:r>
      <w:bookmarkEnd w:id="1886"/>
      <w:bookmarkEnd w:id="1887"/>
      <w:bookmarkEnd w:id="1889"/>
    </w:p>
    <w:p>
      <w:pPr>
        <w:pStyle w:val="Style32"/>
        <w:keepNext/>
        <w:keepLines/>
        <w:widowControl w:val="0"/>
        <w:shd w:val="clear" w:color="auto" w:fill="auto"/>
        <w:tabs>
          <w:tab w:pos="378" w:val="left"/>
        </w:tabs>
        <w:bidi w:val="0"/>
        <w:spacing w:before="0" w:after="28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8</w:t>
      </w:r>
      <w:bookmarkEnd w:id="1892"/>
      <w:r>
        <w:rPr>
          <w:color w:val="000000"/>
          <w:spacing w:val="0"/>
          <w:w w:val="100"/>
          <w:position w:val="0"/>
        </w:rPr>
        <w:t>、</w:t>
        <w:tab/>
        <w:t>不以公允价值计量的金融资产和金融负债的公允价值情况</w:t>
      </w:r>
      <w:bookmarkEnd w:id="1890"/>
      <w:bookmarkEnd w:id="1891"/>
      <w:bookmarkEnd w:id="1893"/>
    </w:p>
    <w:p>
      <w:pPr>
        <w:pStyle w:val="Style2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本公司以摊余成本计量的金融资产和金融负债主要包括：货币资金、应收票据、应收账款、其他应收款、应付票据、 应付账款、其他应付款等。</w:t>
      </w:r>
    </w:p>
    <w:p>
      <w:pPr>
        <w:pStyle w:val="Style32"/>
        <w:keepNext/>
        <w:keepLines/>
        <w:widowControl w:val="0"/>
        <w:shd w:val="clear" w:color="auto" w:fill="auto"/>
        <w:tabs>
          <w:tab w:pos="378"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9</w:t>
      </w:r>
      <w:bookmarkEnd w:id="1896"/>
      <w:r>
        <w:rPr>
          <w:color w:val="000000"/>
          <w:spacing w:val="0"/>
          <w:w w:val="100"/>
          <w:position w:val="0"/>
        </w:rPr>
        <w:t>、</w:t>
        <w:tab/>
        <w:t>其他</w:t>
      </w:r>
      <w:bookmarkEnd w:id="1894"/>
      <w:bookmarkEnd w:id="1895"/>
      <w:bookmarkEnd w:id="1897"/>
    </w:p>
    <w:p>
      <w:pPr>
        <w:pStyle w:val="Style2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color w:val="000000"/>
          <w:spacing w:val="0"/>
          <w:w w:val="100"/>
          <w:position w:val="0"/>
        </w:rPr>
        <w:t>十二、关联方及关联交易</w:t>
      </w:r>
      <w:bookmarkEnd w:id="1898"/>
      <w:bookmarkEnd w:id="1899"/>
      <w:bookmarkEnd w:id="1900"/>
    </w:p>
    <w:p>
      <w:pPr>
        <w:pStyle w:val="Style32"/>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01"/>
      <w:bookmarkEnd w:id="1902"/>
      <w:bookmarkEnd w:id="190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广东省广新控股集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股权管理、资本运营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2</w:t>
      </w:r>
      <w:bookmarkEnd w:id="1906"/>
      <w:r>
        <w:rPr>
          <w:color w:val="000000"/>
          <w:spacing w:val="0"/>
          <w:w w:val="100"/>
          <w:position w:val="0"/>
        </w:rPr>
        <w:t>、本企业的子公司情况</w:t>
      </w:r>
      <w:bookmarkEnd w:id="1904"/>
      <w:bookmarkEnd w:id="1905"/>
      <w:bookmarkEnd w:id="190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2"/>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3</w:t>
      </w:r>
      <w:bookmarkEnd w:id="1910"/>
      <w:r>
        <w:rPr>
          <w:color w:val="000000"/>
          <w:spacing w:val="0"/>
          <w:w w:val="100"/>
          <w:position w:val="0"/>
        </w:rPr>
        <w:t>、本企业合营和联营企业情况</w:t>
      </w:r>
      <w:bookmarkEnd w:id="1908"/>
      <w:bookmarkEnd w:id="1909"/>
      <w:bookmarkEnd w:id="191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、在合营企业或联营企业中的权益。</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省广博报堂整合营销有限公司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广东省广代思博报堂广告有限公司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北京省广阳光传媒有限公司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广州多触电商传媒有限公司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广州开合科技有限公司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广州梦洁宝贝蓝门数字商业有限公司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合宝文娱集团有限公司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联营企业（本期已处置）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深圳钛铂新媒体营销股份有限公司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省广翰威（上海）广告有限公司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省广聚合（北京）数字技术有限公司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中懋（广州）广告有限公司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珠海博纳思品牌管理咨询有限公司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珠海市省广华屹智能数字营销有限公司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珠海市省广星美达文化传媒有限公司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4</w:t>
      </w:r>
      <w:bookmarkEnd w:id="1914"/>
      <w:r>
        <w:rPr>
          <w:color w:val="000000"/>
          <w:spacing w:val="0"/>
          <w:w w:val="100"/>
          <w:position w:val="0"/>
        </w:rPr>
        <w:t>、其他关联方情况</w:t>
      </w:r>
      <w:bookmarkEnd w:id="1912"/>
      <w:bookmarkEnd w:id="1913"/>
      <w:bookmarkEnd w:id="19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广东珠江桥生物科技股份有限公司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受同一母公司控制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珠海省广纳思博报堂广告有限公司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联营企业之合营企业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北京畅思互娱科技合伙企业（有限合伙）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珠海市诺利市场服务有限合伙企业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株式会社 </w:t>
            </w:r>
            <w:r>
              <w:rPr>
                <w:color w:val="000000"/>
                <w:spacing w:val="0"/>
                <w:w w:val="100"/>
                <w:position w:val="0"/>
              </w:rPr>
              <w:t>ADK MARKETING SOLUTIONS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广东广佛轨道交通有限公司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公司子公司之法定代表人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姚继红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公司子公司之法定代表人之配偶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本公司董事长、股东、党委书记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本公司副董事长、总经理、股东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董事、副总经理、董秘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董事（离任）、股东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姚文骏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党委副书记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董事、财务总监</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5</w:t>
      </w:r>
      <w:bookmarkEnd w:id="1918"/>
      <w:r>
        <w:rPr>
          <w:color w:val="000000"/>
          <w:spacing w:val="0"/>
          <w:w w:val="100"/>
          <w:position w:val="0"/>
        </w:rPr>
        <w:t>、关联交易情况</w:t>
      </w:r>
      <w:bookmarkEnd w:id="1916"/>
      <w:bookmarkEnd w:id="1917"/>
      <w:bookmarkEnd w:id="1919"/>
    </w:p>
    <w:p>
      <w:pPr>
        <w:pStyle w:val="Style36"/>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0"/>
      <w:bookmarkEnd w:id="1921"/>
      <w:bookmarkEnd w:id="192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 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98,972,491.12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92,206,204.14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49,927,901.87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21,040,980.94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珠海市省广星美达 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21,575,046.04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32,640,498.75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 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18,102,151.95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8,482,909.33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省广翰威（上海）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12,534,397.27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3,008,962.18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 堂广告有限公司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9,689,753.50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35,015,778.45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广州开合科技有限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5,271,698.11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12,475,267.95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 验营销有限公司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1,657,211.10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40,410.38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省广聚合（北京） 数字技术有限公司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1,116,981.14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50,235.84</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1,075,283.02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2,325,754.72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771,796.88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2,610,231.36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广东广佛轨道交通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228,425.24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15,679,527.06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226,415.08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2,646,182.01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上海恺达广告有限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13,926,753.05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合宝文娱集团有限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3,398,575.96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中懋（广州）广告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3,221,725.56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广东珠江桥生物科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74,482.76</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省广博报堂整合营销有限公司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1,020,317,001.69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813,711,991.94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广东省广代思博报堂广告有限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230,524,104.07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171,791,492.81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珠海省广纳思博报堂广告有限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89,708,007.28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20,948,461.55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珠海市省广星美达文化传媒有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44,339,622.62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162,394,955.51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27,782,209.48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29,295,036.67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26,362,888.38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40,133,109.73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23,864,121.10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13,189,620.36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18,328,139.24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5,312,750.87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19,470,102.83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3,374,890.84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1,296,147.04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1,495,283.00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珠海市省广凯酷传媒有限公司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583,659.97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975,957.79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广东珠江桥生物科技股份有限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503,667.90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2,372,110.35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86,005.99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广州梦洁宝贝蓝门数字商业有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81,094.48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株式会社</w:t>
            </w:r>
            <w:r>
              <w:rPr>
                <w:color w:val="000000"/>
                <w:spacing w:val="0"/>
                <w:w w:val="100"/>
                <w:position w:val="0"/>
              </w:rPr>
              <w:t>ADK MARKETING</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SOLUTIONS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广州多触电商传媒有限公司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380,559.05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广东广佛轨道交通有限公司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336,435.38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广州开合科技有限公司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141,720.78</w:t>
            </w: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3"/>
      <w:bookmarkEnd w:id="1924"/>
      <w:bookmarkEnd w:id="1926"/>
    </w:p>
    <w:p>
      <w:pPr>
        <w:pStyle w:val="Style36"/>
        <w:keepNext/>
        <w:keepLines/>
        <w:widowControl w:val="0"/>
        <w:shd w:val="clear" w:color="auto" w:fill="auto"/>
        <w:tabs>
          <w:tab w:pos="493" w:val="left"/>
        </w:tabs>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27"/>
      <w:bookmarkEnd w:id="1928"/>
      <w:bookmarkEnd w:id="193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上期确认的租赁收入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1,210,590.11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822,126.23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263,352.43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86,005.99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广州开合科技有限公司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141,720.78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31"/>
      <w:bookmarkEnd w:id="1932"/>
      <w:bookmarkEnd w:id="193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本公司作为被担保方</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刘浩宇、史舒海、胡文 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刘浩宇、史舒海、胡文 恺、胡茜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刘浩宇、史舒海、胡文 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14,266,725.07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李健、姚继红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6"/>
        <w:keepNext/>
        <w:keepLines/>
        <w:widowControl w:val="0"/>
        <w:shd w:val="clear" w:color="auto" w:fill="auto"/>
        <w:tabs>
          <w:tab w:pos="633" w:val="left"/>
        </w:tabs>
        <w:bidi w:val="0"/>
        <w:spacing w:before="0" w:after="360" w:line="240" w:lineRule="auto"/>
        <w:ind w:left="0" w:right="0" w:firstLine="14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35"/>
      <w:bookmarkEnd w:id="1936"/>
      <w:bookmarkEnd w:id="1938"/>
    </w:p>
    <w:p>
      <w:pPr>
        <w:pStyle w:val="Style36"/>
        <w:keepNext/>
        <w:keepLines/>
        <w:widowControl w:val="0"/>
        <w:shd w:val="clear" w:color="auto" w:fill="auto"/>
        <w:tabs>
          <w:tab w:pos="633" w:val="left"/>
        </w:tabs>
        <w:bidi w:val="0"/>
        <w:spacing w:before="0" w:after="360" w:line="240" w:lineRule="auto"/>
        <w:ind w:left="0" w:right="0" w:firstLine="14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39"/>
      <w:bookmarkEnd w:id="1940"/>
      <w:bookmarkEnd w:id="1942"/>
    </w:p>
    <w:p>
      <w:pPr>
        <w:pStyle w:val="Style36"/>
        <w:keepNext/>
        <w:keepLines/>
        <w:widowControl w:val="0"/>
        <w:shd w:val="clear" w:color="auto" w:fill="auto"/>
        <w:tabs>
          <w:tab w:pos="633" w:val="left"/>
        </w:tabs>
        <w:bidi w:val="0"/>
        <w:spacing w:before="0" w:after="360" w:line="240" w:lineRule="auto"/>
        <w:ind w:left="0" w:right="0" w:firstLine="14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w:t>
      </w:r>
      <w:bookmarkEnd w:id="1945"/>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43"/>
      <w:bookmarkEnd w:id="1944"/>
      <w:bookmarkEnd w:id="194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7,768,700.00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11,400,185.00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47"/>
      <w:bookmarkEnd w:id="1948"/>
      <w:bookmarkEnd w:id="1950"/>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本集团本报告期无其他关联交易事项。</w:t>
      </w:r>
    </w:p>
    <w:p>
      <w:pPr>
        <w:pStyle w:val="Style32"/>
        <w:keepNext/>
        <w:keepLines/>
        <w:widowControl w:val="0"/>
        <w:shd w:val="clear" w:color="auto" w:fill="auto"/>
        <w:bidi w:val="0"/>
        <w:spacing w:before="0" w:line="240" w:lineRule="auto"/>
        <w:ind w:left="0" w:right="0" w:firstLine="0"/>
        <w:jc w:val="both"/>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、关联方应收应付款项</w:t>
      </w:r>
      <w:bookmarkEnd w:id="1951"/>
      <w:bookmarkEnd w:id="1952"/>
      <w:bookmarkEnd w:id="1954"/>
    </w:p>
    <w:p>
      <w:pPr>
        <w:pStyle w:val="Style36"/>
        <w:keepNext/>
        <w:keepLines/>
        <w:widowControl w:val="0"/>
        <w:shd w:val="clear" w:color="auto" w:fill="auto"/>
        <w:bidi w:val="0"/>
        <w:spacing w:before="0" w:after="360" w:line="240" w:lineRule="auto"/>
        <w:ind w:left="0" w:right="0" w:firstLine="0"/>
        <w:jc w:val="both"/>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5"/>
      <w:bookmarkEnd w:id="1956"/>
      <w:bookmarkEnd w:id="19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 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176,362,501.98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881,812.51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144,351,002.61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721,755.00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广东省广代思博报 堂广告有限公司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85,830,052.65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429,150.26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68,725,674.27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343,628.37</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 堂广告有限公司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70,519,945.89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352,599.73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21,938,519.17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109,692.60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 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14,941,964.30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69,309.82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15,282,203.64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76,411.02</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深圳东信时代信息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3,161,972.00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15,809.86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1,719,926.83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2,550,901.17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12,754.51</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中懋（广州）广告有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10,608.70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5,817,579.86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29,087.90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 字营销有限公司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2,646,468.28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13,232.34</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上海恺达广告有限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2,490,185.89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249,018.59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广东广佛轨道交通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423,201.50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2,116.01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352,887,732.47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1,779,725.64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264,331,823.43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1,568,305.04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 堂广告有限公司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 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3,191,509.43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 验营销有限公司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287,924.51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188,679.25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 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1,324,701.83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珠海市省广华屹智 能数字营销有限公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68,098.12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3,710,581.49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1,392,799.95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2,064,177.29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1,241,900.36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21,739.50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中懋（广州）广告有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507,113.81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59,408.06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291,653.81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29,165.38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北京省广阳光传媒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90,420.62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18,084.12</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76,169.45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380.85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广州开合科技有限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4,317,204.17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21,586.02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广东广佛轨道交通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 验营销有限公司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128.89</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珠海市诺利市场服 务有限合伙企业</w:t>
            </w:r>
            <w:r>
              <w:rPr>
                <w:color w:val="000000"/>
                <w:spacing w:val="0"/>
                <w:w w:val="100"/>
                <w:position w:val="0"/>
              </w:rPr>
              <w:t>（</w:t>
            </w:r>
            <w:r>
              <w:rPr>
                <w:rFonts w:ascii="SimSun" w:eastAsia="SimSun" w:hAnsi="SimSun" w:cs="SimSun"/>
                <w:color w:val="000000"/>
                <w:spacing w:val="0"/>
                <w:w w:val="100"/>
                <w:position w:val="0"/>
                <w:sz w:val="17"/>
                <w:szCs w:val="17"/>
              </w:rPr>
              <w:t>有 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国义招标股份有限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3,624,377.17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182,062.90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7,076,225.77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371,195.26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58"/>
      <w:bookmarkEnd w:id="1959"/>
      <w:bookmarkEnd w:id="19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5,238,784.00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珠海省广纳思博报堂广告有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4,926,627.60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2,971,420.06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珠海博纳思品牌管理咨询有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4,446,484.78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995,939.78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2,911,723.50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1,856,667.67</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2,361,796.48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9,533,177.41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珠海市省广星美达文化传媒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2,126,296.00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5,292,624.00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811,671.74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985,719.00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1,370,182.00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25,346,056.60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广东广佛轨道交通有限公司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4,445,431.44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中懋（广州）广告有限公司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3,202,085.99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合宝文娱集团有限公司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1,632,707.69</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949,962.70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24,127,384.10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60,171,974.34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1,617,022.78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2,082,510.14</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广州骏伯网络科技股份有限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106,698.11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34,028.28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3,195,728.69</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231,132.07</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13,811.31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1,909,749.17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5,523,182.21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1,391,193.50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1,368,000.00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161,392.08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161,392.08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珠海市省广盛世体验营销有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104,931.00</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中懋（广州）广告有限公司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重庆年度广告传媒有限公司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北京畅思互娱科技合伙企业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3,750,000.00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广东广佛轨道交通有限公司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388,834.23</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1,668,016.58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14,503,657.31</w:t>
            </w:r>
          </w:p>
        </w:tc>
      </w:tr>
    </w:tbl>
    <w:p>
      <w:pPr>
        <w:widowControl w:val="0"/>
        <w:spacing w:after="35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7</w:t>
      </w:r>
      <w:bookmarkEnd w:id="1963"/>
      <w:r>
        <w:rPr>
          <w:color w:val="000000"/>
          <w:spacing w:val="0"/>
          <w:w w:val="100"/>
          <w:position w:val="0"/>
        </w:rPr>
        <w:t>、</w:t>
        <w:tab/>
        <w:t>关联方承诺</w:t>
      </w:r>
      <w:bookmarkEnd w:id="1961"/>
      <w:bookmarkEnd w:id="1962"/>
      <w:bookmarkEnd w:id="1964"/>
    </w:p>
    <w:p>
      <w:pPr>
        <w:pStyle w:val="Style32"/>
        <w:keepNext/>
        <w:keepLines/>
        <w:widowControl w:val="0"/>
        <w:shd w:val="clear" w:color="auto" w:fill="auto"/>
        <w:tabs>
          <w:tab w:pos="378" w:val="left"/>
        </w:tabs>
        <w:bidi w:val="0"/>
        <w:spacing w:before="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8</w:t>
      </w:r>
      <w:bookmarkEnd w:id="1967"/>
      <w:r>
        <w:rPr>
          <w:color w:val="000000"/>
          <w:spacing w:val="0"/>
          <w:w w:val="100"/>
          <w:position w:val="0"/>
        </w:rPr>
        <w:t>、</w:t>
        <w:tab/>
        <w:t>其他</w:t>
      </w:r>
      <w:bookmarkEnd w:id="1965"/>
      <w:bookmarkEnd w:id="1966"/>
      <w:bookmarkEnd w:id="1968"/>
    </w:p>
    <w:p>
      <w:pPr>
        <w:pStyle w:val="Style24"/>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1" w:name="bookmark1971"/>
      <w:r>
        <w:rPr>
          <w:color w:val="000000"/>
          <w:spacing w:val="0"/>
          <w:w w:val="100"/>
          <w:position w:val="0"/>
        </w:rPr>
        <w:t>十三、股份支付</w:t>
      </w:r>
      <w:bookmarkEnd w:id="1969"/>
      <w:bookmarkEnd w:id="1970"/>
      <w:bookmarkEnd w:id="1971"/>
    </w:p>
    <w:p>
      <w:pPr>
        <w:pStyle w:val="Style32"/>
        <w:keepNext/>
        <w:keepLines/>
        <w:widowControl w:val="0"/>
        <w:shd w:val="clear" w:color="auto" w:fill="auto"/>
        <w:tabs>
          <w:tab w:pos="368"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1</w:t>
      </w:r>
      <w:bookmarkEnd w:id="1974"/>
      <w:r>
        <w:rPr>
          <w:color w:val="000000"/>
          <w:spacing w:val="0"/>
          <w:w w:val="100"/>
          <w:position w:val="0"/>
        </w:rPr>
        <w:t>、</w:t>
        <w:tab/>
        <w:t>股份支付总体情况</w:t>
      </w:r>
      <w:bookmarkEnd w:id="1972"/>
      <w:bookmarkEnd w:id="1973"/>
      <w:bookmarkEnd w:id="19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2</w:t>
      </w:r>
      <w:bookmarkEnd w:id="1978"/>
      <w:r>
        <w:rPr>
          <w:color w:val="000000"/>
          <w:spacing w:val="0"/>
          <w:w w:val="100"/>
          <w:position w:val="0"/>
        </w:rPr>
        <w:t>、</w:t>
        <w:tab/>
        <w:t>以权益结算的股份支付情况</w:t>
      </w:r>
      <w:bookmarkEnd w:id="1976"/>
      <w:bookmarkEnd w:id="1977"/>
      <w:bookmarkEnd w:id="197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3</w:t>
      </w:r>
      <w:bookmarkEnd w:id="1982"/>
      <w:r>
        <w:rPr>
          <w:color w:val="000000"/>
          <w:spacing w:val="0"/>
          <w:w w:val="100"/>
          <w:position w:val="0"/>
        </w:rPr>
        <w:t>、</w:t>
        <w:tab/>
        <w:t>以现金结算的股份支付情况</w:t>
      </w:r>
      <w:bookmarkEnd w:id="1980"/>
      <w:bookmarkEnd w:id="1981"/>
      <w:bookmarkEnd w:id="198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4</w:t>
      </w:r>
      <w:bookmarkEnd w:id="1986"/>
      <w:r>
        <w:rPr>
          <w:color w:val="000000"/>
          <w:spacing w:val="0"/>
          <w:w w:val="100"/>
          <w:position w:val="0"/>
        </w:rPr>
        <w:t>、</w:t>
        <w:tab/>
        <w:t>股份支付的修改、终止情况</w:t>
      </w:r>
      <w:bookmarkEnd w:id="1984"/>
      <w:bookmarkEnd w:id="1985"/>
      <w:bookmarkEnd w:id="198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5</w:t>
      </w:r>
      <w:bookmarkEnd w:id="1990"/>
      <w:r>
        <w:rPr>
          <w:color w:val="000000"/>
          <w:spacing w:val="0"/>
          <w:w w:val="100"/>
          <w:position w:val="0"/>
        </w:rPr>
        <w:t>、</w:t>
        <w:tab/>
        <w:t>其他</w:t>
      </w:r>
      <w:bookmarkEnd w:id="1988"/>
      <w:bookmarkEnd w:id="1989"/>
      <w:bookmarkEnd w:id="1991"/>
    </w:p>
    <w:p>
      <w:pPr>
        <w:pStyle w:val="Style24"/>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r>
        <w:rPr>
          <w:color w:val="000000"/>
          <w:spacing w:val="0"/>
          <w:w w:val="100"/>
          <w:position w:val="0"/>
        </w:rPr>
        <w:t>十四、承诺及或有事项</w:t>
      </w:r>
      <w:bookmarkEnd w:id="1992"/>
      <w:bookmarkEnd w:id="1993"/>
      <w:bookmarkEnd w:id="1994"/>
    </w:p>
    <w:p>
      <w:pPr>
        <w:pStyle w:val="Style32"/>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95"/>
      <w:bookmarkEnd w:id="1996"/>
      <w:bookmarkEnd w:id="1997"/>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经营租赁承诺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至资产负债表日止，本集团对外签订的不可撤销的经营租赁合约情况如下:</w:t>
      </w:r>
    </w:p>
    <w:tbl>
      <w:tblPr>
        <w:tblOverlap w:val="never"/>
        <w:jc w:val="center"/>
        <w:tblLayout w:type="fixed"/>
      </w:tblPr>
      <w:tblGrid>
        <w:gridCol w:w="4723"/>
        <w:gridCol w:w="2544"/>
        <w:gridCol w:w="241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21,308,963.23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30,045,811.98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11,901,664.30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17,180,300.51</w:t>
            </w:r>
          </w:p>
        </w:tc>
      </w:tr>
    </w:tbl>
    <w:tbl>
      <w:tblPr>
        <w:tblOverlap w:val="never"/>
        <w:jc w:val="center"/>
        <w:tblLayout w:type="fixed"/>
      </w:tblPr>
      <w:tblGrid>
        <w:gridCol w:w="4723"/>
        <w:gridCol w:w="2544"/>
        <w:gridCol w:w="241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3,317,856.20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9,145,443.37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221,622.61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2,326,271.02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36,750,106.34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58,697,826.88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bookmarkEnd w:id="2000"/>
      <w:r>
        <w:rPr>
          <w:color w:val="000000"/>
          <w:spacing w:val="0"/>
          <w:w w:val="100"/>
          <w:position w:val="0"/>
        </w:rPr>
        <w:t>、或有事项</w:t>
      </w:r>
      <w:bookmarkEnd w:id="1998"/>
      <w:bookmarkEnd w:id="1999"/>
      <w:bookmarkEnd w:id="2001"/>
    </w:p>
    <w:p>
      <w:pPr>
        <w:pStyle w:val="Style36"/>
        <w:keepNext/>
        <w:keepLines/>
        <w:widowControl w:val="0"/>
        <w:shd w:val="clear" w:color="auto" w:fill="auto"/>
        <w:tabs>
          <w:tab w:pos="493" w:val="left"/>
        </w:tabs>
        <w:bidi w:val="0"/>
        <w:spacing w:before="0" w:after="36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2"/>
      <w:bookmarkEnd w:id="2003"/>
      <w:bookmarkEnd w:id="2005"/>
    </w:p>
    <w:p>
      <w:pPr>
        <w:pStyle w:val="Style36"/>
        <w:keepNext/>
        <w:keepLines/>
        <w:widowControl w:val="0"/>
        <w:shd w:val="clear" w:color="auto" w:fill="auto"/>
        <w:tabs>
          <w:tab w:pos="493" w:val="left"/>
        </w:tabs>
        <w:bidi w:val="0"/>
        <w:spacing w:before="0" w:after="36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06"/>
      <w:bookmarkEnd w:id="2007"/>
      <w:bookmarkEnd w:id="2009"/>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公司不存在需要披露的重要或有事项。</w:t>
      </w:r>
    </w:p>
    <w:p>
      <w:pPr>
        <w:pStyle w:val="Style32"/>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、其他</w:t>
      </w:r>
      <w:bookmarkEnd w:id="2010"/>
      <w:bookmarkEnd w:id="2011"/>
      <w:bookmarkEnd w:id="2013"/>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日，本集团无需要披露重大承诺事项。</w:t>
      </w:r>
    </w:p>
    <w:p>
      <w:pPr>
        <w:pStyle w:val="Style24"/>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r>
        <w:rPr>
          <w:color w:val="000000"/>
          <w:spacing w:val="0"/>
          <w:w w:val="100"/>
          <w:position w:val="0"/>
        </w:rPr>
        <w:t>十五、资产负债表日后事项</w:t>
      </w:r>
      <w:bookmarkEnd w:id="2014"/>
      <w:bookmarkEnd w:id="2015"/>
      <w:bookmarkEnd w:id="2016"/>
    </w:p>
    <w:p>
      <w:pPr>
        <w:pStyle w:val="Style32"/>
        <w:keepNext/>
        <w:keepLines/>
        <w:widowControl w:val="0"/>
        <w:shd w:val="clear" w:color="auto" w:fill="auto"/>
        <w:tabs>
          <w:tab w:pos="368" w:val="left"/>
        </w:tabs>
        <w:bidi w:val="0"/>
        <w:spacing w:before="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bookmarkEnd w:id="2019"/>
      <w:r>
        <w:rPr>
          <w:color w:val="000000"/>
          <w:spacing w:val="0"/>
          <w:w w:val="100"/>
          <w:position w:val="0"/>
        </w:rPr>
        <w:t>、</w:t>
        <w:tab/>
        <w:t>重要的非调整事项</w:t>
      </w:r>
      <w:bookmarkEnd w:id="2017"/>
      <w:bookmarkEnd w:id="2018"/>
      <w:bookmarkEnd w:id="2020"/>
    </w:p>
    <w:p>
      <w:pPr>
        <w:pStyle w:val="Style32"/>
        <w:keepNext/>
        <w:keepLines/>
        <w:widowControl w:val="0"/>
        <w:shd w:val="clear" w:color="auto" w:fill="auto"/>
        <w:tabs>
          <w:tab w:pos="378" w:val="left"/>
        </w:tabs>
        <w:bidi w:val="0"/>
        <w:spacing w:before="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w:t>
        <w:tab/>
        <w:t>利润分配情况</w:t>
      </w:r>
      <w:bookmarkEnd w:id="2021"/>
      <w:bookmarkEnd w:id="2022"/>
      <w:bookmarkEnd w:id="2024"/>
    </w:p>
    <w:p>
      <w:pPr>
        <w:pStyle w:val="Style32"/>
        <w:keepNext/>
        <w:keepLines/>
        <w:widowControl w:val="0"/>
        <w:shd w:val="clear" w:color="auto" w:fill="auto"/>
        <w:tabs>
          <w:tab w:pos="378"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销售退回</w:t>
      </w:r>
      <w:bookmarkEnd w:id="2025"/>
      <w:bookmarkEnd w:id="2026"/>
      <w:bookmarkEnd w:id="2028"/>
    </w:p>
    <w:p>
      <w:pPr>
        <w:pStyle w:val="Style32"/>
        <w:keepNext/>
        <w:keepLines/>
        <w:widowControl w:val="0"/>
        <w:shd w:val="clear" w:color="auto" w:fill="auto"/>
        <w:tabs>
          <w:tab w:pos="378" w:val="left"/>
        </w:tabs>
        <w:bidi w:val="0"/>
        <w:spacing w:before="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w:t>
        <w:tab/>
        <w:t>其他资产负债表日后事项说明</w:t>
      </w:r>
      <w:bookmarkEnd w:id="2029"/>
      <w:bookmarkEnd w:id="2030"/>
      <w:bookmarkEnd w:id="2032"/>
    </w:p>
    <w:p>
      <w:pPr>
        <w:pStyle w:val="Style24"/>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5" w:name="bookmark2035"/>
      <w:r>
        <w:rPr>
          <w:color w:val="000000"/>
          <w:spacing w:val="0"/>
          <w:w w:val="100"/>
          <w:position w:val="0"/>
        </w:rPr>
        <w:t>十六、其他重要事项</w:t>
      </w:r>
      <w:bookmarkEnd w:id="2033"/>
      <w:bookmarkEnd w:id="2034"/>
      <w:bookmarkEnd w:id="2035"/>
    </w:p>
    <w:p>
      <w:pPr>
        <w:pStyle w:val="Style32"/>
        <w:keepNext/>
        <w:keepLines/>
        <w:widowControl w:val="0"/>
        <w:shd w:val="clear" w:color="auto" w:fill="auto"/>
        <w:tabs>
          <w:tab w:pos="368" w:val="left"/>
        </w:tabs>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bookmarkEnd w:id="2038"/>
      <w:r>
        <w:rPr>
          <w:color w:val="000000"/>
          <w:spacing w:val="0"/>
          <w:w w:val="100"/>
          <w:position w:val="0"/>
        </w:rPr>
        <w:t>、</w:t>
        <w:tab/>
        <w:t>前期会计差错更正</w:t>
      </w:r>
      <w:bookmarkEnd w:id="2036"/>
      <w:bookmarkEnd w:id="2037"/>
      <w:bookmarkEnd w:id="2039"/>
    </w:p>
    <w:p>
      <w:pPr>
        <w:pStyle w:val="Style36"/>
        <w:keepNext/>
        <w:keepLines/>
        <w:widowControl w:val="0"/>
        <w:shd w:val="clear" w:color="auto" w:fill="auto"/>
        <w:tabs>
          <w:tab w:pos="493" w:val="left"/>
        </w:tabs>
        <w:bidi w:val="0"/>
        <w:spacing w:before="0" w:after="36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040"/>
      <w:bookmarkEnd w:id="2041"/>
      <w:bookmarkEnd w:id="2043"/>
    </w:p>
    <w:p>
      <w:pPr>
        <w:pStyle w:val="Style36"/>
        <w:keepNext/>
        <w:keepLines/>
        <w:widowControl w:val="0"/>
        <w:shd w:val="clear" w:color="auto" w:fill="auto"/>
        <w:tabs>
          <w:tab w:pos="493" w:val="left"/>
        </w:tabs>
        <w:bidi w:val="0"/>
        <w:spacing w:before="0" w:after="36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044"/>
      <w:bookmarkEnd w:id="2045"/>
      <w:bookmarkEnd w:id="2047"/>
    </w:p>
    <w:p>
      <w:pPr>
        <w:pStyle w:val="Style32"/>
        <w:keepNext/>
        <w:keepLines/>
        <w:widowControl w:val="0"/>
        <w:shd w:val="clear" w:color="auto" w:fill="auto"/>
        <w:tabs>
          <w:tab w:pos="378" w:val="left"/>
        </w:tabs>
        <w:bidi w:val="0"/>
        <w:spacing w:before="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bookmarkEnd w:id="2050"/>
      <w:r>
        <w:rPr>
          <w:color w:val="000000"/>
          <w:spacing w:val="0"/>
          <w:w w:val="100"/>
          <w:position w:val="0"/>
        </w:rPr>
        <w:t>、</w:t>
        <w:tab/>
        <w:t>债务重组</w:t>
      </w:r>
      <w:bookmarkEnd w:id="2048"/>
      <w:bookmarkEnd w:id="2049"/>
      <w:bookmarkEnd w:id="2051"/>
    </w:p>
    <w:p>
      <w:pPr>
        <w:pStyle w:val="Style32"/>
        <w:keepNext/>
        <w:keepLines/>
        <w:widowControl w:val="0"/>
        <w:shd w:val="clear" w:color="auto" w:fill="auto"/>
        <w:tabs>
          <w:tab w:pos="378" w:val="left"/>
        </w:tabs>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w:t>
        <w:tab/>
        <w:t>资产置换</w:t>
      </w:r>
      <w:bookmarkEnd w:id="2052"/>
      <w:bookmarkEnd w:id="2053"/>
      <w:bookmarkEnd w:id="2055"/>
    </w:p>
    <w:p>
      <w:pPr>
        <w:pStyle w:val="Style36"/>
        <w:keepNext/>
        <w:keepLines/>
        <w:widowControl w:val="0"/>
        <w:shd w:val="clear" w:color="auto" w:fill="auto"/>
        <w:tabs>
          <w:tab w:pos="493" w:val="left"/>
        </w:tabs>
        <w:bidi w:val="0"/>
        <w:spacing w:before="0" w:after="36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56"/>
      <w:bookmarkEnd w:id="2057"/>
      <w:bookmarkEnd w:id="2059"/>
    </w:p>
    <w:p>
      <w:pPr>
        <w:pStyle w:val="Style36"/>
        <w:keepNext/>
        <w:keepLines/>
        <w:widowControl w:val="0"/>
        <w:shd w:val="clear" w:color="auto" w:fill="auto"/>
        <w:tabs>
          <w:tab w:pos="493" w:val="left"/>
        </w:tabs>
        <w:bidi w:val="0"/>
        <w:spacing w:before="0" w:after="36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60"/>
      <w:bookmarkEnd w:id="2061"/>
      <w:bookmarkEnd w:id="2063"/>
    </w:p>
    <w:p>
      <w:pPr>
        <w:pStyle w:val="Style32"/>
        <w:keepNext/>
        <w:keepLines/>
        <w:widowControl w:val="0"/>
        <w:shd w:val="clear" w:color="auto" w:fill="auto"/>
        <w:tabs>
          <w:tab w:pos="378" w:val="left"/>
        </w:tabs>
        <w:bidi w:val="0"/>
        <w:spacing w:before="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4</w:t>
      </w:r>
      <w:bookmarkEnd w:id="2066"/>
      <w:r>
        <w:rPr>
          <w:color w:val="000000"/>
          <w:spacing w:val="0"/>
          <w:w w:val="100"/>
          <w:position w:val="0"/>
        </w:rPr>
        <w:t>、</w:t>
        <w:tab/>
        <w:t>年金计划</w:t>
      </w:r>
      <w:bookmarkEnd w:id="2064"/>
      <w:bookmarkEnd w:id="2065"/>
      <w:bookmarkEnd w:id="206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日，公司召开第五届董事会第四次会议审议通过了《关于制定</w:t>
      </w:r>
      <w:r>
        <w:rPr>
          <w:color w:val="000000"/>
          <w:spacing w:val="0"/>
          <w:w w:val="100"/>
          <w:position w:val="0"/>
          <w:sz w:val="18"/>
          <w:szCs w:val="18"/>
        </w:rPr>
        <w:t>〈</w:t>
      </w:r>
      <w:r>
        <w:rPr>
          <w:color w:val="000000"/>
          <w:spacing w:val="0"/>
          <w:w w:val="100"/>
          <w:position w:val="0"/>
        </w:rPr>
        <w:t xml:space="preserve">广东省广告集团股份有限公司企业年金方案（实 </w:t>
      </w:r>
      <w:r>
        <w:rPr>
          <w:color w:val="000000"/>
          <w:spacing w:val="0"/>
          <w:w w:val="100"/>
          <w:position w:val="0"/>
        </w:rPr>
        <w:t>施细则）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的议案》。具体内容详见刊载于本公司指定信息披露平台《证券时报》和网站巨潮资讯网（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上披露的《广东省广告集团股份有限公司企业年金方案（实施细则）》。</w:t>
      </w:r>
    </w:p>
    <w:p>
      <w:pPr>
        <w:pStyle w:val="Style32"/>
        <w:keepNext/>
        <w:keepLines/>
        <w:widowControl w:val="0"/>
        <w:shd w:val="clear" w:color="auto" w:fill="auto"/>
        <w:tabs>
          <w:tab w:pos="378" w:val="left"/>
        </w:tabs>
        <w:bidi w:val="0"/>
        <w:spacing w:before="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5</w:t>
      </w:r>
      <w:bookmarkEnd w:id="2070"/>
      <w:r>
        <w:rPr>
          <w:color w:val="000000"/>
          <w:spacing w:val="0"/>
          <w:w w:val="100"/>
          <w:position w:val="0"/>
        </w:rPr>
        <w:t>、</w:t>
        <w:tab/>
        <w:t>终止经营</w:t>
      </w:r>
      <w:bookmarkEnd w:id="2068"/>
      <w:bookmarkEnd w:id="2069"/>
      <w:bookmarkEnd w:id="2071"/>
    </w:p>
    <w:p>
      <w:pPr>
        <w:pStyle w:val="Style32"/>
        <w:keepNext/>
        <w:keepLines/>
        <w:widowControl w:val="0"/>
        <w:shd w:val="clear" w:color="auto" w:fill="auto"/>
        <w:tabs>
          <w:tab w:pos="378" w:val="left"/>
        </w:tabs>
        <w:bidi w:val="0"/>
        <w:spacing w:before="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6</w:t>
      </w:r>
      <w:bookmarkEnd w:id="2074"/>
      <w:r>
        <w:rPr>
          <w:color w:val="000000"/>
          <w:spacing w:val="0"/>
          <w:w w:val="100"/>
          <w:position w:val="0"/>
        </w:rPr>
        <w:t>、</w:t>
        <w:tab/>
        <w:t>分部信息</w:t>
      </w:r>
      <w:bookmarkEnd w:id="2072"/>
      <w:bookmarkEnd w:id="2073"/>
      <w:bookmarkEnd w:id="2075"/>
    </w:p>
    <w:p>
      <w:pPr>
        <w:pStyle w:val="Style36"/>
        <w:keepNext/>
        <w:keepLines/>
        <w:widowControl w:val="0"/>
        <w:shd w:val="clear" w:color="auto" w:fill="auto"/>
        <w:tabs>
          <w:tab w:pos="493" w:val="left"/>
        </w:tabs>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76"/>
      <w:bookmarkEnd w:id="2077"/>
      <w:bookmarkEnd w:id="2079"/>
    </w:p>
    <w:p>
      <w:pPr>
        <w:pStyle w:val="Style36"/>
        <w:keepNext/>
        <w:keepLines/>
        <w:widowControl w:val="0"/>
        <w:shd w:val="clear" w:color="auto" w:fill="auto"/>
        <w:tabs>
          <w:tab w:pos="493"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80"/>
      <w:bookmarkEnd w:id="2081"/>
      <w:bookmarkEnd w:id="2083"/>
    </w:p>
    <w:p>
      <w:pPr>
        <w:pStyle w:val="Style36"/>
        <w:keepNext/>
        <w:keepLines/>
        <w:widowControl w:val="0"/>
        <w:shd w:val="clear" w:color="auto" w:fill="auto"/>
        <w:tabs>
          <w:tab w:pos="493"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84"/>
      <w:bookmarkEnd w:id="2085"/>
      <w:bookmarkEnd w:id="2087"/>
    </w:p>
    <w:p>
      <w:pPr>
        <w:pStyle w:val="Style36"/>
        <w:keepNext/>
        <w:keepLines/>
        <w:widowControl w:val="0"/>
        <w:shd w:val="clear" w:color="auto" w:fill="auto"/>
        <w:tabs>
          <w:tab w:pos="493"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88"/>
      <w:bookmarkEnd w:id="2089"/>
      <w:bookmarkEnd w:id="2091"/>
    </w:p>
    <w:p>
      <w:pPr>
        <w:pStyle w:val="Style32"/>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7</w:t>
      </w:r>
      <w:bookmarkEnd w:id="2094"/>
      <w:r>
        <w:rPr>
          <w:color w:val="000000"/>
          <w:spacing w:val="0"/>
          <w:w w:val="100"/>
          <w:position w:val="0"/>
        </w:rPr>
        <w:t>、</w:t>
        <w:tab/>
        <w:t>其他对投资者决策有影响的重要交易和事项</w:t>
      </w:r>
      <w:bookmarkEnd w:id="2092"/>
      <w:bookmarkEnd w:id="2093"/>
      <w:bookmarkEnd w:id="2095"/>
    </w:p>
    <w:p>
      <w:pPr>
        <w:pStyle w:val="Style32"/>
        <w:keepNext/>
        <w:keepLines/>
        <w:widowControl w:val="0"/>
        <w:shd w:val="clear" w:color="auto" w:fill="auto"/>
        <w:tabs>
          <w:tab w:pos="378" w:val="left"/>
        </w:tabs>
        <w:bidi w:val="0"/>
        <w:spacing w:before="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8</w:t>
      </w:r>
      <w:bookmarkEnd w:id="2098"/>
      <w:r>
        <w:rPr>
          <w:color w:val="000000"/>
          <w:spacing w:val="0"/>
          <w:w w:val="100"/>
          <w:position w:val="0"/>
        </w:rPr>
        <w:t>、</w:t>
        <w:tab/>
        <w:t>其他</w:t>
      </w:r>
      <w:bookmarkEnd w:id="2096"/>
      <w:bookmarkEnd w:id="2097"/>
      <w:bookmarkEnd w:id="2099"/>
    </w:p>
    <w:p>
      <w:pPr>
        <w:pStyle w:val="Style24"/>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r>
        <w:rPr>
          <w:color w:val="000000"/>
          <w:spacing w:val="0"/>
          <w:w w:val="100"/>
          <w:position w:val="0"/>
        </w:rPr>
        <w:t>十七、母公司财务报表主要项目注释</w:t>
      </w:r>
      <w:bookmarkEnd w:id="2100"/>
      <w:bookmarkEnd w:id="2101"/>
      <w:bookmarkEnd w:id="2102"/>
    </w:p>
    <w:p>
      <w:pPr>
        <w:pStyle w:val="Style32"/>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3"/>
      <w:bookmarkEnd w:id="2104"/>
      <w:bookmarkEnd w:id="2105"/>
    </w:p>
    <w:p>
      <w:pPr>
        <w:pStyle w:val="Style36"/>
        <w:keepNext/>
        <w:keepLines/>
        <w:widowControl w:val="0"/>
        <w:shd w:val="clear" w:color="auto" w:fill="auto"/>
        <w:bidi w:val="0"/>
        <w:spacing w:before="0" w:after="360" w:line="240" w:lineRule="auto"/>
        <w:ind w:left="0" w:right="0" w:firstLine="0"/>
        <w:jc w:val="left"/>
      </w:pPr>
      <w:bookmarkStart w:id="2106" w:name="bookmark2106"/>
      <w:bookmarkStart w:id="2107" w:name="bookmark2107"/>
      <w:bookmarkStart w:id="2108" w:name="bookmark21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06"/>
      <w:bookmarkEnd w:id="2107"/>
      <w:bookmarkEnd w:id="210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210,376,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81,728,13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81,728,13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1,032,397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788,972,8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24,266,32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764,706,56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1,032,397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788,972,8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24,266,32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764,706,56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1,262,93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230,536,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1,032,397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870,701,0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105,994,4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764,706,56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210,375,183.85</w:t>
      </w:r>
    </w:p>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重庆比速汽车销售有限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重庆北汽幻速汽车销售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22,112,181.50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上海雅润文化传播有限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12,784,585.76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12,784,585.76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湖南猎豹汽车股份有限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7,041,793.87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7,041,793.87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浙江青年莲花汽车有限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浙江子也自动化设备有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华晨汽车集团控股有限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120,895,811.84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120,895,811.84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众泰控股集团有限公司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9,874,999.99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浙江众泰汽车销售有限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成都保荣商贸有限公司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210,375,183.85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210,375,183.85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1,029,203,978.46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97,840,836.93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88,428,824.57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47,460,568.69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29,897,244.44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11,458,220.16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6,105,104.09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1,262,934,208.65</w:t>
            </w:r>
          </w:p>
        </w:tc>
      </w:tr>
    </w:tbl>
    <w:p>
      <w:pPr>
        <w:pStyle w:val="Style36"/>
        <w:keepNext/>
        <w:keepLines/>
        <w:widowControl w:val="0"/>
        <w:shd w:val="clear" w:color="auto" w:fill="auto"/>
        <w:bidi w:val="0"/>
        <w:spacing w:before="0" w:after="360" w:line="240" w:lineRule="auto"/>
        <w:ind w:left="0" w:right="0" w:firstLine="0"/>
        <w:jc w:val="left"/>
      </w:pPr>
      <w:bookmarkStart w:id="2109" w:name="bookmark2109"/>
      <w:bookmarkStart w:id="2110" w:name="bookmark2110"/>
      <w:bookmarkStart w:id="2111" w:name="bookmark21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9"/>
      <w:bookmarkEnd w:id="2110"/>
      <w:bookmarkEnd w:id="211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105,994,461.57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124,542,454.46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230,536,916.03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105,994,461.57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124,542,454.46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230,536,916.03</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12"/>
      <w:bookmarkEnd w:id="2113"/>
      <w:bookmarkEnd w:id="2115"/>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本年无实际核销的应收账款情况。</w:t>
      </w:r>
    </w:p>
    <w:p>
      <w:pPr>
        <w:pStyle w:val="Style36"/>
        <w:keepNext/>
        <w:keepLines/>
        <w:widowControl w:val="0"/>
        <w:shd w:val="clear" w:color="auto" w:fill="auto"/>
        <w:tabs>
          <w:tab w:pos="493" w:val="left"/>
        </w:tabs>
        <w:bidi w:val="0"/>
        <w:spacing w:before="0" w:after="36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16"/>
      <w:bookmarkEnd w:id="2117"/>
      <w:bookmarkEnd w:id="2119"/>
    </w:p>
    <w:p>
      <w:pPr>
        <w:pStyle w:val="Style36"/>
        <w:keepNext/>
        <w:keepLines/>
        <w:widowControl w:val="0"/>
        <w:shd w:val="clear" w:color="auto" w:fill="auto"/>
        <w:tabs>
          <w:tab w:pos="493" w:val="left"/>
        </w:tabs>
        <w:bidi w:val="0"/>
        <w:spacing w:before="0" w:after="36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20"/>
      <w:bookmarkEnd w:id="2121"/>
      <w:bookmarkEnd w:id="2123"/>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年末无因金融资产转移而终止确认的应收账款。</w:t>
      </w:r>
    </w:p>
    <w:p>
      <w:pPr>
        <w:pStyle w:val="Style36"/>
        <w:keepNext/>
        <w:keepLines/>
        <w:widowControl w:val="0"/>
        <w:shd w:val="clear" w:color="auto" w:fill="auto"/>
        <w:tabs>
          <w:tab w:pos="493" w:val="left"/>
        </w:tabs>
        <w:bidi w:val="0"/>
        <w:spacing w:before="0" w:after="360" w:line="240" w:lineRule="auto"/>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24"/>
      <w:bookmarkEnd w:id="2125"/>
      <w:bookmarkEnd w:id="2127"/>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年末无转移应收账款且继续涉入形成的资产、负债的金额。</w:t>
      </w:r>
    </w:p>
    <w:p>
      <w:pPr>
        <w:pStyle w:val="Style32"/>
        <w:keepNext/>
        <w:keepLines/>
        <w:widowControl w:val="0"/>
        <w:shd w:val="clear" w:color="auto" w:fill="auto"/>
        <w:bidi w:val="0"/>
        <w:spacing w:before="0" w:line="240" w:lineRule="auto"/>
        <w:ind w:left="0" w:right="0" w:firstLine="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28"/>
      <w:bookmarkEnd w:id="2129"/>
      <w:bookmarkEnd w:id="2130"/>
    </w:p>
    <w:p>
      <w:pPr>
        <w:pStyle w:val="Style26"/>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1,320,153.97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126,557,200.19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166,005,706.16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317,473,008.91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473,893,249.72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445,350,363.07</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31"/>
      <w:bookmarkEnd w:id="2132"/>
      <w:bookmarkEnd w:id="2133"/>
    </w:p>
    <w:p>
      <w:pPr>
        <w:pStyle w:val="Style69"/>
        <w:keepNext/>
        <w:keepLines/>
        <w:widowControl w:val="0"/>
        <w:shd w:val="clear" w:color="auto" w:fill="auto"/>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bookmarkEnd w:id="2136"/>
      <w:r>
        <w:rPr>
          <w:color w:val="000000"/>
          <w:spacing w:val="0"/>
          <w:w w:val="100"/>
          <w:position w:val="0"/>
        </w:rPr>
        <w:t>）应收利息分类</w:t>
      </w:r>
      <w:bookmarkEnd w:id="2134"/>
      <w:bookmarkEnd w:id="2135"/>
      <w:bookmarkEnd w:id="2137"/>
    </w:p>
    <w:p>
      <w:pPr>
        <w:pStyle w:val="Style26"/>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1,320,153.97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811,543.56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1,320,153.97</w:t>
            </w:r>
          </w:p>
        </w:tc>
      </w:tr>
    </w:tbl>
    <w:p>
      <w:pPr>
        <w:pStyle w:val="Style69"/>
        <w:keepNext/>
        <w:keepLines/>
        <w:widowControl w:val="0"/>
        <w:shd w:val="clear" w:color="auto" w:fill="auto"/>
        <w:tabs>
          <w:tab w:pos="392" w:val="left"/>
        </w:tabs>
        <w:bidi w:val="0"/>
        <w:spacing w:before="0" w:after="36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bookmarkEnd w:id="2140"/>
      <w:r>
        <w:rPr>
          <w:color w:val="000000"/>
          <w:spacing w:val="0"/>
          <w:w w:val="100"/>
          <w:position w:val="0"/>
        </w:rPr>
        <w:t>）</w:t>
        <w:tab/>
        <w:t>重要逾期利息</w:t>
      </w:r>
      <w:bookmarkEnd w:id="2138"/>
      <w:bookmarkEnd w:id="2139"/>
      <w:bookmarkEnd w:id="2141"/>
    </w:p>
    <w:p>
      <w:pPr>
        <w:pStyle w:val="Style69"/>
        <w:keepNext/>
        <w:keepLines/>
        <w:widowControl w:val="0"/>
        <w:shd w:val="clear" w:color="auto" w:fill="auto"/>
        <w:tabs>
          <w:tab w:pos="392" w:val="left"/>
        </w:tabs>
        <w:bidi w:val="0"/>
        <w:spacing w:before="0" w:after="360" w:line="240" w:lineRule="auto"/>
        <w:ind w:left="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3</w:t>
      </w:r>
      <w:bookmarkEnd w:id="2144"/>
      <w:r>
        <w:rPr>
          <w:color w:val="000000"/>
          <w:spacing w:val="0"/>
          <w:w w:val="100"/>
          <w:position w:val="0"/>
        </w:rPr>
        <w:t>）</w:t>
        <w:tab/>
        <w:t>坏账准备计提情况</w:t>
      </w:r>
      <w:bookmarkEnd w:id="2142"/>
      <w:bookmarkEnd w:id="2143"/>
      <w:bookmarkEnd w:id="214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146" w:name="bookmark2146"/>
      <w:bookmarkStart w:id="2147" w:name="bookmark2147"/>
      <w:bookmarkStart w:id="2148" w:name="bookmark21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46"/>
      <w:bookmarkEnd w:id="2147"/>
      <w:bookmarkEnd w:id="2148"/>
    </w:p>
    <w:p>
      <w:pPr>
        <w:pStyle w:val="Style69"/>
        <w:keepNext/>
        <w:keepLines/>
        <w:widowControl w:val="0"/>
        <w:shd w:val="clear" w:color="auto" w:fill="auto"/>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1</w:t>
      </w:r>
      <w:bookmarkEnd w:id="2151"/>
      <w:r>
        <w:rPr>
          <w:color w:val="000000"/>
          <w:spacing w:val="0"/>
          <w:w w:val="100"/>
          <w:position w:val="0"/>
        </w:rPr>
        <w:t>）应收股利分类</w:t>
      </w:r>
      <w:bookmarkEnd w:id="2149"/>
      <w:bookmarkEnd w:id="2150"/>
      <w:bookmarkEnd w:id="215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广东广旭整合营销传播有限公司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808,481.12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上海恺达广告有限公司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19,250,000.00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上海传漾数字科技有限公司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76,826,000.00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49,859,200.00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上海晋拓文化传播有限公司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46,839,519.07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成都经典视线广告传媒有限公司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上海拓畅信息技术有限公司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307,076,000.00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126,557,200.19</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2</w:t>
      </w:r>
      <w:bookmarkEnd w:id="215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53"/>
      <w:bookmarkEnd w:id="2154"/>
      <w:bookmarkEnd w:id="215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3</w:t>
      </w:r>
      <w:bookmarkEnd w:id="2159"/>
      <w:r>
        <w:rPr>
          <w:color w:val="000000"/>
          <w:spacing w:val="0"/>
          <w:w w:val="100"/>
          <w:position w:val="0"/>
        </w:rPr>
        <w:t>）坏账准备计提情况</w:t>
      </w:r>
      <w:bookmarkEnd w:id="2157"/>
      <w:bookmarkEnd w:id="2158"/>
      <w:bookmarkEnd w:id="216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61"/>
      <w:bookmarkEnd w:id="2162"/>
      <w:bookmarkEnd w:id="2164"/>
    </w:p>
    <w:p>
      <w:pPr>
        <w:pStyle w:val="Style69"/>
        <w:keepNext/>
        <w:keepLines/>
        <w:widowControl w:val="0"/>
        <w:shd w:val="clear" w:color="auto" w:fill="auto"/>
        <w:bidi w:val="0"/>
        <w:spacing w:before="0" w:after="360" w:line="240" w:lineRule="auto"/>
        <w:ind w:left="0" w:right="0" w:firstLine="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65"/>
      <w:bookmarkEnd w:id="2166"/>
      <w:bookmarkEnd w:id="216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331,440,690.74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438,293,697.94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107,994,500.00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156,713,600.00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43,857,621.00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41,244,839.97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2,707,060.56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3,478,858.38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485,999,872.30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639,730,996.29</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68"/>
      <w:bookmarkEnd w:id="2169"/>
      <w:bookmarkEnd w:id="2170"/>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23,497,845.04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298,760,142.34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322,257,987.38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7,546,528.76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7,616,178.76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21,164,023.80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298,830,142.34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319,994,166.14</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92,313,420.21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45,247,017.06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41,768,859.07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306,670,575.96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265,183,680.34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34,357,248.76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7,129,646.86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485,999,872.30</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3</w:t>
      </w:r>
      <w:bookmarkEnd w:id="2173"/>
      <w:r>
        <w:rPr>
          <w:color w:val="000000"/>
          <w:spacing w:val="0"/>
          <w:w w:val="100"/>
          <w:position w:val="0"/>
        </w:rPr>
        <w:t>）本期计提、收回或转回的坏账准备情况</w:t>
      </w:r>
      <w:bookmarkEnd w:id="2171"/>
      <w:bookmarkEnd w:id="2172"/>
      <w:bookmarkEnd w:id="217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322,257,987.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7,616,178.76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319,994,166.14</w:t>
            </w:r>
          </w:p>
        </w:tc>
      </w:tr>
    </w:tbl>
    <w:p>
      <w:pPr>
        <w:spacing w:lineRule="exact" w:line="1"/>
        <w:rPr>
          <w:sz w:val="2"/>
          <w:szCs w:val="2"/>
        </w:rPr>
      </w:pPr>
      <w:r>
        <w:br w:type="page"/>
      </w:r>
    </w:p>
    <w:tbl>
      <w:tblPr>
        <w:tblOverlap w:val="never"/>
        <w:jc w:val="center"/>
        <w:tblLayout w:type="fixed"/>
      </w:tblPr>
      <w:tblGrid>
        <w:gridCol w:w="1589"/>
        <w:gridCol w:w="1085"/>
        <w:gridCol w:w="1334"/>
        <w:gridCol w:w="1330"/>
        <w:gridCol w:w="1090"/>
        <w:gridCol w:w="1574"/>
        <w:gridCol w:w="158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322,257,987.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7,616,178.76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319,994,166.14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应臻恺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股权置换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注：原按照账龄组合对照整个存续期预期信用损失率计提坏账准备</w:t>
      </w:r>
      <w:r>
        <w:rPr>
          <w:rFonts w:ascii="Times New Roman" w:eastAsia="Times New Roman" w:hAnsi="Times New Roman" w:cs="Times New Roman"/>
          <w:color w:val="000000"/>
          <w:spacing w:val="0"/>
          <w:w w:val="100"/>
          <w:position w:val="0"/>
          <w:sz w:val="18"/>
          <w:szCs w:val="18"/>
        </w:rPr>
        <w:t>10,192,000.00</w:t>
      </w:r>
      <w:r>
        <w:rPr>
          <w:color w:val="000000"/>
          <w:spacing w:val="0"/>
          <w:w w:val="100"/>
          <w:position w:val="0"/>
        </w:rPr>
        <w:t>元，本年通过股权置换的方式收回上述款项。</w:t>
      </w:r>
    </w:p>
    <w:p>
      <w:pPr>
        <w:widowControl w:val="0"/>
        <w:spacing w:after="379" w:line="1" w:lineRule="exact"/>
      </w:pPr>
    </w:p>
    <w:p>
      <w:pPr>
        <w:pStyle w:val="Style69"/>
        <w:keepNext/>
        <w:keepLines/>
        <w:widowControl w:val="0"/>
        <w:shd w:val="clear" w:color="auto" w:fill="auto"/>
        <w:tabs>
          <w:tab w:pos="392" w:val="left"/>
        </w:tabs>
        <w:bidi w:val="0"/>
        <w:spacing w:before="0" w:after="38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4</w:t>
      </w:r>
      <w:bookmarkEnd w:id="2177"/>
      <w:r>
        <w:rPr>
          <w:color w:val="000000"/>
          <w:spacing w:val="0"/>
          <w:w w:val="100"/>
          <w:position w:val="0"/>
        </w:rPr>
        <w:t>）</w:t>
        <w:tab/>
        <w:t>本期实际核销的其他应收款情况</w:t>
      </w:r>
      <w:bookmarkEnd w:id="2175"/>
      <w:bookmarkEnd w:id="2176"/>
      <w:bookmarkEnd w:id="217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本年无实际核销的其他应收款情况。</w:t>
      </w:r>
    </w:p>
    <w:p>
      <w:pPr>
        <w:pStyle w:val="Style69"/>
        <w:keepNext/>
        <w:keepLines/>
        <w:widowControl w:val="0"/>
        <w:shd w:val="clear" w:color="auto" w:fill="auto"/>
        <w:tabs>
          <w:tab w:pos="392" w:val="left"/>
        </w:tabs>
        <w:bidi w:val="0"/>
        <w:spacing w:before="0" w:after="38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5</w:t>
      </w:r>
      <w:bookmarkEnd w:id="2181"/>
      <w:r>
        <w:rPr>
          <w:color w:val="000000"/>
          <w:spacing w:val="0"/>
          <w:w w:val="100"/>
          <w:position w:val="0"/>
        </w:rPr>
        <w:t>）</w:t>
        <w:tab/>
        <w:t>按欠款方归集的期末余额前五名的其他应收款情况</w:t>
      </w:r>
      <w:bookmarkEnd w:id="2179"/>
      <w:bookmarkEnd w:id="2180"/>
      <w:bookmarkEnd w:id="21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上海雅润文化传播有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珠海市省广益松壹号 文化传媒合伙企业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广州市一汽巴士有限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13,694,460.00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1,369,446.00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重庆奇峰广告传媒有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1,187,450.00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408,279,102.34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309,722,038.34</w:t>
            </w:r>
          </w:p>
        </w:tc>
      </w:tr>
    </w:tbl>
    <w:p>
      <w:pPr>
        <w:widowControl w:val="0"/>
        <w:spacing w:after="319" w:line="1" w:lineRule="exact"/>
      </w:pPr>
    </w:p>
    <w:p>
      <w:pPr>
        <w:pStyle w:val="Style69"/>
        <w:keepNext/>
        <w:keepLines/>
        <w:widowControl w:val="0"/>
        <w:shd w:val="clear" w:color="auto" w:fill="auto"/>
        <w:tabs>
          <w:tab w:pos="392" w:val="left"/>
        </w:tabs>
        <w:bidi w:val="0"/>
        <w:spacing w:before="0" w:after="38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6</w:t>
      </w:r>
      <w:bookmarkEnd w:id="2185"/>
      <w:r>
        <w:rPr>
          <w:color w:val="000000"/>
          <w:spacing w:val="0"/>
          <w:w w:val="100"/>
          <w:position w:val="0"/>
        </w:rPr>
        <w:t>）</w:t>
        <w:tab/>
        <w:t>涉及政府补助的应收款项</w:t>
      </w:r>
      <w:bookmarkEnd w:id="2183"/>
      <w:bookmarkEnd w:id="2184"/>
      <w:bookmarkEnd w:id="2186"/>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年末无涉及政府补助的应收款项。</w:t>
      </w:r>
    </w:p>
    <w:p>
      <w:pPr>
        <w:pStyle w:val="Style69"/>
        <w:keepNext/>
        <w:keepLines/>
        <w:widowControl w:val="0"/>
        <w:shd w:val="clear" w:color="auto" w:fill="auto"/>
        <w:tabs>
          <w:tab w:pos="387" w:val="left"/>
        </w:tabs>
        <w:bidi w:val="0"/>
        <w:spacing w:before="0" w:after="38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7</w:t>
      </w:r>
      <w:bookmarkEnd w:id="2189"/>
      <w:r>
        <w:rPr>
          <w:color w:val="000000"/>
          <w:spacing w:val="0"/>
          <w:w w:val="100"/>
          <w:position w:val="0"/>
        </w:rPr>
        <w:t>）</w:t>
        <w:tab/>
        <w:t>因金融资产转移而终止确认的其他应收款</w:t>
      </w:r>
      <w:bookmarkEnd w:id="2187"/>
      <w:bookmarkEnd w:id="2188"/>
      <w:bookmarkEnd w:id="2190"/>
    </w:p>
    <w:p>
      <w:pPr>
        <w:pStyle w:val="Style2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年末无因金融资产转移而终止确认的其他应收款。</w:t>
      </w:r>
      <w:r>
        <w:br w:type="page"/>
      </w:r>
    </w:p>
    <w:p>
      <w:pPr>
        <w:pStyle w:val="Style69"/>
        <w:keepNext/>
        <w:keepLines/>
        <w:widowControl w:val="0"/>
        <w:shd w:val="clear" w:color="auto" w:fill="auto"/>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8</w:t>
      </w:r>
      <w:bookmarkEnd w:id="2193"/>
      <w:r>
        <w:rPr>
          <w:color w:val="000000"/>
          <w:spacing w:val="0"/>
          <w:w w:val="100"/>
          <w:position w:val="0"/>
        </w:rPr>
        <w:t>）转移其他应收款且继续涉入形成的资产、负债金额</w:t>
      </w:r>
      <w:bookmarkEnd w:id="2191"/>
      <w:bookmarkEnd w:id="2192"/>
      <w:bookmarkEnd w:id="2194"/>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年末无转移其他应收款且继续涉入形成的资产、负债金额。</w:t>
      </w:r>
    </w:p>
    <w:p>
      <w:pPr>
        <w:pStyle w:val="Style32"/>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3</w:t>
      </w:r>
      <w:bookmarkEnd w:id="2197"/>
      <w:r>
        <w:rPr>
          <w:color w:val="000000"/>
          <w:spacing w:val="0"/>
          <w:w w:val="100"/>
          <w:position w:val="0"/>
        </w:rPr>
        <w:t>、长期股权投资</w:t>
      </w:r>
      <w:bookmarkEnd w:id="2195"/>
      <w:bookmarkEnd w:id="2196"/>
      <w:bookmarkEnd w:id="21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3,610,509,690.32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1,158,618,388.20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2,451,891,302.12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3,453,183,933.40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235,618,388.20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3,217,565,545.20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346,858,069.71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141,629,762.00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205,228,307.71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662,973,317.63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342,765,056.12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320,208,261.51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3,957,367,760.03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1,300,248,150.20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2,657,119,609.83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4,116,157,251.03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578,383,444.32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3,537,773,806.71</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9"/>
      <w:bookmarkEnd w:id="2200"/>
      <w:bookmarkEnd w:id="22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成都经典视线 广告传媒有限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广东广旭整合 营销传播有限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4,574,776.40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4,574,776.40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北京合力唯胜 体育发展有限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广州旗智企业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182,515,300.0</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182,515,300.00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深圳经典视线 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省广先锋（青 岛）广告股份有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189,405,306.9</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189,405,306.94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26,440,493.06</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省广合众（北 京）国际传媒广 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270,818,241.8</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270,818,241.86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112,027,895.14</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海南经典视线 广告传媒有限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广东广佛地铁 广告资源经营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上海韵翔广告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207,135,900.0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182,100,000.00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省广诺时（广 东）信息服务有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上海传漾数字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538,000,000.0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广东省广汽车 数字营销有限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广州蓝门数字 营销顾问有限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上海晋拓文化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665,400,000.0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375,400,000.00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深圳前海省广 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国际整合营销 传播集团控股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111,776.92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上海拓畅信息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珠海市省广益 松新动力投资 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省广营销集团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3,217,565,545.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172,025,756.9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923,000,000.0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2,451,891,302.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1,158,618,388.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02"/>
      <w:bookmarkEnd w:id="2203"/>
      <w:bookmarkEnd w:id="22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省广博报 堂整合营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24,225,36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59,799,55</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7.76</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广东省广 代思博报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32,809,01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33,659,72</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堂广告有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78,383,20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93,459,28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深圳钛铂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新媒体营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414,214.1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34,154,01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销股份有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0.33</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合宝文娱 集团有限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26,645,77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0.85</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广州多触 电商传媒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1,784,620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1,630,270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2,141,937</w:t>
            </w: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数字技术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珠海市省 广盛世体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1,583,832</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验营销有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w:t>
            </w:r>
          </w:p>
        </w:tc>
        <w:tc>
          <w:tcPr>
            <w:tcBorders>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广众烁数 字营销有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19,149,47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3,295,345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22,444,82</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7,462,255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-55,565.3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7,406,690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上海瑞格 市场营销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28,156,75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105,459,4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-8,297,30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广凯酷传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709,784.9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-599,740.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110,044.8</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媒有限公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广州中懋 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58,019,10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-58,019,1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141,629,7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广华屹智 能数字营 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996,538.8</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824,088.8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省广翰威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14,269,80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154,890.8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14,424,69</w:t>
            </w: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广告有限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上海恺达 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42,039,63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158,048,7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473,778.6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-115,535,</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汽车数字</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402,865.9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营销有限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141,629,7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141,629,7</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61.51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68.58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07.71</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r>
    </w:tbl>
    <w:p>
      <w:pPr>
        <w:widowControl w:val="0"/>
        <w:spacing w:after="319" w:line="1" w:lineRule="exact"/>
      </w:pPr>
    </w:p>
    <w:p>
      <w:pPr>
        <w:pStyle w:val="Style36"/>
        <w:keepNext/>
        <w:keepLines/>
        <w:widowControl w:val="0"/>
        <w:numPr>
          <w:ilvl w:val="0"/>
          <w:numId w:val="87"/>
        </w:numPr>
        <w:shd w:val="clear" w:color="auto" w:fill="auto"/>
        <w:bidi w:val="0"/>
        <w:spacing w:before="0" w:line="240" w:lineRule="auto"/>
        <w:ind w:left="0" w:right="0" w:firstLine="14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其他说明</w:t>
      </w:r>
      <w:bookmarkEnd w:id="2205"/>
      <w:bookmarkEnd w:id="2206"/>
      <w:bookmarkEnd w:id="2208"/>
    </w:p>
    <w:p>
      <w:pPr>
        <w:pStyle w:val="Style32"/>
        <w:keepNext/>
        <w:keepLines/>
        <w:widowControl w:val="0"/>
        <w:shd w:val="clear" w:color="auto" w:fill="auto"/>
        <w:bidi w:val="0"/>
        <w:spacing w:before="0" w:after="38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4</w:t>
      </w:r>
      <w:bookmarkEnd w:id="2211"/>
      <w:r>
        <w:rPr>
          <w:color w:val="000000"/>
          <w:spacing w:val="0"/>
          <w:w w:val="100"/>
          <w:position w:val="0"/>
        </w:rPr>
        <w:t>、营业收入和营业成本</w:t>
      </w:r>
      <w:bookmarkEnd w:id="2209"/>
      <w:bookmarkEnd w:id="2210"/>
      <w:bookmarkEnd w:id="22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3749"/>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4,795,262,194.83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4,100,062,900.91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5,935,609,337.81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5,083,339,965.18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10,490,956.85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9,953,073.65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1,395,349.30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4,805,753,151.68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4,100,062,900.91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5,945,562,411.46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5,084,735,314.48</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317,100,000.00</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317,100,000.00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年度确认收入，元预计将于年度确认收入，元预计将于年度确认收入。</w:t>
      </w:r>
    </w:p>
    <w:p>
      <w:pPr>
        <w:pStyle w:val="Style32"/>
        <w:keepNext/>
        <w:keepLines/>
        <w:widowControl w:val="0"/>
        <w:shd w:val="clear" w:color="auto" w:fill="auto"/>
        <w:bidi w:val="0"/>
        <w:spacing w:before="0" w:after="40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5</w:t>
      </w:r>
      <w:bookmarkEnd w:id="2215"/>
      <w:r>
        <w:rPr>
          <w:color w:val="000000"/>
          <w:spacing w:val="0"/>
          <w:w w:val="100"/>
          <w:position w:val="0"/>
        </w:rPr>
        <w:t>、投资收益</w:t>
      </w:r>
      <w:bookmarkEnd w:id="2213"/>
      <w:bookmarkEnd w:id="2214"/>
      <w:bookmarkEnd w:id="221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525,383,974.58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240,917,179.43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-41,149,434.92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-13,415,718.61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-6,975,874.46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-13,691,145.80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939,837.40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处置对子公司的长期股权投资产生的投资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-25,906,400.00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处置其他权益工具取得的投资收益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1,772,378.67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11,818,671.98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38,652,926.28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-532,854.88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489,484,319.70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228,329,219.97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6</w:t>
      </w:r>
      <w:bookmarkEnd w:id="2219"/>
      <w:r>
        <w:rPr>
          <w:color w:val="000000"/>
          <w:spacing w:val="0"/>
          <w:w w:val="100"/>
          <w:position w:val="0"/>
        </w:rPr>
        <w:t>、其他</w:t>
      </w:r>
      <w:bookmarkEnd w:id="2217"/>
      <w:bookmarkEnd w:id="2218"/>
      <w:bookmarkEnd w:id="2220"/>
    </w:p>
    <w:p>
      <w:pPr>
        <w:pStyle w:val="Style24"/>
        <w:keepNext/>
        <w:keepLines/>
        <w:widowControl w:val="0"/>
        <w:shd w:val="clear" w:color="auto" w:fill="auto"/>
        <w:bidi w:val="0"/>
        <w:spacing w:before="0" w:after="340" w:line="240" w:lineRule="auto"/>
        <w:ind w:left="0" w:right="0" w:firstLine="0"/>
        <w:jc w:val="left"/>
      </w:pPr>
      <w:bookmarkStart w:id="2221" w:name="bookmark2221"/>
      <w:bookmarkStart w:id="2222" w:name="bookmark2222"/>
      <w:bookmarkStart w:id="2223" w:name="bookmark2223"/>
      <w:r>
        <w:rPr>
          <w:color w:val="000000"/>
          <w:spacing w:val="0"/>
          <w:w w:val="100"/>
          <w:position w:val="0"/>
        </w:rPr>
        <w:t>十八、补充资料</w:t>
      </w:r>
      <w:bookmarkEnd w:id="2221"/>
      <w:bookmarkEnd w:id="2222"/>
      <w:bookmarkEnd w:id="2223"/>
    </w:p>
    <w:p>
      <w:pPr>
        <w:pStyle w:val="Style32"/>
        <w:keepNext/>
        <w:keepLines/>
        <w:widowControl w:val="0"/>
        <w:shd w:val="clear" w:color="auto" w:fill="auto"/>
        <w:bidi w:val="0"/>
        <w:spacing w:before="0" w:after="340" w:line="240" w:lineRule="auto"/>
        <w:ind w:left="0" w:right="0" w:firstLine="0"/>
        <w:jc w:val="left"/>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24"/>
      <w:bookmarkEnd w:id="2225"/>
      <w:bookmarkEnd w:id="222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202,373.09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32,274,081.32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12,873,639.41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1,761,665.03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3,641,872.41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8,240,637.55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3,021,924.22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36,716,215.89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27"/>
      <w:bookmarkEnd w:id="2228"/>
      <w:bookmarkEnd w:id="222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-0.56</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31" w:lineRule="exact"/>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3</w:t>
      </w:r>
      <w:bookmarkEnd w:id="2232"/>
      <w:r>
        <w:rPr>
          <w:color w:val="000000"/>
          <w:spacing w:val="0"/>
          <w:w w:val="100"/>
          <w:position w:val="0"/>
        </w:rPr>
        <w:t>、</w:t>
        <w:tab/>
        <w:t>境内外会计准则下会计数据差异</w:t>
      </w:r>
      <w:bookmarkEnd w:id="2230"/>
      <w:bookmarkEnd w:id="2231"/>
      <w:bookmarkEnd w:id="2233"/>
    </w:p>
    <w:p>
      <w:pPr>
        <w:pStyle w:val="Style36"/>
        <w:keepNext/>
        <w:keepLines/>
        <w:widowControl w:val="0"/>
        <w:shd w:val="clear" w:color="auto" w:fill="auto"/>
        <w:tabs>
          <w:tab w:pos="493" w:val="left"/>
        </w:tabs>
        <w:bidi w:val="0"/>
        <w:spacing w:before="0" w:after="360" w:line="331" w:lineRule="exact"/>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34"/>
      <w:bookmarkEnd w:id="2235"/>
      <w:bookmarkEnd w:id="2237"/>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331" w:lineRule="exact"/>
        <w:ind w:left="0" w:right="0" w:firstLine="0"/>
        <w:jc w:val="left"/>
      </w:pPr>
      <w:bookmarkStart w:id="2238" w:name="bookmark2238"/>
      <w:bookmarkStart w:id="2239" w:name="bookmark2239"/>
      <w:bookmarkStart w:id="2240" w:name="bookmark2240"/>
      <w:bookmarkStart w:id="2241" w:name="bookmark2241"/>
      <w:r>
        <w:rPr>
          <w:color w:val="000000"/>
          <w:spacing w:val="0"/>
          <w:w w:val="100"/>
          <w:position w:val="0"/>
        </w:rPr>
        <w:t>（</w:t>
      </w:r>
      <w:bookmarkEnd w:id="224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38"/>
      <w:bookmarkEnd w:id="2239"/>
      <w:bookmarkEnd w:id="2241"/>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331" w:lineRule="exact"/>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42"/>
      <w:bookmarkEnd w:id="2243"/>
      <w:bookmarkEnd w:id="2245"/>
    </w:p>
    <w:p>
      <w:pPr>
        <w:pStyle w:val="Style32"/>
        <w:keepNext/>
        <w:keepLines/>
        <w:widowControl w:val="0"/>
        <w:shd w:val="clear" w:color="auto" w:fill="auto"/>
        <w:tabs>
          <w:tab w:pos="378" w:val="left"/>
        </w:tabs>
        <w:bidi w:val="0"/>
        <w:spacing w:before="0" w:after="280" w:line="331" w:lineRule="exact"/>
        <w:ind w:left="0" w:right="0" w:firstLine="0"/>
        <w:jc w:val="both"/>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4</w:t>
      </w:r>
      <w:bookmarkEnd w:id="2248"/>
      <w:r>
        <w:rPr>
          <w:color w:val="000000"/>
          <w:spacing w:val="0"/>
          <w:w w:val="100"/>
          <w:position w:val="0"/>
        </w:rPr>
        <w:t>、</w:t>
        <w:tab/>
        <w:t>其他</w:t>
      </w:r>
      <w:bookmarkEnd w:id="2246"/>
      <w:bookmarkEnd w:id="2247"/>
      <w:bookmarkEnd w:id="2249"/>
    </w:p>
    <w:p>
      <w:pPr>
        <w:pStyle w:val="Style10"/>
        <w:keepNext/>
        <w:keepLines/>
        <w:widowControl w:val="0"/>
        <w:shd w:val="clear" w:color="auto" w:fill="auto"/>
        <w:bidi w:val="0"/>
        <w:spacing w:before="0" w:after="600" w:line="240" w:lineRule="auto"/>
        <w:ind w:left="0" w:right="0" w:firstLine="0"/>
        <w:jc w:val="center"/>
      </w:pPr>
      <w:bookmarkStart w:id="2250" w:name="bookmark2250"/>
      <w:bookmarkStart w:id="2251" w:name="bookmark2251"/>
      <w:bookmarkStart w:id="2252" w:name="bookmark2252"/>
      <w:r>
        <w:rPr>
          <w:color w:val="000000"/>
          <w:spacing w:val="0"/>
          <w:w w:val="100"/>
          <w:position w:val="0"/>
        </w:rPr>
        <w:t>第十三节备查文件目录</w:t>
      </w:r>
      <w:bookmarkEnd w:id="2250"/>
      <w:bookmarkEnd w:id="2251"/>
      <w:bookmarkEnd w:id="2252"/>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53" w:name="bookmark2253"/>
      <w:bookmarkStart w:id="2254" w:name="bookmark2254"/>
      <w:r>
        <w:rPr>
          <w:color w:val="000000"/>
          <w:spacing w:val="0"/>
          <w:w w:val="100"/>
          <w:position w:val="0"/>
        </w:rPr>
        <w:t>（</w:t>
      </w:r>
      <w:bookmarkEnd w:id="2254"/>
      <w:r>
        <w:rPr>
          <w:color w:val="000000"/>
          <w:spacing w:val="0"/>
          <w:w w:val="100"/>
          <w:position w:val="0"/>
        </w:rPr>
        <w:t>一）</w:t>
        <w:tab/>
        <w:t>载有公司负责人、主管会计工作负责人、会计机构负责人（会计主管人员）签名并盖章的财务报表;</w:t>
      </w:r>
      <w:bookmarkEnd w:id="2253"/>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55" w:name="bookmark2255"/>
      <w:r>
        <w:rPr>
          <w:color w:val="000000"/>
          <w:spacing w:val="0"/>
          <w:w w:val="100"/>
          <w:position w:val="0"/>
        </w:rPr>
        <w:t>（</w:t>
      </w:r>
      <w:bookmarkEnd w:id="2255"/>
      <w:r>
        <w:rPr>
          <w:color w:val="000000"/>
          <w:spacing w:val="0"/>
          <w:w w:val="100"/>
          <w:position w:val="0"/>
        </w:rPr>
        <w:t>二）</w:t>
        <w:tab/>
        <w:t>载有中审众环会计所事务所（特殊普通合伙）盖章、注册会计师签名并盖章的审计报告原件；</w:t>
      </w:r>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56" w:name="bookmark2256"/>
      <w:r>
        <w:rPr>
          <w:color w:val="000000"/>
          <w:spacing w:val="0"/>
          <w:w w:val="100"/>
          <w:position w:val="0"/>
        </w:rPr>
        <w:t>（</w:t>
      </w:r>
      <w:bookmarkEnd w:id="2256"/>
      <w:r>
        <w:rPr>
          <w:color w:val="000000"/>
          <w:spacing w:val="0"/>
          <w:w w:val="100"/>
          <w:position w:val="0"/>
        </w:rPr>
        <w:t>三）</w:t>
        <w:tab/>
        <w:t>报告期内在中国证监会指定网站上公开披露过的所有公司文件的正本及公告的原稿；</w:t>
      </w:r>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57" w:name="bookmark2257"/>
      <w:r>
        <w:rPr>
          <w:color w:val="000000"/>
          <w:spacing w:val="0"/>
          <w:w w:val="100"/>
          <w:position w:val="0"/>
        </w:rPr>
        <w:t>（</w:t>
      </w:r>
      <w:bookmarkEnd w:id="2257"/>
      <w:r>
        <w:rPr>
          <w:color w:val="000000"/>
          <w:spacing w:val="0"/>
          <w:w w:val="100"/>
          <w:position w:val="0"/>
        </w:rPr>
        <w:t>四）</w:t>
        <w:tab/>
        <w:t>其他有关资料；</w:t>
      </w:r>
    </w:p>
    <w:p>
      <w:pPr>
        <w:pStyle w:val="Style28"/>
        <w:keepNext w:val="0"/>
        <w:keepLines w:val="0"/>
        <w:widowControl w:val="0"/>
        <w:shd w:val="clear" w:color="auto" w:fill="auto"/>
        <w:tabs>
          <w:tab w:pos="531" w:val="left"/>
        </w:tabs>
        <w:bidi w:val="0"/>
        <w:spacing w:before="0" w:after="120" w:line="240" w:lineRule="auto"/>
        <w:ind w:left="0" w:right="0" w:firstLine="0"/>
        <w:jc w:val="left"/>
      </w:pPr>
      <w:bookmarkStart w:id="2258" w:name="bookmark2258"/>
      <w:r>
        <w:rPr>
          <w:color w:val="000000"/>
          <w:spacing w:val="0"/>
          <w:w w:val="100"/>
          <w:position w:val="0"/>
        </w:rPr>
        <w:t>（</w:t>
      </w:r>
      <w:bookmarkEnd w:id="2258"/>
      <w:r>
        <w:rPr>
          <w:color w:val="000000"/>
          <w:spacing w:val="0"/>
          <w:w w:val="100"/>
          <w:position w:val="0"/>
        </w:rPr>
        <w:t>五）</w:t>
        <w:tab/>
        <w:t>以上备查文件的备置地点：公司董事会办公室。</w:t>
      </w:r>
    </w:p>
    <w:sectPr>
      <w:footnotePr>
        <w:pos w:val="pageBottom"/>
        <w:numFmt w:val="decimal"/>
        <w:numRestart w:val="continuous"/>
      </w:footnotePr>
      <w:pgSz w:w="11900" w:h="16840"/>
      <w:pgMar w:top="1356" w:right="1077" w:bottom="1468" w:left="10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3735705</wp:posOffset>
              </wp:positionH>
              <wp:positionV relativeFrom="page">
                <wp:posOffset>10219055</wp:posOffset>
              </wp:positionV>
              <wp:extent cx="106680" cy="79375"/>
              <wp:wrapNone/>
              <wp:docPr id="4" name="Shape 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4.15000000000003pt;margin-top:804.64999999999998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3735705</wp:posOffset>
              </wp:positionH>
              <wp:positionV relativeFrom="page">
                <wp:posOffset>10219055</wp:posOffset>
              </wp:positionV>
              <wp:extent cx="106680" cy="79375"/>
              <wp:wrapNone/>
              <wp:docPr id="29" name="Shape 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4.15000000000003pt;margin-top:804.64999999999998pt;width:8.4000000000000004pt;height:6.25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4287520</wp:posOffset>
              </wp:positionH>
              <wp:positionV relativeFrom="page">
                <wp:posOffset>541655</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60000000000002pt;margin-top:42.649999999999999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561340</wp:posOffset>
              </wp:positionV>
              <wp:extent cx="2563495" cy="106680"/>
              <wp:wrapNone/>
              <wp:docPr id="23" name="Shape 2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9" type="#_x0000_t202" style="position:absolute;margin-left:336.25pt;margin-top:44.2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4287520</wp:posOffset>
              </wp:positionH>
              <wp:positionV relativeFrom="page">
                <wp:posOffset>541655</wp:posOffset>
              </wp:positionV>
              <wp:extent cx="2563495" cy="106680"/>
              <wp:wrapNone/>
              <wp:docPr id="26" name="Shape 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2" type="#_x0000_t202" style="position:absolute;margin-left:337.60000000000002pt;margin-top:42.649999999999999pt;width:201.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广东省广告集团股份有限公司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5)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8)_"/>
    <w:basedOn w:val="DefaultParagraphFont"/>
    <w:link w:val="Style50"/>
    <w:rPr>
      <w:rFonts w:ascii="SimSun" w:eastAsia="SimSun" w:hAnsi="SimSun" w:cs="SimSun"/>
      <w:b/>
      <w:bCs/>
      <w:i w:val="0"/>
      <w:iCs w:val="0"/>
      <w:smallCaps w:val="0"/>
      <w:strike w:val="0"/>
      <w:sz w:val="32"/>
      <w:szCs w:val="32"/>
      <w:u w:val="none"/>
      <w:shd w:val="clear" w:color="auto" w:fill="auto"/>
    </w:rPr>
  </w:style>
  <w:style w:type="character" w:customStyle="1" w:styleId="CharStyle53">
    <w:name w:val="正文文本 (7)_"/>
    <w:basedOn w:val="DefaultParagraphFont"/>
    <w:link w:val="Style5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7">
    <w:name w:val="正文文本 (6)_"/>
    <w:basedOn w:val="DefaultParagraphFont"/>
    <w:link w:val="Style5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标题 #5_"/>
    <w:basedOn w:val="DefaultParagraphFont"/>
    <w:link w:val="Style69"/>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
    <w:name w:val="标题 #1"/>
    <w:basedOn w:val="Normal"/>
    <w:link w:val="CharStyle11"/>
    <w:pPr>
      <w:widowControl w:val="0"/>
      <w:shd w:val="clear" w:color="auto" w:fill="auto"/>
      <w:spacing w:before="5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2)"/>
    <w:basedOn w:val="Normal"/>
    <w:link w:val="CharStyle17"/>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w:basedOn w:val="Normal"/>
    <w:link w:val="CharStyle29"/>
    <w:pPr>
      <w:widowControl w:val="0"/>
      <w:shd w:val="clear" w:color="auto" w:fill="auto"/>
      <w:spacing w:after="140" w:line="36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5)"/>
    <w:basedOn w:val="Normal"/>
    <w:link w:val="CharStyle48"/>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8)"/>
    <w:basedOn w:val="Normal"/>
    <w:link w:val="CharStyle51"/>
    <w:pPr>
      <w:widowControl w:val="0"/>
      <w:shd w:val="clear" w:color="auto" w:fill="auto"/>
      <w:spacing w:after="7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52">
    <w:name w:val="正文文本 (7)"/>
    <w:basedOn w:val="Normal"/>
    <w:link w:val="CharStyle53"/>
    <w:pPr>
      <w:widowControl w:val="0"/>
      <w:shd w:val="clear" w:color="auto" w:fill="auto"/>
      <w:spacing w:after="60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6">
    <w:name w:val="正文文本 (6)"/>
    <w:basedOn w:val="Normal"/>
    <w:link w:val="CharStyle57"/>
    <w:pPr>
      <w:widowControl w:val="0"/>
      <w:shd w:val="clear" w:color="auto" w:fill="auto"/>
      <w:spacing w:after="1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标题 #5"/>
    <w:basedOn w:val="Normal"/>
    <w:link w:val="CharStyle70"/>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广东省广告集团股份有限公司2020年年度报告全文</dc:title>
  <dc:subject/>
  <dc:creator>广东省广告集团股份有限公司</dc:creator>
  <cp:keywords/>
</cp:coreProperties>
</file>