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Default Extension="jpeg" ContentType="image/jpeg"/>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8"/>
        <w:rPr>
          <w:rFonts w:ascii="Times New Roman" w:hAnsi="Times New Roman" w:cs="Times New Roman" w:eastAsia="Times New Roman" w:hint="default"/>
          <w:sz w:val="7"/>
          <w:szCs w:val="7"/>
        </w:rPr>
      </w:pPr>
      <w:r>
        <w:rPr/>
        <w:pict>
          <v:shape style="position:absolute;margin-left:460.320007pt;margin-top:764.919983pt;width:135.0pt;height:77pt;mso-position-horizontal-relative:page;mso-position-vertical-relative:page;z-index:1048" type="#_x0000_t75" stroked="false">
            <v:imagedata r:id="rId5" o:title=""/>
          </v:shape>
        </w:pict>
      </w: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p>
      <w:pPr>
        <w:spacing w:line="1885" w:lineRule="exact"/>
        <w:ind w:left="350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7"/>
          <w:sz w:val="20"/>
          <w:szCs w:val="20"/>
        </w:rPr>
        <w:drawing>
          <wp:inline distT="0" distB="0" distL="0" distR="0">
            <wp:extent cx="1866141" cy="1197578"/>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1866141" cy="1197578"/>
                    </a:xfrm>
                    <a:prstGeom prst="rect">
                      <a:avLst/>
                    </a:prstGeom>
                  </pic:spPr>
                </pic:pic>
              </a:graphicData>
            </a:graphic>
          </wp:inline>
        </w:drawing>
      </w:r>
      <w:r>
        <w:rPr>
          <w:rFonts w:ascii="Times New Roman" w:hAnsi="Times New Roman" w:cs="Times New Roman" w:eastAsia="Times New Roman" w:hint="default"/>
          <w:position w:val="-3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p>
      <w:pPr>
        <w:spacing w:line="460" w:lineRule="exact" w:before="0"/>
        <w:ind w:left="0" w:right="980" w:firstLine="0"/>
        <w:jc w:val="center"/>
        <w:rPr>
          <w:rFonts w:ascii="宋体" w:hAnsi="宋体" w:cs="宋体" w:eastAsia="宋体" w:hint="default"/>
          <w:sz w:val="36"/>
          <w:szCs w:val="36"/>
        </w:rPr>
      </w:pPr>
      <w:r>
        <w:rPr>
          <w:rFonts w:ascii="宋体" w:hAnsi="宋体" w:cs="宋体" w:eastAsia="宋体" w:hint="default"/>
          <w:b/>
          <w:bCs/>
          <w:sz w:val="36"/>
          <w:szCs w:val="36"/>
        </w:rPr>
        <w:t>中海网络科技股份有限公司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0" w:right="9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0" w:right="97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02</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type w:val="continuous"/>
          <w:pgSz w:w="11910" w:h="16840"/>
          <w:pgMar w:top="880" w:bottom="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Heading1"/>
        <w:spacing w:line="240" w:lineRule="auto"/>
        <w:ind w:left="2803" w:right="981"/>
        <w:jc w:val="left"/>
        <w:rPr>
          <w:b w:val="0"/>
          <w:bCs w:val="0"/>
        </w:rPr>
      </w:pPr>
      <w:bookmarkStart w:name="_TOC_250010"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1136"/>
        <w:jc w:val="both"/>
        <w:rPr>
          <w:b w:val="0"/>
          <w:bCs w:val="0"/>
        </w:rPr>
      </w:pPr>
      <w:r>
        <w:rPr>
          <w:spacing w:val="2"/>
        </w:rPr>
        <w:t>本公司董事会、监事会及董事、监事、高级管理人员保证本报告所载资料</w:t>
      </w:r>
      <w:r>
        <w:rPr>
          <w:w w:val="99"/>
        </w:rPr>
        <w:t> </w:t>
      </w:r>
      <w:r>
        <w:rPr>
          <w:spacing w:val="2"/>
        </w:rPr>
        <w:t>不存在任何虚假记载、误导性陈述或者重大遗漏，并对其内容的真实性、准确</w:t>
      </w:r>
      <w:r>
        <w:rPr>
          <w:w w:val="99"/>
        </w:rPr>
        <w:t> </w:t>
      </w:r>
      <w:r>
        <w:rPr/>
        <w:t>性和完整性承担个别及连带责任。</w:t>
      </w:r>
      <w:r>
        <w:rPr>
          <w:b w:val="0"/>
          <w:bCs w:val="0"/>
        </w:rPr>
      </w:r>
    </w:p>
    <w:p>
      <w:pPr>
        <w:pStyle w:val="Heading2"/>
        <w:spacing w:line="386" w:lineRule="auto" w:before="162"/>
        <w:ind w:right="981"/>
        <w:jc w:val="left"/>
        <w:rPr>
          <w:b w:val="0"/>
          <w:bCs w:val="0"/>
        </w:rPr>
      </w:pPr>
      <w:r>
        <w:rPr>
          <w:w w:val="95"/>
        </w:rPr>
        <w:t>公司负责人沈以华、主管会计工作负责人周保国及会计机构负责人</w:t>
      </w:r>
      <w:r>
        <w:rPr>
          <w:rFonts w:ascii="Times New Roman" w:hAnsi="Times New Roman" w:cs="Times New Roman" w:eastAsia="Times New Roman" w:hint="default"/>
          <w:w w:val="95"/>
        </w:rPr>
        <w:t>(</w:t>
      </w:r>
      <w:r>
        <w:rPr>
          <w:w w:val="95"/>
        </w:rPr>
        <w:t>会计主</w:t>
      </w:r>
      <w:r>
        <w:rPr>
          <w:w w:val="99"/>
        </w:rPr>
        <w:t> </w:t>
      </w:r>
      <w:r>
        <w:rPr/>
        <w:t>管人员</w:t>
      </w:r>
      <w:r>
        <w:rPr>
          <w:rFonts w:ascii="Times New Roman" w:hAnsi="Times New Roman" w:cs="Times New Roman" w:eastAsia="Times New Roman" w:hint="default"/>
        </w:rPr>
        <w:t>)</w:t>
      </w:r>
      <w:r>
        <w:rPr/>
        <w:t>周保国声明：保证年度报告中财务报告的真实、准确、完整。</w:t>
      </w:r>
      <w:r>
        <w:rPr>
          <w:b w:val="0"/>
          <w:bCs w:val="0"/>
        </w:rPr>
      </w:r>
    </w:p>
    <w:p>
      <w:pPr>
        <w:pStyle w:val="Heading2"/>
        <w:spacing w:line="408" w:lineRule="auto" w:before="148"/>
        <w:ind w:right="981"/>
        <w:jc w:val="left"/>
        <w:rPr>
          <w:b w:val="0"/>
          <w:bCs w:val="0"/>
        </w:rPr>
      </w:pPr>
      <w:r>
        <w:rPr>
          <w:spacing w:val="2"/>
        </w:rPr>
        <w:t>除董事马浔外，其他董事亲自出席了审议本次年报的董事会会议。马浔先</w:t>
      </w:r>
      <w:r>
        <w:rPr>
          <w:w w:val="99"/>
        </w:rPr>
        <w:t> </w:t>
      </w:r>
      <w:r>
        <w:rPr/>
        <w:t>生因事请假未能出席，委托董事长沈以华先生代为出席并行使表决权。</w:t>
      </w:r>
      <w:r>
        <w:rPr>
          <w:b w:val="0"/>
          <w:bCs w:val="0"/>
        </w:rPr>
      </w:r>
    </w:p>
    <w:p>
      <w:pPr>
        <w:pStyle w:val="Heading2"/>
        <w:spacing w:line="386" w:lineRule="auto" w:before="160"/>
        <w:ind w:right="981"/>
        <w:jc w:val="left"/>
        <w:rPr>
          <w:b w:val="0"/>
          <w:bCs w:val="0"/>
        </w:rPr>
      </w:pPr>
      <w:r>
        <w:rPr>
          <w:spacing w:val="-3"/>
        </w:rPr>
        <w:t>公司经本次董事会审议通过的利润分配预案为：以公司</w:t>
      </w:r>
      <w:r>
        <w:rPr>
          <w:spacing w:val="-6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70"/>
        </w:rPr>
        <w:t> </w:t>
      </w:r>
      <w:r>
        <w:rPr>
          <w:rFonts w:ascii="Times New Roman" w:hAnsi="Times New Roman" w:cs="Times New Roman" w:eastAsia="Times New Roman" w:hint="default"/>
        </w:rPr>
        <w:t>12 </w:t>
      </w:r>
      <w:r>
        <w:rPr/>
        <w:t>月</w:t>
      </w:r>
      <w:r>
        <w:rPr>
          <w:spacing w:val="-70"/>
        </w:rPr>
        <w:t> </w:t>
      </w:r>
      <w:r>
        <w:rPr>
          <w:rFonts w:ascii="Times New Roman" w:hAnsi="Times New Roman" w:cs="Times New Roman" w:eastAsia="Times New Roman" w:hint="default"/>
        </w:rPr>
        <w:t>31 </w:t>
      </w:r>
      <w:r>
        <w:rPr/>
        <w:t>日</w:t>
      </w:r>
      <w:r>
        <w:rPr>
          <w:w w:val="99"/>
        </w:rPr>
        <w:t> </w:t>
      </w:r>
      <w:r>
        <w:rPr>
          <w:w w:val="99"/>
        </w:rPr>
        <w:t>的总股本为基数，</w:t>
      </w:r>
      <w:r>
        <w:rPr>
          <w:spacing w:val="-90"/>
          <w:w w:val="99"/>
        </w:rPr>
        <w:t> </w:t>
      </w:r>
      <w:r>
        <w:rPr>
          <w:w w:val="99"/>
        </w:rPr>
        <w:t>向全体股东每</w:t>
      </w:r>
      <w:r>
        <w:rPr>
          <w:spacing w:val="-69"/>
          <w:w w:val="99"/>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1"/>
          <w:w w:val="100"/>
        </w:rPr>
        <w:t> </w:t>
      </w:r>
      <w:r>
        <w:rPr>
          <w:w w:val="99"/>
        </w:rPr>
        <w:t>股派发现金红利</w:t>
      </w:r>
      <w:r>
        <w:rPr>
          <w:spacing w:val="-69"/>
          <w:w w:val="99"/>
        </w:rPr>
        <w:t> </w:t>
      </w:r>
      <w:r>
        <w:rPr>
          <w:rFonts w:ascii="Times New Roman" w:hAnsi="Times New Roman" w:cs="Times New Roman" w:eastAsia="Times New Roman" w:hint="default"/>
          <w:w w:val="100"/>
        </w:rPr>
        <w:t>0.50 </w:t>
      </w:r>
      <w:r>
        <w:rPr>
          <w:spacing w:val="-29"/>
          <w:w w:val="99"/>
        </w:rPr>
        <w:t>元（含税），不送红股，</w:t>
      </w:r>
      <w:r>
        <w:rPr>
          <w:w w:val="99"/>
        </w:rPr>
        <w:t> </w:t>
      </w:r>
      <w:r>
        <w:rPr/>
        <w:t>不以公积金转增股本。</w:t>
      </w:r>
      <w:r>
        <w:rPr>
          <w:b w:val="0"/>
          <w:bCs w:val="0"/>
        </w:rPr>
      </w:r>
    </w:p>
    <w:p>
      <w:pPr>
        <w:pStyle w:val="Heading2"/>
        <w:spacing w:line="240" w:lineRule="auto" w:before="187"/>
        <w:ind w:left="714" w:right="981" w:firstLine="0"/>
        <w:jc w:val="left"/>
        <w:rPr>
          <w:b w:val="0"/>
          <w:bCs w:val="0"/>
        </w:rPr>
      </w:pPr>
      <w:r>
        <w:rPr/>
        <w:t>本报告涉及未来计划，不构成公司对投资者的实质性承诺。</w:t>
      </w:r>
      <w:r>
        <w:rPr>
          <w:b w:val="0"/>
          <w:bCs w:val="0"/>
        </w:rPr>
      </w:r>
    </w:p>
    <w:p>
      <w:pPr>
        <w:spacing w:after="0" w:line="240" w:lineRule="auto"/>
        <w:jc w:val="left"/>
        <w:sectPr>
          <w:headerReference w:type="default" r:id="rId7"/>
          <w:footerReference w:type="default" r:id="rId8"/>
          <w:pgSz w:w="11910" w:h="16840"/>
          <w:pgMar w:header="877" w:footer="1340" w:top="1100" w:bottom="1540" w:left="98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spacing w:line="460" w:lineRule="exact" w:before="0"/>
        <w:ind w:left="0" w:right="97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4"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4" w:val="right" w:leader="dot"/>
            </w:tabs>
            <w:spacing w:line="240" w:lineRule="auto" w:before="278"/>
            <w:ind w:right="0"/>
            <w:jc w:val="left"/>
            <w:rPr>
              <w:rFonts w:ascii="Times New Roman" w:hAnsi="Times New Roman" w:cs="Times New Roman" w:eastAsia="Times New Roman" w:hint="default"/>
            </w:rPr>
          </w:pPr>
          <w:hyperlink w:history="true" w:anchor="_TOC_250009">
            <w:r>
              <w:rPr/>
              <w:t>第二节</w:t>
            </w:r>
            <w:r>
              <w:rPr>
                <w:spacing w:val="-1"/>
              </w:rPr>
              <w:t> </w:t>
            </w:r>
            <w:r>
              <w:rPr/>
              <w:t>公司简介</w:t>
            </w:r>
            <w:r>
              <w:rPr>
                <w:rFonts w:ascii="Times New Roman" w:hAnsi="Times New Roman" w:cs="Times New Roman" w:eastAsia="Times New Roman" w:hint="default"/>
              </w:rPr>
              <w:tab/>
              <w:t>6</w:t>
            </w:r>
          </w:hyperlink>
        </w:p>
        <w:p>
          <w:pPr>
            <w:pStyle w:val="TOC1"/>
            <w:tabs>
              <w:tab w:pos="9784" w:val="right" w:leader="dot"/>
            </w:tabs>
            <w:spacing w:line="240" w:lineRule="auto" w:before="275"/>
            <w:ind w:right="0"/>
            <w:jc w:val="left"/>
            <w:rPr>
              <w:rFonts w:ascii="Times New Roman" w:hAnsi="Times New Roman" w:cs="Times New Roman" w:eastAsia="Times New Roman" w:hint="default"/>
            </w:rPr>
          </w:pPr>
          <w:hyperlink w:history="true" w:anchor="_TOC_250008">
            <w:r>
              <w:rPr/>
              <w:t>第三节</w:t>
            </w:r>
            <w:r>
              <w:rPr>
                <w:spacing w:val="-1"/>
              </w:rPr>
              <w:t> </w:t>
            </w:r>
            <w:r>
              <w:rPr/>
              <w:t>会计数据和财务指标摘要</w:t>
            </w:r>
            <w:r>
              <w:rPr>
                <w:rFonts w:ascii="Times New Roman" w:hAnsi="Times New Roman" w:cs="Times New Roman" w:eastAsia="Times New Roman" w:hint="default"/>
              </w:rPr>
              <w:tab/>
              <w:t>8</w:t>
            </w:r>
          </w:hyperlink>
        </w:p>
        <w:p>
          <w:pPr>
            <w:pStyle w:val="TOC1"/>
            <w:tabs>
              <w:tab w:pos="9773" w:val="right" w:leader="dot"/>
            </w:tabs>
            <w:spacing w:line="240" w:lineRule="auto"/>
            <w:ind w:right="0"/>
            <w:jc w:val="left"/>
            <w:rPr>
              <w:rFonts w:ascii="Times New Roman" w:hAnsi="Times New Roman" w:cs="Times New Roman" w:eastAsia="Times New Roman" w:hint="default"/>
            </w:rPr>
          </w:pPr>
          <w:hyperlink w:history="true" w:anchor="_TOC_250007">
            <w:r>
              <w:rPr/>
              <w:t>第四节</w:t>
            </w:r>
            <w:r>
              <w:rPr>
                <w:spacing w:val="-1"/>
              </w:rPr>
              <w:t> </w:t>
            </w:r>
            <w:r>
              <w:rPr/>
              <w:t>董事会报告</w:t>
            </w:r>
            <w:r>
              <w:rPr>
                <w:rFonts w:ascii="Times New Roman" w:hAnsi="Times New Roman" w:cs="Times New Roman" w:eastAsia="Times New Roman" w:hint="default"/>
              </w:rPr>
              <w:tab/>
            </w:r>
            <w:r>
              <w:rPr>
                <w:rFonts w:ascii="Times New Roman" w:hAnsi="Times New Roman" w:cs="Times New Roman" w:eastAsia="Times New Roman" w:hint="default"/>
                <w:spacing w:val="-11"/>
              </w:rPr>
              <w:t>11</w:t>
            </w:r>
            <w:r>
              <w:rPr>
                <w:rFonts w:ascii="Times New Roman" w:hAnsi="Times New Roman" w:cs="Times New Roman" w:eastAsia="Times New Roman" w:hint="default"/>
              </w:rPr>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6">
            <w:r>
              <w:rPr/>
              <w:t>第五节</w:t>
            </w:r>
            <w:r>
              <w:rPr>
                <w:spacing w:val="-1"/>
              </w:rPr>
              <w:t> </w:t>
            </w:r>
            <w:r>
              <w:rPr/>
              <w:t>重要事项</w:t>
            </w:r>
            <w:r>
              <w:rPr>
                <w:rFonts w:ascii="Times New Roman" w:hAnsi="Times New Roman" w:cs="Times New Roman" w:eastAsia="Times New Roman" w:hint="default"/>
              </w:rPr>
              <w:tab/>
              <w:t>30</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TOC_250005">
            <w:r>
              <w:rPr/>
              <w:t>第六节</w:t>
            </w:r>
            <w:r>
              <w:rPr>
                <w:spacing w:val="-1"/>
              </w:rPr>
              <w:t> </w:t>
            </w:r>
            <w:r>
              <w:rPr/>
              <w:t>股份变动及股东情况</w:t>
            </w:r>
            <w:r>
              <w:rPr>
                <w:rFonts w:ascii="Times New Roman" w:hAnsi="Times New Roman" w:cs="Times New Roman" w:eastAsia="Times New Roman" w:hint="default"/>
              </w:rPr>
              <w:tab/>
              <w:t>37</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4">
            <w:r>
              <w:rPr/>
              <w:t>第七节</w:t>
            </w:r>
            <w:r>
              <w:rPr>
                <w:spacing w:val="-1"/>
              </w:rPr>
              <w:t> </w:t>
            </w:r>
            <w:r>
              <w:rPr/>
              <w:t>董事、监事、高级管理人员和员工情况</w:t>
            </w:r>
            <w:r>
              <w:rPr>
                <w:rFonts w:ascii="Times New Roman" w:hAnsi="Times New Roman" w:cs="Times New Roman" w:eastAsia="Times New Roman" w:hint="default"/>
              </w:rPr>
              <w:tab/>
              <w:t>42</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3">
            <w:r>
              <w:rPr/>
              <w:t>第八节</w:t>
            </w:r>
            <w:r>
              <w:rPr>
                <w:spacing w:val="-1"/>
              </w:rPr>
              <w:t> </w:t>
            </w:r>
            <w:r>
              <w:rPr/>
              <w:t>公司治理</w:t>
            </w:r>
            <w:r>
              <w:rPr>
                <w:rFonts w:ascii="Times New Roman" w:hAnsi="Times New Roman" w:cs="Times New Roman" w:eastAsia="Times New Roman" w:hint="default"/>
              </w:rPr>
              <w:tab/>
              <w:t>50</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TOC_250002">
            <w:r>
              <w:rPr/>
              <w:t>第九节</w:t>
            </w:r>
            <w:r>
              <w:rPr>
                <w:spacing w:val="-1"/>
              </w:rPr>
              <w:t> </w:t>
            </w:r>
            <w:r>
              <w:rPr/>
              <w:t>内部控制</w:t>
            </w:r>
            <w:r>
              <w:rPr>
                <w:rFonts w:ascii="Times New Roman" w:hAnsi="Times New Roman" w:cs="Times New Roman" w:eastAsia="Times New Roman" w:hint="default"/>
              </w:rPr>
              <w:tab/>
              <w:t>55</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1">
            <w:r>
              <w:rPr/>
              <w:t>第十节</w:t>
            </w:r>
            <w:r>
              <w:rPr>
                <w:spacing w:val="-1"/>
              </w:rPr>
              <w:t> </w:t>
            </w:r>
            <w:r>
              <w:rPr/>
              <w:t>财务报告</w:t>
            </w:r>
            <w:r>
              <w:rPr>
                <w:rFonts w:ascii="Times New Roman" w:hAnsi="Times New Roman" w:cs="Times New Roman" w:eastAsia="Times New Roman" w:hint="default"/>
              </w:rPr>
              <w:tab/>
              <w:t>57</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TOC_250000">
            <w:r>
              <w:rPr/>
              <w:t>第十一节</w:t>
            </w:r>
            <w:r>
              <w:rPr>
                <w:spacing w:val="-1"/>
              </w:rPr>
              <w:t> </w:t>
            </w:r>
            <w:r>
              <w:rPr/>
              <w:t>备查文件目录</w:t>
            </w:r>
            <w:r>
              <w:rPr>
                <w:rFonts w:ascii="Times New Roman" w:hAnsi="Times New Roman" w:cs="Times New Roman" w:eastAsia="Times New Roman" w:hint="default"/>
              </w:rPr>
              <w:tab/>
              <w:t>109</w:t>
            </w:r>
          </w:hyperlink>
        </w:p>
        <w:p>
          <w:pPr/>
          <w:r>
            <w:fldChar w:fldCharType="end"/>
          </w:r>
        </w:p>
      </w:sdtContent>
    </w:sdt>
    <w:p>
      <w:pPr>
        <w:spacing w:after="0"/>
        <w:sectPr>
          <w:pgSz w:w="11910" w:h="16840"/>
          <w:pgMar w:header="877" w:footer="1340" w:top="1100" w:bottom="1540" w:left="980" w:right="0"/>
        </w:sectPr>
      </w:pPr>
    </w:p>
    <w:p>
      <w:pPr>
        <w:tabs>
          <w:tab w:pos="643" w:val="left" w:leader="none"/>
        </w:tabs>
        <w:spacing w:before="894"/>
        <w:ind w:left="0" w:right="980" w:firstLine="0"/>
        <w:jc w:val="center"/>
        <w:rPr>
          <w:rFonts w:ascii="宋体" w:hAnsi="宋体" w:cs="宋体" w:eastAsia="宋体" w:hint="default"/>
          <w:sz w:val="32"/>
          <w:szCs w:val="32"/>
        </w:rPr>
      </w:pPr>
      <w:r>
        <w:rPr>
          <w:rFonts w:ascii="宋体" w:hAnsi="宋体" w:cs="宋体" w:eastAsia="宋体" w:hint="default"/>
          <w:b/>
          <w:bCs/>
          <w:w w:val="95"/>
          <w:sz w:val="32"/>
          <w:szCs w:val="32"/>
        </w:rPr>
        <w:t>释</w:t>
        <w:tab/>
      </w:r>
      <w:r>
        <w:rPr>
          <w:rFonts w:ascii="宋体" w:hAnsi="宋体" w:cs="宋体" w:eastAsia="宋体" w:hint="default"/>
          <w:b/>
          <w:bCs/>
          <w:sz w:val="32"/>
          <w:szCs w:val="32"/>
        </w:rPr>
        <w:t>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990"/>
        <w:gridCol w:w="686"/>
        <w:gridCol w:w="5894"/>
      </w:tblGrid>
      <w:tr>
        <w:trPr>
          <w:trHeight w:val="403"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2990"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公司、本公司、中海科技</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中海网络科技股份有限公司</w:t>
            </w:r>
          </w:p>
        </w:tc>
      </w:tr>
      <w:tr>
        <w:trPr>
          <w:trHeight w:val="403" w:hRule="exact"/>
        </w:trPr>
        <w:tc>
          <w:tcPr>
            <w:tcW w:w="2990"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保荐人、日信证券</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日信证券有限责任公司</w:t>
            </w:r>
          </w:p>
        </w:tc>
      </w:tr>
      <w:tr>
        <w:trPr>
          <w:trHeight w:val="401" w:hRule="exact"/>
        </w:trPr>
        <w:tc>
          <w:tcPr>
            <w:tcW w:w="2990"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会计师、天职会计师事务所</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3" w:hRule="exact"/>
        </w:trPr>
        <w:tc>
          <w:tcPr>
            <w:tcW w:w="2990"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北京市星河律师事务所</w:t>
            </w:r>
          </w:p>
        </w:tc>
      </w:tr>
      <w:tr>
        <w:trPr>
          <w:trHeight w:val="401" w:hRule="exact"/>
        </w:trPr>
        <w:tc>
          <w:tcPr>
            <w:tcW w:w="2990"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国资委</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国务院国有资产监督管理委员会</w:t>
            </w:r>
          </w:p>
        </w:tc>
      </w:tr>
      <w:tr>
        <w:trPr>
          <w:trHeight w:val="403" w:hRule="exact"/>
        </w:trPr>
        <w:tc>
          <w:tcPr>
            <w:tcW w:w="2990"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中国海运</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中国海运（集团）总公司</w:t>
            </w:r>
          </w:p>
        </w:tc>
      </w:tr>
      <w:tr>
        <w:trPr>
          <w:trHeight w:val="401" w:hRule="exact"/>
        </w:trPr>
        <w:tc>
          <w:tcPr>
            <w:tcW w:w="2990"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船研所</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上海船舶运输科学研究所，发行人的控股股东</w:t>
            </w:r>
          </w:p>
        </w:tc>
      </w:tr>
      <w:tr>
        <w:trPr>
          <w:trHeight w:val="403" w:hRule="exact"/>
        </w:trPr>
        <w:tc>
          <w:tcPr>
            <w:tcW w:w="2990"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浦东科投</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上海浦东科技投资有限公司</w:t>
            </w:r>
          </w:p>
        </w:tc>
      </w:tr>
      <w:tr>
        <w:trPr>
          <w:trHeight w:val="401" w:hRule="exact"/>
        </w:trPr>
        <w:tc>
          <w:tcPr>
            <w:tcW w:w="2990"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运昌商贸</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上海运昌商贸发展公司</w:t>
            </w:r>
          </w:p>
        </w:tc>
      </w:tr>
      <w:tr>
        <w:trPr>
          <w:trHeight w:val="403" w:hRule="exact"/>
        </w:trPr>
        <w:tc>
          <w:tcPr>
            <w:tcW w:w="2990"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贵州新思维</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8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贵州新思维科技有限责任公司</w:t>
            </w:r>
          </w:p>
        </w:tc>
      </w:tr>
    </w:tbl>
    <w:p>
      <w:pPr>
        <w:spacing w:after="0" w:line="240" w:lineRule="auto"/>
        <w:jc w:val="left"/>
        <w:rPr>
          <w:rFonts w:ascii="宋体" w:hAnsi="宋体" w:cs="宋体" w:eastAsia="宋体" w:hint="default"/>
          <w:sz w:val="18"/>
          <w:szCs w:val="18"/>
        </w:rPr>
        <w:sectPr>
          <w:pgSz w:w="11910" w:h="16840"/>
          <w:pgMar w:header="877" w:footer="1340" w:top="110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5"/>
          <w:szCs w:val="15"/>
        </w:rPr>
      </w:pPr>
    </w:p>
    <w:p>
      <w:pPr>
        <w:spacing w:before="0"/>
        <w:ind w:left="0" w:right="978"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1"/>
        <w:rPr>
          <w:rFonts w:ascii="宋体" w:hAnsi="宋体" w:cs="宋体" w:eastAsia="宋体" w:hint="default"/>
          <w:b/>
          <w:bCs/>
          <w:sz w:val="26"/>
          <w:szCs w:val="26"/>
        </w:rPr>
      </w:pPr>
    </w:p>
    <w:p>
      <w:pPr>
        <w:pStyle w:val="Heading2"/>
        <w:spacing w:line="398" w:lineRule="auto"/>
        <w:ind w:right="992"/>
        <w:jc w:val="both"/>
        <w:rPr>
          <w:b w:val="0"/>
          <w:bCs w:val="0"/>
        </w:rPr>
      </w:pPr>
      <w:r>
        <w:rPr>
          <w:rFonts w:ascii="Times New Roman" w:hAnsi="Times New Roman" w:cs="Times New Roman" w:eastAsia="Times New Roman" w:hint="default"/>
        </w:rPr>
        <w:t>1</w:t>
      </w:r>
      <w:r>
        <w:rPr/>
        <w:t>、招投标风险。国内智能交通系统集成业务一般通过招投标方式确定，如</w:t>
      </w:r>
      <w:r>
        <w:rPr>
          <w:w w:val="99"/>
        </w:rPr>
        <w:t> </w:t>
      </w:r>
      <w:r>
        <w:rPr>
          <w:spacing w:val="2"/>
        </w:rPr>
        <w:t>果公司不能进一步加大市场开拓力度，提升公司品牌、技术和资金实力，优化</w:t>
      </w:r>
      <w:r>
        <w:rPr>
          <w:w w:val="99"/>
        </w:rPr>
        <w:t> </w:t>
      </w:r>
      <w:r>
        <w:rPr>
          <w:spacing w:val="-2"/>
        </w:rPr>
        <w:t>服务质量，则影响公司在智能交通系统集成项目中的中标机率，降低市场份额。</w:t>
      </w:r>
      <w:r>
        <w:rPr>
          <w:b w:val="0"/>
          <w:bCs w:val="0"/>
          <w:spacing w:val="-2"/>
        </w:rPr>
      </w:r>
    </w:p>
    <w:p>
      <w:pPr>
        <w:pStyle w:val="Heading2"/>
        <w:spacing w:line="396" w:lineRule="auto" w:before="171"/>
        <w:ind w:right="1132"/>
        <w:jc w:val="both"/>
        <w:rPr>
          <w:b w:val="0"/>
          <w:bCs w:val="0"/>
        </w:rPr>
      </w:pPr>
      <w:r>
        <w:rPr>
          <w:rFonts w:ascii="Times New Roman" w:hAnsi="Times New Roman" w:cs="Times New Roman" w:eastAsia="Times New Roman" w:hint="default"/>
          <w:spacing w:val="-2"/>
        </w:rPr>
        <w:t>2</w:t>
      </w:r>
      <w:r>
        <w:rPr>
          <w:spacing w:val="-2"/>
        </w:rPr>
        <w:t>、业务区域和客户集中的风险。报告期内公司在西南地区实现的营业收入</w:t>
      </w:r>
      <w:r>
        <w:rPr>
          <w:w w:val="99"/>
        </w:rPr>
        <w:t> </w:t>
      </w:r>
      <w:r>
        <w:rPr>
          <w:spacing w:val="-14"/>
          <w:w w:val="100"/>
        </w:rPr>
        <w:t>占比较大，</w:t>
      </w:r>
      <w:r>
        <w:rPr>
          <w:rFonts w:ascii="Times New Roman" w:hAnsi="Times New Roman" w:cs="Times New Roman" w:eastAsia="Times New Roman" w:hint="default"/>
          <w:spacing w:val="-14"/>
          <w:w w:val="100"/>
        </w:rPr>
        <w:t>2011</w:t>
      </w:r>
      <w:r>
        <w:rPr>
          <w:rFonts w:ascii="Times New Roman" w:hAnsi="Times New Roman" w:cs="Times New Roman" w:eastAsia="Times New Roman" w:hint="default"/>
          <w:w w:val="100"/>
        </w:rPr>
        <w:t> </w:t>
      </w:r>
      <w:r>
        <w:rPr>
          <w:w w:val="99"/>
        </w:rPr>
        <w:t>年度和</w:t>
      </w:r>
      <w:r>
        <w:rPr>
          <w:spacing w:val="-69"/>
          <w:w w:val="99"/>
        </w:rPr>
        <w:t> </w:t>
      </w:r>
      <w:r>
        <w:rPr>
          <w:rFonts w:ascii="Times New Roman" w:hAnsi="Times New Roman" w:cs="Times New Roman" w:eastAsia="Times New Roman" w:hint="default"/>
          <w:spacing w:val="-1"/>
          <w:w w:val="100"/>
        </w:rPr>
        <w:t>2012 </w:t>
      </w:r>
      <w:r>
        <w:rPr>
          <w:w w:val="99"/>
        </w:rPr>
        <w:t>年度西南地区收入占各期营业收入总额的比例分别</w:t>
      </w:r>
      <w:r>
        <w:rPr>
          <w:w w:val="99"/>
        </w:rPr>
        <w:t> </w:t>
      </w:r>
      <w:r>
        <w:rPr/>
        <w:t>为 </w:t>
      </w:r>
      <w:r>
        <w:rPr>
          <w:rFonts w:ascii="Times New Roman" w:hAnsi="Times New Roman" w:cs="Times New Roman" w:eastAsia="Times New Roman" w:hint="default"/>
        </w:rPr>
        <w:t>63.96%</w:t>
      </w:r>
      <w:r>
        <w:rPr/>
        <w:t>和</w:t>
      </w:r>
      <w:r>
        <w:rPr>
          <w:spacing w:val="-62"/>
        </w:rPr>
        <w:t> </w:t>
      </w:r>
      <w:r>
        <w:rPr>
          <w:rFonts w:ascii="Times New Roman" w:hAnsi="Times New Roman" w:cs="Times New Roman" w:eastAsia="Times New Roman" w:hint="default"/>
        </w:rPr>
        <w:t>59.48%</w:t>
      </w:r>
      <w:r>
        <w:rPr/>
        <w:t>。虽然西南地区收入占比较大，较真实地反映了公司在西</w:t>
      </w:r>
      <w:r>
        <w:rPr>
          <w:w w:val="99"/>
        </w:rPr>
        <w:t> </w:t>
      </w:r>
      <w:r>
        <w:rPr>
          <w:spacing w:val="2"/>
        </w:rPr>
        <w:t>南地区的市场竞争力，但在客观上也造成了公司智能交通系统集成业务对西南</w:t>
      </w:r>
      <w:r>
        <w:rPr>
          <w:w w:val="99"/>
        </w:rPr>
        <w:t> </w:t>
      </w:r>
      <w:r>
        <w:rPr>
          <w:spacing w:val="2"/>
        </w:rPr>
        <w:t>地区市场的依赖较大。如果未来公司在西南地区的市场份额下滑，将对公司经</w:t>
      </w:r>
      <w:r>
        <w:rPr>
          <w:w w:val="99"/>
        </w:rPr>
        <w:t> </w:t>
      </w:r>
      <w:r>
        <w:rPr/>
        <w:t>营业绩造成较大的负面影响。</w:t>
      </w:r>
      <w:r>
        <w:rPr>
          <w:b w:val="0"/>
          <w:bCs w:val="0"/>
        </w:rPr>
      </w:r>
    </w:p>
    <w:p>
      <w:pPr>
        <w:pStyle w:val="Heading2"/>
        <w:spacing w:line="398" w:lineRule="auto" w:before="176"/>
        <w:ind w:right="986"/>
        <w:jc w:val="left"/>
        <w:rPr>
          <w:b w:val="0"/>
          <w:bCs w:val="0"/>
        </w:rPr>
      </w:pPr>
      <w:r>
        <w:rPr>
          <w:rFonts w:ascii="Times New Roman" w:hAnsi="Times New Roman" w:cs="Times New Roman" w:eastAsia="Times New Roman" w:hint="default"/>
        </w:rPr>
        <w:t>3</w:t>
      </w:r>
      <w:r>
        <w:rPr/>
        <w:t>、项目进度影响经营业绩的风险。公司从事的部分智能交通系统项目实际</w:t>
      </w:r>
      <w:r>
        <w:rPr>
          <w:w w:val="99"/>
        </w:rPr>
        <w:t> </w:t>
      </w:r>
      <w:r>
        <w:rPr>
          <w:spacing w:val="-2"/>
        </w:rPr>
        <w:t>进度易受到项目相关联工程进度、施工地自然环境、项目资金筹措、项目交工、</w:t>
      </w:r>
      <w:r>
        <w:rPr>
          <w:spacing w:val="-132"/>
        </w:rPr>
        <w:t> </w:t>
      </w:r>
      <w:r>
        <w:rPr>
          <w:spacing w:val="-132"/>
        </w:rPr>
      </w:r>
      <w:r>
        <w:rPr/>
        <w:t>审计周期过长等外部因素影响，从而导致个别财务数据出现波动。</w:t>
      </w:r>
      <w:r>
        <w:rPr>
          <w:b w:val="0"/>
          <w:bCs w:val="0"/>
        </w:rPr>
      </w:r>
    </w:p>
    <w:p>
      <w:pPr>
        <w:pStyle w:val="Heading2"/>
        <w:spacing w:line="398" w:lineRule="auto" w:before="173"/>
        <w:ind w:right="1131"/>
        <w:jc w:val="both"/>
        <w:rPr>
          <w:b w:val="0"/>
          <w:bCs w:val="0"/>
        </w:rPr>
      </w:pPr>
      <w:r>
        <w:rPr>
          <w:rFonts w:ascii="Times New Roman" w:hAnsi="Times New Roman" w:cs="Times New Roman" w:eastAsia="Times New Roman" w:hint="default"/>
        </w:rPr>
        <w:t>4</w:t>
      </w:r>
      <w:r>
        <w:rPr/>
        <w:t>、大股东控制风险。船研所为公司第一大股东，目前持有公司</w:t>
      </w:r>
      <w:r>
        <w:rPr>
          <w:spacing w:val="10"/>
        </w:rPr>
        <w:t> </w:t>
      </w:r>
      <w:r>
        <w:rPr>
          <w:rFonts w:ascii="Times New Roman" w:hAnsi="Times New Roman" w:cs="Times New Roman" w:eastAsia="Times New Roman" w:hint="default"/>
        </w:rPr>
        <w:t>55.81%</w:t>
      </w:r>
      <w:r>
        <w:rPr/>
        <w:t>的</w:t>
      </w:r>
      <w:r>
        <w:rPr>
          <w:w w:val="99"/>
        </w:rPr>
        <w:t> </w:t>
      </w:r>
      <w:r>
        <w:rPr>
          <w:spacing w:val="2"/>
        </w:rPr>
        <w:t>股份，如果船研所通过行使表决权，影响公司的重大决策，可能会给其他股东</w:t>
      </w:r>
      <w:r>
        <w:rPr>
          <w:spacing w:val="-137"/>
        </w:rPr>
        <w:t> </w:t>
      </w:r>
      <w:r>
        <w:rPr>
          <w:spacing w:val="-137"/>
        </w:rPr>
      </w:r>
      <w:r>
        <w:rPr/>
        <w:t>带来一定的风险。</w:t>
      </w:r>
      <w:r>
        <w:rPr>
          <w:b w:val="0"/>
          <w:bCs w:val="0"/>
        </w:rPr>
      </w:r>
    </w:p>
    <w:p>
      <w:pPr>
        <w:spacing w:after="0" w:line="398" w:lineRule="auto"/>
        <w:jc w:val="both"/>
        <w:sectPr>
          <w:pgSz w:w="11910" w:h="16840"/>
          <w:pgMar w:header="877" w:footer="1340" w:top="1100" w:bottom="1540" w:left="980" w:right="0"/>
        </w:sectPr>
      </w:pPr>
    </w:p>
    <w:p>
      <w:pPr>
        <w:spacing w:line="240" w:lineRule="auto" w:before="0"/>
        <w:rPr>
          <w:rFonts w:ascii="宋体" w:hAnsi="宋体" w:cs="宋体" w:eastAsia="宋体" w:hint="default"/>
          <w:b/>
          <w:bCs/>
          <w:sz w:val="20"/>
          <w:szCs w:val="20"/>
        </w:rPr>
      </w:pPr>
      <w:r>
        <w:rPr/>
        <w:pict>
          <v:shape style="position:absolute;margin-left:137.883011pt;margin-top:269.809998pt;width:396pt;height:19.6pt;mso-position-horizontal-relative:page;mso-position-vertical-relative:page;z-index:-560896" type="#_x0000_t202" filled="false" stroked="false">
            <v:textbox inset="0,0,0,0">
              <w:txbxContent>
                <w:p>
                  <w:pPr>
                    <w:pStyle w:val="BodyText"/>
                    <w:spacing w:line="240" w:lineRule="auto" w:before="49"/>
                    <w:ind w:left="0" w:right="0"/>
                    <w:jc w:val="left"/>
                  </w:pPr>
                  <w:r>
                    <w:rPr/>
                    <w:t>（如有）</w:t>
                  </w:r>
                </w:p>
              </w:txbxContent>
            </v:textbox>
            <w10:wrap type="none"/>
          </v:shape>
        </w:pict>
      </w:r>
      <w:r>
        <w:rPr/>
        <w:pict>
          <v:group style="position:absolute;margin-left:171.020004pt;margin-top:269.209991pt;width:362.85pt;height:20.8pt;mso-position-horizontal-relative:page;mso-position-vertical-relative:page;z-index:-560872" coordorigin="3420,5384" coordsize="7257,416">
            <v:group style="position:absolute;left:3432;top:5396;width:2;height:392" coordorigin="3432,5396" coordsize="2,392">
              <v:shape style="position:absolute;left:3432;top:5396;width:2;height:392" coordorigin="3432,5396" coordsize="0,392" path="m3432,5396l3432,5787e" filled="false" stroked="true" strokeweight="1.2pt" strokecolor="#ffffff">
                <v:path arrowok="t"/>
              </v:shape>
            </v:group>
            <v:group style="position:absolute;left:3444;top:5396;width:7233;height:392" coordorigin="3444,5396" coordsize="7233,392">
              <v:shape style="position:absolute;left:3444;top:5396;width:7233;height:392" coordorigin="3444,5396" coordsize="7233,392" path="m3444,5787l10677,5787,10677,5396,3444,5396,3444,5787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pStyle w:val="Heading1"/>
        <w:spacing w:line="240" w:lineRule="auto" w:before="152"/>
        <w:ind w:right="976"/>
        <w:jc w:val="center"/>
        <w:rPr>
          <w:b w:val="0"/>
          <w:bCs w:val="0"/>
        </w:rPr>
      </w:pPr>
      <w:bookmarkStart w:name="_TOC_250009" w:id="2"/>
      <w:r>
        <w:rPr/>
        <w:t>第二节</w:t>
      </w:r>
      <w:r>
        <w:rPr>
          <w:spacing w:val="-2"/>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981"/>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0"/>
        <w:gridCol w:w="2976"/>
        <w:gridCol w:w="2135"/>
        <w:gridCol w:w="2188"/>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中海科技</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002401</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中海网络科技股份有限公司</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中海科技</w:t>
            </w:r>
          </w:p>
        </w:tc>
      </w:tr>
      <w:tr>
        <w:trPr>
          <w:trHeight w:val="404"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China Shipping Network Technology</w:t>
            </w:r>
            <w:r>
              <w:rPr>
                <w:rFonts w:ascii="Times New Roman"/>
                <w:spacing w:val="-27"/>
                <w:sz w:val="18"/>
              </w:rPr>
              <w:t> </w:t>
            </w:r>
            <w:r>
              <w:rPr>
                <w:rFonts w:ascii="Times New Roman"/>
                <w:sz w:val="18"/>
              </w:rPr>
              <w:t>Co.,Ltd.</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CSNT</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沈以华</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上海市浦东新区民生路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号</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200135</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上海市浦东新区民生路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号</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200135</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www.cnshippingnt.com</w:t>
              </w:r>
            </w:hyperlink>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dsh@cnshippingnt.com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981"/>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孙文彬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戴岚</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上海市浦东新区民生路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上海市浦东新区民生路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号</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021-58211308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021-58211308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021-58210704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021-58210704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sunwenbin@cnshippingnt.com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dailan@cnshippingnt.com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981"/>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3"/>
      </w:tblGrid>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877" w:footer="1340" w:top="1100" w:bottom="1540" w:left="980" w:right="0"/>
        </w:sectPr>
      </w:pPr>
    </w:p>
    <w:p>
      <w:pPr>
        <w:spacing w:line="240" w:lineRule="auto" w:before="9"/>
        <w:rPr>
          <w:rFonts w:ascii="宋体" w:hAnsi="宋体" w:cs="宋体" w:eastAsia="宋体" w:hint="default"/>
          <w:b/>
          <w:bCs/>
          <w:sz w:val="19"/>
          <w:szCs w:val="19"/>
        </w:rPr>
      </w:pPr>
    </w:p>
    <w:p>
      <w:pPr>
        <w:pStyle w:val="Heading3"/>
        <w:spacing w:line="240" w:lineRule="auto" w:before="26"/>
        <w:ind w:right="981"/>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上海市工商行政管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310000000020233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310115132226263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13222626-3</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上海市工商行政管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310000000020233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310115132226263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13222626-3</w:t>
            </w: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5"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无变化</w:t>
            </w:r>
          </w:p>
        </w:tc>
      </w:tr>
      <w:tr>
        <w:trPr>
          <w:trHeight w:val="401"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无变化</w:t>
            </w:r>
          </w:p>
        </w:tc>
      </w:tr>
    </w:tbl>
    <w:p>
      <w:pPr>
        <w:spacing w:line="240" w:lineRule="auto" w:before="1"/>
        <w:rPr>
          <w:rFonts w:ascii="宋体" w:hAnsi="宋体" w:cs="宋体" w:eastAsia="宋体" w:hint="default"/>
          <w:b/>
          <w:bCs/>
          <w:sz w:val="18"/>
          <w:szCs w:val="18"/>
        </w:rPr>
      </w:pPr>
    </w:p>
    <w:p>
      <w:pPr>
        <w:pStyle w:val="Heading3"/>
        <w:spacing w:line="240" w:lineRule="auto" w:before="26"/>
        <w:ind w:right="981"/>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1"/>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上海市浦东新区陆家嘴东路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号招商大厦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张坚、党小安、俞扬</w:t>
            </w:r>
          </w:p>
        </w:tc>
      </w:tr>
    </w:tbl>
    <w:p>
      <w:pPr>
        <w:pStyle w:val="BodyText"/>
        <w:spacing w:line="240" w:lineRule="auto" w:before="49"/>
        <w:ind w:right="981"/>
        <w:jc w:val="left"/>
      </w:pPr>
      <w:r>
        <w:rPr/>
        <w:t>公司聘请的报告期内履行持续督导职责的保荐机构</w:t>
      </w:r>
    </w:p>
    <w:p>
      <w:pPr>
        <w:pStyle w:val="BodyText"/>
        <w:spacing w:line="240" w:lineRule="auto" w:before="115"/>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日信证券有限责任公司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北京市西城区闹市口大街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长安兴融中心西楼</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刘亚利、刘元高</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pStyle w:val="BodyText"/>
        <w:spacing w:line="240" w:lineRule="auto" w:before="49"/>
        <w:ind w:right="981"/>
        <w:jc w:val="left"/>
      </w:pPr>
      <w:r>
        <w:rPr/>
        <w:t>公司聘请的报告期内履行持续督导职责的财务顾问</w:t>
      </w:r>
    </w:p>
    <w:p>
      <w:pPr>
        <w:pStyle w:val="BodyText"/>
        <w:spacing w:line="240" w:lineRule="auto" w:before="117"/>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1340" w:top="110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2642" w:right="981"/>
        <w:jc w:val="left"/>
        <w:rPr>
          <w:b w:val="0"/>
          <w:bCs w:val="0"/>
        </w:rPr>
      </w:pPr>
      <w:bookmarkStart w:name="_TOC_250008" w:id="3"/>
      <w:r>
        <w:rPr/>
        <w:t>第三节</w:t>
      </w:r>
      <w:r>
        <w:rPr>
          <w:spacing w:val="-5"/>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981"/>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1"/>
        <w:jc w:val="left"/>
      </w:pPr>
      <w:r>
        <w:rPr/>
        <w:t>公司是否因会计政策变更及会计差错更正等追溯调整或重述以前年度会计数据</w:t>
      </w:r>
    </w:p>
    <w:p>
      <w:pPr>
        <w:pStyle w:val="BodyText"/>
        <w:spacing w:line="240" w:lineRule="auto" w:before="117"/>
        <w:ind w:right="98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6"/>
        <w:gridCol w:w="1749"/>
        <w:gridCol w:w="1740"/>
        <w:gridCol w:w="1738"/>
        <w:gridCol w:w="1735"/>
      </w:tblGrid>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502,553,636.15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486,243,589.49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437,440,268.22</w:t>
            </w:r>
          </w:p>
        </w:tc>
      </w:tr>
      <w:tr>
        <w:trPr>
          <w:trHeight w:val="716"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45,541,071.87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42,072,183.06</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35,988,016.58</w:t>
            </w:r>
          </w:p>
        </w:tc>
      </w:tr>
      <w:tr>
        <w:trPr>
          <w:trHeight w:val="71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45,214,740.76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40,068,041.33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35,207,173.14</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40,140,697.32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45,659,623.07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34,184,356.61</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0.2253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0.2081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0.1820</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0.2253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0.2081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0.1820</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8.0565%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0.0564%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9.5644%</w:t>
            </w:r>
          </w:p>
        </w:tc>
      </w:tr>
      <w:tr>
        <w:trPr>
          <w:trHeight w:val="162" w:hRule="exact"/>
        </w:trPr>
        <w:tc>
          <w:tcPr>
            <w:tcW w:w="2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596"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810,243,741.85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786,532,821.75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706,001,529.52</w:t>
            </w:r>
          </w:p>
        </w:tc>
      </w:tr>
      <w:tr>
        <w:trPr>
          <w:trHeight w:val="1027"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6" w:lineRule="auto" w:before="74"/>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6"/>
                <w:sz w:val="18"/>
                <w:szCs w:val="18"/>
              </w:rPr>
              <w:t>权益）（元）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581,831,888.90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546,930,817.03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504,858,633.97</w:t>
            </w:r>
          </w:p>
        </w:tc>
      </w:tr>
    </w:tbl>
    <w:p>
      <w:pPr>
        <w:pStyle w:val="BodyText"/>
        <w:spacing w:line="240" w:lineRule="auto" w:before="49"/>
        <w:ind w:right="981"/>
        <w:jc w:val="left"/>
      </w:pPr>
      <w:r>
        <w:rPr/>
        <w:t>注：</w:t>
      </w:r>
    </w:p>
    <w:p>
      <w:pPr>
        <w:pStyle w:val="BodyText"/>
        <w:spacing w:line="240" w:lineRule="auto" w:before="115"/>
        <w:ind w:right="98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w:t>
      </w:r>
      <w:r>
        <w:rPr>
          <w:spacing w:val="-73"/>
        </w:rPr>
        <w:t> </w:t>
      </w:r>
      <w:r>
        <w:rPr>
          <w:rFonts w:ascii="Times New Roman" w:hAnsi="Times New Roman" w:cs="Times New Roman" w:eastAsia="Times New Roman" w:hint="default"/>
        </w:rPr>
        <w:t>2012 </w:t>
      </w:r>
      <w:r>
        <w:rPr>
          <w:rFonts w:ascii="Times New Roman" w:hAnsi="Times New Roman" w:cs="Times New Roman" w:eastAsia="Times New Roman" w:hint="default"/>
          <w:spacing w:val="22"/>
        </w:rPr>
        <w:t> </w:t>
      </w:r>
      <w:r>
        <w:rPr>
          <w:spacing w:val="15"/>
        </w:rPr>
        <w:t>年公司发行在外的普通股加权平均数</w:t>
      </w:r>
      <w:r>
        <w:rPr>
          <w:rFonts w:ascii="Times New Roman" w:hAnsi="Times New Roman" w:cs="Times New Roman" w:eastAsia="Times New Roman" w:hint="default"/>
          <w:spacing w:val="15"/>
        </w:rPr>
        <w:t>=(</w:t>
      </w:r>
      <w:r>
        <w:rPr>
          <w:rFonts w:ascii="Times New Roman" w:hAnsi="Times New Roman" w:cs="Times New Roman" w:eastAsia="Times New Roman" w:hint="default"/>
          <w:spacing w:val="-29"/>
        </w:rPr>
        <w:t> </w:t>
      </w:r>
      <w:r>
        <w:rPr>
          <w:spacing w:val="13"/>
        </w:rPr>
        <w:t>期初股份</w:t>
      </w:r>
      <w:r>
        <w:rPr>
          <w:spacing w:val="21"/>
        </w:rPr>
        <w:t> </w:t>
      </w:r>
      <w:r>
        <w:rPr>
          <w:rFonts w:ascii="Times New Roman" w:hAnsi="Times New Roman" w:cs="Times New Roman" w:eastAsia="Times New Roman" w:hint="default"/>
        </w:rPr>
        <w:t>106,400,000.00+2012 </w:t>
      </w:r>
      <w:r>
        <w:rPr>
          <w:rFonts w:ascii="Times New Roman" w:hAnsi="Times New Roman" w:cs="Times New Roman" w:eastAsia="Times New Roman" w:hint="default"/>
          <w:spacing w:val="22"/>
        </w:rPr>
        <w:t> </w:t>
      </w:r>
      <w:r>
        <w:rPr>
          <w:spacing w:val="15"/>
        </w:rPr>
        <w:t>年因资本公积转增股本增加的股份</w:t>
      </w:r>
    </w:p>
    <w:p>
      <w:pPr>
        <w:pStyle w:val="BodyText"/>
        <w:spacing w:line="240" w:lineRule="auto" w:before="105"/>
        <w:ind w:right="981"/>
        <w:jc w:val="left"/>
        <w:rPr>
          <w:rFonts w:ascii="Times New Roman" w:hAnsi="Times New Roman" w:cs="Times New Roman" w:eastAsia="Times New Roman" w:hint="default"/>
        </w:rPr>
      </w:pPr>
      <w:r>
        <w:rPr>
          <w:rFonts w:ascii="Times New Roman"/>
        </w:rPr>
        <w:t>95,760,000.00)*12/12=202,160,000.00</w:t>
      </w:r>
    </w:p>
    <w:p>
      <w:pPr>
        <w:pStyle w:val="BodyText"/>
        <w:spacing w:line="240" w:lineRule="auto" w:before="103"/>
        <w:ind w:right="98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w:t>
      </w:r>
      <w:r>
        <w:rPr>
          <w:spacing w:val="-71"/>
        </w:rPr>
        <w:t> </w:t>
      </w:r>
      <w:r>
        <w:rPr>
          <w:rFonts w:ascii="Times New Roman" w:hAnsi="Times New Roman" w:cs="Times New Roman" w:eastAsia="Times New Roman" w:hint="default"/>
        </w:rPr>
        <w:t>2011 </w:t>
      </w:r>
      <w:r>
        <w:rPr>
          <w:rFonts w:ascii="Times New Roman" w:hAnsi="Times New Roman" w:cs="Times New Roman" w:eastAsia="Times New Roman" w:hint="default"/>
          <w:spacing w:val="22"/>
        </w:rPr>
        <w:t> </w:t>
      </w:r>
      <w:r>
        <w:rPr>
          <w:spacing w:val="17"/>
        </w:rPr>
        <w:t>年公司发行在外的普通股加权平均数</w:t>
      </w:r>
      <w:r>
        <w:rPr>
          <w:rFonts w:ascii="Times New Roman" w:hAnsi="Times New Roman" w:cs="Times New Roman" w:eastAsia="Times New Roman" w:hint="default"/>
          <w:spacing w:val="17"/>
        </w:rPr>
        <w:t>=(</w:t>
      </w:r>
      <w:r>
        <w:rPr>
          <w:rFonts w:ascii="Times New Roman" w:hAnsi="Times New Roman" w:cs="Times New Roman" w:eastAsia="Times New Roman" w:hint="default"/>
          <w:spacing w:val="-26"/>
        </w:rPr>
        <w:t> </w:t>
      </w:r>
      <w:r>
        <w:rPr>
          <w:spacing w:val="15"/>
        </w:rPr>
        <w:t>期初股份</w:t>
      </w:r>
      <w:r>
        <w:rPr>
          <w:spacing w:val="21"/>
        </w:rPr>
        <w:t> </w:t>
      </w:r>
      <w:r>
        <w:rPr>
          <w:rFonts w:ascii="Times New Roman" w:hAnsi="Times New Roman" w:cs="Times New Roman" w:eastAsia="Times New Roman" w:hint="default"/>
        </w:rPr>
        <w:t>53,200,000.00+2011 </w:t>
      </w:r>
      <w:r>
        <w:rPr>
          <w:rFonts w:ascii="Times New Roman" w:hAnsi="Times New Roman" w:cs="Times New Roman" w:eastAsia="Times New Roman" w:hint="default"/>
          <w:spacing w:val="24"/>
        </w:rPr>
        <w:t> </w:t>
      </w:r>
      <w:r>
        <w:rPr>
          <w:spacing w:val="18"/>
        </w:rPr>
        <w:t>年因资本公积转增股本增加的股份</w:t>
      </w:r>
    </w:p>
    <w:p>
      <w:pPr>
        <w:pStyle w:val="BodyText"/>
        <w:spacing w:line="240" w:lineRule="auto" w:before="63"/>
        <w:ind w:right="981"/>
        <w:jc w:val="left"/>
        <w:rPr>
          <w:rFonts w:ascii="Times New Roman" w:hAnsi="Times New Roman" w:cs="Times New Roman" w:eastAsia="Times New Roman" w:hint="default"/>
        </w:rPr>
      </w:pPr>
      <w:r>
        <w:rPr>
          <w:rFonts w:ascii="Times New Roman" w:hAnsi="Times New Roman" w:cs="Times New Roman" w:eastAsia="Times New Roman" w:hint="default"/>
        </w:rPr>
        <w:t>53,200,000.00+2012 </w:t>
      </w:r>
      <w:r>
        <w:rPr/>
        <w:t>年因资本公积转增股本增加的股份</w:t>
      </w:r>
      <w:r>
        <w:rPr>
          <w:spacing w:val="-63"/>
        </w:rPr>
        <w:t> </w:t>
      </w:r>
      <w:r>
        <w:rPr>
          <w:rFonts w:ascii="Times New Roman" w:hAnsi="Times New Roman" w:cs="Times New Roman" w:eastAsia="Times New Roman" w:hint="default"/>
        </w:rPr>
        <w:t>95,760,000.00)*12/12=202,160,000.00</w:t>
      </w:r>
    </w:p>
    <w:p>
      <w:pPr>
        <w:pStyle w:val="BodyText"/>
        <w:spacing w:line="240" w:lineRule="auto" w:before="103"/>
        <w:ind w:right="98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w:t>
      </w:r>
      <w:r>
        <w:rPr>
          <w:spacing w:val="-73"/>
        </w:rPr>
        <w:t> </w:t>
      </w:r>
      <w:r>
        <w:rPr>
          <w:rFonts w:ascii="Times New Roman" w:hAnsi="Times New Roman" w:cs="Times New Roman" w:eastAsia="Times New Roman" w:hint="default"/>
        </w:rPr>
        <w:t>2010 </w:t>
      </w:r>
      <w:r>
        <w:rPr>
          <w:rFonts w:ascii="Times New Roman" w:hAnsi="Times New Roman" w:cs="Times New Roman" w:eastAsia="Times New Roman" w:hint="default"/>
          <w:spacing w:val="19"/>
        </w:rPr>
        <w:t> </w:t>
      </w:r>
      <w:r>
        <w:rPr>
          <w:spacing w:val="15"/>
        </w:rPr>
        <w:t>年公司发行在外的普通股加权平均数</w:t>
      </w:r>
      <w:r>
        <w:rPr>
          <w:rFonts w:ascii="Times New Roman" w:hAnsi="Times New Roman" w:cs="Times New Roman" w:eastAsia="Times New Roman" w:hint="default"/>
          <w:spacing w:val="15"/>
        </w:rPr>
        <w:t>=</w:t>
      </w:r>
      <w:r>
        <w:rPr>
          <w:spacing w:val="15"/>
        </w:rPr>
        <w:t>（期初股份</w:t>
      </w:r>
      <w:r>
        <w:rPr>
          <w:spacing w:val="17"/>
        </w:rPr>
        <w:t> </w:t>
      </w:r>
      <w:r>
        <w:rPr>
          <w:rFonts w:ascii="Times New Roman" w:hAnsi="Times New Roman" w:cs="Times New Roman" w:eastAsia="Times New Roman" w:hint="default"/>
        </w:rPr>
        <w:t>39,900,000.00+2011 </w:t>
      </w:r>
      <w:r>
        <w:rPr>
          <w:rFonts w:ascii="Times New Roman" w:hAnsi="Times New Roman" w:cs="Times New Roman" w:eastAsia="Times New Roman" w:hint="default"/>
          <w:spacing w:val="20"/>
        </w:rPr>
        <w:t> </w:t>
      </w:r>
      <w:r>
        <w:rPr>
          <w:spacing w:val="14"/>
        </w:rPr>
        <w:t>年因资本公积转增股本增加的股份</w:t>
      </w:r>
    </w:p>
    <w:p>
      <w:pPr>
        <w:pStyle w:val="BodyText"/>
        <w:spacing w:line="240" w:lineRule="auto" w:before="63"/>
        <w:ind w:right="981"/>
        <w:jc w:val="left"/>
      </w:pPr>
      <w:r>
        <w:rPr>
          <w:rFonts w:ascii="Times New Roman" w:hAnsi="Times New Roman" w:cs="Times New Roman" w:eastAsia="Times New Roman" w:hint="default"/>
        </w:rPr>
        <w:t>53,200,000.00+2012 </w:t>
      </w:r>
      <w:r>
        <w:rPr>
          <w:rFonts w:ascii="Times New Roman" w:hAnsi="Times New Roman" w:cs="Times New Roman" w:eastAsia="Times New Roman" w:hint="default"/>
          <w:spacing w:val="32"/>
        </w:rPr>
        <w:t> </w:t>
      </w:r>
      <w:r>
        <w:rPr/>
        <w:t>年</w:t>
      </w:r>
      <w:r>
        <w:rPr>
          <w:spacing w:val="-56"/>
        </w:rPr>
        <w:t> </w:t>
      </w:r>
      <w:r>
        <w:rPr/>
        <w:t>因</w:t>
      </w:r>
      <w:r>
        <w:rPr>
          <w:spacing w:val="-58"/>
        </w:rPr>
        <w:t> </w:t>
      </w:r>
      <w:r>
        <w:rPr/>
        <w:t>资</w:t>
      </w:r>
      <w:r>
        <w:rPr>
          <w:spacing w:val="-58"/>
        </w:rPr>
        <w:t> </w:t>
      </w:r>
      <w:r>
        <w:rPr/>
        <w:t>本</w:t>
      </w:r>
      <w:r>
        <w:rPr>
          <w:spacing w:val="-56"/>
        </w:rPr>
        <w:t> </w:t>
      </w:r>
      <w:r>
        <w:rPr/>
        <w:t>公</w:t>
      </w:r>
      <w:r>
        <w:rPr>
          <w:spacing w:val="-56"/>
        </w:rPr>
        <w:t> </w:t>
      </w:r>
      <w:r>
        <w:rPr/>
        <w:t>积</w:t>
      </w:r>
      <w:r>
        <w:rPr>
          <w:spacing w:val="-58"/>
        </w:rPr>
        <w:t> </w:t>
      </w:r>
      <w:r>
        <w:rPr/>
        <w:t>转</w:t>
      </w:r>
      <w:r>
        <w:rPr>
          <w:spacing w:val="-56"/>
        </w:rPr>
        <w:t> </w:t>
      </w:r>
      <w:r>
        <w:rPr/>
        <w:t>增</w:t>
      </w:r>
      <w:r>
        <w:rPr>
          <w:spacing w:val="-56"/>
        </w:rPr>
        <w:t> </w:t>
      </w:r>
      <w:r>
        <w:rPr/>
        <w:t>股</w:t>
      </w:r>
      <w:r>
        <w:rPr>
          <w:spacing w:val="-58"/>
        </w:rPr>
        <w:t> </w:t>
      </w:r>
      <w:r>
        <w:rPr/>
        <w:t>本</w:t>
      </w:r>
      <w:r>
        <w:rPr>
          <w:spacing w:val="-56"/>
        </w:rPr>
        <w:t> </w:t>
      </w:r>
      <w:r>
        <w:rPr/>
        <w:t>增</w:t>
      </w:r>
      <w:r>
        <w:rPr>
          <w:spacing w:val="-58"/>
        </w:rPr>
        <w:t> </w:t>
      </w:r>
      <w:r>
        <w:rPr/>
        <w:t>加</w:t>
      </w:r>
      <w:r>
        <w:rPr>
          <w:spacing w:val="-56"/>
        </w:rPr>
        <w:t> </w:t>
      </w:r>
      <w:r>
        <w:rPr/>
        <w:t>的</w:t>
      </w:r>
      <w:r>
        <w:rPr>
          <w:spacing w:val="-58"/>
        </w:rPr>
        <w:t> </w:t>
      </w:r>
      <w:r>
        <w:rPr/>
        <w:t>股</w:t>
      </w:r>
      <w:r>
        <w:rPr>
          <w:spacing w:val="-58"/>
        </w:rPr>
        <w:t> </w:t>
      </w:r>
      <w:r>
        <w:rPr/>
        <w:t>份</w:t>
      </w:r>
      <w:r>
        <w:rPr>
          <w:spacing w:val="35"/>
        </w:rPr>
        <w:t> </w:t>
      </w:r>
      <w:r>
        <w:rPr>
          <w:rFonts w:ascii="Times New Roman" w:hAnsi="Times New Roman" w:cs="Times New Roman" w:eastAsia="Times New Roman" w:hint="default"/>
        </w:rPr>
        <w:t>95,760,000.00</w:t>
      </w:r>
      <w:r>
        <w:rPr>
          <w:rFonts w:ascii="Times New Roman" w:hAnsi="Times New Roman" w:cs="Times New Roman" w:eastAsia="Times New Roman" w:hint="default"/>
          <w:spacing w:val="-8"/>
        </w:rPr>
        <w:t> </w:t>
      </w:r>
      <w:r>
        <w:rPr/>
        <w:t>）</w:t>
      </w:r>
      <w:r>
        <w:rPr>
          <w:spacing w:val="-55"/>
        </w:rPr>
        <w:t> </w:t>
      </w:r>
      <w:r>
        <w:rPr>
          <w:rFonts w:ascii="Times New Roman" w:hAnsi="Times New Roman" w:cs="Times New Roman" w:eastAsia="Times New Roman" w:hint="default"/>
        </w:rPr>
        <w:t>*12/12+2010 </w:t>
      </w:r>
      <w:r>
        <w:rPr>
          <w:rFonts w:ascii="Times New Roman" w:hAnsi="Times New Roman" w:cs="Times New Roman" w:eastAsia="Times New Roman" w:hint="default"/>
          <w:spacing w:val="34"/>
        </w:rPr>
        <w:t> </w:t>
      </w:r>
      <w:r>
        <w:rPr/>
        <w:t>年</w:t>
      </w:r>
      <w:r>
        <w:rPr>
          <w:spacing w:val="-58"/>
        </w:rPr>
        <w:t> </w:t>
      </w:r>
      <w:r>
        <w:rPr/>
        <w:t>因</w:t>
      </w:r>
      <w:r>
        <w:rPr>
          <w:spacing w:val="-56"/>
        </w:rPr>
        <w:t> </w:t>
      </w:r>
      <w:r>
        <w:rPr/>
        <w:t>发</w:t>
      </w:r>
      <w:r>
        <w:rPr>
          <w:spacing w:val="-58"/>
        </w:rPr>
        <w:t> </w:t>
      </w:r>
      <w:r>
        <w:rPr/>
        <w:t>行</w:t>
      </w:r>
      <w:r>
        <w:rPr>
          <w:spacing w:val="-56"/>
        </w:rPr>
        <w:t> </w:t>
      </w:r>
      <w:r>
        <w:rPr/>
        <w:t>新</w:t>
      </w:r>
      <w:r>
        <w:rPr>
          <w:spacing w:val="-56"/>
        </w:rPr>
        <w:t> </w:t>
      </w:r>
      <w:r>
        <w:rPr/>
        <w:t>股</w:t>
      </w:r>
      <w:r>
        <w:rPr>
          <w:spacing w:val="-58"/>
        </w:rPr>
        <w:t> </w:t>
      </w:r>
      <w:r>
        <w:rPr/>
        <w:t>增</w:t>
      </w:r>
      <w:r>
        <w:rPr>
          <w:spacing w:val="-56"/>
        </w:rPr>
        <w:t> </w:t>
      </w:r>
      <w:r>
        <w:rPr/>
        <w:t>加</w:t>
      </w:r>
      <w:r>
        <w:rPr>
          <w:spacing w:val="-58"/>
        </w:rPr>
        <w:t> </w:t>
      </w:r>
      <w:r>
        <w:rPr/>
        <w:t>的</w:t>
      </w:r>
      <w:r>
        <w:rPr>
          <w:spacing w:val="-56"/>
        </w:rPr>
        <w:t> </w:t>
      </w:r>
      <w:r>
        <w:rPr/>
        <w:t>股</w:t>
      </w:r>
      <w:r>
        <w:rPr>
          <w:spacing w:val="-58"/>
        </w:rPr>
        <w:t> </w:t>
      </w:r>
      <w:r>
        <w:rPr/>
        <w:t>份</w:t>
      </w:r>
    </w:p>
    <w:p>
      <w:pPr>
        <w:pStyle w:val="BodyText"/>
        <w:spacing w:line="240" w:lineRule="auto" w:before="105"/>
        <w:ind w:right="981"/>
        <w:jc w:val="left"/>
        <w:rPr>
          <w:rFonts w:ascii="Times New Roman" w:hAnsi="Times New Roman" w:cs="Times New Roman" w:eastAsia="Times New Roman" w:hint="default"/>
        </w:rPr>
      </w:pPr>
      <w:r>
        <w:rPr>
          <w:rFonts w:ascii="Times New Roman"/>
        </w:rPr>
        <w:t>13,300,000.00*8/12=</w:t>
      </w:r>
      <w:r>
        <w:rPr>
          <w:rFonts w:ascii="Times New Roman"/>
          <w:spacing w:val="-13"/>
        </w:rPr>
        <w:t> </w:t>
      </w:r>
      <w:r>
        <w:rPr>
          <w:rFonts w:ascii="Times New Roman"/>
        </w:rPr>
        <w:t>197,726,666.67</w:t>
      </w:r>
    </w:p>
    <w:p>
      <w:pPr>
        <w:spacing w:after="0" w:line="240" w:lineRule="auto"/>
        <w:jc w:val="left"/>
        <w:rPr>
          <w:rFonts w:ascii="Times New Roman" w:hAnsi="Times New Roman" w:cs="Times New Roman" w:eastAsia="Times New Roman" w:hint="default"/>
        </w:rPr>
        <w:sectPr>
          <w:pgSz w:w="11910" w:h="16840"/>
          <w:pgMar w:header="877" w:footer="1340" w:top="1100" w:bottom="154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4.919983pt;width:135.0pt;height:77pt;mso-position-horizontal-relative:page;mso-position-vertical-relative:page;z-index:-560848" type="#_x0000_t75" stroked="false">
            <v:imagedata r:id="rId5" o:titl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p>
      <w:pPr>
        <w:pStyle w:val="Heading3"/>
        <w:spacing w:line="240" w:lineRule="auto" w:before="26"/>
        <w:ind w:right="981"/>
        <w:jc w:val="left"/>
        <w:rPr>
          <w:b w:val="0"/>
          <w:bCs w:val="0"/>
        </w:rPr>
      </w:pPr>
      <w:r>
        <w:rPr/>
        <w:t>二、境内外会计准则下会计数据差异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981"/>
        <w:jc w:val="left"/>
        <w:rPr>
          <w:b w:val="0"/>
          <w:bCs w:val="0"/>
        </w:rPr>
      </w:pP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72"/>
        <w:gridCol w:w="1742"/>
        <w:gridCol w:w="2004"/>
        <w:gridCol w:w="1769"/>
        <w:gridCol w:w="1771"/>
      </w:tblGrid>
      <w:tr>
        <w:trPr>
          <w:trHeight w:val="206" w:hRule="exact"/>
        </w:trPr>
        <w:tc>
          <w:tcPr>
            <w:tcW w:w="2272"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2" w:hRule="exact"/>
        </w:trPr>
        <w:tc>
          <w:tcPr>
            <w:tcW w:w="2272" w:type="dxa"/>
            <w:vMerge w:val="restart"/>
            <w:tcBorders>
              <w:top w:val="nil" w:sz="6" w:space="0" w:color="auto"/>
              <w:left w:val="single" w:sz="4" w:space="0" w:color="000000"/>
              <w:right w:val="single" w:sz="4" w:space="0" w:color="000000"/>
            </w:tcBorders>
            <w:shd w:val="clear" w:color="auto" w:fill="D2D2D2"/>
          </w:tcPr>
          <w:p>
            <w:pPr/>
          </w:p>
        </w:tc>
        <w:tc>
          <w:tcPr>
            <w:tcW w:w="3746"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272" w:type="dxa"/>
            <w:vMerge/>
            <w:tcBorders>
              <w:left w:val="single" w:sz="4" w:space="0" w:color="000000"/>
              <w:bottom w:val="nil" w:sz="6" w:space="0" w:color="auto"/>
              <w:right w:val="single" w:sz="4" w:space="0" w:color="000000"/>
            </w:tcBorders>
            <w:shd w:val="clear" w:color="auto" w:fill="D2D2D2"/>
          </w:tcPr>
          <w:p>
            <w:pPr/>
          </w:p>
        </w:tc>
        <w:tc>
          <w:tcPr>
            <w:tcW w:w="17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4" w:hRule="exact"/>
        </w:trPr>
        <w:tc>
          <w:tcPr>
            <w:tcW w:w="22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2"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66" w:right="0"/>
              <w:jc w:val="left"/>
              <w:rPr>
                <w:rFonts w:ascii="Times New Roman" w:hAnsi="Times New Roman" w:cs="Times New Roman" w:eastAsia="Times New Roman" w:hint="default"/>
                <w:sz w:val="18"/>
                <w:szCs w:val="18"/>
              </w:rPr>
            </w:pPr>
            <w:r>
              <w:rPr>
                <w:rFonts w:ascii="Times New Roman"/>
                <w:sz w:val="18"/>
              </w:rPr>
              <w:t>45,541,071.87</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42,072,183.06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581,831,888.90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546,930,817.03</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pStyle w:val="Heading6"/>
        <w:spacing w:line="263" w:lineRule="exact"/>
        <w:ind w:left="513" w:right="981"/>
        <w:jc w:val="left"/>
      </w:pPr>
      <w:r>
        <w:rPr>
          <w:sz w:val="18"/>
          <w:szCs w:val="18"/>
        </w:rPr>
        <w:t>注：</w:t>
      </w:r>
      <w:r>
        <w:rPr/>
        <w:t>公司不存在按照国际会计准则与按中国会计准则披露的财务报告中净利润和净资产差异情况。</w:t>
      </w:r>
    </w:p>
    <w:p>
      <w:pPr>
        <w:spacing w:line="240" w:lineRule="auto" w:before="10"/>
        <w:rPr>
          <w:rFonts w:ascii="宋体" w:hAnsi="宋体" w:cs="宋体" w:eastAsia="宋体" w:hint="default"/>
          <w:sz w:val="25"/>
          <w:szCs w:val="25"/>
        </w:rPr>
      </w:pPr>
    </w:p>
    <w:p>
      <w:pPr>
        <w:pStyle w:val="Heading5"/>
        <w:spacing w:line="240" w:lineRule="auto"/>
        <w:ind w:right="981"/>
        <w:jc w:val="left"/>
        <w:rPr>
          <w:b w:val="0"/>
          <w:bCs w:val="0"/>
        </w:rPr>
      </w:pP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84"/>
        <w:gridCol w:w="1742"/>
        <w:gridCol w:w="2004"/>
        <w:gridCol w:w="1769"/>
        <w:gridCol w:w="1771"/>
      </w:tblGrid>
      <w:tr>
        <w:trPr>
          <w:trHeight w:val="206" w:hRule="exact"/>
        </w:trPr>
        <w:tc>
          <w:tcPr>
            <w:tcW w:w="22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0" w:hRule="exact"/>
        </w:trPr>
        <w:tc>
          <w:tcPr>
            <w:tcW w:w="2284" w:type="dxa"/>
            <w:vMerge w:val="restart"/>
            <w:tcBorders>
              <w:top w:val="nil" w:sz="6" w:space="0" w:color="auto"/>
              <w:left w:val="single" w:sz="4" w:space="0" w:color="000000"/>
              <w:right w:val="single" w:sz="4" w:space="0" w:color="000000"/>
            </w:tcBorders>
            <w:shd w:val="clear" w:color="auto" w:fill="D2D2D2"/>
          </w:tcPr>
          <w:p>
            <w:pPr/>
          </w:p>
        </w:tc>
        <w:tc>
          <w:tcPr>
            <w:tcW w:w="3746"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284" w:type="dxa"/>
            <w:vMerge/>
            <w:tcBorders>
              <w:left w:val="single" w:sz="4" w:space="0" w:color="000000"/>
              <w:bottom w:val="nil" w:sz="6" w:space="0" w:color="auto"/>
              <w:right w:val="single" w:sz="4" w:space="0" w:color="000000"/>
            </w:tcBorders>
            <w:shd w:val="clear" w:color="auto" w:fill="D2D2D2"/>
          </w:tcPr>
          <w:p>
            <w:pPr/>
          </w:p>
        </w:tc>
        <w:tc>
          <w:tcPr>
            <w:tcW w:w="17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2"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66" w:right="0"/>
              <w:jc w:val="left"/>
              <w:rPr>
                <w:rFonts w:ascii="Times New Roman" w:hAnsi="Times New Roman" w:cs="Times New Roman" w:eastAsia="Times New Roman" w:hint="default"/>
                <w:sz w:val="18"/>
                <w:szCs w:val="18"/>
              </w:rPr>
            </w:pPr>
            <w:r>
              <w:rPr>
                <w:rFonts w:ascii="Times New Roman"/>
                <w:sz w:val="18"/>
              </w:rPr>
              <w:t>45,541,071.87</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42,072,183.06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581,831,888.90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546,930,817.03</w:t>
            </w:r>
          </w:p>
        </w:tc>
      </w:tr>
      <w:tr>
        <w:trPr>
          <w:trHeight w:val="403"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pStyle w:val="Heading6"/>
        <w:spacing w:line="262" w:lineRule="exact"/>
        <w:ind w:left="467" w:right="981"/>
        <w:jc w:val="left"/>
      </w:pPr>
      <w:r>
        <w:rPr/>
        <w:t>注：公司不存在按照境外会计准则与按中国会计准则披露的财务报告中净利润和净资产差异情况。</w:t>
      </w:r>
    </w:p>
    <w:p>
      <w:pPr>
        <w:spacing w:line="240" w:lineRule="auto" w:before="10"/>
        <w:rPr>
          <w:rFonts w:ascii="宋体" w:hAnsi="宋体" w:cs="宋体" w:eastAsia="宋体" w:hint="default"/>
          <w:sz w:val="25"/>
          <w:szCs w:val="25"/>
        </w:rPr>
      </w:pPr>
    </w:p>
    <w:p>
      <w:pPr>
        <w:pStyle w:val="Heading5"/>
        <w:spacing w:line="240" w:lineRule="auto"/>
        <w:ind w:right="981"/>
        <w:jc w:val="left"/>
        <w:rPr>
          <w:b w:val="0"/>
          <w:bCs w:val="0"/>
        </w:rPr>
      </w:pP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1"/>
        <w:jc w:val="left"/>
        <w:rPr>
          <w:b w:val="0"/>
          <w:bCs w:val="0"/>
        </w:rPr>
      </w:pPr>
      <w:r>
        <w:rPr/>
        <w:t>三、非经常性损益项目及金额</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-56,120.50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-370,554.66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处置固定资产</w:t>
            </w: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2,370,000.00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5,662,800.00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政府补贴</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-4,373,606.00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上市路演费用</w:t>
            </w: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253.33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-12,186.20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-57,801.72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-353,672.07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-137,795.90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326,331.11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2,004,141.73</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780,843.44</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14"/>
          <w:pgSz w:w="11910" w:h="16840"/>
          <w:pgMar w:footer="980" w:header="877" w:top="1100" w:bottom="1160" w:left="980" w:right="0"/>
          <w:pgNumType w:start="9"/>
        </w:sectPr>
      </w:pPr>
    </w:p>
    <w:p>
      <w:pPr>
        <w:spacing w:line="240" w:lineRule="auto" w:before="11"/>
        <w:rPr>
          <w:rFonts w:ascii="宋体" w:hAnsi="宋体" w:cs="宋体" w:eastAsia="宋体" w:hint="default"/>
          <w:sz w:val="21"/>
          <w:szCs w:val="21"/>
        </w:rPr>
      </w:pPr>
      <w:r>
        <w:rPr/>
        <w:pict>
          <v:shape style="position:absolute;margin-left:460.320007pt;margin-top:764.919983pt;width:135.0pt;height:77pt;mso-position-horizontal-relative:page;mso-position-vertical-relative:page;z-index:1144" type="#_x0000_t75" stroked="false">
            <v:imagedata r:id="rId5" o:title=""/>
          </v:shape>
        </w:pict>
      </w:r>
    </w:p>
    <w:p>
      <w:pPr>
        <w:pStyle w:val="BodyText"/>
        <w:spacing w:line="240" w:lineRule="auto" w:before="44"/>
        <w:ind w:right="981"/>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607" w:right="981"/>
        <w:jc w:val="left"/>
        <w:rPr>
          <w:b w:val="0"/>
          <w:bCs w:val="0"/>
        </w:rPr>
      </w:pPr>
      <w:bookmarkStart w:name="_TOC_250007"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both"/>
        <w:rPr>
          <w:b w:val="0"/>
          <w:bCs w:val="0"/>
        </w:rPr>
      </w:pPr>
      <w:r>
        <w:rPr/>
        <w:t>一、概述</w:t>
      </w:r>
      <w:r>
        <w:rPr>
          <w:b w:val="0"/>
          <w:bCs w:val="0"/>
        </w:rPr>
      </w:r>
    </w:p>
    <w:p>
      <w:pPr>
        <w:spacing w:line="240" w:lineRule="auto" w:before="11"/>
        <w:rPr>
          <w:rFonts w:ascii="宋体" w:hAnsi="宋体" w:cs="宋体" w:eastAsia="宋体" w:hint="default"/>
          <w:b/>
          <w:bCs/>
          <w:sz w:val="29"/>
          <w:szCs w:val="29"/>
        </w:rPr>
      </w:pPr>
    </w:p>
    <w:p>
      <w:pPr>
        <w:pStyle w:val="Heading4"/>
        <w:spacing w:line="391" w:lineRule="auto" w:before="0"/>
        <w:ind w:right="1128" w:firstLine="439"/>
        <w:jc w:val="both"/>
      </w:pPr>
      <w:r>
        <w:rPr>
          <w:spacing w:val="-2"/>
        </w:rPr>
        <w:t>报告期内，公司面对国家宏观经济政策调整，交通基础设施建设进程放缓，建设资金紧张，智能</w:t>
      </w:r>
      <w:r>
        <w:rPr>
          <w:w w:val="100"/>
        </w:rPr>
        <w:t> </w:t>
      </w:r>
      <w:r>
        <w:rPr>
          <w:spacing w:val="-2"/>
        </w:rPr>
        <w:t>交通系统集成市场竞争进一步加剧等不利影响，坚持把市场开发作为各项工作的重中之重来抓，积极</w:t>
      </w:r>
      <w:r>
        <w:rPr>
          <w:spacing w:val="-70"/>
        </w:rPr>
        <w:t> </w:t>
      </w:r>
      <w:r>
        <w:rPr>
          <w:spacing w:val="-70"/>
        </w:rPr>
      </w:r>
      <w:r>
        <w:rPr>
          <w:spacing w:val="-2"/>
        </w:rPr>
        <w:t>采取应对措施，以完成年度经营业绩目标为主线，努力“调结构、促转型、拼市场、抓管理”，保持</w:t>
      </w:r>
      <w:r>
        <w:rPr>
          <w:spacing w:val="-67"/>
        </w:rPr>
        <w:t> </w:t>
      </w:r>
      <w:r>
        <w:rPr>
          <w:spacing w:val="-67"/>
        </w:rPr>
      </w:r>
      <w:r>
        <w:rPr/>
        <w:t>了公司稳定健康的发展势头。</w:t>
      </w:r>
    </w:p>
    <w:p>
      <w:pPr>
        <w:pStyle w:val="Heading4"/>
        <w:spacing w:line="391" w:lineRule="auto" w:before="42"/>
        <w:ind w:right="1014" w:firstLine="439"/>
        <w:jc w:val="left"/>
      </w:pPr>
      <w:r>
        <w:rPr/>
        <w:t>报告期内公司行业地位、品牌形象进一步提升。公司荣获“2012年度上海市明星软件企业（经营</w:t>
      </w:r>
      <w:r>
        <w:rPr>
          <w:w w:val="100"/>
        </w:rPr>
        <w:t> </w:t>
      </w:r>
      <w:r>
        <w:rPr>
          <w:spacing w:val="-2"/>
        </w:rPr>
        <w:t>型）”、</w:t>
      </w:r>
      <w:r>
        <w:rPr>
          <w:rFonts w:ascii="宋体" w:hAnsi="宋体" w:cs="宋体" w:eastAsia="宋体" w:hint="default"/>
          <w:spacing w:val="-2"/>
        </w:rPr>
        <w:t>2012</w:t>
      </w:r>
      <w:r>
        <w:rPr>
          <w:spacing w:val="-2"/>
        </w:rPr>
        <w:t>年度上海市明星软件企业（创新型）、上海市科学技术委员会等联合授予的“创新型企</w:t>
      </w:r>
      <w:r>
        <w:rPr>
          <w:spacing w:val="-69"/>
        </w:rPr>
        <w:t> </w:t>
      </w:r>
      <w:r>
        <w:rPr>
          <w:spacing w:val="-69"/>
        </w:rPr>
      </w:r>
      <w:r>
        <w:rPr/>
        <w:t>业”称号等三项奖项，“交技综合收费业务平台软件</w:t>
      </w:r>
      <w:r>
        <w:rPr>
          <w:rFonts w:ascii="宋体" w:hAnsi="宋体" w:cs="宋体" w:eastAsia="宋体" w:hint="default"/>
        </w:rPr>
        <w:t>ITSN</w:t>
      </w:r>
      <w:r>
        <w:rPr>
          <w:rFonts w:ascii="宋体" w:hAnsi="宋体" w:cs="宋体" w:eastAsia="宋体" w:hint="default"/>
          <w:spacing w:val="-50"/>
        </w:rPr>
        <w:t> </w:t>
      </w:r>
      <w:r>
        <w:rPr>
          <w:rFonts w:ascii="宋体" w:hAnsi="宋体" w:cs="宋体" w:eastAsia="宋体" w:hint="default"/>
        </w:rPr>
        <w:t>V3.0</w:t>
      </w:r>
      <w:r>
        <w:rPr/>
        <w:t>”、”交技电子不停车收费软件</w:t>
      </w:r>
      <w:r>
        <w:rPr>
          <w:rFonts w:ascii="宋体" w:hAnsi="宋体" w:cs="宋体" w:eastAsia="宋体" w:hint="default"/>
        </w:rPr>
        <w:t>V1.0</w:t>
      </w:r>
      <w:r>
        <w:rPr/>
        <w:t>”</w:t>
      </w:r>
      <w:r>
        <w:rPr>
          <w:w w:val="100"/>
        </w:rPr>
        <w:t> </w:t>
      </w:r>
      <w:r>
        <w:rPr/>
        <w:t>荣获上海市软件行业协会授予“2012年度上海市优秀软件产品”。</w:t>
      </w:r>
    </w:p>
    <w:p>
      <w:pPr>
        <w:spacing w:line="240" w:lineRule="auto" w:before="13"/>
        <w:rPr>
          <w:rFonts w:ascii="宋体" w:hAnsi="宋体" w:cs="宋体" w:eastAsia="宋体" w:hint="default"/>
          <w:sz w:val="18"/>
          <w:szCs w:val="18"/>
        </w:rPr>
      </w:pPr>
    </w:p>
    <w:p>
      <w:pPr>
        <w:pStyle w:val="Heading3"/>
        <w:spacing w:line="240" w:lineRule="auto"/>
        <w:ind w:right="0"/>
        <w:jc w:val="both"/>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、概述</w:t>
      </w:r>
      <w:r>
        <w:rPr>
          <w:b w:val="0"/>
          <w:bCs w:val="0"/>
        </w:rPr>
      </w:r>
    </w:p>
    <w:p>
      <w:pPr>
        <w:spacing w:line="240" w:lineRule="auto" w:before="10"/>
        <w:rPr>
          <w:rFonts w:ascii="宋体" w:hAnsi="宋体" w:cs="宋体" w:eastAsia="宋体" w:hint="default"/>
          <w:b/>
          <w:bCs/>
          <w:sz w:val="29"/>
          <w:szCs w:val="29"/>
        </w:rPr>
      </w:pPr>
    </w:p>
    <w:p>
      <w:pPr>
        <w:pStyle w:val="Heading4"/>
        <w:spacing w:line="391" w:lineRule="auto" w:before="0"/>
        <w:ind w:right="1128" w:firstLine="439"/>
        <w:jc w:val="both"/>
      </w:pPr>
      <w:r>
        <w:rPr>
          <w:spacing w:val="-2"/>
        </w:rPr>
        <w:t>报告期内，公司实现营业收入</w:t>
      </w:r>
      <w:r>
        <w:rPr>
          <w:rFonts w:ascii="宋体" w:hAnsi="宋体" w:cs="宋体" w:eastAsia="宋体" w:hint="default"/>
          <w:spacing w:val="-2"/>
        </w:rPr>
        <w:t>50,255.36</w:t>
      </w:r>
      <w:r>
        <w:rPr>
          <w:spacing w:val="-2"/>
        </w:rPr>
        <w:t>万元，同比增长</w:t>
      </w:r>
      <w:r>
        <w:rPr>
          <w:rFonts w:ascii="宋体" w:hAnsi="宋体" w:cs="宋体" w:eastAsia="宋体" w:hint="default"/>
          <w:spacing w:val="-2"/>
        </w:rPr>
        <w:t>3.35%</w:t>
      </w:r>
      <w:r>
        <w:rPr>
          <w:spacing w:val="-2"/>
        </w:rPr>
        <w:t>；营业利润</w:t>
      </w:r>
      <w:r>
        <w:rPr>
          <w:rFonts w:ascii="宋体" w:hAnsi="宋体" w:cs="宋体" w:eastAsia="宋体" w:hint="default"/>
          <w:spacing w:val="-2"/>
        </w:rPr>
        <w:t>5,316.68</w:t>
      </w:r>
      <w:r>
        <w:rPr>
          <w:spacing w:val="-2"/>
        </w:rPr>
        <w:t>万元，同比增</w:t>
      </w:r>
      <w:r>
        <w:rPr>
          <w:w w:val="100"/>
        </w:rPr>
        <w:t> </w:t>
      </w:r>
      <w:r>
        <w:rPr/>
        <w:t>长</w:t>
      </w:r>
      <w:r>
        <w:rPr>
          <w:rFonts w:ascii="宋体" w:hAnsi="宋体" w:cs="宋体" w:eastAsia="宋体" w:hint="default"/>
        </w:rPr>
        <w:t>10.38%</w:t>
      </w:r>
      <w:r>
        <w:rPr/>
        <w:t>；利润总额</w:t>
      </w:r>
      <w:r>
        <w:rPr>
          <w:rFonts w:ascii="宋体" w:hAnsi="宋体" w:cs="宋体" w:eastAsia="宋体" w:hint="default"/>
        </w:rPr>
        <w:t>5,355.09</w:t>
      </w:r>
      <w:r>
        <w:rPr/>
        <w:t>万元，同比增长</w:t>
      </w:r>
      <w:r>
        <w:rPr>
          <w:rFonts w:ascii="宋体" w:hAnsi="宋体" w:cs="宋体" w:eastAsia="宋体" w:hint="default"/>
        </w:rPr>
        <w:t>5.99%</w:t>
      </w:r>
      <w:r>
        <w:rPr/>
        <w:t>；净利润</w:t>
      </w:r>
      <w:r>
        <w:rPr>
          <w:rFonts w:ascii="宋体" w:hAnsi="宋体" w:cs="宋体" w:eastAsia="宋体" w:hint="default"/>
        </w:rPr>
        <w:t>4,554.11</w:t>
      </w:r>
      <w:r>
        <w:rPr/>
        <w:t>万元，同比增长</w:t>
      </w:r>
      <w:r>
        <w:rPr>
          <w:rFonts w:ascii="宋体" w:hAnsi="宋体" w:cs="宋体" w:eastAsia="宋体" w:hint="default"/>
        </w:rPr>
        <w:t>8.25%</w:t>
      </w:r>
      <w:r>
        <w:rPr/>
        <w:t>。</w:t>
      </w:r>
    </w:p>
    <w:p>
      <w:pPr>
        <w:spacing w:line="240" w:lineRule="auto" w:before="9"/>
        <w:rPr>
          <w:rFonts w:ascii="宋体" w:hAnsi="宋体" w:cs="宋体" w:eastAsia="宋体" w:hint="default"/>
          <w:sz w:val="29"/>
          <w:szCs w:val="29"/>
        </w:rPr>
      </w:pPr>
    </w:p>
    <w:p>
      <w:pPr>
        <w:pStyle w:val="BodyText"/>
        <w:spacing w:line="240" w:lineRule="auto"/>
        <w:ind w:right="0"/>
        <w:jc w:val="both"/>
      </w:pPr>
      <w:r>
        <w:rPr/>
        <w:t>公司回顾总结前期披露的发展战略和经营计划在报告期内的进展情况</w:t>
      </w:r>
    </w:p>
    <w:p>
      <w:pPr>
        <w:pStyle w:val="Heading4"/>
        <w:spacing w:line="391" w:lineRule="auto" w:before="161"/>
        <w:ind w:left="592" w:right="981"/>
        <w:jc w:val="left"/>
      </w:pPr>
      <w:r>
        <w:rPr/>
        <w:t>（</w:t>
      </w:r>
      <w:r>
        <w:rPr>
          <w:rFonts w:ascii="宋体" w:hAnsi="宋体" w:cs="宋体" w:eastAsia="宋体" w:hint="default"/>
        </w:rPr>
        <w:t>1</w:t>
      </w:r>
      <w:r>
        <w:rPr/>
        <w:t>）市场经营工作继续保持平稳发展，公司业绩的稳定增长得到有力支撑</w:t>
      </w:r>
      <w:r>
        <w:rPr>
          <w:w w:val="100"/>
        </w:rPr>
        <w:t> </w:t>
      </w:r>
      <w:r>
        <w:rPr>
          <w:spacing w:val="-2"/>
        </w:rPr>
        <w:t>报告期内，公司坚持传统地区的市场基地策略，进一步加大市场开发力度，努力克服交通基础设</w:t>
      </w:r>
    </w:p>
    <w:p>
      <w:pPr>
        <w:pStyle w:val="Heading4"/>
        <w:spacing w:line="391" w:lineRule="auto"/>
        <w:ind w:right="1131"/>
        <w:jc w:val="both"/>
      </w:pPr>
      <w:r>
        <w:rPr>
          <w:spacing w:val="-2"/>
        </w:rPr>
        <w:t>施建设进程放缓、智能交通系统集成市场竞争进一步加剧等不利影响，市场经营工作继续保持平稳发</w:t>
      </w:r>
      <w:r>
        <w:rPr>
          <w:spacing w:val="-70"/>
        </w:rPr>
        <w:t> </w:t>
      </w:r>
      <w:r>
        <w:rPr>
          <w:spacing w:val="-70"/>
        </w:rPr>
      </w:r>
      <w:r>
        <w:rPr>
          <w:spacing w:val="-2"/>
        </w:rPr>
        <w:t>展，市场地位继续得到巩固。上海、贵州、云南、重庆、宁夏等传统市场基地都取得良好业绩，智能</w:t>
      </w:r>
      <w:r>
        <w:rPr>
          <w:spacing w:val="-72"/>
        </w:rPr>
        <w:t> </w:t>
      </w:r>
      <w:r>
        <w:rPr>
          <w:spacing w:val="-72"/>
        </w:rPr>
      </w:r>
      <w:r>
        <w:rPr/>
        <w:t>交通系统集成业务订单稳步增长，有力的支撑了公司业绩的稳定增长。</w:t>
      </w:r>
    </w:p>
    <w:p>
      <w:pPr>
        <w:pStyle w:val="Heading4"/>
        <w:spacing w:line="391" w:lineRule="auto"/>
        <w:ind w:right="1088" w:firstLine="439"/>
        <w:jc w:val="both"/>
      </w:pPr>
      <w:r>
        <w:rPr>
          <w:spacing w:val="-2"/>
        </w:rPr>
        <w:t>报告期内，公司继续坚持价值型战略、业务链延伸战略，加大交通、航运信息化和智能交通产品</w:t>
      </w:r>
      <w:r>
        <w:rPr>
          <w:w w:val="100"/>
        </w:rPr>
        <w:t> </w:t>
      </w:r>
      <w:r>
        <w:rPr>
          <w:spacing w:val="-1"/>
        </w:rPr>
        <w:t>的市场开发力度。贵州、重庆和宁夏高速公路联网收费软件继续取得一批后续升级、改造等新合同；</w:t>
      </w:r>
      <w:r>
        <w:rPr>
          <w:spacing w:val="-71"/>
        </w:rPr>
        <w:t> </w:t>
      </w:r>
      <w:r>
        <w:rPr>
          <w:spacing w:val="-71"/>
        </w:rPr>
      </w:r>
      <w:r>
        <w:rPr>
          <w:spacing w:val="-2"/>
        </w:rPr>
        <w:t>交通电子产品分公司积极开拓市场，视频交通参数和事件检测器等智能交通系统配套产品订单逐步增</w:t>
      </w:r>
      <w:r>
        <w:rPr>
          <w:spacing w:val="-73"/>
        </w:rPr>
        <w:t> </w:t>
      </w:r>
      <w:r>
        <w:rPr>
          <w:spacing w:val="-73"/>
        </w:rPr>
      </w:r>
      <w:r>
        <w:rPr/>
        <w:t>加。</w:t>
      </w:r>
    </w:p>
    <w:p>
      <w:pPr>
        <w:pStyle w:val="Heading4"/>
        <w:spacing w:line="240" w:lineRule="auto"/>
        <w:ind w:left="592" w:right="981"/>
        <w:jc w:val="left"/>
      </w:pPr>
      <w:r>
        <w:rPr/>
        <w:t>（</w:t>
      </w:r>
      <w:r>
        <w:rPr>
          <w:rFonts w:ascii="宋体" w:hAnsi="宋体" w:cs="宋体" w:eastAsia="宋体" w:hint="default"/>
        </w:rPr>
        <w:t>2</w:t>
      </w:r>
      <w:r>
        <w:rPr/>
        <w:t>）坚持科技创新，新技术、新产品研发工作有效推进</w:t>
      </w:r>
    </w:p>
    <w:p>
      <w:pPr>
        <w:spacing w:after="0" w:line="240" w:lineRule="auto"/>
        <w:jc w:val="left"/>
        <w:sectPr>
          <w:footerReference w:type="default" r:id="rId15"/>
          <w:pgSz w:w="11910" w:h="16840"/>
          <w:pgMar w:footer="1340" w:header="877" w:top="1100" w:bottom="1540" w:left="980" w:right="0"/>
          <w:pgNumType w:start="11"/>
        </w:sectPr>
      </w:pPr>
    </w:p>
    <w:p>
      <w:pPr>
        <w:spacing w:line="240" w:lineRule="auto" w:before="4"/>
        <w:rPr>
          <w:rFonts w:ascii="宋体" w:hAnsi="宋体" w:cs="宋体" w:eastAsia="宋体" w:hint="default"/>
          <w:sz w:val="26"/>
          <w:szCs w:val="26"/>
        </w:rPr>
      </w:pPr>
    </w:p>
    <w:p>
      <w:pPr>
        <w:pStyle w:val="Heading4"/>
        <w:spacing w:line="391" w:lineRule="auto" w:before="32"/>
        <w:ind w:right="1128" w:firstLine="439"/>
        <w:jc w:val="both"/>
      </w:pPr>
      <w:r>
        <w:rPr>
          <w:spacing w:val="-2"/>
        </w:rPr>
        <w:t>报告期内，公司坚持创新驱动、转型发展，持续跟踪云计算、移动互联网等新一代信息技术的发</w:t>
      </w:r>
      <w:r>
        <w:rPr>
          <w:w w:val="100"/>
        </w:rPr>
        <w:t> </w:t>
      </w:r>
      <w:r>
        <w:rPr>
          <w:spacing w:val="-2"/>
        </w:rPr>
        <w:t>展趋势，积极开展上述领域的应用创新研发；不断推进新一代信息技术与智能交通的深度融合，着力</w:t>
      </w:r>
      <w:r>
        <w:rPr>
          <w:spacing w:val="-67"/>
        </w:rPr>
        <w:t> </w:t>
      </w:r>
      <w:r>
        <w:rPr>
          <w:spacing w:val="-67"/>
        </w:rPr>
      </w:r>
      <w:r>
        <w:rPr>
          <w:spacing w:val="-2"/>
        </w:rPr>
        <w:t>打造公司核心业务的技术创新能力；继续加大新产品的研发投入，新技术、新产品研发工作得到有效</w:t>
      </w:r>
      <w:r>
        <w:rPr>
          <w:spacing w:val="-68"/>
        </w:rPr>
        <w:t> </w:t>
      </w:r>
      <w:r>
        <w:rPr>
          <w:spacing w:val="-68"/>
        </w:rPr>
      </w:r>
      <w:r>
        <w:rPr/>
        <w:t>推进。</w:t>
      </w:r>
    </w:p>
    <w:p>
      <w:pPr>
        <w:pStyle w:val="Heading4"/>
        <w:spacing w:line="240" w:lineRule="auto"/>
        <w:ind w:left="592" w:right="981"/>
        <w:jc w:val="left"/>
      </w:pPr>
      <w:r>
        <w:rPr/>
        <w:t>报告期内，公司共取得软件著作权</w:t>
      </w:r>
      <w:r>
        <w:rPr>
          <w:rFonts w:ascii="宋体" w:hAnsi="宋体" w:cs="宋体" w:eastAsia="宋体" w:hint="default"/>
        </w:rPr>
        <w:t>5</w:t>
      </w:r>
      <w:r>
        <w:rPr/>
        <w:t>项，申请并获授权专利</w:t>
      </w:r>
      <w:r>
        <w:rPr>
          <w:rFonts w:ascii="宋体" w:hAnsi="宋体" w:cs="宋体" w:eastAsia="宋体" w:hint="default"/>
        </w:rPr>
        <w:t>3</w:t>
      </w:r>
      <w:r>
        <w:rPr/>
        <w:t>项，其中发明专利</w:t>
      </w:r>
      <w:r>
        <w:rPr>
          <w:rFonts w:ascii="宋体" w:hAnsi="宋体" w:cs="宋体" w:eastAsia="宋体" w:hint="default"/>
        </w:rPr>
        <w:t>1</w:t>
      </w:r>
      <w:r>
        <w:rPr/>
        <w:t>项。</w:t>
      </w:r>
    </w:p>
    <w:p>
      <w:pPr>
        <w:pStyle w:val="Heading4"/>
        <w:spacing w:line="391" w:lineRule="auto" w:before="180"/>
        <w:ind w:left="592" w:right="981"/>
        <w:jc w:val="left"/>
      </w:pPr>
      <w:r>
        <w:rPr/>
        <w:t>（</w:t>
      </w:r>
      <w:r>
        <w:rPr>
          <w:rFonts w:ascii="宋体" w:hAnsi="宋体" w:cs="宋体" w:eastAsia="宋体" w:hint="default"/>
        </w:rPr>
        <w:t>3</w:t>
      </w:r>
      <w:r>
        <w:rPr/>
        <w:t>）积极开展管理提升活动，促进公司管理精细化</w:t>
      </w:r>
      <w:r>
        <w:rPr>
          <w:w w:val="100"/>
        </w:rPr>
        <w:t> </w:t>
      </w:r>
      <w:r>
        <w:rPr>
          <w:spacing w:val="-1"/>
        </w:rPr>
        <w:t>为加快推进企业管理方式向集约型、精细化转变，全面提升企业管理水平，提高公司盈利能力。</w:t>
      </w:r>
    </w:p>
    <w:p>
      <w:pPr>
        <w:pStyle w:val="Heading4"/>
        <w:spacing w:line="391" w:lineRule="auto"/>
        <w:ind w:right="1130"/>
        <w:jc w:val="both"/>
      </w:pPr>
      <w:r>
        <w:rPr>
          <w:spacing w:val="-2"/>
        </w:rPr>
        <w:t>报告期内公司积极开展管理提升活动。通过开展管理提升活动，找准制约公司发展和管理中的薄弱环</w:t>
      </w:r>
      <w:r>
        <w:rPr>
          <w:spacing w:val="-69"/>
        </w:rPr>
        <w:t> </w:t>
      </w:r>
      <w:r>
        <w:rPr>
          <w:spacing w:val="-69"/>
        </w:rPr>
      </w:r>
      <w:r>
        <w:rPr>
          <w:spacing w:val="-2"/>
        </w:rPr>
        <w:t>节，集中力量，分层次、有重点地改善公司的管理能力，促进公司业务转型发展，提高公司管理效率</w:t>
      </w:r>
      <w:r>
        <w:rPr>
          <w:spacing w:val="-69"/>
        </w:rPr>
        <w:t> </w:t>
      </w:r>
      <w:r>
        <w:rPr>
          <w:spacing w:val="-69"/>
        </w:rPr>
      </w:r>
      <w:r>
        <w:rPr/>
        <w:t>和绩效水平。</w:t>
      </w:r>
    </w:p>
    <w:p>
      <w:pPr>
        <w:pStyle w:val="Heading4"/>
        <w:spacing w:line="391" w:lineRule="auto"/>
        <w:ind w:left="592" w:right="981"/>
        <w:jc w:val="left"/>
      </w:pPr>
      <w:r>
        <w:rPr/>
        <w:t>（</w:t>
      </w:r>
      <w:r>
        <w:rPr>
          <w:rFonts w:ascii="宋体" w:hAnsi="宋体" w:cs="宋体" w:eastAsia="宋体" w:hint="default"/>
        </w:rPr>
        <w:t>4</w:t>
      </w:r>
      <w:r>
        <w:rPr/>
        <w:t>）募集资金建设项目及未来三年业务发展规划编制工作得到有序推进</w:t>
      </w:r>
      <w:r>
        <w:rPr>
          <w:w w:val="100"/>
        </w:rPr>
        <w:t> </w:t>
      </w:r>
      <w:r>
        <w:rPr>
          <w:spacing w:val="-2"/>
        </w:rPr>
        <w:t>报告期内，公司本着对市场和股东负责的态度，按照建设计划积极推进募集资金建设项目的推进</w:t>
      </w:r>
    </w:p>
    <w:p>
      <w:pPr>
        <w:pStyle w:val="Heading4"/>
        <w:spacing w:line="391" w:lineRule="auto"/>
        <w:ind w:right="981"/>
        <w:jc w:val="left"/>
      </w:pPr>
      <w:r>
        <w:rPr/>
        <w:t>工作。注册设立了贵阳等五个驻外分公司，开通了公司本部与外地分公司视频会议和</w:t>
      </w:r>
      <w:r>
        <w:rPr>
          <w:rFonts w:ascii="宋体" w:hAnsi="宋体" w:cs="宋体" w:eastAsia="宋体" w:hint="default"/>
        </w:rPr>
        <w:t>ERP</w:t>
      </w:r>
      <w:r>
        <w:rPr/>
        <w:t>系统；截至</w:t>
      </w:r>
      <w:r>
        <w:rPr>
          <w:w w:val="100"/>
        </w:rPr>
        <w:t> </w:t>
      </w:r>
      <w:r>
        <w:rPr/>
        <w:t>报告期末，“销售和技术支持基地建设项目”除重庆分公司因办公用房未交付外已基本建设完毕；</w:t>
      </w:r>
      <w:r>
        <w:rPr>
          <w:w w:val="100"/>
        </w:rPr>
        <w:t> </w:t>
      </w:r>
      <w:r>
        <w:rPr>
          <w:spacing w:val="-2"/>
        </w:rPr>
        <w:t>“研发中心综合楼建设项目”的前期基础配套工作基本完成；“智能交通系统视频交通参数及事件检</w:t>
      </w:r>
      <w:r>
        <w:rPr>
          <w:spacing w:val="-72"/>
        </w:rPr>
        <w:t> </w:t>
      </w:r>
      <w:r>
        <w:rPr>
          <w:spacing w:val="-72"/>
        </w:rPr>
      </w:r>
      <w:r>
        <w:rPr>
          <w:spacing w:val="-2"/>
        </w:rPr>
        <w:t>测器研发及产业化项目”已完成研发并进入小批量生产阶段；“新一代高速公路收费业务平台研发及</w:t>
      </w:r>
      <w:r>
        <w:rPr>
          <w:spacing w:val="-71"/>
        </w:rPr>
        <w:t> </w:t>
      </w:r>
      <w:r>
        <w:rPr>
          <w:spacing w:val="-71"/>
        </w:rPr>
      </w:r>
      <w:r>
        <w:rPr>
          <w:spacing w:val="-2"/>
        </w:rPr>
        <w:t>产业化项目”研发工作基本完成，其成果已在上海、贵阳、重庆、宁夏、广东等多个各省、市得到推</w:t>
      </w:r>
      <w:r>
        <w:rPr>
          <w:spacing w:val="-74"/>
        </w:rPr>
        <w:t> </w:t>
      </w:r>
      <w:r>
        <w:rPr>
          <w:spacing w:val="-74"/>
        </w:rPr>
      </w:r>
      <w:r>
        <w:rPr/>
        <w:t>广使用。</w:t>
      </w:r>
    </w:p>
    <w:p>
      <w:pPr>
        <w:pStyle w:val="Heading4"/>
        <w:spacing w:line="388" w:lineRule="auto"/>
        <w:ind w:right="981" w:firstLine="439"/>
        <w:jc w:val="left"/>
        <w:rPr>
          <w:sz w:val="18"/>
          <w:szCs w:val="18"/>
        </w:rPr>
      </w:pPr>
      <w:r>
        <w:rPr>
          <w:spacing w:val="-5"/>
        </w:rPr>
        <w:t>报告期内，公司还认真开展了业务、技术规划工作。公司董事会牵头组织各职能部门、业务部门，</w:t>
      </w:r>
      <w:r>
        <w:rPr>
          <w:w w:val="100"/>
        </w:rPr>
        <w:t> </w:t>
      </w:r>
      <w:r>
        <w:rPr/>
        <w:t>对公司未来三年业务发展规划进行了系统性的调研和分析；在行业、市场环境及趋势、前三年规划执</w:t>
      </w:r>
      <w:r>
        <w:rPr>
          <w:w w:val="100"/>
        </w:rPr>
        <w:t> </w:t>
      </w:r>
      <w:r>
        <w:rPr/>
        <w:t>行状况、人力资源的规划、上市募集资金使用规划等专题上作了深入的研究，并起草了相关报告，为</w:t>
      </w:r>
      <w:r>
        <w:rPr>
          <w:w w:val="100"/>
        </w:rPr>
        <w:t> </w:t>
      </w:r>
      <w:r>
        <w:rPr/>
        <w:t>公司制订未来三年业务发展规划和重大经营决策做了比较充分的铺垫。</w:t>
      </w:r>
      <w:r>
        <w:rPr>
          <w:w w:val="100"/>
        </w:rPr>
        <w:t> </w:t>
      </w:r>
      <w:r>
        <w:rPr>
          <w:sz w:val="18"/>
          <w:szCs w:val="18"/>
        </w:rPr>
        <w:t>公司实际经营业绩较曾公开披露过的本年度盈利预测低于或高于</w:t>
      </w:r>
      <w:r>
        <w:rPr>
          <w:spacing w:val="-43"/>
          <w:sz w:val="18"/>
          <w:szCs w:val="18"/>
        </w:rPr>
        <w:t> </w:t>
      </w:r>
      <w:r>
        <w:rPr>
          <w:rFonts w:ascii="Times New Roman" w:hAnsi="Times New Roman" w:cs="Times New Roman" w:eastAsia="Times New Roman" w:hint="default"/>
          <w:sz w:val="18"/>
          <w:szCs w:val="18"/>
        </w:rPr>
        <w:t>20%</w:t>
      </w:r>
      <w:r>
        <w:rPr>
          <w:sz w:val="18"/>
          <w:szCs w:val="18"/>
        </w:rPr>
        <w:t>以上的差异原因</w:t>
      </w:r>
    </w:p>
    <w:p>
      <w:pPr>
        <w:pStyle w:val="BodyText"/>
        <w:spacing w:line="227" w:lineRule="exact"/>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5"/>
        <w:spacing w:line="240" w:lineRule="auto"/>
        <w:ind w:right="981"/>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1"/>
        <w:jc w:val="left"/>
      </w:pPr>
      <w:r>
        <w:rPr/>
        <w:t>说明</w:t>
      </w:r>
    </w:p>
    <w:p>
      <w:pPr>
        <w:pStyle w:val="Heading4"/>
        <w:spacing w:line="391" w:lineRule="auto" w:before="161"/>
        <w:ind w:right="1088" w:firstLine="439"/>
        <w:jc w:val="both"/>
      </w:pPr>
      <w:r>
        <w:rPr>
          <w:rFonts w:ascii="宋体" w:hAnsi="宋体" w:cs="宋体" w:eastAsia="宋体" w:hint="default"/>
          <w:spacing w:val="-2"/>
        </w:rPr>
        <w:t>2012</w:t>
      </w:r>
      <w:r>
        <w:rPr>
          <w:spacing w:val="-2"/>
        </w:rPr>
        <w:t>年公司实现营业收入</w:t>
      </w:r>
      <w:r>
        <w:rPr>
          <w:rFonts w:ascii="宋体" w:hAnsi="宋体" w:cs="宋体" w:eastAsia="宋体" w:hint="default"/>
          <w:spacing w:val="-2"/>
        </w:rPr>
        <w:t>50,255.36</w:t>
      </w:r>
      <w:r>
        <w:rPr>
          <w:spacing w:val="-2"/>
        </w:rPr>
        <w:t>万元，其中：主营业务收入</w:t>
      </w:r>
      <w:r>
        <w:rPr>
          <w:rFonts w:ascii="宋体" w:hAnsi="宋体" w:cs="宋体" w:eastAsia="宋体" w:hint="default"/>
          <w:spacing w:val="-2"/>
        </w:rPr>
        <w:t>49,909.03</w:t>
      </w:r>
      <w:r>
        <w:rPr>
          <w:spacing w:val="-2"/>
        </w:rPr>
        <w:t>万元，占年度营业收入</w:t>
      </w:r>
      <w:r>
        <w:rPr>
          <w:w w:val="100"/>
        </w:rPr>
        <w:t> </w:t>
      </w:r>
      <w:r>
        <w:rPr>
          <w:spacing w:val="-1"/>
        </w:rPr>
        <w:t>的比例为</w:t>
      </w:r>
      <w:r>
        <w:rPr>
          <w:rFonts w:ascii="宋体" w:hAnsi="宋体" w:cs="宋体" w:eastAsia="宋体" w:hint="default"/>
          <w:spacing w:val="-1"/>
        </w:rPr>
        <w:t>99.31%</w:t>
      </w:r>
      <w:r>
        <w:rPr>
          <w:spacing w:val="-1"/>
        </w:rPr>
        <w:t>，比上年提高</w:t>
      </w:r>
      <w:r>
        <w:rPr>
          <w:rFonts w:ascii="宋体" w:hAnsi="宋体" w:cs="宋体" w:eastAsia="宋体" w:hint="default"/>
          <w:spacing w:val="-1"/>
        </w:rPr>
        <w:t>0.18%</w:t>
      </w:r>
      <w:r>
        <w:rPr>
          <w:spacing w:val="-1"/>
        </w:rPr>
        <w:t>；其他业务收入为</w:t>
      </w:r>
      <w:r>
        <w:rPr>
          <w:rFonts w:ascii="宋体" w:hAnsi="宋体" w:cs="宋体" w:eastAsia="宋体" w:hint="default"/>
          <w:spacing w:val="-1"/>
        </w:rPr>
        <w:t>346.33</w:t>
      </w:r>
      <w:r>
        <w:rPr>
          <w:spacing w:val="-1"/>
        </w:rPr>
        <w:t>万元，占年度营业收入的比例为</w:t>
      </w:r>
      <w:r>
        <w:rPr>
          <w:rFonts w:ascii="宋体" w:hAnsi="宋体" w:cs="宋体" w:eastAsia="宋体" w:hint="default"/>
          <w:spacing w:val="-1"/>
        </w:rPr>
        <w:t>0.69%</w:t>
      </w:r>
      <w:r>
        <w:rPr>
          <w:spacing w:val="-1"/>
        </w:rPr>
        <w:t>，</w:t>
      </w:r>
      <w:r>
        <w:rPr>
          <w:spacing w:val="-62"/>
        </w:rPr>
        <w:t> </w:t>
      </w:r>
      <w:r>
        <w:rPr/>
        <w:t>比上年下降</w:t>
      </w:r>
      <w:r>
        <w:rPr>
          <w:rFonts w:ascii="宋体" w:hAnsi="宋体" w:cs="宋体" w:eastAsia="宋体" w:hint="default"/>
        </w:rPr>
        <w:t>0.18%</w:t>
      </w:r>
      <w:r>
        <w:rPr/>
        <w:t>。报告期内，主营业务收入、其他业务收入与营业收入的整体占比未发生明显的变</w:t>
      </w:r>
    </w:p>
    <w:p>
      <w:pPr>
        <w:spacing w:after="0" w:line="391" w:lineRule="auto"/>
        <w:jc w:val="both"/>
        <w:sectPr>
          <w:pgSz w:w="11910" w:h="16840"/>
          <w:pgMar w:header="877" w:footer="1340" w:top="1100" w:bottom="1540" w:left="980" w:right="0"/>
        </w:sectPr>
      </w:pPr>
    </w:p>
    <w:p>
      <w:pPr>
        <w:spacing w:line="240" w:lineRule="auto" w:before="4"/>
        <w:rPr>
          <w:rFonts w:ascii="宋体" w:hAnsi="宋体" w:cs="宋体" w:eastAsia="宋体" w:hint="default"/>
          <w:sz w:val="26"/>
          <w:szCs w:val="26"/>
        </w:rPr>
      </w:pPr>
    </w:p>
    <w:p>
      <w:pPr>
        <w:pStyle w:val="Heading4"/>
        <w:spacing w:line="240" w:lineRule="auto" w:before="32"/>
        <w:ind w:right="981"/>
        <w:jc w:val="left"/>
      </w:pPr>
      <w:r>
        <w:rPr>
          <w:spacing w:val="-5"/>
        </w:rPr>
        <w:t>化。</w:t>
      </w:r>
      <w:r>
        <w:rPr>
          <w:rFonts w:ascii="宋体" w:hAnsi="宋体" w:cs="宋体" w:eastAsia="宋体" w:hint="default"/>
          <w:spacing w:val="-5"/>
        </w:rPr>
        <w:t>2012</w:t>
      </w:r>
      <w:r>
        <w:rPr>
          <w:spacing w:val="-5"/>
        </w:rPr>
        <w:t>年，公司实施的“调结构、促转型”战略初见成效，主营业务毛利率保持了一定的上升势头。</w:t>
      </w:r>
    </w:p>
    <w:p>
      <w:pPr>
        <w:pStyle w:val="BodyText"/>
        <w:spacing w:line="240" w:lineRule="auto" w:before="174"/>
        <w:ind w:right="981"/>
        <w:jc w:val="left"/>
      </w:pPr>
      <w:r>
        <w:rPr/>
        <w:t>公司实物销售收入是否大于劳务收入</w:t>
      </w:r>
    </w:p>
    <w:p>
      <w:pPr>
        <w:pStyle w:val="BodyText"/>
        <w:spacing w:line="340" w:lineRule="auto" w:before="115"/>
        <w:ind w:right="87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公司重大的在手订单情况</w:t>
      </w:r>
    </w:p>
    <w:p>
      <w:pPr>
        <w:pStyle w:val="BodyText"/>
        <w:spacing w:line="338" w:lineRule="auto" w:before="41"/>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公司报告期内产品或服务发生重大变化或调整有关情况</w:t>
      </w:r>
    </w:p>
    <w:p>
      <w:pPr>
        <w:pStyle w:val="BodyText"/>
        <w:spacing w:line="340" w:lineRule="auto" w:before="43"/>
        <w:ind w:right="89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公司主要销售客户情况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229,247,892.35</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45.62%</w:t>
            </w:r>
          </w:p>
        </w:tc>
      </w:tr>
    </w:tbl>
    <w:p>
      <w:pPr>
        <w:pStyle w:val="BodyText"/>
        <w:spacing w:line="240" w:lineRule="auto" w:before="49"/>
        <w:ind w:right="981"/>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3"/>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67,109,208.73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65,919,015.59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13.12%</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37,556,624.43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32,050,715.03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6.38%</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26,612,328.57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229,247,892.35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45.62%</w:t>
            </w:r>
          </w:p>
        </w:tc>
      </w:tr>
    </w:tbl>
    <w:p>
      <w:pPr>
        <w:spacing w:line="240" w:lineRule="auto" w:before="3"/>
        <w:rPr>
          <w:rFonts w:ascii="宋体" w:hAnsi="宋体" w:cs="宋体" w:eastAsia="宋体" w:hint="default"/>
          <w:sz w:val="19"/>
          <w:szCs w:val="19"/>
        </w:rPr>
      </w:pPr>
    </w:p>
    <w:p>
      <w:pPr>
        <w:pStyle w:val="Heading5"/>
        <w:spacing w:line="240" w:lineRule="auto" w:before="36"/>
        <w:ind w:right="981"/>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1"/>
        <w:jc w:val="left"/>
      </w:pPr>
      <w:r>
        <w:rPr/>
        <w:t>行业分类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60"/>
        <w:gridCol w:w="1369"/>
        <w:gridCol w:w="1366"/>
        <w:gridCol w:w="1368"/>
        <w:gridCol w:w="1366"/>
        <w:gridCol w:w="1369"/>
        <w:gridCol w:w="1243"/>
      </w:tblGrid>
      <w:tr>
        <w:trPr>
          <w:trHeight w:val="403"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4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261,662,929.69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258,388,821.46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64.25%</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21,813,999.31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19,985,360.16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9.15%</w:t>
            </w:r>
          </w:p>
        </w:tc>
      </w:tr>
      <w:tr>
        <w:trPr>
          <w:trHeight w:val="40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外协劳务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95,571,185.14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98,026,628.87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24.37%</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29,149,293.80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25,769,903.87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6.41%</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13.11%</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408,197,407.94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402,170,714.36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w:t>
            </w:r>
          </w:p>
        </w:tc>
      </w:tr>
    </w:tbl>
    <w:p>
      <w:pPr>
        <w:pStyle w:val="BodyText"/>
        <w:spacing w:line="240" w:lineRule="auto" w:before="49"/>
        <w:ind w:right="981"/>
        <w:jc w:val="left"/>
      </w:pPr>
      <w:r>
        <w:rPr/>
        <w:t>产品分类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2"/>
        <w:gridCol w:w="1369"/>
        <w:gridCol w:w="1366"/>
        <w:gridCol w:w="1368"/>
        <w:gridCol w:w="1366"/>
        <w:gridCol w:w="1196"/>
        <w:gridCol w:w="1133"/>
      </w:tblGrid>
      <w:tr>
        <w:trPr>
          <w:trHeight w:val="401" w:hRule="exact"/>
        </w:trPr>
        <w:tc>
          <w:tcPr>
            <w:tcW w:w="18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5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403"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4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2" w:right="0"/>
              <w:jc w:val="left"/>
              <w:rPr>
                <w:rFonts w:ascii="宋体" w:hAnsi="宋体" w:cs="宋体" w:eastAsia="宋体" w:hint="default"/>
                <w:sz w:val="18"/>
                <w:szCs w:val="18"/>
              </w:rPr>
            </w:pPr>
            <w:r>
              <w:rPr>
                <w:rFonts w:ascii="宋体" w:hAnsi="宋体" w:cs="宋体" w:eastAsia="宋体" w:hint="default"/>
                <w:sz w:val="18"/>
                <w:szCs w:val="18"/>
              </w:rPr>
              <w:t>占营业成本比</w:t>
            </w:r>
          </w:p>
        </w:tc>
        <w:tc>
          <w:tcPr>
            <w:tcW w:w="1133"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1340" w:top="1100" w:bottom="154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844"/>
        <w:gridCol w:w="1369"/>
        <w:gridCol w:w="1366"/>
        <w:gridCol w:w="1368"/>
        <w:gridCol w:w="1366"/>
        <w:gridCol w:w="1196"/>
        <w:gridCol w:w="1133"/>
      </w:tblGrid>
      <w:tr>
        <w:trPr>
          <w:trHeight w:val="36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7" w:right="0"/>
              <w:jc w:val="left"/>
              <w:rPr>
                <w:rFonts w:ascii="宋体" w:hAnsi="宋体" w:cs="宋体" w:eastAsia="宋体" w:hint="default"/>
                <w:sz w:val="18"/>
                <w:szCs w:val="18"/>
              </w:rPr>
            </w:pPr>
            <w:r>
              <w:rPr>
                <w:rFonts w:ascii="宋体" w:hAnsi="宋体" w:cs="宋体" w:eastAsia="宋体" w:hint="default"/>
                <w:sz w:val="18"/>
                <w:szCs w:val="18"/>
              </w:rPr>
              <w:t>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智能交通系统集成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245,479,172.44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247,970,357.10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智能交通系统集成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18,860,681.15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16,718,704.73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12.81%</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智能交通系统集成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外协劳务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94,223,826.97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96,363,186.56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智能交通系统集成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27,087,955.86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22,607,692.85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19.82%</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智能交通系统集成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385,651,636.42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94.48%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383,659,941.24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0.52%</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工业自动化设备销售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16,183,757.25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10,418,464.36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55.34%</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工业自动化设备销售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2,953,318.16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3,266,655.43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-9.59%</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工业自动化设备销售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外协劳务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1,347,358.17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1,663,442.31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工业自动化设备销售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2,061,337.94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3,162,211.02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-34.81%</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工业自动化设备销售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22,545,771.52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18,510,773.12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21.80%</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408,197,407.94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402,170,714.36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w:t>
            </w:r>
          </w:p>
        </w:tc>
      </w:tr>
    </w:tbl>
    <w:p>
      <w:pPr>
        <w:spacing w:line="240" w:lineRule="auto" w:before="4"/>
        <w:rPr>
          <w:rFonts w:ascii="宋体" w:hAnsi="宋体" w:cs="宋体" w:eastAsia="宋体" w:hint="default"/>
          <w:sz w:val="27"/>
          <w:szCs w:val="27"/>
        </w:rPr>
      </w:pPr>
    </w:p>
    <w:p>
      <w:pPr>
        <w:pStyle w:val="BodyText"/>
        <w:spacing w:line="240" w:lineRule="auto" w:before="44"/>
        <w:ind w:right="981"/>
        <w:jc w:val="left"/>
      </w:pPr>
      <w:r>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57,150,438.17</w:t>
            </w:r>
          </w:p>
        </w:tc>
      </w:tr>
      <w:tr>
        <w:trPr>
          <w:trHeight w:val="403" w:hRule="exact"/>
        </w:trPr>
        <w:tc>
          <w:tcPr>
            <w:tcW w:w="42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21.54%</w:t>
            </w:r>
          </w:p>
        </w:tc>
      </w:tr>
    </w:tbl>
    <w:p>
      <w:pPr>
        <w:spacing w:line="240" w:lineRule="auto" w:before="2"/>
        <w:rPr>
          <w:rFonts w:ascii="宋体" w:hAnsi="宋体" w:cs="宋体" w:eastAsia="宋体" w:hint="default"/>
          <w:sz w:val="27"/>
          <w:szCs w:val="27"/>
        </w:rPr>
      </w:pPr>
    </w:p>
    <w:p>
      <w:pPr>
        <w:pStyle w:val="BodyText"/>
        <w:spacing w:line="240" w:lineRule="auto" w:before="44"/>
        <w:ind w:right="981"/>
        <w:jc w:val="left"/>
      </w:pPr>
      <w:r>
        <w:rPr/>
        <w:pict>
          <v:shape style="position:absolute;margin-left:263.570007pt;margin-top:-37.92828pt;width:270.2pt;height:19.6pt;mso-position-horizontal-relative:page;mso-position-vertical-relative:paragraph;z-index:-560800"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71.010010pt;margin-top:-37.92828pt;width:262.75pt;height:19.6pt;mso-position-horizontal-relative:page;mso-position-vertical-relative:paragraph;z-index:-560776" coordorigin="5420,-759" coordsize="5255,392">
            <v:shape style="position:absolute;left:5420;top:-759;width:5255;height:392" coordorigin="5420,-759" coordsize="5255,392" path="m5420,-367l10675,-367,10675,-759,5420,-759,5420,-367xe" filled="true" fillcolor="#ffffff" stroked="false">
              <v:path arrowok="t"/>
              <v:fill type="solid"/>
            </v:shape>
            <w10:wrap type="none"/>
          </v:group>
        </w:pict>
      </w: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3"/>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23,418,941.44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8,565,728.80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8,120,639.73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6,045,128.20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57,150,438.17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21.54%</w:t>
            </w:r>
          </w:p>
        </w:tc>
      </w:tr>
    </w:tbl>
    <w:p>
      <w:pPr>
        <w:spacing w:line="240" w:lineRule="auto" w:before="3"/>
        <w:rPr>
          <w:rFonts w:ascii="宋体" w:hAnsi="宋体" w:cs="宋体" w:eastAsia="宋体" w:hint="default"/>
          <w:sz w:val="19"/>
          <w:szCs w:val="19"/>
        </w:rPr>
      </w:pPr>
    </w:p>
    <w:p>
      <w:pPr>
        <w:pStyle w:val="Heading5"/>
        <w:spacing w:line="240" w:lineRule="auto" w:before="36"/>
        <w:ind w:right="981"/>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12"/>
        <w:rPr>
          <w:rFonts w:ascii="宋体" w:hAnsi="宋体" w:cs="宋体" w:eastAsia="宋体" w:hint="default"/>
          <w:b/>
          <w:bCs/>
          <w:sz w:val="29"/>
          <w:szCs w:val="29"/>
        </w:rPr>
      </w:pPr>
    </w:p>
    <w:p>
      <w:pPr>
        <w:pStyle w:val="Heading4"/>
        <w:spacing w:line="391" w:lineRule="auto" w:before="0"/>
        <w:ind w:right="981" w:firstLine="439"/>
        <w:jc w:val="left"/>
      </w:pPr>
      <w:r>
        <w:rPr>
          <w:spacing w:val="-2"/>
        </w:rPr>
        <w:t>（</w:t>
      </w:r>
      <w:r>
        <w:rPr>
          <w:rFonts w:ascii="宋体" w:hAnsi="宋体" w:cs="宋体" w:eastAsia="宋体" w:hint="default"/>
          <w:spacing w:val="-2"/>
        </w:rPr>
        <w:t>1</w:t>
      </w:r>
      <w:r>
        <w:rPr>
          <w:spacing w:val="-2"/>
        </w:rPr>
        <w:t>）报告期资产减值损失较上年同期增加</w:t>
      </w:r>
      <w:r>
        <w:rPr>
          <w:rFonts w:ascii="宋体" w:hAnsi="宋体" w:cs="宋体" w:eastAsia="宋体" w:hint="default"/>
          <w:spacing w:val="-2"/>
        </w:rPr>
        <w:t>449.59</w:t>
      </w:r>
      <w:r>
        <w:rPr>
          <w:spacing w:val="-2"/>
        </w:rPr>
        <w:t>万元，增长</w:t>
      </w:r>
      <w:r>
        <w:rPr>
          <w:rFonts w:ascii="宋体" w:hAnsi="宋体" w:cs="宋体" w:eastAsia="宋体" w:hint="default"/>
          <w:spacing w:val="-2"/>
        </w:rPr>
        <w:t>424.58%</w:t>
      </w:r>
      <w:r>
        <w:rPr>
          <w:spacing w:val="-2"/>
        </w:rPr>
        <w:t>，主要系本期应收账款增加</w:t>
      </w:r>
      <w:r>
        <w:rPr>
          <w:w w:val="100"/>
        </w:rPr>
        <w:t> </w:t>
      </w:r>
      <w:r>
        <w:rPr/>
        <w:t>所致；</w:t>
      </w:r>
    </w:p>
    <w:p>
      <w:pPr>
        <w:pStyle w:val="Heading4"/>
        <w:spacing w:line="388" w:lineRule="auto"/>
        <w:ind w:right="981" w:firstLine="439"/>
        <w:jc w:val="left"/>
      </w:pPr>
      <w:r>
        <w:rPr>
          <w:spacing w:val="-1"/>
        </w:rPr>
        <w:t>（</w:t>
      </w:r>
      <w:r>
        <w:rPr>
          <w:rFonts w:ascii="宋体" w:hAnsi="宋体" w:cs="宋体" w:eastAsia="宋体" w:hint="default"/>
          <w:spacing w:val="-1"/>
        </w:rPr>
        <w:t>2</w:t>
      </w:r>
      <w:r>
        <w:rPr>
          <w:spacing w:val="-1"/>
        </w:rPr>
        <w:t>）报告期营业外收入较上年同期减少</w:t>
      </w:r>
      <w:r>
        <w:rPr>
          <w:rFonts w:ascii="宋体" w:hAnsi="宋体" w:cs="宋体" w:eastAsia="宋体" w:hint="default"/>
          <w:spacing w:val="-1"/>
        </w:rPr>
        <w:t>197.10</w:t>
      </w:r>
      <w:r>
        <w:rPr>
          <w:spacing w:val="-1"/>
        </w:rPr>
        <w:t>万元，减少</w:t>
      </w:r>
      <w:r>
        <w:rPr>
          <w:rFonts w:ascii="宋体" w:hAnsi="宋体" w:cs="宋体" w:eastAsia="宋体" w:hint="default"/>
          <w:spacing w:val="-1"/>
        </w:rPr>
        <w:t>81.70%</w:t>
      </w:r>
      <w:r>
        <w:rPr>
          <w:spacing w:val="-1"/>
        </w:rPr>
        <w:t>，主要系政府补贴收入减少所</w:t>
      </w:r>
      <w:r>
        <w:rPr>
          <w:w w:val="100"/>
        </w:rPr>
        <w:t> </w:t>
      </w:r>
      <w:r>
        <w:rPr/>
        <w:t>致。</w:t>
      </w:r>
    </w:p>
    <w:p>
      <w:pPr>
        <w:spacing w:after="0" w:line="388" w:lineRule="auto"/>
        <w:jc w:val="left"/>
        <w:sectPr>
          <w:pgSz w:w="11910" w:h="16840"/>
          <w:pgMar w:header="877" w:footer="1340" w:top="1100" w:bottom="1540" w:left="980" w:right="0"/>
        </w:sectPr>
      </w:pPr>
    </w:p>
    <w:p>
      <w:pPr>
        <w:spacing w:line="240" w:lineRule="auto" w:before="11"/>
        <w:rPr>
          <w:rFonts w:ascii="宋体" w:hAnsi="宋体" w:cs="宋体" w:eastAsia="宋体" w:hint="default"/>
          <w:sz w:val="20"/>
          <w:szCs w:val="20"/>
        </w:rPr>
      </w:pPr>
    </w:p>
    <w:p>
      <w:pPr>
        <w:pStyle w:val="Heading5"/>
        <w:spacing w:line="240" w:lineRule="auto" w:before="36"/>
        <w:ind w:right="981"/>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12"/>
        <w:rPr>
          <w:rFonts w:ascii="宋体" w:hAnsi="宋体" w:cs="宋体" w:eastAsia="宋体" w:hint="default"/>
          <w:b/>
          <w:bCs/>
          <w:sz w:val="29"/>
          <w:szCs w:val="29"/>
        </w:rPr>
      </w:pPr>
    </w:p>
    <w:p>
      <w:pPr>
        <w:pStyle w:val="Heading4"/>
        <w:spacing w:line="391" w:lineRule="auto" w:before="0"/>
        <w:ind w:right="1129" w:firstLine="439"/>
        <w:jc w:val="both"/>
      </w:pPr>
      <w:r>
        <w:rPr/>
        <w:t>报告期内，公司按照《公司三年发展规划（</w:t>
      </w:r>
      <w:r>
        <w:rPr>
          <w:rFonts w:ascii="宋体" w:hAnsi="宋体" w:cs="宋体" w:eastAsia="宋体" w:hint="default"/>
        </w:rPr>
        <w:t>2013-2015</w:t>
      </w:r>
      <w:r>
        <w:rPr/>
        <w:t>年）》和市场需求，组织开展“违章停车</w:t>
      </w:r>
      <w:r>
        <w:rPr>
          <w:w w:val="100"/>
        </w:rPr>
        <w:t> </w:t>
      </w:r>
      <w:r>
        <w:rPr>
          <w:spacing w:val="-2"/>
        </w:rPr>
        <w:t>自动抓拍系统”、“基于云服务的移动终端应急指挥平台软件”、“基于视频检测的智能交通处理系</w:t>
      </w:r>
      <w:r>
        <w:rPr>
          <w:spacing w:val="-69"/>
        </w:rPr>
        <w:t> </w:t>
      </w:r>
      <w:r>
        <w:rPr>
          <w:spacing w:val="-69"/>
        </w:rPr>
      </w:r>
      <w:r>
        <w:rPr>
          <w:spacing w:val="-2"/>
        </w:rPr>
        <w:t>统”等研发工作，其中，“违章停车自动抓拍系统”的研发工作基本完成；形成了具备较强竞争力的</w:t>
      </w:r>
      <w:r>
        <w:rPr>
          <w:spacing w:val="-67"/>
        </w:rPr>
        <w:t> </w:t>
      </w:r>
      <w:r>
        <w:rPr>
          <w:spacing w:val="-67"/>
        </w:rPr>
      </w:r>
      <w:r>
        <w:rPr>
          <w:spacing w:val="-2"/>
        </w:rPr>
        <w:t>智能交通系统解决方案；成功研发了航运信息化领域多项信息应用软件系统，公司在继续保持技术先</w:t>
      </w:r>
      <w:r>
        <w:rPr>
          <w:spacing w:val="-69"/>
        </w:rPr>
        <w:t> </w:t>
      </w:r>
      <w:r>
        <w:rPr>
          <w:spacing w:val="-69"/>
        </w:rPr>
      </w:r>
      <w:r>
        <w:rPr/>
        <w:t>进性的同时，获得了较好的市场经济效益。</w:t>
      </w:r>
    </w:p>
    <w:p>
      <w:pPr>
        <w:pStyle w:val="Heading4"/>
        <w:spacing w:line="391" w:lineRule="auto"/>
        <w:ind w:right="981" w:firstLine="439"/>
        <w:jc w:val="left"/>
      </w:pPr>
      <w:r>
        <w:rPr>
          <w:spacing w:val="-2"/>
        </w:rPr>
        <w:t>报告期内公司发生的研发费用支出合计为</w:t>
      </w:r>
      <w:r>
        <w:rPr>
          <w:rFonts w:ascii="宋体" w:hAnsi="宋体" w:cs="宋体" w:eastAsia="宋体" w:hint="default"/>
          <w:spacing w:val="-2"/>
        </w:rPr>
        <w:t>1,755</w:t>
      </w:r>
      <w:r>
        <w:rPr>
          <w:spacing w:val="-2"/>
        </w:rPr>
        <w:t>万元（报告期内研发费用专项审计尚在进行中），</w:t>
      </w:r>
      <w:r>
        <w:rPr>
          <w:w w:val="100"/>
        </w:rPr>
        <w:t> </w:t>
      </w:r>
      <w:r>
        <w:rPr/>
        <w:t>其中</w:t>
      </w:r>
      <w:r>
        <w:rPr>
          <w:rFonts w:ascii="宋体" w:hAnsi="宋体" w:cs="宋体" w:eastAsia="宋体" w:hint="default"/>
        </w:rPr>
        <w:t>597</w:t>
      </w:r>
      <w:r>
        <w:rPr/>
        <w:t>万元由公司管理费承担，研发支出占报告期末经审计净资产的</w:t>
      </w:r>
      <w:r>
        <w:rPr>
          <w:rFonts w:ascii="宋体" w:hAnsi="宋体" w:cs="宋体" w:eastAsia="宋体" w:hint="default"/>
        </w:rPr>
        <w:t>3.02%</w:t>
      </w:r>
      <w:r>
        <w:rPr/>
        <w:t>；占当年营业收入的</w:t>
      </w:r>
      <w:r>
        <w:rPr>
          <w:w w:val="100"/>
        </w:rPr>
        <w:t> </w:t>
      </w:r>
      <w:r>
        <w:rPr>
          <w:rFonts w:ascii="宋体" w:hAnsi="宋体" w:cs="宋体" w:eastAsia="宋体" w:hint="default"/>
        </w:rPr>
        <w:t>3.49%</w:t>
      </w:r>
      <w:r>
        <w:rPr/>
        <w:t>。</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5"/>
          <w:szCs w:val="25"/>
        </w:rPr>
      </w:pPr>
    </w:p>
    <w:p>
      <w:pPr>
        <w:pStyle w:val="Heading5"/>
        <w:spacing w:line="240" w:lineRule="auto"/>
        <w:ind w:right="981"/>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402"/>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29"/>
        <w:gridCol w:w="2279"/>
        <w:gridCol w:w="2268"/>
        <w:gridCol w:w="2269"/>
      </w:tblGrid>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3"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474,771,606.54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648,933,104.85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-26.84%</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434,630,909.22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603,273,481.78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-27.95%</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40,140,697.32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45,659,623.07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-12.09%</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1,835,000.00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129.38%</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4,993,581.80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20,053,023.08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-75.10%</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-3,158,581.80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-19,253,023.08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-83.59%</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79" w:type="dxa"/>
            <w:tcBorders>
              <w:top w:val="single" w:sz="4" w:space="0" w:color="000000"/>
              <w:left w:val="single" w:sz="10" w:space="0" w:color="D2D2D2"/>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10,640,000.00</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-10,640,000.00</w:t>
            </w:r>
          </w:p>
        </w:tc>
        <w:tc>
          <w:tcPr>
            <w:tcW w:w="22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26,342,115.52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26,406,599.99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-0.24%</w:t>
            </w:r>
          </w:p>
        </w:tc>
      </w:tr>
    </w:tbl>
    <w:p>
      <w:pPr>
        <w:pStyle w:val="BodyText"/>
        <w:spacing w:line="240" w:lineRule="auto" w:before="49"/>
        <w:ind w:right="981"/>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1"/>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4"/>
        <w:spacing w:line="240" w:lineRule="auto" w:before="151"/>
        <w:ind w:left="592" w:right="981"/>
        <w:jc w:val="left"/>
      </w:pPr>
      <w:r>
        <w:rPr/>
        <w:t>（</w:t>
      </w:r>
      <w:r>
        <w:rPr>
          <w:rFonts w:ascii="宋体" w:hAnsi="宋体" w:cs="宋体" w:eastAsia="宋体" w:hint="default"/>
        </w:rPr>
        <w:t>1</w:t>
      </w:r>
      <w:r>
        <w:rPr/>
        <w:t>）投资活动产生的现金流量净额减少</w:t>
      </w:r>
      <w:r>
        <w:rPr>
          <w:rFonts w:ascii="宋体" w:hAnsi="宋体" w:cs="宋体" w:eastAsia="宋体" w:hint="default"/>
        </w:rPr>
        <w:t>83.59%</w:t>
      </w:r>
      <w:r>
        <w:rPr/>
        <w:t>，主要系固定资产投资减少所致；</w:t>
      </w:r>
    </w:p>
    <w:p>
      <w:pPr>
        <w:pStyle w:val="Heading4"/>
        <w:spacing w:line="240" w:lineRule="auto" w:before="180"/>
        <w:ind w:left="592" w:right="981"/>
        <w:jc w:val="left"/>
      </w:pPr>
      <w:r>
        <w:rPr/>
        <w:t>（</w:t>
      </w:r>
      <w:r>
        <w:rPr>
          <w:rFonts w:ascii="宋体" w:hAnsi="宋体" w:cs="宋体" w:eastAsia="宋体" w:hint="default"/>
        </w:rPr>
        <w:t>2</w:t>
      </w:r>
      <w:r>
        <w:rPr/>
        <w:t>）筹资活动产生的现金流量净额减少</w:t>
      </w:r>
      <w:r>
        <w:rPr>
          <w:rFonts w:ascii="宋体" w:hAnsi="宋体" w:cs="宋体" w:eastAsia="宋体" w:hint="default"/>
        </w:rPr>
        <w:t>100%</w:t>
      </w:r>
      <w:r>
        <w:rPr/>
        <w:t>，主要系实施现金分红所致。</w:t>
      </w:r>
    </w:p>
    <w:p>
      <w:pPr>
        <w:pStyle w:val="BodyText"/>
        <w:spacing w:line="240" w:lineRule="auto" w:before="174"/>
        <w:ind w:right="981"/>
        <w:jc w:val="left"/>
      </w:pPr>
      <w:r>
        <w:rPr/>
        <w:t>报告期内公司经营活动的现金流量与本年度净利润存在重大差异的原因说明</w:t>
      </w:r>
    </w:p>
    <w:p>
      <w:pPr>
        <w:pStyle w:val="BodyText"/>
        <w:spacing w:line="240" w:lineRule="auto" w:before="115"/>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1340" w:top="1100" w:bottom="1540" w:left="980" w:right="0"/>
        </w:sectPr>
      </w:pPr>
    </w:p>
    <w:p>
      <w:pPr>
        <w:spacing w:line="240" w:lineRule="auto" w:before="9"/>
        <w:rPr>
          <w:rFonts w:ascii="宋体" w:hAnsi="宋体" w:cs="宋体" w:eastAsia="宋体" w:hint="default"/>
          <w:sz w:val="19"/>
          <w:szCs w:val="19"/>
        </w:rPr>
      </w:pPr>
    </w:p>
    <w:p>
      <w:pPr>
        <w:pStyle w:val="Heading3"/>
        <w:spacing w:line="240" w:lineRule="auto" w:before="26"/>
        <w:ind w:right="981"/>
        <w:jc w:val="left"/>
        <w:rPr>
          <w:b w:val="0"/>
          <w:bCs w:val="0"/>
        </w:rPr>
      </w:pPr>
      <w:r>
        <w:rPr/>
        <w:t>三、主营业务构成情况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366"/>
        <w:gridCol w:w="1366"/>
        <w:gridCol w:w="1097"/>
        <w:gridCol w:w="1366"/>
        <w:gridCol w:w="1369"/>
        <w:gridCol w:w="1370"/>
      </w:tblGrid>
      <w:tr>
        <w:trPr>
          <w:trHeight w:val="71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5"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63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499,090,330.97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408,197,407.94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w:t>
            </w:r>
          </w:p>
        </w:tc>
      </w:tr>
      <w:tr>
        <w:trPr>
          <w:trHeight w:val="401" w:hRule="exact"/>
        </w:trPr>
        <w:tc>
          <w:tcPr>
            <w:tcW w:w="963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智能交通系统集成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470,362,582.58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385,651,636.42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工业自动化设备销售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28,727,748.39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22,545,771.52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0.69%</w:t>
            </w:r>
          </w:p>
        </w:tc>
      </w:tr>
      <w:tr>
        <w:trPr>
          <w:trHeight w:val="404" w:hRule="exact"/>
        </w:trPr>
        <w:tc>
          <w:tcPr>
            <w:tcW w:w="963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296,883,677.70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246,064,506.59</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19.92%</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81,622,563.86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65,759,894.96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0.10%</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283,692.10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-2,104.62%</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10,910,199.56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10,279,435.92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-85.72%</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80,792,945.86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64,093,731.03</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-0.45%</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28,830,943.99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21,716,147.34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229.36%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223.96%</w:t>
            </w:r>
          </w:p>
        </w:tc>
      </w:tr>
    </w:tbl>
    <w:p>
      <w:pPr>
        <w:pStyle w:val="BodyText"/>
        <w:spacing w:line="240" w:lineRule="auto" w:before="49"/>
        <w:ind w:right="981"/>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1"/>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981"/>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28"/>
        <w:gridCol w:w="850"/>
        <w:gridCol w:w="1195"/>
        <w:gridCol w:w="1064"/>
        <w:gridCol w:w="797"/>
        <w:gridCol w:w="2919"/>
      </w:tblGrid>
      <w:tr>
        <w:trPr>
          <w:trHeight w:val="206" w:hRule="exact"/>
        </w:trPr>
        <w:tc>
          <w:tcPr>
            <w:tcW w:w="1356" w:type="dxa"/>
            <w:vMerge w:val="restart"/>
            <w:tcBorders>
              <w:top w:val="single" w:sz="4" w:space="0" w:color="000000"/>
              <w:left w:val="single" w:sz="4" w:space="0" w:color="000000"/>
              <w:right w:val="single" w:sz="4" w:space="0" w:color="000000"/>
            </w:tcBorders>
            <w:shd w:val="clear" w:color="auto" w:fill="D2D2D2"/>
          </w:tcPr>
          <w:p>
            <w:pPr/>
          </w:p>
        </w:tc>
        <w:tc>
          <w:tcPr>
            <w:tcW w:w="21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6"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2177" w:type="dxa"/>
            <w:gridSpan w:val="2"/>
            <w:vMerge/>
            <w:tcBorders>
              <w:left w:val="single" w:sz="4" w:space="0" w:color="000000"/>
              <w:bottom w:val="single" w:sz="4" w:space="0" w:color="000000"/>
              <w:right w:val="single" w:sz="4" w:space="0" w:color="000000"/>
            </w:tcBorders>
            <w:shd w:val="clear" w:color="auto" w:fill="D2D2D2"/>
          </w:tcPr>
          <w:p>
            <w:pP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23" w:right="59" w:firstLine="36"/>
              <w:jc w:val="left"/>
              <w:rPr>
                <w:rFonts w:ascii="Times New Roman" w:hAnsi="Times New Roman" w:cs="Times New Roman" w:eastAsia="Times New Roman" w:hint="default"/>
                <w:sz w:val="18"/>
                <w:szCs w:val="18"/>
              </w:rPr>
            </w:pPr>
            <w:r>
              <w:rPr>
                <w:rFonts w:ascii="宋体" w:hAnsi="宋体" w:cs="宋体" w:eastAsia="宋体" w:hint="default"/>
                <w:sz w:val="18"/>
                <w:szCs w:val="18"/>
              </w:rPr>
              <w:t>占总资产 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182" w:right="7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195" w:lineRule="exact" w:before="49"/>
              <w:ind w:right="0"/>
              <w:jc w:val="center"/>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176" w:lineRule="exact"/>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503,498,886.46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481,005,521.78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0.98%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139,164,638.38</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17.18%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43,443,439.50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5.52%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11.66%</w:t>
            </w:r>
          </w:p>
        </w:tc>
        <w:tc>
          <w:tcPr>
            <w:tcW w:w="2919" w:type="dxa"/>
            <w:vMerge w:val="restart"/>
            <w:tcBorders>
              <w:top w:val="single" w:sz="4" w:space="0" w:color="000000"/>
              <w:left w:val="single" w:sz="4" w:space="0" w:color="000000"/>
              <w:right w:val="single" w:sz="4" w:space="0" w:color="000000"/>
            </w:tcBorders>
          </w:tcPr>
          <w:p>
            <w:pPr>
              <w:pStyle w:val="TableParagraph"/>
              <w:spacing w:line="300" w:lineRule="auto" w:before="51"/>
              <w:ind w:left="26" w:right="14"/>
              <w:jc w:val="left"/>
              <w:rPr>
                <w:rFonts w:ascii="宋体" w:hAnsi="宋体" w:cs="宋体" w:eastAsia="宋体" w:hint="default"/>
                <w:sz w:val="18"/>
                <w:szCs w:val="18"/>
              </w:rPr>
            </w:pPr>
            <w:r>
              <w:rPr>
                <w:rFonts w:ascii="宋体" w:hAnsi="宋体" w:cs="宋体" w:eastAsia="宋体" w:hint="default"/>
                <w:sz w:val="18"/>
                <w:szCs w:val="18"/>
              </w:rPr>
              <w:t>期末应收账款较期初增加</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9,572.12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 元，增长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220.34%</w:t>
            </w:r>
            <w:r>
              <w:rPr>
                <w:rFonts w:ascii="宋体" w:hAnsi="宋体" w:cs="宋体" w:eastAsia="宋体" w:hint="default"/>
                <w:sz w:val="18"/>
                <w:szCs w:val="18"/>
              </w:rPr>
              <w:t>，主要系受国家宏 观调控影响</w:t>
            </w:r>
            <w:r>
              <w:rPr>
                <w:rFonts w:ascii="Times New Roman" w:hAnsi="Times New Roman" w:cs="Times New Roman" w:eastAsia="Times New Roman" w:hint="default"/>
                <w:sz w:val="18"/>
                <w:szCs w:val="18"/>
              </w:rPr>
              <w:t>,</w:t>
            </w:r>
            <w:r>
              <w:rPr>
                <w:rFonts w:ascii="宋体" w:hAnsi="宋体" w:cs="宋体" w:eastAsia="宋体" w:hint="default"/>
                <w:sz w:val="18"/>
                <w:szCs w:val="18"/>
              </w:rPr>
              <w:t>部分项目业主因资金紧 张</w:t>
            </w:r>
            <w:r>
              <w:rPr>
                <w:rFonts w:ascii="Times New Roman" w:hAnsi="Times New Roman" w:cs="Times New Roman" w:eastAsia="Times New Roman" w:hint="default"/>
                <w:sz w:val="18"/>
                <w:szCs w:val="18"/>
              </w:rPr>
              <w:t>,</w:t>
            </w:r>
            <w:r>
              <w:rPr>
                <w:rFonts w:ascii="宋体" w:hAnsi="宋体" w:cs="宋体" w:eastAsia="宋体" w:hint="default"/>
                <w:sz w:val="18"/>
                <w:szCs w:val="18"/>
              </w:rPr>
              <w:t>付款延滞所致。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8" w:type="dxa"/>
            <w:vMerge/>
            <w:tcBorders>
              <w:left w:val="single" w:sz="9"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3" w:right="0"/>
              <w:jc w:val="left"/>
              <w:rPr>
                <w:rFonts w:ascii="Times New Roman" w:hAnsi="Times New Roman" w:cs="Times New Roman" w:eastAsia="Times New Roman" w:hint="default"/>
                <w:sz w:val="18"/>
                <w:szCs w:val="18"/>
              </w:rPr>
            </w:pPr>
            <w:r>
              <w:rPr>
                <w:rFonts w:ascii="Times New Roman"/>
                <w:sz w:val="18"/>
              </w:rPr>
              <w:t>42,244,028.64</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5.21%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105,436,050.09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13.4%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-8.19%</w:t>
            </w:r>
          </w:p>
        </w:tc>
        <w:tc>
          <w:tcPr>
            <w:tcW w:w="2919" w:type="dxa"/>
            <w:vMerge w:val="restart"/>
            <w:tcBorders>
              <w:top w:val="single" w:sz="4" w:space="0" w:color="000000"/>
              <w:left w:val="single" w:sz="4" w:space="0" w:color="000000"/>
              <w:right w:val="single" w:sz="4" w:space="0" w:color="000000"/>
            </w:tcBorders>
          </w:tcPr>
          <w:p>
            <w:pPr>
              <w:pStyle w:val="TableParagraph"/>
              <w:spacing w:line="300" w:lineRule="auto" w:before="49"/>
              <w:ind w:left="26" w:right="14"/>
              <w:jc w:val="both"/>
              <w:rPr>
                <w:rFonts w:ascii="宋体" w:hAnsi="宋体" w:cs="宋体" w:eastAsia="宋体" w:hint="default"/>
                <w:sz w:val="18"/>
                <w:szCs w:val="18"/>
              </w:rPr>
            </w:pPr>
            <w:r>
              <w:rPr>
                <w:rFonts w:ascii="宋体" w:hAnsi="宋体" w:cs="宋体" w:eastAsia="宋体" w:hint="default"/>
                <w:sz w:val="18"/>
                <w:szCs w:val="18"/>
              </w:rPr>
              <w:t>期末存货余额较期初减少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6,319.20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 </w:t>
            </w:r>
            <w:r>
              <w:rPr>
                <w:rFonts w:ascii="宋体" w:hAnsi="宋体" w:cs="宋体" w:eastAsia="宋体" w:hint="default"/>
                <w:spacing w:val="-10"/>
                <w:sz w:val="18"/>
                <w:szCs w:val="18"/>
              </w:rPr>
              <w:t>元，减少</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59.93%</w:t>
            </w:r>
            <w:r>
              <w:rPr>
                <w:rFonts w:ascii="宋体" w:hAnsi="宋体" w:cs="宋体" w:eastAsia="宋体" w:hint="default"/>
                <w:spacing w:val="-3"/>
                <w:sz w:val="18"/>
                <w:szCs w:val="18"/>
              </w:rPr>
              <w:t>，系本期主要工程项</w:t>
            </w:r>
            <w:r>
              <w:rPr>
                <w:rFonts w:ascii="宋体" w:hAnsi="宋体" w:cs="宋体" w:eastAsia="宋体" w:hint="default"/>
                <w:sz w:val="18"/>
                <w:szCs w:val="18"/>
              </w:rPr>
              <w:t> 目集中于下半年度开工所致。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8" w:type="dxa"/>
            <w:vMerge/>
            <w:tcBorders>
              <w:left w:val="single" w:sz="9"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5,352,879.76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6,115,664.76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-0.12%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2,865,290.65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3,052,358.34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-0.04%</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100" w:bottom="154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28"/>
        <w:gridCol w:w="850"/>
        <w:gridCol w:w="1195"/>
        <w:gridCol w:w="1064"/>
        <w:gridCol w:w="797"/>
        <w:gridCol w:w="2919"/>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27,274,941.22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25,008,810.13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0.19%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1,582,501.22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31,642.08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6" w:right="17"/>
              <w:jc w:val="both"/>
              <w:rPr>
                <w:rFonts w:ascii="宋体" w:hAnsi="宋体" w:cs="宋体" w:eastAsia="宋体" w:hint="default"/>
                <w:sz w:val="18"/>
                <w:szCs w:val="18"/>
              </w:rPr>
            </w:pPr>
            <w:r>
              <w:rPr>
                <w:rFonts w:ascii="宋体" w:hAnsi="宋体" w:cs="宋体" w:eastAsia="宋体" w:hint="default"/>
                <w:sz w:val="18"/>
                <w:szCs w:val="18"/>
              </w:rPr>
              <w:t>期末在建工程余额较期初增加</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155.09 </w:t>
            </w:r>
            <w:r>
              <w:rPr>
                <w:rFonts w:ascii="宋体" w:hAnsi="宋体" w:cs="宋体" w:eastAsia="宋体" w:hint="default"/>
                <w:spacing w:val="-8"/>
                <w:sz w:val="18"/>
                <w:szCs w:val="18"/>
              </w:rPr>
              <w:t>万元，增长</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4901.26%</w:t>
            </w:r>
            <w:r>
              <w:rPr>
                <w:rFonts w:ascii="宋体" w:hAnsi="宋体" w:cs="宋体" w:eastAsia="宋体" w:hint="default"/>
                <w:spacing w:val="-3"/>
                <w:sz w:val="18"/>
                <w:szCs w:val="18"/>
              </w:rPr>
              <w:t>，主要系本期研</w:t>
            </w:r>
            <w:r>
              <w:rPr>
                <w:rFonts w:ascii="宋体" w:hAnsi="宋体" w:cs="宋体" w:eastAsia="宋体" w:hint="default"/>
                <w:sz w:val="18"/>
                <w:szCs w:val="18"/>
              </w:rPr>
              <w:t> 发中心综合楼开始筹建所致。</w:t>
            </w:r>
          </w:p>
        </w:tc>
      </w:tr>
      <w:tr>
        <w:trPr>
          <w:trHeight w:val="1337"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16,920,709.97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49,846,011.94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6" w:right="14"/>
              <w:jc w:val="both"/>
              <w:rPr>
                <w:rFonts w:ascii="宋体" w:hAnsi="宋体" w:cs="宋体" w:eastAsia="宋体" w:hint="default"/>
                <w:sz w:val="18"/>
                <w:szCs w:val="18"/>
              </w:rPr>
            </w:pPr>
            <w:r>
              <w:rPr>
                <w:rFonts w:ascii="宋体" w:hAnsi="宋体" w:cs="宋体" w:eastAsia="宋体" w:hint="default"/>
                <w:sz w:val="18"/>
                <w:szCs w:val="18"/>
              </w:rPr>
              <w:t>期末预付账款较期初减少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3,292.53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 </w:t>
            </w:r>
            <w:r>
              <w:rPr>
                <w:rFonts w:ascii="宋体" w:hAnsi="宋体" w:cs="宋体" w:eastAsia="宋体" w:hint="default"/>
                <w:spacing w:val="-10"/>
                <w:sz w:val="18"/>
                <w:szCs w:val="18"/>
              </w:rPr>
              <w:t>元，减少</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66.05%</w:t>
            </w:r>
            <w:r>
              <w:rPr>
                <w:rFonts w:ascii="宋体" w:hAnsi="宋体" w:cs="宋体" w:eastAsia="宋体" w:hint="default"/>
                <w:spacing w:val="-3"/>
                <w:sz w:val="18"/>
                <w:szCs w:val="18"/>
              </w:rPr>
              <w:t>，主要原因系本期主</w:t>
            </w:r>
            <w:r>
              <w:rPr>
                <w:rFonts w:ascii="宋体" w:hAnsi="宋体" w:cs="宋体" w:eastAsia="宋体" w:hint="default"/>
                <w:sz w:val="18"/>
                <w:szCs w:val="18"/>
              </w:rPr>
              <w:t> </w:t>
            </w:r>
            <w:r>
              <w:rPr>
                <w:rFonts w:ascii="宋体" w:hAnsi="宋体" w:cs="宋体" w:eastAsia="宋体" w:hint="default"/>
                <w:spacing w:val="-2"/>
                <w:sz w:val="18"/>
                <w:szCs w:val="18"/>
              </w:rPr>
              <w:t>要工程项目集中于下半年度开工，预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付材料设备款项减少所致。</w:t>
            </w:r>
          </w:p>
        </w:tc>
      </w:tr>
      <w:tr>
        <w:trPr>
          <w:trHeight w:val="165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4,750,902.16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1,233,580.43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6" w:right="17"/>
              <w:jc w:val="left"/>
              <w:rPr>
                <w:rFonts w:ascii="宋体" w:hAnsi="宋体" w:cs="宋体" w:eastAsia="宋体" w:hint="default"/>
                <w:sz w:val="18"/>
                <w:szCs w:val="18"/>
              </w:rPr>
            </w:pPr>
            <w:r>
              <w:rPr>
                <w:rFonts w:ascii="宋体" w:hAnsi="宋体" w:cs="宋体" w:eastAsia="宋体" w:hint="default"/>
                <w:sz w:val="18"/>
                <w:szCs w:val="18"/>
              </w:rPr>
              <w:t>期末应收利息较期初增加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351.73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285.13%</w:t>
            </w:r>
            <w:r>
              <w:rPr>
                <w:rFonts w:ascii="宋体" w:hAnsi="宋体" w:cs="宋体" w:eastAsia="宋体" w:hint="default"/>
                <w:sz w:val="18"/>
                <w:szCs w:val="18"/>
              </w:rPr>
              <w:t>，主要系本期公司 将部分</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个月的定期存款延长为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个月，计提的至期末定期存款利息增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加所致。</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57,356,374.09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61,103,048.21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-0.69%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9,232,589.30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10,256,694.49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-0.16%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810,243,741.85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786,532,821.75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981"/>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1255"/>
        <w:gridCol w:w="1064"/>
        <w:gridCol w:w="1193"/>
        <w:gridCol w:w="1064"/>
        <w:gridCol w:w="799"/>
        <w:gridCol w:w="2919"/>
      </w:tblGrid>
      <w:tr>
        <w:trPr>
          <w:trHeight w:val="402"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23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84" w:right="72"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12,344,823.92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25,611,777.00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期末应付票据余额较期初减少 </w:t>
            </w:r>
            <w:r>
              <w:rPr>
                <w:rFonts w:ascii="Times New Roman" w:hAnsi="Times New Roman" w:cs="Times New Roman" w:eastAsia="Times New Roman" w:hint="default"/>
                <w:sz w:val="18"/>
                <w:szCs w:val="18"/>
              </w:rPr>
              <w:t>1,326.70 </w:t>
            </w:r>
            <w:r>
              <w:rPr>
                <w:rFonts w:ascii="宋体" w:hAnsi="宋体" w:cs="宋体" w:eastAsia="宋体" w:hint="default"/>
                <w:spacing w:val="-4"/>
                <w:sz w:val="18"/>
                <w:szCs w:val="18"/>
              </w:rPr>
              <w:t>万元，减少</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51.80%</w:t>
            </w:r>
            <w:r>
              <w:rPr>
                <w:rFonts w:ascii="宋体" w:hAnsi="宋体" w:cs="宋体" w:eastAsia="宋体" w:hint="default"/>
                <w:sz w:val="18"/>
                <w:szCs w:val="18"/>
              </w:rPr>
              <w:t>，系票据 到期兑付所致。</w:t>
            </w:r>
          </w:p>
        </w:tc>
      </w:tr>
      <w:tr>
        <w:trPr>
          <w:trHeight w:val="1339"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应付帐款</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135,335,561.38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16.70%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95,656,201.25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12.16%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3"/>
              <w:jc w:val="left"/>
              <w:rPr>
                <w:rFonts w:ascii="宋体" w:hAnsi="宋体" w:cs="宋体" w:eastAsia="宋体" w:hint="default"/>
                <w:sz w:val="18"/>
                <w:szCs w:val="18"/>
              </w:rPr>
            </w:pPr>
            <w:r>
              <w:rPr>
                <w:rFonts w:ascii="宋体" w:hAnsi="宋体" w:cs="宋体" w:eastAsia="宋体" w:hint="default"/>
                <w:sz w:val="18"/>
                <w:szCs w:val="18"/>
              </w:rPr>
              <w:t>期末应付账款余额较期初增加 </w:t>
            </w:r>
            <w:r>
              <w:rPr>
                <w:rFonts w:ascii="Times New Roman" w:hAnsi="Times New Roman" w:cs="Times New Roman" w:eastAsia="Times New Roman" w:hint="default"/>
                <w:sz w:val="18"/>
                <w:szCs w:val="18"/>
              </w:rPr>
              <w:t>3,967.94 </w:t>
            </w:r>
            <w:r>
              <w:rPr>
                <w:rFonts w:ascii="宋体" w:hAnsi="宋体" w:cs="宋体" w:eastAsia="宋体" w:hint="default"/>
                <w:spacing w:val="-4"/>
                <w:sz w:val="18"/>
                <w:szCs w:val="18"/>
              </w:rPr>
              <w:t>万元，增长</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41.48%</w:t>
            </w:r>
            <w:r>
              <w:rPr>
                <w:rFonts w:ascii="宋体" w:hAnsi="宋体" w:cs="宋体" w:eastAsia="宋体" w:hint="default"/>
                <w:sz w:val="18"/>
                <w:szCs w:val="18"/>
              </w:rPr>
              <w:t>，系本期 主要工程项目集中于下半年度开工， 未到付款期所致。</w:t>
            </w:r>
          </w:p>
        </w:tc>
      </w:tr>
      <w:tr>
        <w:trPr>
          <w:trHeight w:val="1337"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64,072,231.66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112,175,324.99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14.26%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期末预收款项较期初减少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4,810.31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 </w:t>
            </w:r>
            <w:r>
              <w:rPr>
                <w:rFonts w:ascii="宋体" w:hAnsi="宋体" w:cs="宋体" w:eastAsia="宋体" w:hint="default"/>
                <w:spacing w:val="-10"/>
                <w:sz w:val="18"/>
                <w:szCs w:val="18"/>
              </w:rPr>
              <w:t>元，减少</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42.88%</w:t>
            </w:r>
            <w:r>
              <w:rPr>
                <w:rFonts w:ascii="宋体" w:hAnsi="宋体" w:cs="宋体" w:eastAsia="宋体" w:hint="default"/>
                <w:spacing w:val="-3"/>
                <w:sz w:val="18"/>
                <w:szCs w:val="18"/>
              </w:rPr>
              <w:t>，系本期部分款项按</w:t>
            </w:r>
            <w:r>
              <w:rPr>
                <w:rFonts w:ascii="宋体" w:hAnsi="宋体" w:cs="宋体" w:eastAsia="宋体" w:hint="default"/>
                <w:sz w:val="18"/>
                <w:szCs w:val="18"/>
              </w:rPr>
              <w:t> 照工程项目进度结转为收入和项目 集中于下半年度开工所致。</w:t>
            </w:r>
          </w:p>
        </w:tc>
      </w:tr>
      <w:tr>
        <w:trPr>
          <w:trHeight w:val="1339"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1,418,833.21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611,330.56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0.08%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期末应付职工薪酬金额较期初增加 </w:t>
            </w:r>
            <w:r>
              <w:rPr>
                <w:rFonts w:ascii="Times New Roman" w:hAnsi="Times New Roman" w:cs="Times New Roman" w:eastAsia="Times New Roman" w:hint="default"/>
                <w:sz w:val="18"/>
                <w:szCs w:val="18"/>
              </w:rPr>
              <w:t>80.75 </w:t>
            </w:r>
            <w:r>
              <w:rPr>
                <w:rFonts w:ascii="宋体" w:hAnsi="宋体" w:cs="宋体" w:eastAsia="宋体" w:hint="default"/>
                <w:spacing w:val="-9"/>
                <w:sz w:val="18"/>
                <w:szCs w:val="18"/>
              </w:rPr>
              <w:t>万元，增长</w:t>
            </w:r>
            <w:r>
              <w:rPr>
                <w:rFonts w:ascii="宋体" w:hAnsi="宋体" w:cs="宋体" w:eastAsia="宋体" w:hint="default"/>
                <w:spacing w:val="-36"/>
                <w:sz w:val="18"/>
                <w:szCs w:val="18"/>
              </w:rPr>
              <w:t> </w:t>
            </w:r>
            <w:r>
              <w:rPr>
                <w:rFonts w:ascii="Times New Roman" w:hAnsi="Times New Roman" w:cs="Times New Roman" w:eastAsia="Times New Roman" w:hint="default"/>
                <w:spacing w:val="-4"/>
                <w:sz w:val="18"/>
                <w:szCs w:val="18"/>
              </w:rPr>
              <w:t>132.09%</w:t>
            </w:r>
            <w:r>
              <w:rPr>
                <w:rFonts w:ascii="宋体" w:hAnsi="宋体" w:cs="宋体" w:eastAsia="宋体" w:hint="default"/>
                <w:spacing w:val="-4"/>
                <w:sz w:val="18"/>
                <w:szCs w:val="18"/>
              </w:rPr>
              <w:t>，系本期计</w:t>
            </w:r>
            <w:r>
              <w:rPr>
                <w:rFonts w:ascii="宋体" w:hAnsi="宋体" w:cs="宋体" w:eastAsia="宋体" w:hint="default"/>
                <w:sz w:val="18"/>
                <w:szCs w:val="18"/>
              </w:rPr>
              <w:t> </w:t>
            </w:r>
            <w:r>
              <w:rPr>
                <w:rFonts w:ascii="宋体" w:hAnsi="宋体" w:cs="宋体" w:eastAsia="宋体" w:hint="default"/>
                <w:spacing w:val="-2"/>
                <w:sz w:val="18"/>
                <w:szCs w:val="18"/>
              </w:rPr>
              <w:t>提的工资尚未发放完毕，同时工会经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费、职工教育经费存有余额所致。</w:t>
            </w:r>
          </w:p>
        </w:tc>
      </w:tr>
      <w:tr>
        <w:trPr>
          <w:trHeight w:val="674"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14,615,371.01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4,835,673.28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0.61%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期末应交税费余额较期初增加</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977.97</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万元，增长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202.24%</w:t>
            </w:r>
            <w:r>
              <w:rPr>
                <w:rFonts w:ascii="宋体" w:hAnsi="宋体" w:cs="宋体" w:eastAsia="宋体" w:hint="default"/>
                <w:sz w:val="18"/>
                <w:szCs w:val="18"/>
              </w:rPr>
              <w:t>，主要系公司部</w:t>
            </w:r>
          </w:p>
        </w:tc>
      </w:tr>
    </w:tbl>
    <w:p>
      <w:pPr>
        <w:spacing w:after="0" w:line="240" w:lineRule="auto"/>
        <w:jc w:val="left"/>
        <w:rPr>
          <w:rFonts w:ascii="宋体" w:hAnsi="宋体" w:cs="宋体" w:eastAsia="宋体" w:hint="default"/>
          <w:sz w:val="18"/>
          <w:szCs w:val="18"/>
        </w:rPr>
        <w:sectPr>
          <w:pgSz w:w="11910" w:h="16840"/>
          <w:pgMar w:header="877" w:footer="1340" w:top="1100" w:bottom="154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76"/>
        <w:gridCol w:w="1255"/>
        <w:gridCol w:w="1064"/>
        <w:gridCol w:w="1193"/>
        <w:gridCol w:w="1064"/>
        <w:gridCol w:w="799"/>
        <w:gridCol w:w="2919"/>
      </w:tblGrid>
      <w:tr>
        <w:trPr>
          <w:trHeight w:val="987"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92"/>
              <w:jc w:val="left"/>
              <w:rPr>
                <w:rFonts w:ascii="宋体" w:hAnsi="宋体" w:cs="宋体" w:eastAsia="宋体" w:hint="default"/>
                <w:sz w:val="18"/>
                <w:szCs w:val="18"/>
              </w:rPr>
            </w:pPr>
            <w:r>
              <w:rPr>
                <w:rFonts w:ascii="宋体" w:hAnsi="宋体" w:cs="宋体" w:eastAsia="宋体" w:hint="default"/>
                <w:sz w:val="18"/>
                <w:szCs w:val="18"/>
              </w:rPr>
              <w:t>分外地项目由业主代扣代交营业税 及附加</w:t>
            </w:r>
            <w:r>
              <w:rPr>
                <w:rFonts w:ascii="Times New Roman" w:hAnsi="Times New Roman" w:cs="Times New Roman" w:eastAsia="Times New Roman" w:hint="default"/>
                <w:sz w:val="18"/>
                <w:szCs w:val="18"/>
              </w:rPr>
              <w:t>,</w:t>
            </w:r>
            <w:r>
              <w:rPr>
                <w:rFonts w:ascii="宋体" w:hAnsi="宋体" w:cs="宋体" w:eastAsia="宋体" w:hint="default"/>
                <w:sz w:val="18"/>
                <w:szCs w:val="18"/>
              </w:rPr>
              <w:t>在报告期内业主未申报上缴</w:t>
            </w:r>
            <w:r>
              <w:rPr>
                <w:rFonts w:ascii="Times New Roman" w:hAnsi="Times New Roman" w:cs="Times New Roman" w:eastAsia="Times New Roman" w:hint="default"/>
                <w:sz w:val="18"/>
                <w:szCs w:val="18"/>
              </w:rPr>
              <w:t>, </w:t>
            </w:r>
            <w:r>
              <w:rPr>
                <w:rFonts w:ascii="宋体" w:hAnsi="宋体" w:cs="宋体" w:eastAsia="宋体" w:hint="default"/>
                <w:sz w:val="18"/>
                <w:szCs w:val="18"/>
              </w:rPr>
              <w:t>导致公司期末未交税费余额较大。</w:t>
            </w:r>
          </w:p>
        </w:tc>
      </w:tr>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625,031.77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711,697.64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228,411,852.95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28.19%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239,602,004.72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30.46%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981"/>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1"/>
        <w:jc w:val="left"/>
      </w:pPr>
      <w:r>
        <w:rPr/>
        <w:t>报告期内公司主要资产计量属性是否发生重大变化</w:t>
      </w:r>
    </w:p>
    <w:p>
      <w:pPr>
        <w:pStyle w:val="BodyText"/>
        <w:spacing w:line="240" w:lineRule="auto" w:before="115"/>
        <w:ind w:right="98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3"/>
        <w:spacing w:line="240" w:lineRule="auto"/>
        <w:ind w:right="981"/>
        <w:jc w:val="left"/>
        <w:rPr>
          <w:b w:val="0"/>
          <w:bCs w:val="0"/>
        </w:rPr>
      </w:pPr>
      <w:r>
        <w:rPr/>
        <w:t>五、核心竞争力分析</w:t>
      </w:r>
      <w:r>
        <w:rPr>
          <w:b w:val="0"/>
          <w:bCs w:val="0"/>
        </w:rPr>
      </w:r>
    </w:p>
    <w:p>
      <w:pPr>
        <w:spacing w:line="240" w:lineRule="auto" w:before="1"/>
        <w:rPr>
          <w:rFonts w:ascii="宋体" w:hAnsi="宋体" w:cs="宋体" w:eastAsia="宋体" w:hint="default"/>
          <w:b/>
          <w:bCs/>
          <w:sz w:val="30"/>
          <w:szCs w:val="30"/>
        </w:rPr>
      </w:pPr>
    </w:p>
    <w:p>
      <w:pPr>
        <w:pStyle w:val="Heading4"/>
        <w:spacing w:line="391" w:lineRule="auto" w:before="0"/>
        <w:ind w:right="1128" w:firstLine="439"/>
        <w:jc w:val="both"/>
      </w:pPr>
      <w:r>
        <w:rPr>
          <w:spacing w:val="-2"/>
        </w:rPr>
        <w:t>作为国内最早进入智能交通系统领域的企业之一，公司凭借优秀的技术能力、丰富的项目管理经</w:t>
      </w:r>
      <w:r>
        <w:rPr>
          <w:w w:val="100"/>
        </w:rPr>
        <w:t> </w:t>
      </w:r>
      <w:r>
        <w:rPr>
          <w:spacing w:val="-2"/>
        </w:rPr>
        <w:t>验以及卓越的服务品质，已发展成为国内智能交通领域最优秀的系统集成商之一。相比行业其他竞争</w:t>
      </w:r>
      <w:r>
        <w:rPr>
          <w:spacing w:val="-68"/>
        </w:rPr>
        <w:t> </w:t>
      </w:r>
      <w:r>
        <w:rPr>
          <w:spacing w:val="-68"/>
        </w:rPr>
      </w:r>
      <w:r>
        <w:rPr>
          <w:spacing w:val="-2"/>
        </w:rPr>
        <w:t>者，公司有着稳定的区域市场优势及供应商体系；拥有一批在智能交通系统集成、交通信息化、工业</w:t>
      </w:r>
      <w:r>
        <w:rPr>
          <w:spacing w:val="-70"/>
        </w:rPr>
        <w:t> </w:t>
      </w:r>
      <w:r>
        <w:rPr>
          <w:spacing w:val="-70"/>
        </w:rPr>
      </w:r>
      <w:r>
        <w:rPr>
          <w:spacing w:val="-2"/>
        </w:rPr>
        <w:t>自动化相关领域和专业具有较高专业理论水平及实践经验的技术专家，及与业务发展基本相适应的专</w:t>
      </w:r>
      <w:r>
        <w:rPr>
          <w:spacing w:val="-73"/>
        </w:rPr>
        <w:t> </w:t>
      </w:r>
      <w:r>
        <w:rPr>
          <w:spacing w:val="-73"/>
        </w:rPr>
      </w:r>
      <w:r>
        <w:rPr>
          <w:spacing w:val="-2"/>
        </w:rPr>
        <w:t>业人才队伍；拥有强大的自主创新能力和应用软件开发能力，能够及时为客户提供智能交通系统、交</w:t>
      </w:r>
      <w:r>
        <w:rPr>
          <w:spacing w:val="-67"/>
        </w:rPr>
        <w:t> </w:t>
      </w:r>
      <w:r>
        <w:rPr>
          <w:spacing w:val="-67"/>
        </w:rPr>
      </w:r>
      <w:r>
        <w:rPr>
          <w:spacing w:val="-2"/>
        </w:rPr>
        <w:t>通信息化和工业自动化先进的解决方案及安全的、可信赖的智能交通核心产品，加之稳定的核心管理</w:t>
      </w:r>
      <w:r>
        <w:rPr>
          <w:spacing w:val="-70"/>
        </w:rPr>
        <w:t> </w:t>
      </w:r>
      <w:r>
        <w:rPr>
          <w:spacing w:val="-70"/>
        </w:rPr>
      </w:r>
      <w:r>
        <w:rPr>
          <w:spacing w:val="-2"/>
        </w:rPr>
        <w:t>管理团队具有丰富的管理经验以及对行业的洞察力，促成公司在行业内具备了较强的竞争实力和先发</w:t>
      </w:r>
      <w:r>
        <w:rPr>
          <w:spacing w:val="-73"/>
        </w:rPr>
        <w:t> </w:t>
      </w:r>
      <w:r>
        <w:rPr>
          <w:spacing w:val="-73"/>
        </w:rPr>
      </w:r>
      <w:r>
        <w:rPr/>
        <w:t>优势。</w:t>
      </w:r>
    </w:p>
    <w:p>
      <w:pPr>
        <w:spacing w:line="240" w:lineRule="auto" w:before="13"/>
        <w:rPr>
          <w:rFonts w:ascii="宋体" w:hAnsi="宋体" w:cs="宋体" w:eastAsia="宋体" w:hint="default"/>
          <w:sz w:val="18"/>
          <w:szCs w:val="18"/>
        </w:rPr>
      </w:pPr>
    </w:p>
    <w:p>
      <w:pPr>
        <w:pStyle w:val="Heading3"/>
        <w:spacing w:line="240" w:lineRule="auto"/>
        <w:ind w:right="981"/>
        <w:jc w:val="left"/>
        <w:rPr>
          <w:b w:val="0"/>
          <w:bCs w:val="0"/>
        </w:rPr>
      </w:pPr>
      <w:r>
        <w:rPr/>
        <w:t>六、投资状况分析</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981"/>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981"/>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5"/>
        <w:spacing w:line="240" w:lineRule="auto"/>
        <w:ind w:right="981"/>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81"/>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99"/>
        <w:gridCol w:w="5471"/>
      </w:tblGrid>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35,112.00</w:t>
            </w:r>
          </w:p>
        </w:tc>
      </w:tr>
      <w:tr>
        <w:trPr>
          <w:trHeight w:val="401"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928.83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100" w:bottom="1540" w:left="980" w:right="0"/>
        </w:sectPr>
      </w:pPr>
    </w:p>
    <w:p>
      <w:pPr>
        <w:spacing w:line="240" w:lineRule="auto" w:before="8"/>
        <w:rPr>
          <w:rFonts w:ascii="宋体" w:hAnsi="宋体" w:cs="宋体" w:eastAsia="宋体" w:hint="default"/>
          <w:sz w:val="24"/>
          <w:szCs w:val="24"/>
        </w:rPr>
      </w:pPr>
      <w:r>
        <w:rPr/>
        <w:pict>
          <v:shape style="position:absolute;margin-left:58.080002pt;margin-top:603.195984pt;width:125.8pt;height:23.45pt;mso-position-horizontal-relative:page;mso-position-vertical-relative:page;z-index:-560752" type="#_x0000_t202" filled="false" stroked="false">
            <v:textbox inset="0,0,0,0">
              <w:txbxContent>
                <w:p>
                  <w:pPr>
                    <w:pStyle w:val="BodyText"/>
                    <w:spacing w:line="240" w:lineRule="auto" w:before="125"/>
                    <w:ind w:left="0" w:right="0"/>
                    <w:jc w:val="left"/>
                  </w:pPr>
                  <w:r>
                    <w:rPr/>
                    <w:t>及调整部分实施地点）</w:t>
                  </w:r>
                </w:p>
              </w:txbxContent>
            </v:textbox>
            <w10:wrap type="none"/>
          </v:shape>
        </w:pict>
      </w:r>
      <w:r>
        <w:rPr/>
        <w:pict>
          <v:group style="position:absolute;margin-left:145.460007pt;margin-top:603.195984pt;width:38.4pt;height:23.45pt;mso-position-horizontal-relative:page;mso-position-vertical-relative:page;z-index:-560728" coordorigin="2909,12064" coordsize="768,469">
            <v:shape style="position:absolute;left:2909;top:12064;width:768;height:469" coordorigin="2909,12064" coordsize="768,469" path="m2909,12532l3677,12532,3677,12064,2909,12064,2909,12532xe" filled="true" fillcolor="#ffffff" stroked="false">
              <v:path arrowok="t"/>
              <v:fill type="solid"/>
            </v:shape>
            <w10:wrap type="none"/>
          </v:group>
        </w:pict>
      </w:r>
      <w:r>
        <w:rPr/>
        <w:pict>
          <v:shape style="position:absolute;margin-left:460.320007pt;margin-top:764.919983pt;width:135.0pt;height:77pt;mso-position-horizontal-relative:page;mso-position-vertical-relative:page;z-index:-560704" type="#_x0000_t75" stroked="false">
            <v:imagedata r:id="rId5" o:title=""/>
          </v:shape>
        </w:pict>
      </w:r>
    </w:p>
    <w:tbl>
      <w:tblPr>
        <w:tblW w:w="0" w:type="auto"/>
        <w:jc w:val="left"/>
        <w:tblInd w:w="160" w:type="dxa"/>
        <w:tblLayout w:type="fixed"/>
        <w:tblCellMar>
          <w:top w:w="0" w:type="dxa"/>
          <w:left w:w="0" w:type="dxa"/>
          <w:bottom w:w="0" w:type="dxa"/>
          <w:right w:w="0" w:type="dxa"/>
        </w:tblCellMar>
        <w:tblLook w:val="01E0"/>
      </w:tblPr>
      <w:tblGrid>
        <w:gridCol w:w="4077"/>
        <w:gridCol w:w="5481"/>
      </w:tblGrid>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8,066.34</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13,562.84</w:t>
            </w:r>
          </w:p>
        </w:tc>
      </w:tr>
      <w:tr>
        <w:trPr>
          <w:trHeight w:val="407"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38.63%</w:t>
            </w:r>
          </w:p>
        </w:tc>
      </w:tr>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7"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r>
              <w:rPr>
                <w:rFonts w:ascii="宋体" w:hAnsi="宋体" w:cs="宋体" w:eastAsia="宋体" w:hint="default"/>
                <w:spacing w:val="-75"/>
                <w:sz w:val="18"/>
                <w:szCs w:val="18"/>
              </w:rPr>
              <w:t>，</w:t>
            </w:r>
            <w:r>
              <w:rPr>
                <w:rFonts w:ascii="宋体" w:hAnsi="宋体" w:cs="宋体" w:eastAsia="宋体" w:hint="default"/>
                <w:sz w:val="18"/>
                <w:szCs w:val="18"/>
              </w:rPr>
              <w:t>公司对募集资金</w:t>
            </w:r>
            <w:r>
              <w:rPr>
                <w:rFonts w:ascii="宋体" w:hAnsi="宋体" w:cs="宋体" w:eastAsia="宋体" w:hint="default"/>
                <w:spacing w:val="-3"/>
                <w:sz w:val="18"/>
                <w:szCs w:val="18"/>
              </w:rPr>
              <w:t>的</w:t>
            </w:r>
            <w:r>
              <w:rPr>
                <w:rFonts w:ascii="宋体" w:hAnsi="宋体" w:cs="宋体" w:eastAsia="宋体" w:hint="default"/>
                <w:sz w:val="18"/>
                <w:szCs w:val="18"/>
              </w:rPr>
              <w:t>使用和管理均严格按</w:t>
            </w:r>
            <w:r>
              <w:rPr>
                <w:rFonts w:ascii="宋体" w:hAnsi="宋体" w:cs="宋体" w:eastAsia="宋体" w:hint="default"/>
                <w:spacing w:val="-75"/>
                <w:sz w:val="18"/>
                <w:szCs w:val="18"/>
              </w:rPr>
              <w:t>照</w:t>
            </w:r>
            <w:r>
              <w:rPr>
                <w:rFonts w:ascii="宋体" w:hAnsi="宋体" w:cs="宋体" w:eastAsia="宋体" w:hint="default"/>
                <w:sz w:val="18"/>
                <w:szCs w:val="18"/>
              </w:rPr>
              <w:t>《募集资金管理办法</w:t>
            </w:r>
            <w:r>
              <w:rPr>
                <w:rFonts w:ascii="宋体" w:hAnsi="宋体" w:cs="宋体" w:eastAsia="宋体" w:hint="default"/>
                <w:spacing w:val="-75"/>
                <w:sz w:val="18"/>
                <w:szCs w:val="18"/>
              </w:rPr>
              <w:t>》</w:t>
            </w:r>
            <w:r>
              <w:rPr>
                <w:rFonts w:ascii="宋体" w:hAnsi="宋体" w:cs="宋体" w:eastAsia="宋体" w:hint="default"/>
                <w:sz w:val="18"/>
                <w:szCs w:val="18"/>
              </w:rPr>
              <w:t>的规定执行</w:t>
            </w:r>
            <w:r>
              <w:rPr>
                <w:rFonts w:ascii="宋体" w:hAnsi="宋体" w:cs="宋体" w:eastAsia="宋体" w:hint="default"/>
                <w:spacing w:val="-74"/>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年本公司使用募集资金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3</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10"/>
                <w:sz w:val="18"/>
                <w:szCs w:val="18"/>
              </w:rPr>
              <w:t>，</w:t>
            </w: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累计使用募集资金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w:t>
            </w:r>
            <w:r>
              <w:rPr>
                <w:rFonts w:ascii="宋体" w:hAnsi="宋体" w:cs="宋体" w:eastAsia="宋体" w:hint="default"/>
                <w:spacing w:val="-10"/>
                <w:sz w:val="18"/>
                <w:szCs w:val="18"/>
              </w:rPr>
              <w:t>元</w:t>
            </w:r>
            <w:r>
              <w:rPr>
                <w:rFonts w:ascii="宋体" w:hAnsi="宋体" w:cs="宋体" w:eastAsia="宋体" w:hint="default"/>
                <w:sz w:val="18"/>
                <w:szCs w:val="18"/>
              </w:rPr>
              <w:t>（含超募资金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募集资金利息收入累计增加</w:t>
            </w:r>
          </w:p>
          <w:p>
            <w:pPr>
              <w:pStyle w:val="TableParagraph"/>
              <w:spacing w:line="240" w:lineRule="auto" w:before="6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1,507.58 </w:t>
            </w:r>
            <w:r>
              <w:rPr>
                <w:rFonts w:ascii="宋体" w:hAnsi="宋体" w:cs="宋体" w:eastAsia="宋体" w:hint="default"/>
                <w:sz w:val="18"/>
                <w:szCs w:val="18"/>
              </w:rPr>
              <w:t>万元，尚未使用的募集资金余额为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26,619.22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pStyle w:val="Heading5"/>
        <w:spacing w:line="240" w:lineRule="auto" w:before="36"/>
        <w:ind w:right="981"/>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39"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新一代高速公路收费 </w:t>
            </w:r>
            <w:r>
              <w:rPr>
                <w:rFonts w:ascii="宋体" w:hAnsi="宋体" w:cs="宋体" w:eastAsia="宋体" w:hint="default"/>
                <w:spacing w:val="-9"/>
                <w:sz w:val="18"/>
                <w:szCs w:val="18"/>
              </w:rPr>
              <w:t>综合业务平台研发、推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广及技术支持服务中 心项目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3,578.00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3,578.00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1,155.23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2"/>
              <w:jc w:val="both"/>
              <w:rPr>
                <w:rFonts w:ascii="宋体" w:hAnsi="宋体" w:cs="宋体" w:eastAsia="宋体" w:hint="default"/>
                <w:sz w:val="18"/>
                <w:szCs w:val="18"/>
              </w:rPr>
            </w:pPr>
            <w:r>
              <w:rPr>
                <w:rFonts w:ascii="宋体" w:hAnsi="宋体" w:cs="宋体" w:eastAsia="宋体" w:hint="default"/>
                <w:spacing w:val="-9"/>
                <w:sz w:val="18"/>
                <w:szCs w:val="18"/>
              </w:rPr>
              <w:t>智能配电板（柜）开发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及产业化项目（已变更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为</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研发中心综合楼项 </w:t>
            </w:r>
            <w:r>
              <w:rPr>
                <w:rFonts w:ascii="宋体" w:hAnsi="宋体" w:cs="宋体" w:eastAsia="宋体" w:hint="default"/>
                <w:spacing w:val="-19"/>
                <w:w w:val="100"/>
                <w:sz w:val="18"/>
                <w:szCs w:val="18"/>
              </w:rPr>
              <w:t>目</w:t>
            </w:r>
            <w:r>
              <w:rPr>
                <w:rFonts w:ascii="Times New Roman" w:hAnsi="Times New Roman" w:cs="Times New Roman" w:eastAsia="Times New Roman" w:hint="default"/>
                <w:spacing w:val="-19"/>
                <w:w w:val="100"/>
                <w:sz w:val="18"/>
                <w:szCs w:val="18"/>
              </w:rPr>
              <w:t>”</w:t>
            </w:r>
            <w:r>
              <w:rPr>
                <w:rFonts w:ascii="宋体" w:hAnsi="宋体" w:cs="宋体" w:eastAsia="宋体" w:hint="default"/>
                <w:spacing w:val="-19"/>
                <w:w w:val="100"/>
                <w:sz w:val="18"/>
                <w:szCs w:val="18"/>
              </w:rPr>
              <w:t>）（注</w:t>
            </w:r>
            <w:r>
              <w:rPr>
                <w:rFonts w:ascii="宋体" w:hAnsi="宋体" w:cs="宋体" w:eastAsia="宋体" w:hint="default"/>
                <w:spacing w:val="-43"/>
                <w:w w:val="100"/>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3,139.00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7"/>
              <w:jc w:val="both"/>
              <w:rPr>
                <w:rFonts w:ascii="宋体" w:hAnsi="宋体" w:cs="宋体" w:eastAsia="宋体" w:hint="default"/>
                <w:sz w:val="18"/>
                <w:szCs w:val="18"/>
              </w:rPr>
            </w:pPr>
            <w:r>
              <w:rPr>
                <w:rFonts w:ascii="宋体" w:hAnsi="宋体" w:cs="宋体" w:eastAsia="宋体" w:hint="default"/>
                <w:sz w:val="18"/>
                <w:szCs w:val="18"/>
              </w:rPr>
              <w:t>智能交通系统视频交 通参数及事件检测器 研发及产业化项目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2,530.00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2,530.00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销售及技术支持网络 </w:t>
            </w:r>
            <w:r>
              <w:rPr>
                <w:rFonts w:ascii="宋体" w:hAnsi="宋体" w:cs="宋体" w:eastAsia="宋体" w:hint="default"/>
                <w:spacing w:val="-9"/>
                <w:sz w:val="18"/>
                <w:szCs w:val="18"/>
              </w:rPr>
              <w:t>基地建设项目（变更部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分基地建设实施方式</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2,238.00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2,238.00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1,798.39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研发中心综合楼项目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2,999.15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11,485.00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11,485.00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928.83</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w w:val="95"/>
                <w:sz w:val="18"/>
              </w:rPr>
              <w:t>4,066.34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研发中心综合楼项目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10,563.69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10,563.69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16"/>
          <w:pgSz w:w="11910" w:h="16840"/>
          <w:pgMar w:footer="980" w:header="877" w:top="1100" w:bottom="1160" w:left="980" w:right="0"/>
          <w:pgNumType w:start="19"/>
        </w:sectPr>
      </w:pPr>
    </w:p>
    <w:p>
      <w:pPr>
        <w:spacing w:line="240" w:lineRule="auto" w:before="8"/>
        <w:rPr>
          <w:rFonts w:ascii="宋体" w:hAnsi="宋体" w:cs="宋体" w:eastAsia="宋体" w:hint="default"/>
          <w:sz w:val="24"/>
          <w:szCs w:val="24"/>
        </w:rPr>
      </w:pPr>
      <w:r>
        <w:rPr/>
        <w:pict>
          <v:shape style="position:absolute;margin-left:58.080002pt;margin-top:72.475983pt;width:124.7pt;height:19.6pt;mso-position-horizontal-relative:page;mso-position-vertical-relative:page;z-index:-560680" type="#_x0000_t202" filled="false" stroked="false">
            <v:textbox inset="0,0,0,0">
              <w:txbxContent>
                <w:p>
                  <w:pPr>
                    <w:pStyle w:val="BodyText"/>
                    <w:spacing w:line="240" w:lineRule="auto" w:before="49"/>
                    <w:ind w:left="0" w:right="0"/>
                    <w:jc w:val="left"/>
                  </w:pPr>
                  <w:r>
                    <w:rPr/>
                    <w:t>归还银行贷款（如有）</w:t>
                  </w:r>
                </w:p>
              </w:txbxContent>
            </v:textbox>
            <w10:wrap type="none"/>
          </v:shape>
        </w:pict>
      </w:r>
      <w:r>
        <w:rPr/>
        <w:pict>
          <v:shape style="position:absolute;margin-left:58.080002pt;margin-top:92.659981pt;width:124.7pt;height:19.6pt;mso-position-horizontal-relative:page;mso-position-vertical-relative:page;z-index:-560656" type="#_x0000_t202" filled="false" stroked="false">
            <v:textbox inset="0,0,0,0">
              <w:txbxContent>
                <w:p>
                  <w:pPr>
                    <w:pStyle w:val="BodyText"/>
                    <w:spacing w:line="240" w:lineRule="auto" w:before="49"/>
                    <w:ind w:left="0" w:right="0"/>
                    <w:jc w:val="left"/>
                  </w:pPr>
                  <w:r>
                    <w:rPr/>
                    <w:t>补充流动资金（如有）</w:t>
                  </w:r>
                </w:p>
              </w:txbxContent>
            </v:textbox>
            <w10:wrap type="none"/>
          </v:shape>
        </w:pict>
      </w:r>
      <w:r>
        <w:rPr/>
        <w:pict>
          <v:shape style="position:absolute;margin-left:460.320007pt;margin-top:764.919983pt;width:135.0pt;height:77pt;mso-position-horizontal-relative:page;mso-position-vertical-relative:page;z-index:1336" type="#_x0000_t75" stroked="false">
            <v:imagedata r:id="rId5" o:title=""/>
          </v:shape>
        </w:pict>
      </w:r>
    </w:p>
    <w:tbl>
      <w:tblPr>
        <w:tblW w:w="0" w:type="auto"/>
        <w:jc w:val="left"/>
        <w:tblInd w:w="160" w:type="dxa"/>
        <w:tblLayout w:type="fixed"/>
        <w:tblCellMar>
          <w:top w:w="0" w:type="dxa"/>
          <w:left w:w="0" w:type="dxa"/>
          <w:bottom w:w="0" w:type="dxa"/>
          <w:right w:w="0" w:type="dxa"/>
        </w:tblCellMar>
        <w:tblLook w:val="01E0"/>
      </w:tblPr>
      <w:tblGrid>
        <w:gridCol w:w="1760"/>
        <w:gridCol w:w="767"/>
        <w:gridCol w:w="791"/>
        <w:gridCol w:w="780"/>
        <w:gridCol w:w="780"/>
        <w:gridCol w:w="780"/>
        <w:gridCol w:w="780"/>
        <w:gridCol w:w="768"/>
        <w:gridCol w:w="793"/>
        <w:gridCol w:w="780"/>
        <w:gridCol w:w="780"/>
      </w:tblGrid>
      <w:tr>
        <w:trPr>
          <w:trHeight w:val="401"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1,000.00</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100.00%</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38"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3,000.00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3,000.00</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left="89" w:right="0"/>
              <w:jc w:val="center"/>
              <w:rPr>
                <w:rFonts w:ascii="Times New Roman" w:hAnsi="Times New Roman" w:cs="Times New Roman" w:eastAsia="Times New Roman" w:hint="default"/>
                <w:sz w:val="18"/>
                <w:szCs w:val="18"/>
              </w:rPr>
            </w:pPr>
            <w:r>
              <w:rPr>
                <w:rFonts w:ascii="Times New Roman"/>
                <w:sz w:val="18"/>
              </w:rPr>
              <w:t>100.00%</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38"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14,563.69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14,563.69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4,000.00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26,048.69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26,048.69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928.83</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w w:val="95"/>
                <w:sz w:val="18"/>
              </w:rPr>
              <w:t>8,066.34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1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w:t>
            </w:r>
            <w:r>
              <w:rPr>
                <w:rFonts w:ascii="Times New Roman" w:hAnsi="Times New Roman" w:cs="Times New Roman" w:eastAsia="Times New Roman" w:hint="default"/>
                <w:sz w:val="18"/>
                <w:szCs w:val="18"/>
              </w:rPr>
              <w:t>“</w:t>
            </w:r>
            <w:r>
              <w:rPr>
                <w:rFonts w:ascii="宋体" w:hAnsi="宋体" w:cs="宋体" w:eastAsia="宋体" w:hint="default"/>
                <w:sz w:val="18"/>
                <w:szCs w:val="18"/>
              </w:rPr>
              <w:t>募集资金变更项目情况表</w:t>
            </w:r>
            <w:r>
              <w:rPr>
                <w:rFonts w:ascii="Times New Roman" w:hAnsi="Times New Roman" w:cs="Times New Roman" w:eastAsia="Times New Roman" w:hint="default"/>
                <w:sz w:val="18"/>
                <w:szCs w:val="18"/>
              </w:rPr>
              <w:t>”</w:t>
            </w:r>
          </w:p>
        </w:tc>
      </w:tr>
      <w:tr>
        <w:trPr>
          <w:trHeight w:val="715"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w:t>
            </w:r>
            <w:r>
              <w:rPr>
                <w:rFonts w:ascii="Times New Roman" w:hAnsi="Times New Roman" w:cs="Times New Roman" w:eastAsia="Times New Roman" w:hint="default"/>
                <w:sz w:val="18"/>
                <w:szCs w:val="18"/>
              </w:rPr>
              <w:t>“</w:t>
            </w:r>
            <w:r>
              <w:rPr>
                <w:rFonts w:ascii="宋体" w:hAnsi="宋体" w:cs="宋体" w:eastAsia="宋体" w:hint="default"/>
                <w:sz w:val="18"/>
                <w:szCs w:val="18"/>
              </w:rPr>
              <w:t>募集资金变更项目情况表</w:t>
            </w:r>
            <w:r>
              <w:rPr>
                <w:rFonts w:ascii="Times New Roman" w:hAnsi="Times New Roman" w:cs="Times New Roman" w:eastAsia="Times New Roman" w:hint="default"/>
                <w:sz w:val="18"/>
                <w:szCs w:val="18"/>
              </w:rPr>
              <w:t>”</w:t>
            </w:r>
          </w:p>
        </w:tc>
      </w:tr>
      <w:tr>
        <w:trPr>
          <w:trHeight w:val="401" w:hRule="exact"/>
        </w:trPr>
        <w:tc>
          <w:tcPr>
            <w:tcW w:w="1760" w:type="dxa"/>
            <w:vMerge w:val="restart"/>
            <w:tcBorders>
              <w:top w:val="single" w:sz="4" w:space="0" w:color="000000"/>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83" w:hRule="exact"/>
        </w:trPr>
        <w:tc>
          <w:tcPr>
            <w:tcW w:w="1760"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公司首发上市募集资金超募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21,692.98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1"/>
              <w:ind w:left="16"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2010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经公司第三届董事会第二十二次会议审议通过，同意用超额募集资金归还银行</w:t>
            </w:r>
          </w:p>
          <w:p>
            <w:pPr>
              <w:pStyle w:val="TableParagraph"/>
              <w:spacing w:line="300" w:lineRule="auto" w:before="63"/>
              <w:ind w:left="16" w:right="72"/>
              <w:jc w:val="left"/>
              <w:rPr>
                <w:rFonts w:ascii="宋体" w:hAnsi="宋体" w:cs="宋体" w:eastAsia="宋体" w:hint="default"/>
                <w:sz w:val="18"/>
                <w:szCs w:val="18"/>
              </w:rPr>
            </w:pPr>
            <w:r>
              <w:rPr>
                <w:rFonts w:ascii="宋体" w:hAnsi="宋体" w:cs="宋体" w:eastAsia="宋体" w:hint="default"/>
                <w:sz w:val="18"/>
                <w:szCs w:val="18"/>
              </w:rPr>
              <w:t>贷款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永久性补充公司日常经营所需流动资金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万元。上述事项于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月实施 完成。</w:t>
            </w:r>
          </w:p>
          <w:p>
            <w:pPr>
              <w:pStyle w:val="TableParagraph"/>
              <w:spacing w:line="300" w:lineRule="auto" w:before="72"/>
              <w:ind w:left="16"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年度第四次临时股东大会决议通过，公司已停止建设</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 </w:t>
            </w:r>
            <w:r>
              <w:rPr>
                <w:rFonts w:ascii="宋体" w:hAnsi="宋体" w:cs="宋体" w:eastAsia="宋体" w:hint="default"/>
                <w:spacing w:val="-1"/>
                <w:sz w:val="18"/>
                <w:szCs w:val="18"/>
              </w:rPr>
              <w:t>电板（柜）开发及产业化项目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，并将该项目变更为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研发中心综合楼项目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研发中心综合楼项目</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所需资金来源为原</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智能配电板（柜）开发及产业化项目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的募投资金余额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2,999.15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万元，以及超募</w:t>
            </w:r>
          </w:p>
          <w:p>
            <w:pPr>
              <w:pStyle w:val="TableParagraph"/>
              <w:spacing w:line="240" w:lineRule="auto" w:before="13"/>
              <w:ind w:left="16" w:right="0"/>
              <w:jc w:val="left"/>
              <w:rPr>
                <w:rFonts w:ascii="宋体" w:hAnsi="宋体" w:cs="宋体" w:eastAsia="宋体" w:hint="default"/>
                <w:sz w:val="18"/>
                <w:szCs w:val="18"/>
              </w:rPr>
            </w:pPr>
            <w:r>
              <w:rPr>
                <w:rFonts w:ascii="宋体" w:hAnsi="宋体" w:cs="宋体" w:eastAsia="宋体" w:hint="default"/>
                <w:sz w:val="18"/>
                <w:szCs w:val="18"/>
              </w:rPr>
              <w:t>资金约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10,563.69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万元。上述事项正在实施中，计划到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月完成。</w:t>
            </w:r>
          </w:p>
        </w:tc>
      </w:tr>
      <w:tr>
        <w:trPr>
          <w:trHeight w:val="703" w:hRule="exact"/>
        </w:trPr>
        <w:tc>
          <w:tcPr>
            <w:tcW w:w="17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vMerge/>
            <w:tcBorders>
              <w:left w:val="single" w:sz="10" w:space="0" w:color="D2D2D2"/>
              <w:right w:val="single" w:sz="4" w:space="0" w:color="000000"/>
            </w:tcBorders>
          </w:tcPr>
          <w:p>
            <w:pPr/>
          </w:p>
        </w:tc>
      </w:tr>
      <w:tr>
        <w:trPr>
          <w:trHeight w:val="1181" w:hRule="exact"/>
        </w:trPr>
        <w:tc>
          <w:tcPr>
            <w:tcW w:w="17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252" w:hRule="exact"/>
        </w:trPr>
        <w:tc>
          <w:tcPr>
            <w:tcW w:w="176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51" w:hRule="exact"/>
        </w:trPr>
        <w:tc>
          <w:tcPr>
            <w:tcW w:w="17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60"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51" w:hRule="exact"/>
        </w:trPr>
        <w:tc>
          <w:tcPr>
            <w:tcW w:w="1760"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w:t>
            </w:r>
            <w:r>
              <w:rPr>
                <w:rFonts w:ascii="Times New Roman" w:hAnsi="Times New Roman" w:cs="Times New Roman" w:eastAsia="Times New Roman" w:hint="default"/>
                <w:sz w:val="18"/>
                <w:szCs w:val="18"/>
              </w:rPr>
              <w:t>“</w:t>
            </w:r>
            <w:r>
              <w:rPr>
                <w:rFonts w:ascii="宋体" w:hAnsi="宋体" w:cs="宋体" w:eastAsia="宋体" w:hint="default"/>
                <w:sz w:val="18"/>
                <w:szCs w:val="18"/>
              </w:rPr>
              <w:t>募集资金变更项目情况</w:t>
            </w:r>
            <w:r>
              <w:rPr>
                <w:rFonts w:ascii="Times New Roman" w:hAnsi="Times New Roman" w:cs="Times New Roman" w:eastAsia="Times New Roman" w:hint="default"/>
                <w:sz w:val="18"/>
                <w:szCs w:val="18"/>
              </w:rPr>
              <w:t>”</w:t>
            </w:r>
          </w:p>
        </w:tc>
      </w:tr>
      <w:tr>
        <w:trPr>
          <w:trHeight w:val="252" w:hRule="exact"/>
        </w:trPr>
        <w:tc>
          <w:tcPr>
            <w:tcW w:w="17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250" w:hRule="exact"/>
        </w:trPr>
        <w:tc>
          <w:tcPr>
            <w:tcW w:w="176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51" w:hRule="exact"/>
        </w:trPr>
        <w:tc>
          <w:tcPr>
            <w:tcW w:w="17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60"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51" w:hRule="exact"/>
        </w:trPr>
        <w:tc>
          <w:tcPr>
            <w:tcW w:w="1760"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w:t>
            </w:r>
            <w:r>
              <w:rPr>
                <w:rFonts w:ascii="Times New Roman" w:hAnsi="Times New Roman" w:cs="Times New Roman" w:eastAsia="Times New Roman" w:hint="default"/>
                <w:sz w:val="18"/>
                <w:szCs w:val="18"/>
              </w:rPr>
              <w:t>“</w:t>
            </w:r>
            <w:r>
              <w:rPr>
                <w:rFonts w:ascii="宋体" w:hAnsi="宋体" w:cs="宋体" w:eastAsia="宋体" w:hint="default"/>
                <w:sz w:val="18"/>
                <w:szCs w:val="18"/>
              </w:rPr>
              <w:t>募集资金变更项目情况</w:t>
            </w:r>
            <w:r>
              <w:rPr>
                <w:rFonts w:ascii="Times New Roman" w:hAnsi="Times New Roman" w:cs="Times New Roman" w:eastAsia="Times New Roman" w:hint="default"/>
                <w:sz w:val="18"/>
                <w:szCs w:val="18"/>
              </w:rPr>
              <w:t>”</w:t>
            </w:r>
          </w:p>
        </w:tc>
      </w:tr>
      <w:tr>
        <w:trPr>
          <w:trHeight w:val="250" w:hRule="exact"/>
        </w:trPr>
        <w:tc>
          <w:tcPr>
            <w:tcW w:w="17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715"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300" w:lineRule="auto" w:before="49"/>
              <w:ind w:left="16" w:right="20"/>
              <w:jc w:val="left"/>
              <w:rPr>
                <w:rFonts w:ascii="宋体" w:hAnsi="宋体" w:cs="宋体" w:eastAsia="宋体" w:hint="default"/>
                <w:sz w:val="18"/>
                <w:szCs w:val="18"/>
              </w:rPr>
            </w:pPr>
            <w:r>
              <w:rPr>
                <w:rFonts w:ascii="宋体" w:hAnsi="宋体" w:cs="宋体" w:eastAsia="宋体" w:hint="default"/>
                <w:sz w:val="18"/>
                <w:szCs w:val="18"/>
              </w:rPr>
              <w:t>报告期内，尚未使用的募集资金为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26,619.22</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万元，资金主要用于募投项目后续建设，资金现存放在</w:t>
            </w:r>
            <w:r>
              <w:rPr>
                <w:rFonts w:ascii="宋体" w:hAnsi="宋体" w:cs="宋体" w:eastAsia="宋体" w:hint="default"/>
                <w:sz w:val="18"/>
                <w:szCs w:val="18"/>
              </w:rPr>
              <w:t> 募集资金专用账户。</w:t>
            </w:r>
          </w:p>
        </w:tc>
      </w:tr>
      <w:tr>
        <w:trPr>
          <w:trHeight w:val="1027"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6"/>
        <w:rPr>
          <w:rFonts w:ascii="宋体" w:hAnsi="宋体" w:cs="宋体" w:eastAsia="宋体" w:hint="default"/>
          <w:sz w:val="5"/>
          <w:szCs w:val="5"/>
        </w:rPr>
      </w:pPr>
    </w:p>
    <w:p>
      <w:pPr>
        <w:pStyle w:val="BodyText"/>
        <w:spacing w:line="240" w:lineRule="auto" w:before="44"/>
        <w:ind w:left="513" w:right="981"/>
        <w:jc w:val="left"/>
      </w:pPr>
      <w:r>
        <w:rPr/>
        <w:t>注</w:t>
      </w:r>
      <w:r>
        <w:rPr>
          <w:spacing w:val="-46"/>
        </w:rPr>
        <w:t> </w:t>
      </w:r>
      <w:r>
        <w:rPr>
          <w:rFonts w:ascii="宋体" w:hAnsi="宋体" w:cs="宋体" w:eastAsia="宋体" w:hint="default"/>
        </w:rPr>
        <w:t>1</w:t>
      </w:r>
      <w:r>
        <w:rPr/>
        <w:t>：</w:t>
      </w:r>
      <w:r>
        <w:rPr>
          <w:rFonts w:ascii="宋体" w:hAnsi="宋体" w:cs="宋体" w:eastAsia="宋体" w:hint="default"/>
        </w:rPr>
        <w:t>2011</w:t>
      </w:r>
      <w:r>
        <w:rPr>
          <w:rFonts w:ascii="宋体" w:hAnsi="宋体" w:cs="宋体" w:eastAsia="宋体" w:hint="default"/>
          <w:spacing w:val="-44"/>
        </w:rPr>
        <w:t> </w:t>
      </w:r>
      <w:r>
        <w:rPr/>
        <w:t>年</w:t>
      </w:r>
      <w:r>
        <w:rPr>
          <w:spacing w:val="-46"/>
        </w:rPr>
        <w:t> </w:t>
      </w:r>
      <w:r>
        <w:rPr>
          <w:rFonts w:ascii="宋体" w:hAnsi="宋体" w:cs="宋体" w:eastAsia="宋体" w:hint="default"/>
        </w:rPr>
        <w:t>11</w:t>
      </w:r>
      <w:r>
        <w:rPr>
          <w:rFonts w:ascii="宋体" w:hAnsi="宋体" w:cs="宋体" w:eastAsia="宋体" w:hint="default"/>
          <w:spacing w:val="-45"/>
        </w:rPr>
        <w:t> </w:t>
      </w:r>
      <w:r>
        <w:rPr/>
        <w:t>月</w:t>
      </w:r>
      <w:r>
        <w:rPr>
          <w:spacing w:val="-46"/>
        </w:rPr>
        <w:t> </w:t>
      </w:r>
      <w:r>
        <w:rPr>
          <w:rFonts w:ascii="宋体" w:hAnsi="宋体" w:cs="宋体" w:eastAsia="宋体" w:hint="default"/>
        </w:rPr>
        <w:t>25</w:t>
      </w:r>
      <w:r>
        <w:rPr>
          <w:rFonts w:ascii="宋体" w:hAnsi="宋体" w:cs="宋体" w:eastAsia="宋体" w:hint="default"/>
          <w:spacing w:val="-45"/>
        </w:rPr>
        <w:t> </w:t>
      </w:r>
      <w:r>
        <w:rPr/>
        <w:t>日，经公司</w:t>
      </w:r>
      <w:r>
        <w:rPr>
          <w:spacing w:val="-45"/>
        </w:rPr>
        <w:t> </w:t>
      </w:r>
      <w:r>
        <w:rPr>
          <w:rFonts w:ascii="宋体" w:hAnsi="宋体" w:cs="宋体" w:eastAsia="宋体" w:hint="default"/>
        </w:rPr>
        <w:t>2011</w:t>
      </w:r>
      <w:r>
        <w:rPr>
          <w:rFonts w:ascii="宋体" w:hAnsi="宋体" w:cs="宋体" w:eastAsia="宋体" w:hint="default"/>
          <w:spacing w:val="-44"/>
        </w:rPr>
        <w:t> </w:t>
      </w:r>
      <w:r>
        <w:rPr/>
        <w:t>年度第四次临时股东大会决议通过，公司已停止建设“智能配电板（柜）开发</w:t>
      </w:r>
    </w:p>
    <w:p>
      <w:pPr>
        <w:pStyle w:val="BodyText"/>
        <w:spacing w:line="240" w:lineRule="auto" w:before="126"/>
        <w:ind w:right="981"/>
        <w:jc w:val="left"/>
      </w:pPr>
      <w:r>
        <w:rPr/>
        <w:t>及产业化项目</w:t>
      </w:r>
      <w:r>
        <w:rPr>
          <w:spacing w:val="-92"/>
        </w:rPr>
        <w:t>”</w:t>
      </w:r>
      <w:r>
        <w:rPr>
          <w:spacing w:val="-22"/>
        </w:rPr>
        <w:t>，</w:t>
      </w:r>
      <w:r>
        <w:rPr/>
        <w:t>并将该项目</w:t>
      </w:r>
      <w:r>
        <w:rPr>
          <w:spacing w:val="2"/>
        </w:rPr>
        <w:t>变</w:t>
      </w:r>
      <w:r>
        <w:rPr/>
        <w:t>更</w:t>
      </w:r>
      <w:r>
        <w:rPr>
          <w:spacing w:val="-22"/>
        </w:rPr>
        <w:t>为</w:t>
      </w:r>
      <w:r>
        <w:rPr/>
        <w:t>“研发中心综合楼项目</w:t>
      </w:r>
      <w:r>
        <w:rPr>
          <w:spacing w:val="-92"/>
        </w:rPr>
        <w:t>”</w:t>
      </w:r>
      <w:r>
        <w:rPr>
          <w:spacing w:val="-20"/>
        </w:rPr>
        <w:t>。</w:t>
      </w:r>
      <w:r>
        <w:rPr/>
        <w:t>研发中心综合楼项目计划总投资约</w:t>
      </w:r>
      <w:r>
        <w:rPr>
          <w:spacing w:val="-43"/>
        </w:rPr>
        <w:t> </w:t>
      </w:r>
      <w:r>
        <w:rPr>
          <w:rFonts w:ascii="宋体" w:hAnsi="宋体" w:cs="宋体" w:eastAsia="宋体" w:hint="default"/>
          <w:spacing w:val="1"/>
        </w:rPr>
        <w:t>1</w:t>
      </w:r>
      <w:r>
        <w:rPr>
          <w:rFonts w:ascii="宋体" w:hAnsi="宋体" w:cs="宋体" w:eastAsia="宋体" w:hint="default"/>
          <w:spacing w:val="-2"/>
        </w:rPr>
        <w:t>3</w:t>
      </w:r>
      <w:r>
        <w:rPr>
          <w:rFonts w:ascii="宋体" w:hAnsi="宋体" w:cs="宋体" w:eastAsia="宋体" w:hint="default"/>
          <w:spacing w:val="1"/>
        </w:rPr>
        <w:t>,</w:t>
      </w:r>
      <w:r>
        <w:rPr>
          <w:rFonts w:ascii="宋体" w:hAnsi="宋体" w:cs="宋体" w:eastAsia="宋体" w:hint="default"/>
          <w:spacing w:val="-2"/>
        </w:rPr>
        <w:t>5</w:t>
      </w:r>
      <w:r>
        <w:rPr>
          <w:rFonts w:ascii="宋体" w:hAnsi="宋体" w:cs="宋体" w:eastAsia="宋体" w:hint="default"/>
          <w:spacing w:val="1"/>
        </w:rPr>
        <w:t>6</w:t>
      </w:r>
      <w:r>
        <w:rPr>
          <w:rFonts w:ascii="宋体" w:hAnsi="宋体" w:cs="宋体" w:eastAsia="宋体" w:hint="default"/>
          <w:spacing w:val="-2"/>
        </w:rPr>
        <w:t>2</w:t>
      </w:r>
      <w:r>
        <w:rPr>
          <w:rFonts w:ascii="宋体" w:hAnsi="宋体" w:cs="宋体" w:eastAsia="宋体" w:hint="default"/>
          <w:spacing w:val="1"/>
        </w:rPr>
        <w:t>.</w:t>
      </w:r>
      <w:r>
        <w:rPr>
          <w:rFonts w:ascii="宋体" w:hAnsi="宋体" w:cs="宋体" w:eastAsia="宋体" w:hint="default"/>
          <w:spacing w:val="-2"/>
        </w:rPr>
        <w:t>8</w:t>
      </w:r>
      <w:r>
        <w:rPr>
          <w:rFonts w:ascii="宋体" w:hAnsi="宋体" w:cs="宋体" w:eastAsia="宋体" w:hint="default"/>
        </w:rPr>
        <w:t>4</w:t>
      </w:r>
      <w:r>
        <w:rPr>
          <w:rFonts w:ascii="宋体" w:hAnsi="宋体" w:cs="宋体" w:eastAsia="宋体" w:hint="default"/>
          <w:spacing w:val="-42"/>
        </w:rPr>
        <w:t> </w:t>
      </w:r>
      <w:r>
        <w:rPr/>
        <w:t>万元</w:t>
      </w:r>
      <w:r>
        <w:rPr>
          <w:spacing w:val="-22"/>
        </w:rPr>
        <w:t>，</w:t>
      </w:r>
      <w:r>
        <w:rPr/>
        <w:t>所需资金</w:t>
      </w:r>
    </w:p>
    <w:p>
      <w:pPr>
        <w:pStyle w:val="BodyText"/>
        <w:spacing w:line="240" w:lineRule="auto" w:before="124"/>
        <w:ind w:right="981"/>
        <w:jc w:val="left"/>
        <w:rPr>
          <w:rFonts w:ascii="宋体" w:hAnsi="宋体" w:cs="宋体" w:eastAsia="宋体" w:hint="default"/>
        </w:rPr>
      </w:pPr>
      <w:r>
        <w:rPr/>
        <w:t>来源为原“智能配电板（柜）开发及产业化项目”的募投资金余额</w:t>
      </w:r>
      <w:r>
        <w:rPr>
          <w:spacing w:val="-30"/>
        </w:rPr>
        <w:t> </w:t>
      </w:r>
      <w:r>
        <w:rPr>
          <w:rFonts w:ascii="宋体" w:hAnsi="宋体" w:cs="宋体" w:eastAsia="宋体" w:hint="default"/>
        </w:rPr>
        <w:t>2,999.15</w:t>
      </w:r>
      <w:r>
        <w:rPr>
          <w:rFonts w:ascii="宋体" w:hAnsi="宋体" w:cs="宋体" w:eastAsia="宋体" w:hint="default"/>
          <w:spacing w:val="-29"/>
        </w:rPr>
        <w:t> </w:t>
      </w:r>
      <w:r>
        <w:rPr/>
        <w:t>万元，以及公司上市的超募资金约</w:t>
      </w:r>
      <w:r>
        <w:rPr>
          <w:spacing w:val="-30"/>
        </w:rPr>
        <w:t> </w:t>
      </w:r>
      <w:r>
        <w:rPr>
          <w:rFonts w:ascii="宋体" w:hAnsi="宋体" w:cs="宋体" w:eastAsia="宋体" w:hint="default"/>
        </w:rPr>
        <w:t>10,563.69</w:t>
      </w:r>
    </w:p>
    <w:p>
      <w:pPr>
        <w:spacing w:after="0" w:line="240" w:lineRule="auto"/>
        <w:jc w:val="left"/>
        <w:rPr>
          <w:rFonts w:ascii="宋体" w:hAnsi="宋体" w:cs="宋体" w:eastAsia="宋体" w:hint="default"/>
        </w:rPr>
        <w:sectPr>
          <w:pgSz w:w="11910" w:h="16840"/>
          <w:pgMar w:header="877" w:footer="980" w:top="1100" w:bottom="1160" w:left="980" w:right="0"/>
        </w:sectPr>
      </w:pPr>
    </w:p>
    <w:p>
      <w:pPr>
        <w:spacing w:line="240" w:lineRule="auto" w:before="2"/>
        <w:rPr>
          <w:rFonts w:ascii="宋体" w:hAnsi="宋体" w:cs="宋体" w:eastAsia="宋体" w:hint="default"/>
          <w:sz w:val="27"/>
          <w:szCs w:val="27"/>
        </w:rPr>
      </w:pPr>
      <w:r>
        <w:rPr/>
        <w:pict>
          <v:shape style="position:absolute;margin-left:460.320007pt;margin-top:764.919983pt;width:135.0pt;height:77pt;mso-position-horizontal-relative:page;mso-position-vertical-relative:page;z-index:-560608" type="#_x0000_t75" stroked="false">
            <v:imagedata r:id="rId5" o:title=""/>
          </v:shape>
        </w:pict>
      </w:r>
    </w:p>
    <w:p>
      <w:pPr>
        <w:pStyle w:val="BodyText"/>
        <w:spacing w:line="240" w:lineRule="auto" w:before="44"/>
        <w:ind w:right="981"/>
        <w:jc w:val="left"/>
      </w:pPr>
      <w:r>
        <w:rPr/>
        <w:t>万元。</w:t>
      </w:r>
    </w:p>
    <w:p>
      <w:pPr>
        <w:spacing w:line="240" w:lineRule="auto" w:before="6"/>
        <w:rPr>
          <w:rFonts w:ascii="宋体" w:hAnsi="宋体" w:cs="宋体" w:eastAsia="宋体" w:hint="default"/>
          <w:sz w:val="21"/>
          <w:szCs w:val="21"/>
        </w:rPr>
      </w:pPr>
    </w:p>
    <w:p>
      <w:pPr>
        <w:pStyle w:val="BodyText"/>
        <w:spacing w:line="367" w:lineRule="auto"/>
        <w:ind w:right="1034" w:firstLine="360"/>
        <w:jc w:val="left"/>
      </w:pPr>
      <w:r>
        <w:rPr/>
        <w:t>注</w:t>
      </w:r>
      <w:r>
        <w:rPr>
          <w:spacing w:val="-58"/>
        </w:rPr>
        <w:t> </w:t>
      </w:r>
      <w:r>
        <w:rPr>
          <w:rFonts w:ascii="宋体" w:hAnsi="宋体" w:cs="宋体" w:eastAsia="宋体" w:hint="default"/>
        </w:rPr>
        <w:t>2</w:t>
      </w:r>
      <w:r>
        <w:rPr/>
        <w:t>：报告期内，“销售和技术支持基地建设项目”基本建成并投入使用，对扩大公司在驻外分公司、办事处区域内智 </w:t>
      </w:r>
      <w:r>
        <w:rPr>
          <w:spacing w:val="-2"/>
        </w:rPr>
        <w:t>能交通系统集成业务市场份额发挥了积极作用；对区域内已实施的智能交通系统集成项目后期维护等技术支持工作起到了较</w:t>
      </w:r>
      <w:r>
        <w:rPr>
          <w:spacing w:val="-64"/>
        </w:rPr>
        <w:t> </w:t>
      </w:r>
      <w:r>
        <w:rPr>
          <w:spacing w:val="-64"/>
        </w:rPr>
      </w:r>
      <w:r>
        <w:rPr>
          <w:spacing w:val="-2"/>
        </w:rPr>
        <w:t>好的保障作用。“智能交通参数和事件视频控制器研发及产业化项目”基本完成项目研发工作，进入小批量生产阶段并实现</w:t>
      </w:r>
      <w:r>
        <w:rPr>
          <w:spacing w:val="-63"/>
        </w:rPr>
        <w:t> </w:t>
      </w:r>
      <w:r>
        <w:rPr>
          <w:spacing w:val="-63"/>
        </w:rPr>
      </w:r>
      <w:r>
        <w:rPr/>
        <w:t>了销售。“新一代高速公路收费业务平台研发及产业化项目”基本完成项目研发工作，成果已在上海、贵阳、重庆、宁夏、 广东等多个各省、市得到推广使用。这两个项目的具体效益拟在销售进入平稳阶段后再进行统计评估。</w:t>
      </w:r>
    </w:p>
    <w:p>
      <w:pPr>
        <w:spacing w:line="240" w:lineRule="auto" w:before="3"/>
        <w:rPr>
          <w:rFonts w:ascii="宋体" w:hAnsi="宋体" w:cs="宋体" w:eastAsia="宋体" w:hint="default"/>
          <w:sz w:val="18"/>
          <w:szCs w:val="18"/>
        </w:rPr>
      </w:pPr>
    </w:p>
    <w:p>
      <w:pPr>
        <w:pStyle w:val="Heading5"/>
        <w:spacing w:line="240" w:lineRule="auto"/>
        <w:ind w:right="981"/>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340"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59"/>
              <w:ind w:left="1"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1"/>
              <w:jc w:val="center"/>
              <w:rPr>
                <w:rFonts w:ascii="宋体" w:hAnsi="宋体" w:cs="宋体" w:eastAsia="宋体" w:hint="default"/>
                <w:sz w:val="18"/>
                <w:szCs w:val="18"/>
              </w:rPr>
            </w:pPr>
            <w:r>
              <w:rPr>
                <w:rFonts w:ascii="宋体" w:hAnsi="宋体" w:cs="宋体" w:eastAsia="宋体" w:hint="default"/>
                <w:sz w:val="18"/>
                <w:szCs w:val="18"/>
              </w:rPr>
              <w:t>截至期末投 资进度</w:t>
            </w:r>
          </w:p>
          <w:p>
            <w:pPr>
              <w:pStyle w:val="TableParagraph"/>
              <w:spacing w:line="362" w:lineRule="auto" w:before="59"/>
              <w:ind w:left="52" w:right="49"/>
              <w:jc w:val="center"/>
              <w:rPr>
                <w:rFonts w:ascii="Times New Roman" w:hAnsi="Times New Roman" w:cs="Times New Roman" w:eastAsia="Times New Roman" w:hint="default"/>
                <w:sz w:val="18"/>
                <w:szCs w:val="18"/>
              </w:rPr>
            </w:pPr>
            <w:r>
              <w:rPr>
                <w:rFonts w:ascii="Times New Roman"/>
                <w:sz w:val="18"/>
              </w:rPr>
              <w:t>(%)(3)=(2)/</w:t>
            </w:r>
            <w:r>
              <w:rPr>
                <w:rFonts w:ascii="Times New Roman"/>
                <w:w w:val="99"/>
                <w:sz w:val="18"/>
              </w:rPr>
              <w:t> </w:t>
            </w: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04"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2"/>
              <w:jc w:val="left"/>
              <w:rPr>
                <w:rFonts w:ascii="宋体" w:hAnsi="宋体" w:cs="宋体" w:eastAsia="宋体" w:hint="default"/>
                <w:sz w:val="18"/>
                <w:szCs w:val="18"/>
              </w:rPr>
            </w:pPr>
            <w:r>
              <w:rPr>
                <w:rFonts w:ascii="宋体" w:hAnsi="宋体" w:cs="宋体" w:eastAsia="宋体" w:hint="default"/>
                <w:sz w:val="18"/>
                <w:szCs w:val="18"/>
              </w:rPr>
              <w:t>研发中心综 合楼项目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智能配电板</w:t>
            </w:r>
          </w:p>
          <w:p>
            <w:pPr>
              <w:pStyle w:val="TableParagraph"/>
              <w:spacing w:line="316" w:lineRule="auto" w:before="76"/>
              <w:ind w:left="24" w:right="23"/>
              <w:jc w:val="both"/>
              <w:rPr>
                <w:rFonts w:ascii="宋体" w:hAnsi="宋体" w:cs="宋体" w:eastAsia="宋体" w:hint="default"/>
                <w:sz w:val="18"/>
                <w:szCs w:val="18"/>
              </w:rPr>
            </w:pPr>
            <w:r>
              <w:rPr>
                <w:rFonts w:ascii="宋体" w:hAnsi="宋体" w:cs="宋体" w:eastAsia="宋体" w:hint="default"/>
                <w:sz w:val="18"/>
                <w:szCs w:val="18"/>
              </w:rPr>
              <w:t>（柜）开发 及产业化项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13,562.84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263.78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266.95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1.97%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27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新一代高速 公路收费综 合业务平台 研发、推广 及技术支持 服务中心项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新一代高速 公路收费综 合业务平台 研发、推广 及技术支持 服务中心项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3,578.00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277.27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1,155.23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32.29%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96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智能交通系 统视频交通 参数及事件 检测器研发 及产业化项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智能交通系 统视频交通 参数及事件 检测器研发 及产业化项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2,530.00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287.95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705.92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27.90%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4"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销售及技术 支持网络基 地建设项目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销售及技术 支持网络基 地建设项目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2,238.00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99.83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1,798.39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80.36%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21,908.84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928.83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3,926.49</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3"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629" w:hRule="exact"/>
        </w:trPr>
        <w:tc>
          <w:tcPr>
            <w:tcW w:w="2874"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699" w:type="dxa"/>
            <w:gridSpan w:val="7"/>
            <w:vMerge w:val="restart"/>
            <w:tcBorders>
              <w:top w:val="single" w:sz="4" w:space="0" w:color="000000"/>
              <w:left w:val="single" w:sz="10" w:space="0" w:color="D2D2D2"/>
              <w:right w:val="single" w:sz="4" w:space="0" w:color="000000"/>
            </w:tcBorders>
          </w:tcPr>
          <w:p>
            <w:pPr>
              <w:pStyle w:val="TableParagraph"/>
              <w:spacing w:line="300" w:lineRule="auto" w:before="49"/>
              <w:ind w:left="16"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年公司第四次临时股东大会审议通过，公司停止建设</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智能配电板（柜） </w:t>
            </w:r>
            <w:r>
              <w:rPr>
                <w:rFonts w:ascii="宋体" w:hAnsi="宋体" w:cs="宋体" w:eastAsia="宋体" w:hint="default"/>
                <w:spacing w:val="-3"/>
                <w:sz w:val="18"/>
                <w:szCs w:val="18"/>
              </w:rPr>
              <w:t>开发及产业化项目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，并将该项目变更为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研发中心综合楼项目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。根据该项目可行性研</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8"/>
                <w:sz w:val="18"/>
                <w:szCs w:val="18"/>
              </w:rPr>
              <w:t>究报告测算，项目基本建设、设备购置和研发、验证实验环境等建设总概算为</w:t>
            </w:r>
            <w:r>
              <w:rPr>
                <w:rFonts w:ascii="宋体" w:hAnsi="宋体" w:cs="宋体" w:eastAsia="宋体" w:hint="default"/>
                <w:spacing w:val="-21"/>
                <w:sz w:val="18"/>
                <w:szCs w:val="18"/>
              </w:rPr>
              <w:t> </w:t>
            </w:r>
            <w:r>
              <w:rPr>
                <w:rFonts w:ascii="Times New Roman" w:hAnsi="Times New Roman" w:cs="Times New Roman" w:eastAsia="Times New Roman" w:hint="default"/>
                <w:spacing w:val="-1"/>
                <w:sz w:val="18"/>
                <w:szCs w:val="18"/>
              </w:rPr>
              <w:t>13,562.84</w:t>
            </w:r>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宋体" w:hAnsi="宋体" w:cs="宋体" w:eastAsia="宋体" w:hint="default"/>
                <w:sz w:val="18"/>
                <w:szCs w:val="18"/>
              </w:rPr>
              <w:t>万元，项目所需资金来源为原</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智能配电板（柜）开发及产业化项目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的募投资金余额 </w:t>
            </w:r>
            <w:r>
              <w:rPr>
                <w:rFonts w:ascii="Times New Roman" w:hAnsi="Times New Roman" w:cs="Times New Roman" w:eastAsia="Times New Roman" w:hint="default"/>
                <w:sz w:val="18"/>
                <w:szCs w:val="18"/>
              </w:rPr>
              <w:t>2,999.15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万元，以及公司上市的超募资金约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10,563.69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5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年公司第四次临时股东大会审议通过，公司对</w:t>
            </w:r>
            <w:r>
              <w:rPr>
                <w:rFonts w:ascii="Times New Roman" w:hAnsi="Times New Roman" w:cs="Times New Roman" w:eastAsia="Times New Roman" w:hint="default"/>
                <w:sz w:val="18"/>
                <w:szCs w:val="18"/>
              </w:rPr>
              <w:t>“</w:t>
            </w:r>
            <w:r>
              <w:rPr>
                <w:rFonts w:ascii="宋体" w:hAnsi="宋体" w:cs="宋体" w:eastAsia="宋体" w:hint="default"/>
                <w:sz w:val="18"/>
                <w:szCs w:val="18"/>
              </w:rPr>
              <w:t>销售及技术支持网络基地</w:t>
            </w:r>
          </w:p>
        </w:tc>
      </w:tr>
      <w:tr>
        <w:trPr>
          <w:trHeight w:val="706"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vMerge/>
            <w:tcBorders>
              <w:left w:val="single" w:sz="10" w:space="0" w:color="D2D2D2"/>
              <w:right w:val="single" w:sz="4" w:space="0" w:color="000000"/>
            </w:tcBorders>
          </w:tcPr>
          <w:p>
            <w:pPr/>
          </w:p>
        </w:tc>
      </w:tr>
      <w:tr>
        <w:trPr>
          <w:trHeight w:val="629" w:hRule="exact"/>
        </w:trPr>
        <w:tc>
          <w:tcPr>
            <w:tcW w:w="2874"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699" w:type="dxa"/>
            <w:gridSpan w:val="7"/>
            <w:vMerge/>
            <w:tcBorders>
              <w:left w:val="single" w:sz="10" w:space="0" w:color="D2D2D2"/>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1384" type="#_x0000_t75" stroked="false">
            <v:imagedata r:id="rId5" o:title=""/>
          </v:shape>
        </w:pict>
      </w:r>
    </w:p>
    <w:tbl>
      <w:tblPr>
        <w:tblW w:w="0" w:type="auto"/>
        <w:jc w:val="left"/>
        <w:tblInd w:w="329" w:type="dxa"/>
        <w:tblLayout w:type="fixed"/>
        <w:tblCellMar>
          <w:top w:w="0" w:type="dxa"/>
          <w:left w:w="0" w:type="dxa"/>
          <w:bottom w:w="0" w:type="dxa"/>
          <w:right w:w="0" w:type="dxa"/>
        </w:tblCellMar>
        <w:tblLook w:val="01E0"/>
      </w:tblPr>
      <w:tblGrid>
        <w:gridCol w:w="2873"/>
        <w:gridCol w:w="6699"/>
      </w:tblGrid>
      <w:tr>
        <w:trPr>
          <w:trHeight w:val="3250"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变更部分基地建设实施方式及调整部分实施地点。具体情况如下：</w:t>
            </w:r>
          </w:p>
          <w:p>
            <w:pPr>
              <w:pStyle w:val="TableParagraph"/>
              <w:spacing w:line="312" w:lineRule="auto" w:before="104"/>
              <w:ind w:left="24"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）部分基地建设实施方式的变更根据公司在西南地区的发展需要以及重庆市软件 </w:t>
            </w:r>
            <w:r>
              <w:rPr>
                <w:rFonts w:ascii="宋体" w:hAnsi="宋体" w:cs="宋体" w:eastAsia="宋体" w:hint="default"/>
                <w:spacing w:val="-1"/>
                <w:sz w:val="18"/>
                <w:szCs w:val="18"/>
              </w:rPr>
              <w:t>人才的优势，公司拟依托重庆基地建设公司重庆软件研发基地，以服务西南地区高速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公路收费、监控软件市场。由此公司将取消成都办事处办公用房的购置计划，变更为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租赁办公用房。同时将重庆和成都的购房资金合并使用。</w:t>
            </w:r>
          </w:p>
          <w:p>
            <w:pPr>
              <w:pStyle w:val="TableParagraph"/>
              <w:spacing w:line="314" w:lineRule="auto" w:before="61"/>
              <w:ind w:left="24" w:right="1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）部分基地建设实施地点的变更</w:t>
            </w:r>
            <w:r>
              <w:rPr>
                <w:rFonts w:ascii="宋体" w:hAnsi="宋体" w:cs="宋体" w:eastAsia="宋体" w:hint="default"/>
                <w:spacing w:val="-16"/>
                <w:sz w:val="18"/>
                <w:szCs w:val="18"/>
              </w:rPr>
              <w:t> </w:t>
            </w:r>
            <w:r>
              <w:rPr>
                <w:rFonts w:ascii="宋体" w:hAnsi="宋体" w:cs="宋体" w:eastAsia="宋体" w:hint="default"/>
                <w:sz w:val="18"/>
                <w:szCs w:val="18"/>
              </w:rPr>
              <w:t>近几年来，湖北、山东、江西等省智能交通市场</w:t>
            </w:r>
            <w:r>
              <w:rPr>
                <w:rFonts w:ascii="宋体" w:hAnsi="宋体" w:cs="宋体" w:eastAsia="宋体" w:hint="default"/>
                <w:sz w:val="18"/>
                <w:szCs w:val="18"/>
              </w:rPr>
              <w:t> </w:t>
            </w:r>
            <w:r>
              <w:rPr>
                <w:rFonts w:ascii="宋体" w:hAnsi="宋体" w:cs="宋体" w:eastAsia="宋体" w:hint="default"/>
                <w:spacing w:val="-1"/>
                <w:sz w:val="18"/>
                <w:szCs w:val="18"/>
              </w:rPr>
              <w:t>环境发生变化。结合公司业务发展规划，为提高募集资金的使用效率，对部分实施地</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点进行调整：取消在湖北、山东、江西三地区新建销售及技术支持网络基地。取消在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广东省广州市新建销售及技术支持网络基地，变更为在广东省东莞市和广西省南宁市</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新建销售及技术支持网络基地。本次项目的调整，没有改变该项目总投资计划。</w:t>
            </w:r>
          </w:p>
        </w:tc>
      </w:tr>
      <w:tr>
        <w:trPr>
          <w:trHeight w:val="2979"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、新一代高速公路收费综合业务平台研发、推广及技术支持服务中心项目：因公司 </w:t>
            </w:r>
            <w:r>
              <w:rPr>
                <w:rFonts w:ascii="宋体" w:hAnsi="宋体" w:cs="宋体" w:eastAsia="宋体" w:hint="default"/>
                <w:spacing w:val="-1"/>
                <w:sz w:val="18"/>
                <w:szCs w:val="18"/>
              </w:rPr>
              <w:t>现有场地资源已无法满足项目所需研发、验证实验室及相关环境要求及技术支持服务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中心建设，本募投项目的研发及验证实验室、技术支持服务中心和相关环境建设等工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作需要等待</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研发中心综合楼</w:t>
            </w:r>
            <w:r>
              <w:rPr>
                <w:rFonts w:ascii="Times New Roman" w:hAnsi="Times New Roman" w:cs="Times New Roman" w:eastAsia="Times New Roman" w:hint="default"/>
                <w:sz w:val="18"/>
                <w:szCs w:val="18"/>
              </w:rPr>
              <w:t>”</w:t>
            </w:r>
            <w:r>
              <w:rPr>
                <w:rFonts w:ascii="宋体" w:hAnsi="宋体" w:cs="宋体" w:eastAsia="宋体" w:hint="default"/>
                <w:sz w:val="18"/>
                <w:szCs w:val="18"/>
              </w:rPr>
              <w:t>建成后进行。 </w:t>
            </w:r>
            <w:r>
              <w:rPr>
                <w:rFonts w:ascii="Times New Roman" w:hAnsi="Times New Roman" w:cs="Times New Roman" w:eastAsia="Times New Roman" w:hint="default"/>
                <w:sz w:val="18"/>
                <w:szCs w:val="18"/>
              </w:rPr>
              <w:t>2</w:t>
            </w:r>
            <w:r>
              <w:rPr>
                <w:rFonts w:ascii="宋体" w:hAnsi="宋体" w:cs="宋体" w:eastAsia="宋体" w:hint="default"/>
                <w:sz w:val="18"/>
                <w:szCs w:val="18"/>
              </w:rPr>
              <w:t>、智能交通系统视频交通参数及事件检测器研发及产业化项目：因公司现有场地资</w:t>
            </w:r>
          </w:p>
          <w:p>
            <w:pPr>
              <w:pStyle w:val="TableParagraph"/>
              <w:spacing w:line="328" w:lineRule="auto"/>
              <w:ind w:left="24" w:right="17"/>
              <w:jc w:val="left"/>
              <w:rPr>
                <w:rFonts w:ascii="宋体" w:hAnsi="宋体" w:cs="宋体" w:eastAsia="宋体" w:hint="default"/>
                <w:sz w:val="18"/>
                <w:szCs w:val="18"/>
              </w:rPr>
            </w:pPr>
            <w:r>
              <w:rPr>
                <w:rFonts w:ascii="宋体" w:hAnsi="宋体" w:cs="宋体" w:eastAsia="宋体" w:hint="default"/>
                <w:spacing w:val="-1"/>
                <w:sz w:val="18"/>
                <w:szCs w:val="18"/>
              </w:rPr>
              <w:t>源已无法满足项目所需研发、验证实验室及相关环境建设要求，本募投项目的研发及</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验证实验室及相关环境建设等工作需要等待</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研发中心综合楼</w:t>
            </w:r>
            <w:r>
              <w:rPr>
                <w:rFonts w:ascii="Times New Roman" w:hAnsi="Times New Roman" w:cs="Times New Roman" w:eastAsia="Times New Roman" w:hint="default"/>
                <w:sz w:val="18"/>
                <w:szCs w:val="18"/>
              </w:rPr>
              <w:t>”</w:t>
            </w:r>
            <w:r>
              <w:rPr>
                <w:rFonts w:ascii="宋体" w:hAnsi="宋体" w:cs="宋体" w:eastAsia="宋体" w:hint="default"/>
                <w:sz w:val="18"/>
                <w:szCs w:val="18"/>
              </w:rPr>
              <w:t>建成后进行。 </w:t>
            </w:r>
            <w:r>
              <w:rPr>
                <w:rFonts w:ascii="Times New Roman" w:hAnsi="Times New Roman" w:cs="Times New Roman" w:eastAsia="Times New Roman" w:hint="default"/>
                <w:sz w:val="18"/>
                <w:szCs w:val="18"/>
              </w:rPr>
              <w:t>3</w:t>
            </w:r>
            <w:r>
              <w:rPr>
                <w:rFonts w:ascii="宋体" w:hAnsi="宋体" w:cs="宋体" w:eastAsia="宋体" w:hint="default"/>
                <w:sz w:val="18"/>
                <w:szCs w:val="18"/>
              </w:rPr>
              <w:t>、销售及技术支持网络基地建设项目：因重庆购买房屋交房时间为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年，本项目</w:t>
            </w:r>
          </w:p>
          <w:p>
            <w:pPr>
              <w:pStyle w:val="TableParagraph"/>
              <w:spacing w:line="238" w:lineRule="exact"/>
              <w:ind w:left="24" w:right="0"/>
              <w:jc w:val="left"/>
              <w:rPr>
                <w:rFonts w:ascii="宋体" w:hAnsi="宋体" w:cs="宋体" w:eastAsia="宋体" w:hint="default"/>
                <w:sz w:val="18"/>
                <w:szCs w:val="18"/>
              </w:rPr>
            </w:pPr>
            <w:r>
              <w:rPr>
                <w:rFonts w:ascii="宋体" w:hAnsi="宋体" w:cs="宋体" w:eastAsia="宋体" w:hint="default"/>
                <w:sz w:val="18"/>
                <w:szCs w:val="18"/>
              </w:rPr>
              <w:t>进度将调整到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715"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6"/>
        <w:rPr>
          <w:rFonts w:ascii="宋体" w:hAnsi="宋体" w:cs="宋体" w:eastAsia="宋体" w:hint="default"/>
          <w:sz w:val="5"/>
          <w:szCs w:val="5"/>
        </w:rPr>
      </w:pPr>
    </w:p>
    <w:p>
      <w:pPr>
        <w:pStyle w:val="BodyText"/>
        <w:spacing w:line="367" w:lineRule="auto" w:before="44"/>
        <w:ind w:left="332" w:right="1034" w:firstLine="360"/>
        <w:jc w:val="left"/>
      </w:pPr>
      <w:r>
        <w:rPr/>
        <w:t>注</w:t>
      </w:r>
      <w:r>
        <w:rPr>
          <w:spacing w:val="-58"/>
        </w:rPr>
        <w:t> </w:t>
      </w:r>
      <w:r>
        <w:rPr>
          <w:rFonts w:ascii="宋体" w:hAnsi="宋体" w:cs="宋体" w:eastAsia="宋体" w:hint="default"/>
        </w:rPr>
        <w:t>1</w:t>
      </w:r>
      <w:r>
        <w:rPr/>
        <w:t>：报告期内，“销售和技术支持基地建设项目”基本建成并投入使用，对扩大公司在驻外分公司、办事处区域内智 </w:t>
      </w:r>
      <w:r>
        <w:rPr>
          <w:spacing w:val="-2"/>
        </w:rPr>
        <w:t>能交通系统集成业务市场份额发挥了积极作用；对区域内已实施的智能交通系统集成项目后期维护等技术支持工作起到了较</w:t>
      </w:r>
      <w:r>
        <w:rPr>
          <w:spacing w:val="-64"/>
        </w:rPr>
        <w:t> </w:t>
      </w:r>
      <w:r>
        <w:rPr>
          <w:spacing w:val="-64"/>
        </w:rPr>
      </w:r>
      <w:r>
        <w:rPr>
          <w:spacing w:val="-2"/>
        </w:rPr>
        <w:t>好的保障作用。“智能交通参数和事件视频控制器研发及产业化项目”基本完成项目研发工作，进入小批量生产阶段并实现</w:t>
      </w:r>
      <w:r>
        <w:rPr>
          <w:spacing w:val="-63"/>
        </w:rPr>
        <w:t> </w:t>
      </w:r>
      <w:r>
        <w:rPr>
          <w:spacing w:val="-63"/>
        </w:rPr>
      </w:r>
      <w:r>
        <w:rPr/>
        <w:t>了销售。“新一代高速公路收费业务平台研发及产业化项目”基本完成项目研发工作，成果已在上海、贵阳、重庆、宁夏、 广东等多个各省、市得到推广使用。这两个项目的具体效益拟在销售进入平稳阶段后再进行统计评估。</w:t>
      </w:r>
    </w:p>
    <w:p>
      <w:pPr>
        <w:spacing w:line="240" w:lineRule="auto" w:before="3"/>
        <w:rPr>
          <w:rFonts w:ascii="宋体" w:hAnsi="宋体" w:cs="宋体" w:eastAsia="宋体" w:hint="default"/>
          <w:sz w:val="18"/>
          <w:szCs w:val="18"/>
        </w:rPr>
      </w:pPr>
    </w:p>
    <w:p>
      <w:pPr>
        <w:pStyle w:val="Heading5"/>
        <w:spacing w:line="240" w:lineRule="auto"/>
        <w:ind w:left="332" w:right="1034"/>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332" w:right="1034"/>
        <w:jc w:val="left"/>
      </w:pPr>
      <w:r>
        <w:rPr/>
        <w:t>主要子公司、参股公司情况</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946"/>
        <w:gridCol w:w="898"/>
        <w:gridCol w:w="850"/>
        <w:gridCol w:w="853"/>
        <w:gridCol w:w="850"/>
        <w:gridCol w:w="1136"/>
        <w:gridCol w:w="1133"/>
        <w:gridCol w:w="1135"/>
        <w:gridCol w:w="1133"/>
        <w:gridCol w:w="1135"/>
      </w:tblGrid>
      <w:tr>
        <w:trPr>
          <w:trHeight w:val="716"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1" w:right="62" w:hanging="92"/>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0"/>
              <w:jc w:val="both"/>
              <w:rPr>
                <w:rFonts w:ascii="宋体" w:hAnsi="宋体" w:cs="宋体" w:eastAsia="宋体" w:hint="default"/>
                <w:sz w:val="18"/>
                <w:szCs w:val="18"/>
              </w:rPr>
            </w:pPr>
            <w:r>
              <w:rPr>
                <w:rFonts w:ascii="宋体" w:hAnsi="宋体" w:cs="宋体" w:eastAsia="宋体" w:hint="default"/>
                <w:sz w:val="18"/>
                <w:szCs w:val="18"/>
              </w:rPr>
              <w:t>贵州新思 维科技有 限责任公 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智能交通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both"/>
              <w:rPr>
                <w:rFonts w:ascii="宋体" w:hAnsi="宋体" w:cs="宋体" w:eastAsia="宋体" w:hint="default"/>
                <w:sz w:val="18"/>
                <w:szCs w:val="18"/>
              </w:rPr>
            </w:pPr>
            <w:r>
              <w:rPr>
                <w:rFonts w:ascii="宋体" w:hAnsi="宋体" w:cs="宋体" w:eastAsia="宋体" w:hint="default"/>
                <w:sz w:val="18"/>
                <w:szCs w:val="18"/>
              </w:rPr>
              <w:t>公路联网 收费机电 系统维护 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1,225,000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13,680,368.98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7,163,226.64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28,023,281.42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4,789,400.82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4,032,330.78</w:t>
            </w:r>
          </w:p>
        </w:tc>
      </w:tr>
    </w:tbl>
    <w:p>
      <w:pPr>
        <w:pStyle w:val="BodyText"/>
        <w:spacing w:line="240" w:lineRule="auto" w:before="49"/>
        <w:ind w:left="332" w:right="1034"/>
        <w:jc w:val="left"/>
      </w:pPr>
      <w:r>
        <w:rPr/>
        <w:t>主要子公司、参股公司情况说明</w:t>
      </w:r>
    </w:p>
    <w:p>
      <w:pPr>
        <w:spacing w:line="240" w:lineRule="auto" w:before="7"/>
        <w:rPr>
          <w:rFonts w:ascii="宋体" w:hAnsi="宋体" w:cs="宋体" w:eastAsia="宋体" w:hint="default"/>
          <w:sz w:val="12"/>
          <w:szCs w:val="12"/>
        </w:rPr>
      </w:pPr>
    </w:p>
    <w:p>
      <w:pPr>
        <w:pStyle w:val="Heading4"/>
        <w:spacing w:line="391" w:lineRule="auto" w:before="0"/>
        <w:ind w:left="332" w:right="1034" w:firstLine="439"/>
        <w:jc w:val="left"/>
      </w:pPr>
      <w:r>
        <w:rPr>
          <w:spacing w:val="-2"/>
        </w:rPr>
        <w:t>贵州新思维注册资本</w:t>
      </w:r>
      <w:r>
        <w:rPr>
          <w:rFonts w:ascii="宋体" w:hAnsi="宋体" w:cs="宋体" w:eastAsia="宋体" w:hint="default"/>
          <w:spacing w:val="-2"/>
        </w:rPr>
        <w:t>122.50</w:t>
      </w:r>
      <w:r>
        <w:rPr>
          <w:spacing w:val="-2"/>
        </w:rPr>
        <w:t>万元，注册地为贵州省贵阳市，其主营业务为公路联网收费机电系统</w:t>
      </w:r>
      <w:r>
        <w:rPr>
          <w:w w:val="100"/>
        </w:rPr>
        <w:t> </w:t>
      </w:r>
      <w:r>
        <w:rPr>
          <w:spacing w:val="-2"/>
        </w:rPr>
        <w:t>维护，公路建设及营运管理系统集成、软件开发和维护，信息化管理咨询；批零兼营：计算机及通用</w:t>
      </w:r>
    </w:p>
    <w:p>
      <w:pPr>
        <w:spacing w:after="0" w:line="391" w:lineRule="auto"/>
        <w:jc w:val="left"/>
        <w:sectPr>
          <w:pgSz w:w="11910" w:h="16840"/>
          <w:pgMar w:header="877" w:footer="980" w:top="1100" w:bottom="1160" w:left="800" w:right="0"/>
        </w:sectPr>
      </w:pPr>
    </w:p>
    <w:p>
      <w:pPr>
        <w:spacing w:line="240" w:lineRule="auto" w:before="4"/>
        <w:rPr>
          <w:rFonts w:ascii="宋体" w:hAnsi="宋体" w:cs="宋体" w:eastAsia="宋体" w:hint="default"/>
          <w:sz w:val="26"/>
          <w:szCs w:val="26"/>
        </w:rPr>
      </w:pPr>
    </w:p>
    <w:p>
      <w:pPr>
        <w:pStyle w:val="Heading4"/>
        <w:spacing w:line="391" w:lineRule="auto" w:before="32"/>
        <w:ind w:left="592" w:right="981" w:hanging="440"/>
        <w:jc w:val="left"/>
      </w:pPr>
      <w:r>
        <w:rPr/>
        <w:t>设备，器材，耗材，测量仪器，试验检测设备，仪器。</w:t>
      </w:r>
      <w:r>
        <w:rPr>
          <w:w w:val="100"/>
        </w:rPr>
        <w:t> </w:t>
      </w:r>
      <w:r>
        <w:rPr>
          <w:rFonts w:ascii="宋体" w:hAnsi="宋体" w:cs="宋体" w:eastAsia="宋体" w:hint="default"/>
          <w:spacing w:val="-2"/>
        </w:rPr>
        <w:t>2012</w:t>
      </w:r>
      <w:r>
        <w:rPr>
          <w:spacing w:val="-2"/>
        </w:rPr>
        <w:t>年，贵州新思维克服重重经营压力，立足缺陷责任期后的机电系统维护，细化维护管理，强</w:t>
      </w:r>
    </w:p>
    <w:p>
      <w:pPr>
        <w:pStyle w:val="Heading4"/>
        <w:spacing w:line="391" w:lineRule="auto"/>
        <w:ind w:right="981"/>
        <w:jc w:val="left"/>
      </w:pPr>
      <w:r>
        <w:rPr/>
        <w:t>化服务意识，提高服务质量，树立品牌意识，取得了较好的经营业绩。贵州新思维</w:t>
      </w:r>
      <w:r>
        <w:rPr>
          <w:rFonts w:ascii="宋体" w:hAnsi="宋体" w:cs="宋体" w:eastAsia="宋体" w:hint="default"/>
        </w:rPr>
        <w:t>2012</w:t>
      </w:r>
      <w:r>
        <w:rPr/>
        <w:t>年末总资产</w:t>
      </w:r>
      <w:r>
        <w:rPr>
          <w:w w:val="100"/>
        </w:rPr>
        <w:t> </w:t>
      </w:r>
      <w:r>
        <w:rPr>
          <w:rFonts w:ascii="宋体" w:hAnsi="宋体" w:cs="宋体" w:eastAsia="宋体" w:hint="default"/>
          <w:spacing w:val="-6"/>
          <w:w w:val="100"/>
        </w:rPr>
        <w:t>1,368.04</w:t>
      </w:r>
      <w:r>
        <w:rPr>
          <w:spacing w:val="-6"/>
          <w:w w:val="100"/>
        </w:rPr>
        <w:t>万元，净资产为</w:t>
      </w:r>
      <w:r>
        <w:rPr>
          <w:rFonts w:ascii="宋体" w:hAnsi="宋体" w:cs="宋体" w:eastAsia="宋体" w:hint="default"/>
          <w:spacing w:val="-6"/>
          <w:w w:val="100"/>
        </w:rPr>
        <w:t>716.32</w:t>
      </w:r>
      <w:r>
        <w:rPr>
          <w:spacing w:val="-6"/>
          <w:w w:val="100"/>
        </w:rPr>
        <w:t>万元。报告期内贵州新思维实现营业收入</w:t>
      </w:r>
      <w:r>
        <w:rPr>
          <w:rFonts w:ascii="宋体" w:hAnsi="宋体" w:cs="宋体" w:eastAsia="宋体" w:hint="default"/>
          <w:spacing w:val="-6"/>
          <w:w w:val="100"/>
        </w:rPr>
        <w:t>2,802.33</w:t>
      </w:r>
      <w:r>
        <w:rPr>
          <w:spacing w:val="-6"/>
          <w:w w:val="100"/>
        </w:rPr>
        <w:t>万元，净利润</w:t>
      </w:r>
      <w:r>
        <w:rPr>
          <w:rFonts w:ascii="宋体" w:hAnsi="宋体" w:cs="宋体" w:eastAsia="宋体" w:hint="default"/>
          <w:spacing w:val="-6"/>
          <w:w w:val="100"/>
        </w:rPr>
        <w:t>403.23</w:t>
      </w:r>
      <w:r>
        <w:rPr>
          <w:rFonts w:ascii="宋体" w:hAnsi="宋体" w:cs="宋体" w:eastAsia="宋体" w:hint="default"/>
          <w:spacing w:val="-61"/>
          <w:w w:val="100"/>
        </w:rPr>
        <w:t> </w:t>
      </w:r>
      <w:r>
        <w:rPr>
          <w:rFonts w:ascii="宋体" w:hAnsi="宋体" w:cs="宋体" w:eastAsia="宋体" w:hint="default"/>
          <w:spacing w:val="-61"/>
          <w:w w:val="100"/>
        </w:rPr>
      </w:r>
      <w:r>
        <w:rPr/>
        <w:t>万元。主要财务指标基本与上年持平，继续呈现了稳定发展的势头。</w:t>
      </w:r>
    </w:p>
    <w:p>
      <w:pPr>
        <w:pStyle w:val="Heading4"/>
        <w:spacing w:line="391" w:lineRule="auto"/>
        <w:ind w:right="981" w:firstLine="439"/>
        <w:jc w:val="left"/>
      </w:pPr>
      <w:r>
        <w:rPr/>
        <w:t>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日公司持有贵州新思维</w:t>
      </w:r>
      <w:r>
        <w:rPr>
          <w:rFonts w:ascii="宋体" w:hAnsi="宋体" w:cs="宋体" w:eastAsia="宋体" w:hint="default"/>
        </w:rPr>
        <w:t>40%</w:t>
      </w:r>
      <w:r>
        <w:rPr/>
        <w:t>的股份，投资成本</w:t>
      </w:r>
      <w:r>
        <w:rPr>
          <w:rFonts w:ascii="宋体" w:hAnsi="宋体" w:cs="宋体" w:eastAsia="宋体" w:hint="default"/>
        </w:rPr>
        <w:t>85.39</w:t>
      </w:r>
      <w:r>
        <w:rPr/>
        <w:t>万元，年初长期股权余额</w:t>
      </w:r>
      <w:r>
        <w:rPr>
          <w:w w:val="100"/>
        </w:rPr>
        <w:t> </w:t>
      </w:r>
      <w:r>
        <w:rPr>
          <w:rFonts w:ascii="宋体" w:hAnsi="宋体" w:cs="宋体" w:eastAsia="宋体" w:hint="default"/>
          <w:spacing w:val="-2"/>
        </w:rPr>
        <w:t>305.24</w:t>
      </w:r>
      <w:r>
        <w:rPr>
          <w:spacing w:val="-2"/>
        </w:rPr>
        <w:t>万元。报告期内，公司取得贵州新思维公司现金红利</w:t>
      </w:r>
      <w:r>
        <w:rPr>
          <w:rFonts w:ascii="宋体" w:hAnsi="宋体" w:cs="宋体" w:eastAsia="宋体" w:hint="default"/>
          <w:spacing w:val="-2"/>
        </w:rPr>
        <w:t>180.00</w:t>
      </w:r>
      <w:r>
        <w:rPr>
          <w:spacing w:val="-2"/>
        </w:rPr>
        <w:t>万元，报告期末，长期股权投资余</w:t>
      </w:r>
      <w:r>
        <w:rPr>
          <w:spacing w:val="-58"/>
        </w:rPr>
        <w:t> </w:t>
      </w:r>
      <w:r>
        <w:rPr>
          <w:spacing w:val="-58"/>
        </w:rPr>
      </w:r>
      <w:r>
        <w:rPr/>
        <w:t>额为</w:t>
      </w:r>
      <w:r>
        <w:rPr>
          <w:rFonts w:ascii="宋体" w:hAnsi="宋体" w:cs="宋体" w:eastAsia="宋体" w:hint="default"/>
        </w:rPr>
        <w:t>286.53</w:t>
      </w:r>
      <w:r>
        <w:rPr/>
        <w:t>万元。</w:t>
      </w:r>
    </w:p>
    <w:p>
      <w:pPr>
        <w:pStyle w:val="BodyText"/>
        <w:spacing w:line="240" w:lineRule="auto" w:before="36"/>
        <w:ind w:right="981"/>
        <w:jc w:val="left"/>
      </w:pPr>
      <w:r>
        <w:rPr/>
        <w:t>报告期内取得和处置子公司的情况</w:t>
      </w:r>
    </w:p>
    <w:p>
      <w:pPr>
        <w:pStyle w:val="BodyText"/>
        <w:spacing w:line="240" w:lineRule="auto" w:before="115"/>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981"/>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1"/>
        <w:jc w:val="left"/>
        <w:rPr>
          <w:b w:val="0"/>
          <w:bCs w:val="0"/>
        </w:rPr>
      </w:pPr>
      <w:r>
        <w:rPr/>
        <w:t>七、公司未来发展的展望</w:t>
      </w:r>
      <w:r>
        <w:rPr>
          <w:b w:val="0"/>
          <w:bCs w:val="0"/>
        </w:rPr>
      </w:r>
    </w:p>
    <w:p>
      <w:pPr>
        <w:spacing w:line="240" w:lineRule="auto" w:before="11"/>
        <w:rPr>
          <w:rFonts w:ascii="宋体" w:hAnsi="宋体" w:cs="宋体" w:eastAsia="宋体" w:hint="default"/>
          <w:b/>
          <w:bCs/>
          <w:sz w:val="29"/>
          <w:szCs w:val="29"/>
        </w:rPr>
      </w:pPr>
    </w:p>
    <w:p>
      <w:pPr>
        <w:pStyle w:val="Heading4"/>
        <w:spacing w:line="391" w:lineRule="auto" w:before="0"/>
        <w:ind w:left="592" w:right="981"/>
        <w:jc w:val="left"/>
      </w:pPr>
      <w:r>
        <w:rPr/>
        <w:t>（一）行业竞争格局和发展趋势</w:t>
      </w:r>
      <w:r>
        <w:rPr>
          <w:w w:val="100"/>
        </w:rPr>
        <w:t> </w:t>
      </w:r>
      <w:r>
        <w:rPr>
          <w:spacing w:val="-2"/>
        </w:rPr>
        <w:t>目前国内智能交通系统行业逐渐从前期快速发展阶段走向成熟发展阶段，但地区差异明显。由于</w:t>
      </w:r>
    </w:p>
    <w:p>
      <w:pPr>
        <w:pStyle w:val="Heading4"/>
        <w:spacing w:line="391" w:lineRule="auto" w:before="42"/>
        <w:ind w:right="981"/>
        <w:jc w:val="left"/>
      </w:pPr>
      <w:r>
        <w:rPr>
          <w:spacing w:val="-2"/>
        </w:rPr>
        <w:t>交通行业信息化需求复杂，覆盖面较广，使得细分市场众多，市场的集中度较低，整个行业中没有处</w:t>
      </w:r>
      <w:r>
        <w:rPr>
          <w:spacing w:val="-71"/>
        </w:rPr>
        <w:t> </w:t>
      </w:r>
      <w:r>
        <w:rPr>
          <w:spacing w:val="-71"/>
        </w:rPr>
      </w:r>
      <w:r>
        <w:rPr/>
        <w:t>于绝对市场领先的企业。</w:t>
      </w:r>
    </w:p>
    <w:p>
      <w:pPr>
        <w:pStyle w:val="Heading4"/>
        <w:spacing w:line="391" w:lineRule="auto"/>
        <w:ind w:right="981" w:firstLine="439"/>
        <w:jc w:val="left"/>
      </w:pPr>
      <w:r>
        <w:rPr/>
        <w:t>智能交通系统集成行业是国内</w:t>
      </w:r>
      <w:r>
        <w:rPr>
          <w:rFonts w:ascii="宋体" w:hAnsi="宋体" w:cs="宋体" w:eastAsia="宋体" w:hint="default"/>
        </w:rPr>
        <w:t>ITS</w:t>
      </w:r>
      <w:r>
        <w:rPr/>
        <w:t>行业中发展较为成熟的细分行业，市场竞争比较激烈。一些进</w:t>
      </w:r>
      <w:r>
        <w:rPr>
          <w:w w:val="100"/>
        </w:rPr>
        <w:t> </w:t>
      </w:r>
      <w:r>
        <w:rPr>
          <w:spacing w:val="-5"/>
        </w:rPr>
        <w:t>入市场较早、专注服务于某些领域和区域的系统集成商积累了一定的技术能力、市场经验和客户资源，</w:t>
      </w:r>
      <w:r>
        <w:rPr>
          <w:spacing w:val="-42"/>
        </w:rPr>
        <w:t> </w:t>
      </w:r>
      <w:r>
        <w:rPr>
          <w:spacing w:val="-42"/>
        </w:rPr>
      </w:r>
      <w:r>
        <w:rPr/>
        <w:t>获得了较快的发展，地位较为稳固，成为目前市场的中坚力量，在未来的发展中具备明显的优势。城</w:t>
      </w:r>
      <w:r>
        <w:rPr>
          <w:w w:val="100"/>
        </w:rPr>
        <w:t> </w:t>
      </w:r>
      <w:r>
        <w:rPr/>
        <w:t>市智能交通行业与高速公路智能交通行业相比，细分市场更多，市场集中度更低。</w:t>
      </w:r>
    </w:p>
    <w:p>
      <w:pPr>
        <w:pStyle w:val="Heading4"/>
        <w:spacing w:line="391" w:lineRule="auto"/>
        <w:ind w:right="1090" w:firstLine="439"/>
        <w:jc w:val="both"/>
      </w:pPr>
      <w:r>
        <w:rPr>
          <w:spacing w:val="-2"/>
        </w:rPr>
        <w:t>近年来智能交通系统集成行业的市场集中度及盈利能力呈现出向好的趋势。一方面是市场竞争格</w:t>
      </w:r>
      <w:r>
        <w:rPr>
          <w:w w:val="100"/>
        </w:rPr>
        <w:t> </w:t>
      </w:r>
      <w:r>
        <w:rPr>
          <w:spacing w:val="-1"/>
        </w:rPr>
        <w:t>局趋于稳定，业主、系统集成商对低价竞争的危害也有了共识，行业利润水平逐渐趋于合理、稳定。</w:t>
      </w:r>
      <w:r>
        <w:rPr>
          <w:spacing w:val="-73"/>
        </w:rPr>
        <w:t> </w:t>
      </w:r>
      <w:r>
        <w:rPr>
          <w:spacing w:val="-73"/>
        </w:rPr>
      </w:r>
      <w:r>
        <w:rPr>
          <w:spacing w:val="-2"/>
        </w:rPr>
        <w:t>另一方面，随着未来交通管理需求的不断提高，利润附加值较高的应用软件等产品在智能交通系统集</w:t>
      </w:r>
      <w:r>
        <w:rPr>
          <w:spacing w:val="-70"/>
        </w:rPr>
        <w:t> </w:t>
      </w:r>
      <w:r>
        <w:rPr>
          <w:spacing w:val="-70"/>
        </w:rPr>
      </w:r>
      <w:r>
        <w:rPr/>
        <w:t>成项目中的重要性日渐突出，提升了智能交通系统集成行业的利润水平。</w:t>
      </w:r>
    </w:p>
    <w:p>
      <w:pPr>
        <w:pStyle w:val="Heading4"/>
        <w:spacing w:line="391" w:lineRule="auto"/>
        <w:ind w:left="592" w:right="981"/>
        <w:jc w:val="left"/>
      </w:pPr>
      <w:r>
        <w:rPr/>
        <w:t>（二）公司发展规划</w:t>
      </w:r>
      <w:r>
        <w:rPr>
          <w:w w:val="100"/>
        </w:rPr>
        <w:t> </w:t>
      </w:r>
      <w:r>
        <w:rPr>
          <w:spacing w:val="-2"/>
        </w:rPr>
        <w:t>报告期内，公司根据交通运输行业“十二五”发展规划加快完善国家综合交通运输基础设施网络</w:t>
      </w:r>
    </w:p>
    <w:p>
      <w:pPr>
        <w:pStyle w:val="Heading4"/>
        <w:spacing w:line="240" w:lineRule="auto"/>
        <w:ind w:right="981"/>
        <w:jc w:val="left"/>
      </w:pPr>
      <w:r>
        <w:rPr/>
        <w:t>的有利形势，认真研究交通运输行业对信息化的新要求，以及控股股东重组整合进入中国海运的新情</w:t>
      </w:r>
    </w:p>
    <w:p>
      <w:pPr>
        <w:spacing w:after="0" w:line="240" w:lineRule="auto"/>
        <w:jc w:val="left"/>
        <w:sectPr>
          <w:footerReference w:type="default" r:id="rId17"/>
          <w:pgSz w:w="11910" w:h="16840"/>
          <w:pgMar w:footer="1261" w:header="877" w:top="1100" w:bottom="1460" w:left="980" w:right="0"/>
          <w:pgNumType w:start="23"/>
        </w:sectPr>
      </w:pPr>
    </w:p>
    <w:p>
      <w:pPr>
        <w:spacing w:line="240" w:lineRule="auto" w:before="4"/>
        <w:rPr>
          <w:rFonts w:ascii="宋体" w:hAnsi="宋体" w:cs="宋体" w:eastAsia="宋体" w:hint="default"/>
          <w:sz w:val="26"/>
          <w:szCs w:val="26"/>
        </w:rPr>
      </w:pPr>
    </w:p>
    <w:p>
      <w:pPr>
        <w:pStyle w:val="Heading4"/>
        <w:spacing w:line="391" w:lineRule="auto" w:before="32"/>
        <w:ind w:right="1128"/>
        <w:jc w:val="both"/>
      </w:pPr>
      <w:r>
        <w:rPr>
          <w:spacing w:val="-2"/>
        </w:rPr>
        <w:t>况，结合未来发展要求，研究、修订公司未来三年的发展规划，确定了公司的发展战略：围绕公司智</w:t>
      </w:r>
      <w:r>
        <w:rPr>
          <w:spacing w:val="-68"/>
        </w:rPr>
        <w:t> </w:t>
      </w:r>
      <w:r>
        <w:rPr>
          <w:spacing w:val="-68"/>
        </w:rPr>
      </w:r>
      <w:r>
        <w:rPr>
          <w:spacing w:val="-2"/>
        </w:rPr>
        <w:t>能交通、交通信息化、工业自动化主业，紧紧抓住国家促进交通基础设施建设又好又快发展、交通科</w:t>
      </w:r>
      <w:r>
        <w:rPr>
          <w:spacing w:val="-70"/>
        </w:rPr>
        <w:t> </w:t>
      </w:r>
      <w:r>
        <w:rPr>
          <w:spacing w:val="-70"/>
        </w:rPr>
      </w:r>
      <w:r>
        <w:rPr>
          <w:spacing w:val="-2"/>
        </w:rPr>
        <w:t>技产业升级和公司上市的有利契机，力争成为智能交通业务领域最优秀的系统集成、服务和解决方案</w:t>
      </w:r>
      <w:r>
        <w:rPr>
          <w:spacing w:val="-70"/>
        </w:rPr>
        <w:t> </w:t>
      </w:r>
      <w:r>
        <w:rPr>
          <w:spacing w:val="-70"/>
        </w:rPr>
      </w:r>
      <w:r>
        <w:rPr/>
        <w:t>供应商和交通运输领域一流的信息科技企业。具体来说：</w:t>
      </w:r>
    </w:p>
    <w:p>
      <w:pPr>
        <w:pStyle w:val="Heading4"/>
        <w:spacing w:line="391" w:lineRule="auto"/>
        <w:ind w:right="981" w:firstLine="439"/>
        <w:jc w:val="left"/>
      </w:pPr>
      <w:r>
        <w:rPr>
          <w:spacing w:val="-5"/>
        </w:rPr>
        <w:t>智能交通系统集成业务：做大做强现有的智能交通系统集成业务，有针对性的拓展城市智能交通、</w:t>
      </w:r>
      <w:r>
        <w:rPr>
          <w:w w:val="100"/>
        </w:rPr>
        <w:t> </w:t>
      </w:r>
      <w:r>
        <w:rPr/>
        <w:t>轨道交通业务；积极实施智能交通的业务链延伸战略，向前开展核心产品开发、生产，向后开展以应</w:t>
      </w:r>
      <w:r>
        <w:rPr>
          <w:w w:val="100"/>
        </w:rPr>
        <w:t> </w:t>
      </w:r>
      <w:r>
        <w:rPr/>
        <w:t>用软件为核心的应用服务业务。在巩固传统市场及传统业务领域的同时，结合公司募集资金投资项目</w:t>
      </w:r>
      <w:r>
        <w:rPr>
          <w:spacing w:val="-3"/>
          <w:w w:val="100"/>
        </w:rPr>
        <w:t> </w:t>
      </w:r>
      <w:r>
        <w:rPr/>
        <w:t>的实施和公司十多年专业发展中积累提炼的智能交通系统解决方案，实现向新领域、新区域和新模式</w:t>
      </w:r>
      <w:r>
        <w:rPr>
          <w:w w:val="100"/>
        </w:rPr>
        <w:t> </w:t>
      </w:r>
      <w:r>
        <w:rPr/>
        <w:t>的转移。</w:t>
      </w:r>
    </w:p>
    <w:p>
      <w:pPr>
        <w:pStyle w:val="Heading4"/>
        <w:spacing w:line="391" w:lineRule="auto"/>
        <w:ind w:right="1128" w:firstLine="439"/>
        <w:jc w:val="both"/>
      </w:pPr>
      <w:r>
        <w:rPr>
          <w:spacing w:val="-2"/>
        </w:rPr>
        <w:t>交通信息化业务：努力开拓交通信息化市场，开展航运信息系统、交通电子政务、交通管理信息</w:t>
      </w:r>
      <w:r>
        <w:rPr>
          <w:w w:val="100"/>
        </w:rPr>
        <w:t> </w:t>
      </w:r>
      <w:r>
        <w:rPr>
          <w:spacing w:val="-2"/>
        </w:rPr>
        <w:t>系统的软件平台、解决方案的研发；积极开拓航运信息化市场，提供具有自主知识产权的企业信息化</w:t>
      </w:r>
      <w:r>
        <w:rPr>
          <w:spacing w:val="-66"/>
        </w:rPr>
        <w:t> </w:t>
      </w:r>
      <w:r>
        <w:rPr>
          <w:spacing w:val="-66"/>
        </w:rPr>
      </w:r>
      <w:r>
        <w:rPr/>
        <w:t>解决方案、系统集成和运营服务业务。</w:t>
      </w:r>
    </w:p>
    <w:p>
      <w:pPr>
        <w:pStyle w:val="Heading4"/>
        <w:spacing w:line="391" w:lineRule="auto"/>
        <w:ind w:right="1133" w:firstLine="439"/>
        <w:jc w:val="both"/>
      </w:pPr>
      <w:r>
        <w:rPr>
          <w:spacing w:val="-2"/>
        </w:rPr>
        <w:t>工业自动化业务：在保持公司锅炉燃烧器控制系统研发生产和电气成套等工业自动化业务优势的</w:t>
      </w:r>
      <w:r>
        <w:rPr>
          <w:w w:val="100"/>
        </w:rPr>
        <w:t> </w:t>
      </w:r>
      <w:r>
        <w:rPr/>
        <w:t>基础上，积极拓展智能交通核心产品、港航自动化电气控制装置等其他细分市场。</w:t>
      </w:r>
    </w:p>
    <w:p>
      <w:pPr>
        <w:pStyle w:val="Heading4"/>
        <w:spacing w:line="391" w:lineRule="auto"/>
        <w:ind w:left="592" w:right="981"/>
        <w:jc w:val="left"/>
      </w:pPr>
      <w:r>
        <w:rPr/>
        <w:t>（三）</w:t>
      </w:r>
      <w:r>
        <w:rPr>
          <w:rFonts w:ascii="宋体" w:hAnsi="宋体" w:cs="宋体" w:eastAsia="宋体" w:hint="default"/>
        </w:rPr>
        <w:t>2013</w:t>
      </w:r>
      <w:r>
        <w:rPr/>
        <w:t>年经营计划</w:t>
      </w:r>
      <w:r>
        <w:rPr>
          <w:spacing w:val="-108"/>
        </w:rPr>
        <w:t> </w:t>
      </w:r>
      <w:r>
        <w:rPr>
          <w:spacing w:val="-108"/>
        </w:rPr>
      </w:r>
      <w:r>
        <w:rPr>
          <w:rFonts w:ascii="宋体" w:hAnsi="宋体" w:cs="宋体" w:eastAsia="宋体" w:hint="default"/>
          <w:spacing w:val="-1"/>
        </w:rPr>
        <w:t>2013</w:t>
      </w:r>
      <w:r>
        <w:rPr>
          <w:spacing w:val="-1"/>
        </w:rPr>
        <w:t>年公司将紧紧抓住“国家促进交通基础设施建设又好又快发展”的市场机遇，坚持稳中求</w:t>
      </w:r>
    </w:p>
    <w:p>
      <w:pPr>
        <w:pStyle w:val="Heading4"/>
        <w:spacing w:line="391" w:lineRule="auto" w:before="42"/>
        <w:ind w:right="981"/>
        <w:jc w:val="left"/>
      </w:pPr>
      <w:r>
        <w:rPr>
          <w:spacing w:val="-5"/>
        </w:rPr>
        <w:t>进、加快转型，积极推进智能交通业务链延伸战略，进一步开拓新业务、新区域、新产品的市场工作，</w:t>
      </w:r>
      <w:r>
        <w:rPr>
          <w:spacing w:val="-48"/>
        </w:rPr>
        <w:t> </w:t>
      </w:r>
      <w:r>
        <w:rPr>
          <w:spacing w:val="-48"/>
        </w:rPr>
      </w:r>
      <w:r>
        <w:rPr/>
        <w:t>稳步探索传统业务新的营销模式；按照中国海运对信息化的需要，积极拓展航运信息化业务；继续推</w:t>
      </w:r>
      <w:r>
        <w:rPr>
          <w:w w:val="100"/>
        </w:rPr>
        <w:t> </w:t>
      </w:r>
      <w:r>
        <w:rPr/>
        <w:t>进募投资金项目的实施工作，加大对新技术新产品的研发投入，着力提升公司发展质量，确保公司平</w:t>
      </w:r>
      <w:r>
        <w:rPr>
          <w:w w:val="100"/>
        </w:rPr>
        <w:t> </w:t>
      </w:r>
      <w:r>
        <w:rPr/>
        <w:t>稳较快增长。</w:t>
      </w:r>
    </w:p>
    <w:p>
      <w:pPr>
        <w:pStyle w:val="Heading4"/>
        <w:spacing w:line="391" w:lineRule="auto"/>
        <w:ind w:right="1129" w:firstLine="439"/>
        <w:jc w:val="both"/>
      </w:pPr>
      <w:r>
        <w:rPr>
          <w:spacing w:val="-4"/>
        </w:rPr>
        <w:t>根据行业发展和市场预测情况，公司</w:t>
      </w:r>
      <w:r>
        <w:rPr>
          <w:rFonts w:ascii="宋体" w:hAnsi="宋体" w:cs="宋体" w:eastAsia="宋体" w:hint="default"/>
          <w:spacing w:val="-4"/>
        </w:rPr>
        <w:t>2013</w:t>
      </w:r>
      <w:r>
        <w:rPr>
          <w:spacing w:val="-4"/>
        </w:rPr>
        <w:t>年度经营目标为：营业总收入</w:t>
      </w:r>
      <w:r>
        <w:rPr>
          <w:rFonts w:ascii="宋体" w:hAnsi="宋体" w:cs="宋体" w:eastAsia="宋体" w:hint="default"/>
          <w:spacing w:val="-4"/>
        </w:rPr>
        <w:t>56,000</w:t>
      </w:r>
      <w:r>
        <w:rPr>
          <w:spacing w:val="-4"/>
        </w:rPr>
        <w:t>万元，净利润</w:t>
      </w:r>
      <w:r>
        <w:rPr>
          <w:rFonts w:ascii="宋体" w:hAnsi="宋体" w:cs="宋体" w:eastAsia="宋体" w:hint="default"/>
          <w:spacing w:val="-4"/>
        </w:rPr>
        <w:t>4,930</w:t>
      </w:r>
      <w:r>
        <w:rPr>
          <w:rFonts w:ascii="宋体" w:hAnsi="宋体" w:cs="宋体" w:eastAsia="宋体" w:hint="default"/>
          <w:w w:val="100"/>
        </w:rPr>
        <w:t> </w:t>
      </w:r>
      <w:r>
        <w:rPr>
          <w:spacing w:val="-2"/>
        </w:rPr>
        <w:t>万元。上述年度经营目标不代表公司对</w:t>
      </w:r>
      <w:r>
        <w:rPr>
          <w:rFonts w:ascii="宋体" w:hAnsi="宋体" w:cs="宋体" w:eastAsia="宋体" w:hint="default"/>
          <w:spacing w:val="-2"/>
        </w:rPr>
        <w:t>2013</w:t>
      </w:r>
      <w:r>
        <w:rPr>
          <w:spacing w:val="-2"/>
        </w:rPr>
        <w:t>年度的盈利预测，存在不确定性，请投资者特别注意。为</w:t>
      </w:r>
      <w:r>
        <w:rPr>
          <w:spacing w:val="-66"/>
        </w:rPr>
        <w:t> </w:t>
      </w:r>
      <w:r>
        <w:rPr>
          <w:spacing w:val="-66"/>
        </w:rPr>
      </w:r>
      <w:r>
        <w:rPr/>
        <w:t>此</w:t>
      </w:r>
      <w:r>
        <w:rPr>
          <w:rFonts w:ascii="宋体" w:hAnsi="宋体" w:cs="宋体" w:eastAsia="宋体" w:hint="default"/>
        </w:rPr>
        <w:t>2013</w:t>
      </w:r>
      <w:r>
        <w:rPr/>
        <w:t>年公司将着重做好如下工作：</w:t>
      </w:r>
    </w:p>
    <w:p>
      <w:pPr>
        <w:pStyle w:val="Heading4"/>
        <w:spacing w:line="391" w:lineRule="auto" w:before="42"/>
        <w:ind w:right="1128" w:firstLine="439"/>
        <w:jc w:val="both"/>
      </w:pPr>
      <w:r>
        <w:rPr>
          <w:rFonts w:ascii="宋体" w:hAnsi="宋体" w:cs="宋体" w:eastAsia="宋体" w:hint="default"/>
          <w:spacing w:val="-5"/>
        </w:rPr>
        <w:t>1</w:t>
      </w:r>
      <w:r>
        <w:rPr>
          <w:spacing w:val="-5"/>
        </w:rPr>
        <w:t>、要按照公司发展战略定位，在深入研究与主业有关的行业有关领域国家“十二五发展规划“的</w:t>
      </w:r>
      <w:r>
        <w:rPr>
          <w:w w:val="100"/>
        </w:rPr>
        <w:t> </w:t>
      </w:r>
      <w:r>
        <w:rPr>
          <w:spacing w:val="-4"/>
        </w:rPr>
        <w:t>基础上，充分调研未来市场走向，立足公司实际，完成《公司三年发展规划（</w:t>
      </w:r>
      <w:r>
        <w:rPr>
          <w:rFonts w:ascii="宋体" w:hAnsi="宋体" w:cs="宋体" w:eastAsia="宋体" w:hint="default"/>
          <w:spacing w:val="-4"/>
        </w:rPr>
        <w:t>2013-2015</w:t>
      </w:r>
      <w:r>
        <w:rPr>
          <w:spacing w:val="-4"/>
        </w:rPr>
        <w:t>年）》、《公</w:t>
      </w:r>
      <w:r>
        <w:rPr>
          <w:spacing w:val="-75"/>
        </w:rPr>
        <w:t> </w:t>
      </w:r>
      <w:r>
        <w:rPr>
          <w:spacing w:val="-75"/>
        </w:rPr>
      </w:r>
      <w:r>
        <w:rPr/>
        <w:t>司人才发展规划》及相关配套制度的编制工作。</w:t>
      </w:r>
    </w:p>
    <w:p>
      <w:pPr>
        <w:pStyle w:val="Heading4"/>
        <w:spacing w:line="391" w:lineRule="auto"/>
        <w:ind w:right="1200" w:firstLine="439"/>
        <w:jc w:val="both"/>
      </w:pPr>
      <w:r>
        <w:rPr>
          <w:rFonts w:ascii="宋体" w:hAnsi="宋体" w:cs="宋体" w:eastAsia="宋体" w:hint="default"/>
          <w:spacing w:val="-1"/>
        </w:rPr>
        <w:t>2</w:t>
      </w:r>
      <w:r>
        <w:rPr>
          <w:spacing w:val="-1"/>
        </w:rPr>
        <w:t>、要结合公司发展战略需要，研究超募资金的投资方向，积极探索新的市场营销模式，保持公</w:t>
      </w:r>
      <w:r>
        <w:rPr>
          <w:w w:val="100"/>
        </w:rPr>
        <w:t> </w:t>
      </w:r>
      <w:r>
        <w:rPr/>
        <w:t>司业务持续、稳定、快速地增长，为公司的战略转型提供基础支撑。</w:t>
      </w:r>
    </w:p>
    <w:p>
      <w:pPr>
        <w:pStyle w:val="Heading4"/>
        <w:spacing w:line="240" w:lineRule="auto"/>
        <w:ind w:right="0" w:firstLine="439"/>
        <w:jc w:val="both"/>
      </w:pPr>
      <w:r>
        <w:rPr>
          <w:rFonts w:ascii="宋体" w:hAnsi="宋体" w:cs="宋体" w:eastAsia="宋体" w:hint="default"/>
        </w:rPr>
        <w:t>3</w:t>
      </w:r>
      <w:r>
        <w:rPr/>
        <w:t>、要以《公司三年技术发展规划（</w:t>
      </w:r>
      <w:r>
        <w:rPr>
          <w:rFonts w:ascii="宋体" w:hAnsi="宋体" w:cs="宋体" w:eastAsia="宋体" w:hint="default"/>
        </w:rPr>
        <w:t>2013-2015</w:t>
      </w:r>
      <w:r>
        <w:rPr/>
        <w:t>年）》为指引，进一步加大对智能交通、工业自动</w:t>
      </w:r>
    </w:p>
    <w:p>
      <w:pPr>
        <w:pStyle w:val="Heading4"/>
        <w:spacing w:line="240" w:lineRule="auto" w:before="180"/>
        <w:ind w:right="981"/>
        <w:jc w:val="left"/>
      </w:pPr>
      <w:r>
        <w:rPr/>
        <w:t>化产品和交通信息化三条业务主线的研发投入，积极开展交通信息化技术和智能交通解决方案及核心</w:t>
      </w:r>
    </w:p>
    <w:p>
      <w:pPr>
        <w:spacing w:after="0" w:line="240" w:lineRule="auto"/>
        <w:jc w:val="left"/>
        <w:sectPr>
          <w:pgSz w:w="11910" w:h="16840"/>
          <w:pgMar w:header="877" w:footer="1261" w:top="1100" w:bottom="1460" w:left="980" w:right="0"/>
        </w:sectPr>
      </w:pPr>
    </w:p>
    <w:p>
      <w:pPr>
        <w:spacing w:line="240" w:lineRule="auto" w:before="4"/>
        <w:rPr>
          <w:rFonts w:ascii="宋体" w:hAnsi="宋体" w:cs="宋体" w:eastAsia="宋体" w:hint="default"/>
          <w:sz w:val="26"/>
          <w:szCs w:val="26"/>
        </w:rPr>
      </w:pPr>
    </w:p>
    <w:p>
      <w:pPr>
        <w:pStyle w:val="Heading4"/>
        <w:spacing w:line="391" w:lineRule="auto" w:before="32"/>
        <w:ind w:right="981"/>
        <w:jc w:val="left"/>
      </w:pPr>
      <w:r>
        <w:rPr>
          <w:spacing w:val="-2"/>
        </w:rPr>
        <w:t>产品和前沿技术的研发，力争形成公司新的具有自主知识产权的核心技术优势，努力创造公司新的经</w:t>
      </w:r>
      <w:r>
        <w:rPr>
          <w:spacing w:val="-70"/>
        </w:rPr>
        <w:t> </w:t>
      </w:r>
      <w:r>
        <w:rPr>
          <w:spacing w:val="-70"/>
        </w:rPr>
      </w:r>
      <w:r>
        <w:rPr/>
        <w:t>济增长点。</w:t>
      </w:r>
    </w:p>
    <w:p>
      <w:pPr>
        <w:pStyle w:val="Heading4"/>
        <w:spacing w:line="391" w:lineRule="auto"/>
        <w:ind w:right="1020" w:firstLine="439"/>
        <w:jc w:val="both"/>
      </w:pPr>
      <w:r>
        <w:rPr>
          <w:rFonts w:ascii="宋体" w:hAnsi="宋体" w:cs="宋体" w:eastAsia="宋体" w:hint="default"/>
          <w:spacing w:val="-2"/>
        </w:rPr>
        <w:t>4</w:t>
      </w:r>
      <w:r>
        <w:rPr>
          <w:spacing w:val="-2"/>
        </w:rPr>
        <w:t>、要认真研究及制定应对复杂严峻市场形势的措施，努力提高市场经营、产品营销的策划能力；</w:t>
      </w:r>
      <w:r>
        <w:rPr>
          <w:w w:val="100"/>
        </w:rPr>
        <w:t> </w:t>
      </w:r>
      <w:r>
        <w:rPr/>
        <w:t>积极培育各地域分公司的市场经营能力，稳步推进多层次、矩阵化经营体系建设；继续做好新区域、</w:t>
      </w:r>
      <w:r>
        <w:rPr>
          <w:w w:val="100"/>
        </w:rPr>
        <w:t> </w:t>
      </w:r>
      <w:r>
        <w:rPr/>
        <w:t>新产品、新领域的市场开拓工作，着力提高公司市场经营能力。</w:t>
      </w:r>
    </w:p>
    <w:p>
      <w:pPr>
        <w:pStyle w:val="Heading4"/>
        <w:spacing w:line="391" w:lineRule="auto"/>
        <w:ind w:right="981" w:firstLine="439"/>
        <w:jc w:val="left"/>
      </w:pPr>
      <w:r>
        <w:rPr>
          <w:rFonts w:ascii="宋体" w:hAnsi="宋体" w:cs="宋体" w:eastAsia="宋体" w:hint="default"/>
          <w:spacing w:val="-1"/>
        </w:rPr>
        <w:t>5</w:t>
      </w:r>
      <w:r>
        <w:rPr>
          <w:spacing w:val="-1"/>
        </w:rPr>
        <w:t>、要按照财政部等五部委关于印发《企业内部控制基本规范》的通知要求，认真研究分析公司</w:t>
      </w:r>
      <w:r>
        <w:rPr>
          <w:w w:val="100"/>
        </w:rPr>
        <w:t> </w:t>
      </w:r>
      <w:r>
        <w:rPr/>
        <w:t>经营管理过程各阶段可能存在的风险，修订和完善内控管理制度，增强风险管理能力。</w:t>
      </w:r>
    </w:p>
    <w:p>
      <w:pPr>
        <w:pStyle w:val="Heading4"/>
        <w:spacing w:line="391" w:lineRule="auto"/>
        <w:ind w:right="1020" w:firstLine="439"/>
        <w:jc w:val="both"/>
      </w:pPr>
      <w:r>
        <w:rPr>
          <w:rFonts w:ascii="宋体" w:hAnsi="宋体" w:cs="宋体" w:eastAsia="宋体" w:hint="default"/>
          <w:spacing w:val="-2"/>
        </w:rPr>
        <w:t>6</w:t>
      </w:r>
      <w:r>
        <w:rPr>
          <w:spacing w:val="-2"/>
        </w:rPr>
        <w:t>、要继续推进公司管理提升活动和精细化管理，在找准制约公司发展和管理薄弱环节的基础上，</w:t>
      </w:r>
      <w:r>
        <w:rPr>
          <w:w w:val="100"/>
        </w:rPr>
        <w:t> </w:t>
      </w:r>
      <w:r>
        <w:rPr>
          <w:spacing w:val="-5"/>
        </w:rPr>
        <w:t>采取有效措施集中力量，分层次、有重点地改善公司的业务流程和管理能力，加快公司业务转型发展，</w:t>
      </w:r>
      <w:r>
        <w:rPr>
          <w:spacing w:val="-48"/>
        </w:rPr>
        <w:t> </w:t>
      </w:r>
      <w:r>
        <w:rPr>
          <w:spacing w:val="-48"/>
        </w:rPr>
      </w:r>
      <w:r>
        <w:rPr/>
        <w:t>提高公司管理效率、绩效水平。</w:t>
      </w:r>
    </w:p>
    <w:p>
      <w:pPr>
        <w:pStyle w:val="Heading4"/>
        <w:spacing w:line="391" w:lineRule="auto"/>
        <w:ind w:right="981" w:firstLine="439"/>
        <w:jc w:val="left"/>
      </w:pPr>
      <w:r>
        <w:rPr>
          <w:rFonts w:ascii="宋体" w:hAnsi="宋体" w:cs="宋体" w:eastAsia="宋体" w:hint="default"/>
        </w:rPr>
        <w:t>7</w:t>
      </w:r>
      <w:r>
        <w:rPr/>
        <w:t>、要严格按照法律法规和监管部门的要求进行规范运作，进一步完善法人治理结构，为公司科</w:t>
      </w:r>
      <w:r>
        <w:rPr>
          <w:w w:val="100"/>
        </w:rPr>
        <w:t> </w:t>
      </w:r>
      <w:r>
        <w:rPr>
          <w:spacing w:val="-5"/>
        </w:rPr>
        <w:t>学、规范决策，维护全体股东特别是中小股东利益提供制度保证。要按照有关法则做好信息披露工作，</w:t>
      </w:r>
      <w:r>
        <w:rPr>
          <w:spacing w:val="-48"/>
        </w:rPr>
        <w:t> </w:t>
      </w:r>
      <w:r>
        <w:rPr>
          <w:spacing w:val="-48"/>
        </w:rPr>
      </w:r>
      <w:r>
        <w:rPr>
          <w:spacing w:val="-2"/>
        </w:rPr>
        <w:t>维护公司健康、良好的市场形象。继续做好投资者关系管理工作。做好董事会各专业委员会工作，为</w:t>
      </w:r>
      <w:r>
        <w:rPr>
          <w:spacing w:val="-70"/>
        </w:rPr>
        <w:t> </w:t>
      </w:r>
      <w:r>
        <w:rPr>
          <w:spacing w:val="-70"/>
        </w:rPr>
      </w:r>
      <w:r>
        <w:rPr/>
        <w:t>独立董事开展工作提供必要条件。</w:t>
      </w:r>
    </w:p>
    <w:p>
      <w:pPr>
        <w:pStyle w:val="Heading4"/>
        <w:spacing w:line="391" w:lineRule="auto"/>
        <w:ind w:left="592" w:right="981"/>
        <w:jc w:val="left"/>
      </w:pPr>
      <w:r>
        <w:rPr/>
        <w:t>（四）发展资金需求</w:t>
      </w:r>
      <w:r>
        <w:rPr>
          <w:w w:val="100"/>
        </w:rPr>
        <w:t> </w:t>
      </w:r>
      <w:r>
        <w:rPr>
          <w:spacing w:val="-2"/>
        </w:rPr>
        <w:t>本公司将结合业务发展规划，根据业务发展的实际情况，合理筹集、安排和使用资金。</w:t>
      </w:r>
      <w:r>
        <w:rPr>
          <w:rFonts w:ascii="宋体" w:hAnsi="宋体" w:cs="宋体" w:eastAsia="宋体" w:hint="default"/>
          <w:spacing w:val="-2"/>
        </w:rPr>
        <w:t>2013</w:t>
      </w:r>
      <w:r>
        <w:rPr>
          <w:spacing w:val="-2"/>
        </w:rPr>
        <w:t>年为</w:t>
      </w:r>
    </w:p>
    <w:p>
      <w:pPr>
        <w:pStyle w:val="Heading4"/>
        <w:spacing w:line="391" w:lineRule="auto" w:before="42"/>
        <w:ind w:right="981"/>
        <w:jc w:val="left"/>
      </w:pPr>
      <w:r>
        <w:rPr>
          <w:spacing w:val="-1"/>
        </w:rPr>
        <w:t>实现公司发展规划所需投资的项目</w:t>
      </w:r>
      <w:r>
        <w:rPr>
          <w:rFonts w:ascii="宋体" w:hAnsi="宋体" w:cs="宋体" w:eastAsia="宋体" w:hint="default"/>
          <w:spacing w:val="-1"/>
        </w:rPr>
        <w:t>,</w:t>
      </w:r>
      <w:r>
        <w:rPr>
          <w:spacing w:val="-1"/>
        </w:rPr>
        <w:t>主要为公司</w:t>
      </w:r>
      <w:r>
        <w:rPr>
          <w:rFonts w:ascii="宋体" w:hAnsi="宋体" w:cs="宋体" w:eastAsia="宋体" w:hint="default"/>
          <w:spacing w:val="-1"/>
        </w:rPr>
        <w:t>2010</w:t>
      </w:r>
      <w:r>
        <w:rPr>
          <w:spacing w:val="-1"/>
        </w:rPr>
        <w:t>年发行上市的募集资金投资项目，上述项目的投</w:t>
      </w:r>
      <w:r>
        <w:rPr>
          <w:spacing w:val="-71"/>
        </w:rPr>
        <w:t> </w:t>
      </w:r>
      <w:r>
        <w:rPr>
          <w:spacing w:val="-71"/>
        </w:rPr>
      </w:r>
      <w:r>
        <w:rPr/>
        <w:t>资资金需求已在发行上市时得到基本满足。</w:t>
      </w:r>
    </w:p>
    <w:p>
      <w:pPr>
        <w:pStyle w:val="Heading4"/>
        <w:spacing w:line="391" w:lineRule="auto"/>
        <w:ind w:left="592" w:right="6434"/>
        <w:jc w:val="left"/>
      </w:pPr>
      <w:r>
        <w:rPr/>
        <w:t>（五）可能面临的风险</w:t>
      </w:r>
      <w:r>
        <w:rPr>
          <w:spacing w:val="-108"/>
        </w:rPr>
        <w:t> </w:t>
      </w:r>
      <w:r>
        <w:rPr>
          <w:spacing w:val="-108"/>
        </w:rPr>
      </w:r>
      <w:r>
        <w:rPr>
          <w:spacing w:val="-1"/>
        </w:rPr>
        <w:t>见本报告第一节“重大风险提示”。</w:t>
      </w:r>
    </w:p>
    <w:p>
      <w:pPr>
        <w:spacing w:line="240" w:lineRule="auto" w:before="13"/>
        <w:rPr>
          <w:rFonts w:ascii="宋体" w:hAnsi="宋体" w:cs="宋体" w:eastAsia="宋体" w:hint="default"/>
          <w:sz w:val="18"/>
          <w:szCs w:val="18"/>
        </w:rPr>
      </w:pPr>
    </w:p>
    <w:p>
      <w:pPr>
        <w:pStyle w:val="Heading3"/>
        <w:spacing w:line="240" w:lineRule="auto"/>
        <w:ind w:right="981"/>
        <w:jc w:val="left"/>
        <w:rPr>
          <w:b w:val="0"/>
          <w:bCs w:val="0"/>
        </w:rPr>
      </w:pPr>
      <w:r>
        <w:rPr/>
        <w:t>八、与上年度财务报告相比，会计政策、会计估计和核算方法发生变化的情况说明</w:t>
      </w:r>
      <w:r>
        <w:rPr>
          <w:b w:val="0"/>
          <w:bCs w:val="0"/>
        </w:rPr>
      </w:r>
    </w:p>
    <w:p>
      <w:pPr>
        <w:spacing w:line="240" w:lineRule="auto" w:before="11"/>
        <w:rPr>
          <w:rFonts w:ascii="宋体" w:hAnsi="宋体" w:cs="宋体" w:eastAsia="宋体" w:hint="default"/>
          <w:b/>
          <w:bCs/>
          <w:sz w:val="29"/>
          <w:szCs w:val="29"/>
        </w:rPr>
      </w:pPr>
    </w:p>
    <w:p>
      <w:pPr>
        <w:pStyle w:val="Heading4"/>
        <w:spacing w:line="391" w:lineRule="auto" w:before="0"/>
        <w:ind w:right="981" w:firstLine="439"/>
        <w:jc w:val="left"/>
      </w:pPr>
      <w:r>
        <w:rPr>
          <w:rFonts w:ascii="宋体" w:hAnsi="宋体" w:cs="宋体" w:eastAsia="宋体" w:hint="default"/>
          <w:spacing w:val="-2"/>
        </w:rPr>
        <w:t>2012</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25</w:t>
      </w:r>
      <w:r>
        <w:rPr>
          <w:spacing w:val="-2"/>
        </w:rPr>
        <w:t>日，公司第四届董事会第十九次会议审议通过了《关于会计估计变更的议案》，内</w:t>
      </w:r>
      <w:r>
        <w:rPr>
          <w:w w:val="100"/>
        </w:rPr>
        <w:t> </w:t>
      </w:r>
      <w:r>
        <w:rPr/>
        <w:t>容如下：</w:t>
      </w:r>
    </w:p>
    <w:p>
      <w:pPr>
        <w:pStyle w:val="Heading4"/>
        <w:spacing w:line="391" w:lineRule="auto"/>
        <w:ind w:left="592" w:right="981"/>
        <w:jc w:val="left"/>
      </w:pPr>
      <w:r>
        <w:rPr/>
        <w:t>（一）变更原因</w:t>
      </w:r>
      <w:r>
        <w:rPr>
          <w:spacing w:val="-108"/>
        </w:rPr>
        <w:t> </w:t>
      </w:r>
      <w:r>
        <w:rPr>
          <w:spacing w:val="-108"/>
        </w:rPr>
      </w:r>
      <w:r>
        <w:rPr>
          <w:rFonts w:ascii="宋体" w:hAnsi="宋体" w:cs="宋体" w:eastAsia="宋体" w:hint="default"/>
          <w:spacing w:val="-2"/>
        </w:rPr>
        <w:t>1</w:t>
      </w:r>
      <w:r>
        <w:rPr>
          <w:spacing w:val="-2"/>
        </w:rPr>
        <w:t>、根据《企业会计准则第</w:t>
      </w:r>
      <w:r>
        <w:rPr>
          <w:rFonts w:ascii="宋体" w:hAnsi="宋体" w:cs="宋体" w:eastAsia="宋体" w:hint="default"/>
          <w:spacing w:val="-2"/>
        </w:rPr>
        <w:t>4</w:t>
      </w:r>
      <w:r>
        <w:rPr>
          <w:spacing w:val="-2"/>
        </w:rPr>
        <w:t>号—固定资产》的有关规定：每个会计年度终了，企业应对固定资产</w:t>
      </w:r>
    </w:p>
    <w:p>
      <w:pPr>
        <w:pStyle w:val="Heading4"/>
        <w:spacing w:line="391" w:lineRule="auto"/>
        <w:ind w:right="981"/>
        <w:jc w:val="left"/>
      </w:pPr>
      <w:r>
        <w:rPr>
          <w:spacing w:val="-2"/>
        </w:rPr>
        <w:t>的预计使用寿命、净残值率进行复核，如果固定资产的预计使用寿命、净残值率与原先会计估计数有</w:t>
      </w:r>
      <w:r>
        <w:rPr>
          <w:spacing w:val="-67"/>
        </w:rPr>
        <w:t> </w:t>
      </w:r>
      <w:r>
        <w:rPr>
          <w:spacing w:val="-67"/>
        </w:rPr>
      </w:r>
      <w:r>
        <w:rPr/>
        <w:t>差异的，应当进行相应调整。</w:t>
      </w:r>
    </w:p>
    <w:p>
      <w:pPr>
        <w:pStyle w:val="Heading4"/>
        <w:spacing w:line="240" w:lineRule="auto"/>
        <w:ind w:right="981" w:firstLine="439"/>
        <w:jc w:val="left"/>
      </w:pPr>
      <w:r>
        <w:rPr>
          <w:rFonts w:ascii="宋体" w:hAnsi="宋体" w:cs="宋体" w:eastAsia="宋体" w:hint="default"/>
        </w:rPr>
        <w:t>2</w:t>
      </w:r>
      <w:r>
        <w:rPr/>
        <w:t>、鉴于近年来公司在用的车辆、电脑年度使用频率有较大幅度的增加，为使公司的会计信息更</w:t>
      </w:r>
    </w:p>
    <w:p>
      <w:pPr>
        <w:pStyle w:val="Heading4"/>
        <w:spacing w:line="240" w:lineRule="auto" w:before="180"/>
        <w:ind w:right="981"/>
        <w:jc w:val="left"/>
      </w:pPr>
      <w:r>
        <w:rPr/>
        <w:t>加真实可靠，公司决定对车辆、电脑的预计使用年限、固定资产预计残值率的会计估计进行调整，固</w:t>
      </w:r>
    </w:p>
    <w:p>
      <w:pPr>
        <w:spacing w:after="0" w:line="240" w:lineRule="auto"/>
        <w:jc w:val="left"/>
        <w:sectPr>
          <w:footerReference w:type="default" r:id="rId18"/>
          <w:pgSz w:w="11910" w:h="16840"/>
          <w:pgMar w:footer="1285" w:header="877" w:top="1100" w:bottom="1480" w:left="980" w:right="0"/>
          <w:pgNumType w:start="25"/>
        </w:sectPr>
      </w:pPr>
    </w:p>
    <w:p>
      <w:pPr>
        <w:spacing w:line="240" w:lineRule="auto" w:before="4"/>
        <w:rPr>
          <w:rFonts w:ascii="宋体" w:hAnsi="宋体" w:cs="宋体" w:eastAsia="宋体" w:hint="default"/>
          <w:sz w:val="26"/>
          <w:szCs w:val="26"/>
        </w:rPr>
      </w:pPr>
    </w:p>
    <w:p>
      <w:pPr>
        <w:pStyle w:val="Heading4"/>
        <w:spacing w:line="240" w:lineRule="auto" w:before="32"/>
        <w:ind w:right="981"/>
        <w:jc w:val="left"/>
      </w:pPr>
      <w:r>
        <w:rPr/>
        <w:t>定资产折旧方法不变。</w:t>
      </w:r>
    </w:p>
    <w:p>
      <w:pPr>
        <w:pStyle w:val="Heading4"/>
        <w:spacing w:line="391" w:lineRule="auto" w:before="180"/>
        <w:ind w:left="592" w:right="7577"/>
        <w:jc w:val="left"/>
      </w:pPr>
      <w:r>
        <w:rPr/>
        <w:t>（二）变更内容</w:t>
      </w:r>
      <w:r>
        <w:rPr>
          <w:spacing w:val="-108"/>
        </w:rPr>
        <w:t> </w:t>
      </w:r>
      <w:r>
        <w:rPr>
          <w:spacing w:val="-108"/>
        </w:rPr>
      </w:r>
      <w:r>
        <w:rPr>
          <w:rFonts w:ascii="宋体" w:hAnsi="宋体" w:cs="宋体" w:eastAsia="宋体" w:hint="default"/>
          <w:spacing w:val="-1"/>
        </w:rPr>
        <w:t>1</w:t>
      </w:r>
      <w:r>
        <w:rPr>
          <w:spacing w:val="-1"/>
        </w:rPr>
        <w:t>、固定资产使用年限的变更</w:t>
      </w:r>
    </w:p>
    <w:p>
      <w:pPr>
        <w:pStyle w:val="Heading4"/>
        <w:spacing w:line="240" w:lineRule="auto"/>
        <w:ind w:left="592" w:right="981"/>
        <w:jc w:val="left"/>
      </w:pPr>
      <w:r>
        <w:rPr/>
        <w:t>（</w:t>
      </w:r>
      <w:r>
        <w:rPr>
          <w:rFonts w:ascii="宋体" w:hAnsi="宋体" w:cs="宋体" w:eastAsia="宋体" w:hint="default"/>
        </w:rPr>
        <w:t>1</w:t>
      </w:r>
      <w:r>
        <w:rPr/>
        <w:t>）变更前的会计估计：车辆的预计使用年限为</w:t>
      </w:r>
      <w:r>
        <w:rPr>
          <w:rFonts w:ascii="宋体" w:hAnsi="宋体" w:cs="宋体" w:eastAsia="宋体" w:hint="default"/>
        </w:rPr>
        <w:t>10</w:t>
      </w:r>
      <w:r>
        <w:rPr/>
        <w:t>年，电脑的预计使用年限为</w:t>
      </w:r>
      <w:r>
        <w:rPr>
          <w:rFonts w:ascii="宋体" w:hAnsi="宋体" w:cs="宋体" w:eastAsia="宋体" w:hint="default"/>
        </w:rPr>
        <w:t>5</w:t>
      </w:r>
      <w:r>
        <w:rPr/>
        <w:t>年。</w:t>
      </w:r>
    </w:p>
    <w:p>
      <w:pPr>
        <w:pStyle w:val="Heading4"/>
        <w:spacing w:line="391" w:lineRule="auto" w:before="180"/>
        <w:ind w:left="592" w:right="981"/>
        <w:jc w:val="left"/>
      </w:pPr>
      <w:r>
        <w:rPr>
          <w:spacing w:val="-1"/>
        </w:rPr>
        <w:t>（</w:t>
      </w:r>
      <w:r>
        <w:rPr>
          <w:rFonts w:ascii="宋体" w:hAnsi="宋体" w:cs="宋体" w:eastAsia="宋体" w:hint="default"/>
          <w:spacing w:val="-1"/>
        </w:rPr>
        <w:t>2</w:t>
      </w:r>
      <w:r>
        <w:rPr>
          <w:spacing w:val="-1"/>
        </w:rPr>
        <w:t>）变更后的会计估计：车辆的预计使用年限为</w:t>
      </w:r>
      <w:r>
        <w:rPr>
          <w:rFonts w:ascii="宋体" w:hAnsi="宋体" w:cs="宋体" w:eastAsia="宋体" w:hint="default"/>
          <w:spacing w:val="-1"/>
        </w:rPr>
        <w:t>8</w:t>
      </w:r>
      <w:r>
        <w:rPr>
          <w:spacing w:val="-1"/>
        </w:rPr>
        <w:t>年，电脑的预计使用年限为</w:t>
      </w:r>
      <w:r>
        <w:rPr>
          <w:rFonts w:ascii="宋体" w:hAnsi="宋体" w:cs="宋体" w:eastAsia="宋体" w:hint="default"/>
          <w:spacing w:val="-1"/>
        </w:rPr>
        <w:t>3</w:t>
      </w:r>
      <w:r>
        <w:rPr>
          <w:spacing w:val="-1"/>
        </w:rPr>
        <w:t>年。</w:t>
      </w:r>
      <w:r>
        <w:rPr>
          <w:spacing w:val="-72"/>
        </w:rPr>
        <w:t> </w:t>
      </w:r>
      <w:r>
        <w:rPr>
          <w:rFonts w:ascii="宋体" w:hAnsi="宋体" w:cs="宋体" w:eastAsia="宋体" w:hint="default"/>
        </w:rPr>
        <w:t>2</w:t>
      </w:r>
      <w:r>
        <w:rPr/>
        <w:t>、固定资产预计净残值率的变更</w:t>
      </w:r>
    </w:p>
    <w:p>
      <w:pPr>
        <w:pStyle w:val="Heading4"/>
        <w:spacing w:line="240" w:lineRule="auto"/>
        <w:ind w:left="592" w:right="981"/>
        <w:jc w:val="left"/>
      </w:pPr>
      <w:r>
        <w:rPr/>
        <w:t>（</w:t>
      </w:r>
      <w:r>
        <w:rPr>
          <w:rFonts w:ascii="宋体" w:hAnsi="宋体" w:cs="宋体" w:eastAsia="宋体" w:hint="default"/>
        </w:rPr>
        <w:t>1</w:t>
      </w:r>
      <w:r>
        <w:rPr/>
        <w:t>）变更前的会计估计：固定资产的预计净残值率为</w:t>
      </w:r>
      <w:r>
        <w:rPr>
          <w:rFonts w:ascii="宋体" w:hAnsi="宋体" w:cs="宋体" w:eastAsia="宋体" w:hint="default"/>
        </w:rPr>
        <w:t>5%</w:t>
      </w:r>
      <w:r>
        <w:rPr/>
        <w:t>。</w:t>
      </w:r>
    </w:p>
    <w:p>
      <w:pPr>
        <w:pStyle w:val="Heading4"/>
        <w:spacing w:line="391" w:lineRule="auto" w:before="180"/>
        <w:ind w:left="592" w:right="981"/>
        <w:jc w:val="left"/>
      </w:pPr>
      <w:r>
        <w:rPr>
          <w:spacing w:val="-1"/>
        </w:rPr>
        <w:t>（</w:t>
      </w:r>
      <w:r>
        <w:rPr>
          <w:rFonts w:ascii="宋体" w:hAnsi="宋体" w:cs="宋体" w:eastAsia="宋体" w:hint="default"/>
          <w:spacing w:val="-1"/>
        </w:rPr>
        <w:t>2</w:t>
      </w:r>
      <w:r>
        <w:rPr>
          <w:spacing w:val="-1"/>
        </w:rPr>
        <w:t>）变更后的会计估计：固定资产的预计净残值率为</w:t>
      </w:r>
      <w:r>
        <w:rPr>
          <w:rFonts w:ascii="宋体" w:hAnsi="宋体" w:cs="宋体" w:eastAsia="宋体" w:hint="default"/>
          <w:spacing w:val="-1"/>
        </w:rPr>
        <w:t>0%-4%</w:t>
      </w:r>
      <w:r>
        <w:rPr>
          <w:spacing w:val="-1"/>
        </w:rPr>
        <w:t>。</w:t>
      </w:r>
      <w:r>
        <w:rPr>
          <w:spacing w:val="-82"/>
        </w:rPr>
        <w:t> </w:t>
      </w:r>
      <w:r>
        <w:rPr>
          <w:rFonts w:ascii="宋体" w:hAnsi="宋体" w:cs="宋体" w:eastAsia="宋体" w:hint="default"/>
        </w:rPr>
        <w:t>3</w:t>
      </w:r>
      <w:r>
        <w:rPr/>
        <w:t>、会计估计变更日：</w:t>
      </w: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1</w:t>
      </w:r>
      <w:r>
        <w:rPr/>
        <w:t>日。</w:t>
      </w:r>
    </w:p>
    <w:p>
      <w:pPr>
        <w:pStyle w:val="Heading4"/>
        <w:spacing w:line="391" w:lineRule="auto"/>
        <w:ind w:left="592" w:right="981"/>
        <w:jc w:val="left"/>
      </w:pPr>
      <w:r>
        <w:rPr/>
        <w:t>（三）影响</w:t>
      </w:r>
      <w:r>
        <w:rPr>
          <w:w w:val="100"/>
        </w:rPr>
        <w:t> </w:t>
      </w:r>
      <w:r>
        <w:rPr>
          <w:rFonts w:ascii="宋体" w:hAnsi="宋体" w:cs="宋体" w:eastAsia="宋体" w:hint="default"/>
          <w:spacing w:val="-1"/>
        </w:rPr>
        <w:t>1</w:t>
      </w:r>
      <w:r>
        <w:rPr>
          <w:spacing w:val="-1"/>
        </w:rPr>
        <w:t>、根据《企业会计准则第</w:t>
      </w:r>
      <w:r>
        <w:rPr>
          <w:rFonts w:ascii="宋体" w:hAnsi="宋体" w:cs="宋体" w:eastAsia="宋体" w:hint="default"/>
          <w:spacing w:val="-1"/>
        </w:rPr>
        <w:t>28</w:t>
      </w:r>
      <w:r>
        <w:rPr>
          <w:spacing w:val="-1"/>
        </w:rPr>
        <w:t>号——会计政策、会计估计变更和差错更正》的规定，公司对此次</w:t>
      </w:r>
    </w:p>
    <w:p>
      <w:pPr>
        <w:pStyle w:val="Heading4"/>
        <w:spacing w:line="391" w:lineRule="auto"/>
        <w:ind w:right="981"/>
        <w:jc w:val="left"/>
      </w:pPr>
      <w:r>
        <w:rPr>
          <w:spacing w:val="-2"/>
        </w:rPr>
        <w:t>会计估计变更采用未来适用法进行会计处理，对以往各年度财务状况和经营成果不会产生影响，无需</w:t>
      </w:r>
      <w:r>
        <w:rPr>
          <w:spacing w:val="-68"/>
        </w:rPr>
        <w:t> </w:t>
      </w:r>
      <w:r>
        <w:rPr>
          <w:spacing w:val="-68"/>
        </w:rPr>
      </w:r>
      <w:r>
        <w:rPr/>
        <w:t>追溯调整。</w:t>
      </w:r>
    </w:p>
    <w:p>
      <w:pPr>
        <w:pStyle w:val="Heading4"/>
        <w:spacing w:line="391" w:lineRule="auto"/>
        <w:ind w:right="1128" w:firstLine="439"/>
        <w:jc w:val="both"/>
      </w:pPr>
      <w:r>
        <w:rPr>
          <w:rFonts w:ascii="宋体" w:hAnsi="宋体" w:cs="宋体" w:eastAsia="宋体" w:hint="default"/>
          <w:spacing w:val="-2"/>
        </w:rPr>
        <w:t>2</w:t>
      </w:r>
      <w:r>
        <w:rPr>
          <w:spacing w:val="-2"/>
        </w:rPr>
        <w:t>、本次会计估计变更从</w:t>
      </w:r>
      <w:r>
        <w:rPr>
          <w:rFonts w:ascii="宋体" w:hAnsi="宋体" w:cs="宋体" w:eastAsia="宋体" w:hint="default"/>
          <w:spacing w:val="-2"/>
        </w:rPr>
        <w:t>2012</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w:t>
      </w:r>
      <w:r>
        <w:rPr>
          <w:spacing w:val="-2"/>
        </w:rPr>
        <w:t>日起执行，若使用原折旧年限和预计残值率，</w:t>
      </w:r>
      <w:r>
        <w:rPr>
          <w:rFonts w:ascii="宋体" w:hAnsi="宋体" w:cs="宋体" w:eastAsia="宋体" w:hint="default"/>
          <w:spacing w:val="-2"/>
        </w:rPr>
        <w:t>2012</w:t>
      </w:r>
      <w:r>
        <w:rPr>
          <w:spacing w:val="-2"/>
        </w:rPr>
        <w:t>年度的固</w:t>
      </w:r>
      <w:r>
        <w:rPr>
          <w:w w:val="100"/>
        </w:rPr>
        <w:t> </w:t>
      </w:r>
      <w:r>
        <w:rPr>
          <w:spacing w:val="-4"/>
        </w:rPr>
        <w:t>定资产折旧成本为</w:t>
      </w:r>
      <w:r>
        <w:rPr>
          <w:rFonts w:ascii="宋体" w:hAnsi="宋体" w:cs="宋体" w:eastAsia="宋体" w:hint="default"/>
          <w:spacing w:val="-4"/>
        </w:rPr>
        <w:t>310</w:t>
      </w:r>
      <w:r>
        <w:rPr>
          <w:spacing w:val="-4"/>
        </w:rPr>
        <w:t>万元，变更后</w:t>
      </w:r>
      <w:r>
        <w:rPr>
          <w:rFonts w:ascii="宋体" w:hAnsi="宋体" w:cs="宋体" w:eastAsia="宋体" w:hint="default"/>
          <w:spacing w:val="-4"/>
        </w:rPr>
        <w:t>2012</w:t>
      </w:r>
      <w:r>
        <w:rPr>
          <w:spacing w:val="-4"/>
        </w:rPr>
        <w:t>年度的固定资产折旧成本为</w:t>
      </w:r>
      <w:r>
        <w:rPr>
          <w:rFonts w:ascii="宋体" w:hAnsi="宋体" w:cs="宋体" w:eastAsia="宋体" w:hint="default"/>
          <w:spacing w:val="-4"/>
        </w:rPr>
        <w:t>333.98</w:t>
      </w:r>
      <w:r>
        <w:rPr>
          <w:spacing w:val="-4"/>
        </w:rPr>
        <w:t>万元，本次变更使公司</w:t>
      </w:r>
      <w:r>
        <w:rPr>
          <w:rFonts w:ascii="宋体" w:hAnsi="宋体" w:cs="宋体" w:eastAsia="宋体" w:hint="default"/>
          <w:spacing w:val="-4"/>
        </w:rPr>
        <w:t>2012</w:t>
      </w:r>
      <w:r>
        <w:rPr>
          <w:rFonts w:ascii="宋体" w:hAnsi="宋体" w:cs="宋体" w:eastAsia="宋体" w:hint="default"/>
          <w:spacing w:val="-56"/>
        </w:rPr>
        <w:t> </w:t>
      </w:r>
      <w:r>
        <w:rPr>
          <w:rFonts w:ascii="宋体" w:hAnsi="宋体" w:cs="宋体" w:eastAsia="宋体" w:hint="default"/>
          <w:spacing w:val="-56"/>
        </w:rPr>
      </w:r>
      <w:r>
        <w:rPr/>
        <w:t>年度利润总额减少了</w:t>
      </w:r>
      <w:r>
        <w:rPr>
          <w:rFonts w:ascii="宋体" w:hAnsi="宋体" w:cs="宋体" w:eastAsia="宋体" w:hint="default"/>
        </w:rPr>
        <w:t>7.99</w:t>
      </w:r>
      <w:r>
        <w:rPr/>
        <w:t>万元。</w:t>
      </w:r>
    </w:p>
    <w:p>
      <w:pPr>
        <w:spacing w:line="240" w:lineRule="auto" w:before="0"/>
        <w:rPr>
          <w:rFonts w:ascii="宋体" w:hAnsi="宋体" w:cs="宋体" w:eastAsia="宋体" w:hint="default"/>
          <w:sz w:val="19"/>
          <w:szCs w:val="19"/>
        </w:rPr>
      </w:pPr>
    </w:p>
    <w:p>
      <w:pPr>
        <w:pStyle w:val="Heading3"/>
        <w:spacing w:line="240" w:lineRule="auto"/>
        <w:ind w:right="981"/>
        <w:jc w:val="left"/>
        <w:rPr>
          <w:b w:val="0"/>
          <w:bCs w:val="0"/>
        </w:rPr>
      </w:pPr>
      <w:r>
        <w:rPr/>
        <w:t>九、报告期内发生重大会计差错更正需追溯重述的情况说明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1"/>
        <w:jc w:val="left"/>
        <w:rPr>
          <w:b w:val="0"/>
          <w:bCs w:val="0"/>
        </w:rPr>
      </w:pPr>
      <w:r>
        <w:rPr/>
        <w:t>十、与上年度财务报告相比，合并报表范围发生变化的情况说明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1"/>
        <w:jc w:val="left"/>
        <w:rPr>
          <w:b w:val="0"/>
          <w:bCs w:val="0"/>
        </w:rPr>
      </w:pPr>
      <w:r>
        <w:rPr/>
        <w:t>十一、公司利润分配及分红派息情况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1"/>
        <w:jc w:val="left"/>
      </w:pPr>
      <w:r>
        <w:rPr/>
        <w:t>报告期内利润分配政策特别是现金分红政策的制定、执行或调整情况</w:t>
      </w:r>
    </w:p>
    <w:p>
      <w:pPr>
        <w:pStyle w:val="Heading4"/>
        <w:spacing w:line="391" w:lineRule="auto" w:before="161"/>
        <w:ind w:right="1128" w:firstLine="439"/>
        <w:jc w:val="both"/>
      </w:pPr>
      <w:r>
        <w:rPr>
          <w:spacing w:val="-2"/>
        </w:rPr>
        <w:t>根据中国证监会《关于进一步落实上市公司现金分红有关事项的通知》（证监发</w:t>
      </w:r>
      <w:r>
        <w:rPr>
          <w:rFonts w:ascii="宋体" w:hAnsi="宋体" w:cs="宋体" w:eastAsia="宋体" w:hint="default"/>
          <w:spacing w:val="-2"/>
        </w:rPr>
        <w:t>[2012]37</w:t>
      </w:r>
      <w:r>
        <w:rPr>
          <w:spacing w:val="-2"/>
        </w:rPr>
        <w:t>号）的</w:t>
      </w:r>
      <w:r>
        <w:rPr>
          <w:w w:val="100"/>
        </w:rPr>
        <w:t> </w:t>
      </w:r>
      <w:r>
        <w:rPr>
          <w:spacing w:val="-2"/>
        </w:rPr>
        <w:t>要求，为了完善公司利润分配政策，建立持续、科学、稳定的分红机制，增强利润分配的透明度，保</w:t>
      </w:r>
      <w:r>
        <w:rPr>
          <w:spacing w:val="-73"/>
        </w:rPr>
        <w:t> </w:t>
      </w:r>
      <w:r>
        <w:rPr>
          <w:spacing w:val="-73"/>
        </w:rPr>
      </w:r>
      <w:r>
        <w:rPr>
          <w:spacing w:val="-2"/>
        </w:rPr>
        <w:t>护中小投资者合法权益，保障公司可持续性发展，公司董事会对《公司章程》中关于现金分红政策的</w:t>
      </w:r>
      <w:r>
        <w:rPr>
          <w:spacing w:val="-68"/>
        </w:rPr>
        <w:t> </w:t>
      </w:r>
      <w:r>
        <w:rPr>
          <w:spacing w:val="-68"/>
        </w:rPr>
      </w:r>
      <w:r>
        <w:rPr/>
        <w:t>内容进行了修改，并于</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2</w:t>
      </w:r>
      <w:r>
        <w:rPr/>
        <w:t>日召开的</w:t>
      </w:r>
      <w:r>
        <w:rPr>
          <w:rFonts w:ascii="宋体" w:hAnsi="宋体" w:cs="宋体" w:eastAsia="宋体" w:hint="default"/>
        </w:rPr>
        <w:t>2012</w:t>
      </w:r>
      <w:r>
        <w:rPr/>
        <w:t>年第一次临时股东大会上审议通过。</w:t>
      </w:r>
    </w:p>
    <w:p>
      <w:pPr>
        <w:pStyle w:val="Heading4"/>
        <w:spacing w:line="240" w:lineRule="auto"/>
        <w:ind w:left="592" w:right="981"/>
        <w:jc w:val="left"/>
      </w:pPr>
      <w:r>
        <w:rPr/>
        <w:t>修改后的《公司章程》关于现金分红有关事项规定如下：</w:t>
      </w:r>
    </w:p>
    <w:p>
      <w:pPr>
        <w:pStyle w:val="Heading4"/>
        <w:tabs>
          <w:tab w:pos="2574" w:val="left" w:leader="none"/>
        </w:tabs>
        <w:spacing w:line="240" w:lineRule="auto" w:before="180"/>
        <w:ind w:left="592" w:right="981"/>
        <w:jc w:val="left"/>
      </w:pPr>
      <w:r>
        <w:rPr>
          <w:spacing w:val="-1"/>
        </w:rPr>
        <w:t>“第一百五十四条</w:t>
        <w:tab/>
      </w:r>
      <w:r>
        <w:rPr>
          <w:spacing w:val="-2"/>
        </w:rPr>
        <w:t>公司实施积极的利润分配政策，应严格遵守下列规定：</w:t>
      </w:r>
    </w:p>
    <w:p>
      <w:pPr>
        <w:spacing w:after="0" w:line="240" w:lineRule="auto"/>
        <w:jc w:val="left"/>
        <w:sectPr>
          <w:pgSz w:w="11910" w:h="16840"/>
          <w:pgMar w:header="877" w:footer="1285" w:top="1100" w:bottom="1480" w:left="980" w:right="0"/>
        </w:sectPr>
      </w:pPr>
    </w:p>
    <w:p>
      <w:pPr>
        <w:spacing w:line="240" w:lineRule="auto" w:before="4"/>
        <w:rPr>
          <w:rFonts w:ascii="宋体" w:hAnsi="宋体" w:cs="宋体" w:eastAsia="宋体" w:hint="default"/>
          <w:sz w:val="26"/>
          <w:szCs w:val="26"/>
        </w:rPr>
      </w:pPr>
    </w:p>
    <w:p>
      <w:pPr>
        <w:pStyle w:val="Heading4"/>
        <w:spacing w:line="240" w:lineRule="auto" w:before="32"/>
        <w:ind w:left="592" w:right="981"/>
        <w:jc w:val="left"/>
      </w:pPr>
      <w:r>
        <w:rPr/>
        <w:t>（一）公司利润分配政策应保持连续性和稳定性；</w:t>
      </w:r>
    </w:p>
    <w:p>
      <w:pPr>
        <w:pStyle w:val="Heading4"/>
        <w:spacing w:line="391" w:lineRule="auto" w:before="180"/>
        <w:ind w:right="981" w:firstLine="439"/>
        <w:jc w:val="left"/>
      </w:pPr>
      <w:r>
        <w:rPr>
          <w:spacing w:val="-2"/>
        </w:rPr>
        <w:t>（二）在保证公司正常经营业务和长期业务发展的前提下，公司连续三年以现金方式累计分配的</w:t>
      </w:r>
      <w:r>
        <w:rPr>
          <w:w w:val="100"/>
        </w:rPr>
        <w:t> </w:t>
      </w:r>
      <w:r>
        <w:rPr/>
        <w:t>利润不少于连续三年实现的年均可分配利润的百分之三十；</w:t>
      </w:r>
    </w:p>
    <w:p>
      <w:pPr>
        <w:pStyle w:val="Heading4"/>
        <w:spacing w:line="391" w:lineRule="auto"/>
        <w:ind w:right="981" w:firstLine="439"/>
        <w:jc w:val="left"/>
      </w:pPr>
      <w:r>
        <w:rPr>
          <w:spacing w:val="-2"/>
        </w:rPr>
        <w:t>（三）公司当年盈利但公司董事会未提出现金分配预案的，应在当年的定期报告中披露未分红的</w:t>
      </w:r>
      <w:r>
        <w:rPr>
          <w:w w:val="100"/>
        </w:rPr>
        <w:t> </w:t>
      </w:r>
      <w:r>
        <w:rPr/>
        <w:t>原因以及未用于分红的资金留存公司的用途；独立董事应该对此发表独立意见；</w:t>
      </w:r>
    </w:p>
    <w:p>
      <w:pPr>
        <w:pStyle w:val="Heading4"/>
        <w:spacing w:line="391" w:lineRule="auto"/>
        <w:ind w:right="981" w:firstLine="439"/>
        <w:jc w:val="left"/>
      </w:pPr>
      <w:r>
        <w:rPr>
          <w:spacing w:val="-2"/>
        </w:rPr>
        <w:t>（四）存在股东违规占用公司资金情况的，公司应当扣减该股东所分配的现金红利，以偿还其占</w:t>
      </w:r>
      <w:r>
        <w:rPr>
          <w:w w:val="100"/>
        </w:rPr>
        <w:t> </w:t>
      </w:r>
      <w:r>
        <w:rPr/>
        <w:t>用的资金。”</w:t>
      </w:r>
    </w:p>
    <w:p>
      <w:pPr>
        <w:pStyle w:val="Heading4"/>
        <w:spacing w:line="388" w:lineRule="auto"/>
        <w:ind w:right="981" w:firstLine="439"/>
        <w:jc w:val="left"/>
        <w:rPr>
          <w:sz w:val="18"/>
          <w:szCs w:val="18"/>
        </w:rPr>
      </w:pPr>
      <w:r>
        <w:rPr>
          <w:spacing w:val="-2"/>
        </w:rPr>
        <w:t>公司现金分红政策的制定及执行情况，符合《公司章程》的规定和股东大会决议的要求，调整和</w:t>
      </w:r>
      <w:r>
        <w:rPr>
          <w:w w:val="100"/>
        </w:rPr>
        <w:t> </w:t>
      </w:r>
      <w:r>
        <w:rPr/>
        <w:t>变更的程序合法、合规且充分透明，分红标准和比例明确且清晰，相关的决策程序和机制完备。</w:t>
      </w:r>
      <w:r>
        <w:rPr>
          <w:w w:val="100"/>
        </w:rPr>
        <w:t> </w:t>
      </w:r>
      <w:r>
        <w:rPr>
          <w:sz w:val="18"/>
          <w:szCs w:val="18"/>
        </w:rPr>
        <w:t>本年度利润分配及资本公积金转增股本预案</w:t>
      </w:r>
    </w:p>
    <w:p>
      <w:pPr>
        <w:pStyle w:val="BodyText"/>
        <w:spacing w:line="240" w:lineRule="auto" w:before="3"/>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0.50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202,160,000.00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10,108,000.00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163,841,028.19</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5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1495"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3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经公司第四届董事会第二十一次会议审议通过，公司</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年度利润分配预案是：以公司</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年末总股本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202,160,000</w:t>
            </w: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股为基数</w:t>
            </w:r>
            <w:r>
              <w:rPr>
                <w:rFonts w:ascii="宋体" w:hAnsi="宋体" w:cs="宋体" w:eastAsia="宋体" w:hint="default"/>
                <w:spacing w:val="-92"/>
                <w:sz w:val="18"/>
                <w:szCs w:val="18"/>
              </w:rPr>
              <w:t>，</w:t>
            </w:r>
            <w:r>
              <w:rPr>
                <w:rFonts w:ascii="宋体" w:hAnsi="宋体" w:cs="宋体" w:eastAsia="宋体" w:hint="default"/>
                <w:sz w:val="18"/>
                <w:szCs w:val="18"/>
              </w:rPr>
              <w:t>向全体股东每</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股派发现金红利</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pacing w:val="-92"/>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2"/>
                <w:sz w:val="18"/>
                <w:szCs w:val="18"/>
              </w:rPr>
              <w:t>共</w:t>
            </w:r>
            <w:r>
              <w:rPr>
                <w:rFonts w:ascii="宋体" w:hAnsi="宋体" w:cs="宋体" w:eastAsia="宋体" w:hint="default"/>
                <w:sz w:val="18"/>
                <w:szCs w:val="18"/>
              </w:rPr>
              <w:t>计派发现金股利</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剩余未分配利润</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153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19</w:t>
            </w:r>
            <w:r>
              <w:rPr>
                <w:rFonts w:ascii="Times New Roman" w:hAnsi="Times New Roman" w:cs="Times New Roman" w:eastAsia="Times New Roman" w:hint="default"/>
                <w:sz w:val="18"/>
                <w:szCs w:val="18"/>
              </w:rPr>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元结转至下一年度。上述分配预案尚须经公司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年年度股东大会审议通过。</w:t>
            </w:r>
          </w:p>
        </w:tc>
      </w:tr>
    </w:tbl>
    <w:p>
      <w:pPr>
        <w:pStyle w:val="BodyText"/>
        <w:spacing w:line="240" w:lineRule="auto" w:before="49"/>
        <w:ind w:right="981"/>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pStyle w:val="Heading4"/>
        <w:spacing w:line="391" w:lineRule="auto" w:before="148"/>
        <w:ind w:right="1128" w:firstLine="439"/>
        <w:jc w:val="both"/>
      </w:pPr>
      <w:r>
        <w:rPr>
          <w:rFonts w:ascii="宋体" w:hAnsi="宋体" w:cs="宋体" w:eastAsia="宋体" w:hint="default"/>
          <w:spacing w:val="-2"/>
        </w:rPr>
        <w:t>1</w:t>
      </w:r>
      <w:r>
        <w:rPr>
          <w:spacing w:val="-2"/>
        </w:rPr>
        <w:t>、公司</w:t>
      </w:r>
      <w:r>
        <w:rPr>
          <w:rFonts w:ascii="宋体" w:hAnsi="宋体" w:cs="宋体" w:eastAsia="宋体" w:hint="default"/>
          <w:spacing w:val="-2"/>
        </w:rPr>
        <w:t>2011</w:t>
      </w:r>
      <w:r>
        <w:rPr>
          <w:spacing w:val="-2"/>
        </w:rPr>
        <w:t>年中期利润分配方案为：以公司</w:t>
      </w:r>
      <w:r>
        <w:rPr>
          <w:rFonts w:ascii="宋体" w:hAnsi="宋体" w:cs="宋体" w:eastAsia="宋体" w:hint="default"/>
          <w:spacing w:val="-2"/>
        </w:rPr>
        <w:t>2011</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30</w:t>
      </w:r>
      <w:r>
        <w:rPr>
          <w:spacing w:val="-2"/>
        </w:rPr>
        <w:t>日总股本</w:t>
      </w:r>
      <w:r>
        <w:rPr>
          <w:rFonts w:ascii="宋体" w:hAnsi="宋体" w:cs="宋体" w:eastAsia="宋体" w:hint="default"/>
          <w:spacing w:val="-2"/>
        </w:rPr>
        <w:t>53,200,000</w:t>
      </w:r>
      <w:r>
        <w:rPr>
          <w:spacing w:val="-2"/>
        </w:rPr>
        <w:t>股为基数，以资本</w:t>
      </w:r>
      <w:r>
        <w:rPr>
          <w:w w:val="100"/>
        </w:rPr>
        <w:t> </w:t>
      </w:r>
      <w:r>
        <w:rPr>
          <w:spacing w:val="-2"/>
        </w:rPr>
        <w:t>公积金向全体股东每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10</w:t>
      </w:r>
      <w:r>
        <w:rPr>
          <w:spacing w:val="-2"/>
        </w:rPr>
        <w:t>股，共计转增</w:t>
      </w:r>
      <w:r>
        <w:rPr>
          <w:rFonts w:ascii="宋体" w:hAnsi="宋体" w:cs="宋体" w:eastAsia="宋体" w:hint="default"/>
          <w:spacing w:val="-2"/>
        </w:rPr>
        <w:t>53,200,000</w:t>
      </w:r>
      <w:r>
        <w:rPr>
          <w:spacing w:val="-2"/>
        </w:rPr>
        <w:t>股，不现金分红，不送红股。转增前本公司</w:t>
      </w:r>
      <w:r>
        <w:rPr>
          <w:spacing w:val="-57"/>
        </w:rPr>
        <w:t> </w:t>
      </w:r>
      <w:r>
        <w:rPr>
          <w:spacing w:val="-57"/>
        </w:rPr>
      </w:r>
      <w:r>
        <w:rPr/>
        <w:t>总股本为</w:t>
      </w:r>
      <w:r>
        <w:rPr>
          <w:rFonts w:ascii="宋体" w:hAnsi="宋体" w:cs="宋体" w:eastAsia="宋体" w:hint="default"/>
        </w:rPr>
        <w:t>53,200,000</w:t>
      </w:r>
      <w:r>
        <w:rPr/>
        <w:t>股，转增后公司总股本增至</w:t>
      </w:r>
      <w:r>
        <w:rPr>
          <w:rFonts w:ascii="宋体" w:hAnsi="宋体" w:cs="宋体" w:eastAsia="宋体" w:hint="default"/>
        </w:rPr>
        <w:t>106,400,000</w:t>
      </w:r>
      <w:r>
        <w:rPr/>
        <w:t>股。</w:t>
      </w:r>
    </w:p>
    <w:p>
      <w:pPr>
        <w:pStyle w:val="Heading4"/>
        <w:spacing w:line="391" w:lineRule="auto" w:before="42"/>
        <w:ind w:right="981" w:firstLine="439"/>
        <w:jc w:val="left"/>
      </w:pPr>
      <w:r>
        <w:rPr>
          <w:rFonts w:ascii="宋体" w:hAnsi="宋体" w:cs="宋体" w:eastAsia="宋体" w:hint="default"/>
        </w:rPr>
        <w:t>2</w:t>
      </w:r>
      <w:r>
        <w:rPr/>
        <w:t>、公司</w:t>
      </w:r>
      <w:r>
        <w:rPr>
          <w:rFonts w:ascii="宋体" w:hAnsi="宋体" w:cs="宋体" w:eastAsia="宋体" w:hint="default"/>
        </w:rPr>
        <w:t>2011</w:t>
      </w:r>
      <w:r>
        <w:rPr/>
        <w:t>年度利润分配方案为：（</w:t>
      </w:r>
      <w:r>
        <w:rPr>
          <w:rFonts w:ascii="宋体" w:hAnsi="宋体" w:cs="宋体" w:eastAsia="宋体" w:hint="default"/>
        </w:rPr>
        <w:t>1</w:t>
      </w:r>
      <w:r>
        <w:rPr/>
        <w:t>）以公司</w:t>
      </w:r>
      <w:r>
        <w:rPr>
          <w:rFonts w:ascii="宋体" w:hAnsi="宋体" w:cs="宋体" w:eastAsia="宋体" w:hint="default"/>
        </w:rPr>
        <w:t>2011</w:t>
      </w:r>
      <w:r>
        <w:rPr/>
        <w:t>年末有总股本</w:t>
      </w:r>
      <w:r>
        <w:rPr>
          <w:rFonts w:ascii="宋体" w:hAnsi="宋体" w:cs="宋体" w:eastAsia="宋体" w:hint="default"/>
        </w:rPr>
        <w:t>106,400,000</w:t>
      </w:r>
      <w:r>
        <w:rPr/>
        <w:t>股为基数，以资</w:t>
      </w:r>
      <w:r>
        <w:rPr>
          <w:w w:val="100"/>
        </w:rPr>
        <w:t> </w:t>
      </w:r>
      <w:r>
        <w:rPr>
          <w:spacing w:val="-4"/>
        </w:rPr>
        <w:t>本公积金向全体股东每</w:t>
      </w:r>
      <w:r>
        <w:rPr>
          <w:rFonts w:ascii="宋体" w:hAnsi="宋体" w:cs="宋体" w:eastAsia="宋体" w:hint="default"/>
          <w:spacing w:val="-4"/>
        </w:rPr>
        <w:t>10</w:t>
      </w:r>
      <w:r>
        <w:rPr>
          <w:spacing w:val="-4"/>
        </w:rPr>
        <w:t>股转增</w:t>
      </w:r>
      <w:r>
        <w:rPr>
          <w:rFonts w:ascii="宋体" w:hAnsi="宋体" w:cs="宋体" w:eastAsia="宋体" w:hint="default"/>
          <w:spacing w:val="-4"/>
        </w:rPr>
        <w:t>9</w:t>
      </w:r>
      <w:r>
        <w:rPr>
          <w:spacing w:val="-4"/>
        </w:rPr>
        <w:t>股，共计转增</w:t>
      </w:r>
      <w:r>
        <w:rPr>
          <w:rFonts w:ascii="宋体" w:hAnsi="宋体" w:cs="宋体" w:eastAsia="宋体" w:hint="default"/>
          <w:spacing w:val="-4"/>
        </w:rPr>
        <w:t>95,760,000</w:t>
      </w:r>
      <w:r>
        <w:rPr>
          <w:spacing w:val="-4"/>
        </w:rPr>
        <w:t>股。转增前本公司总股本为</w:t>
      </w:r>
      <w:r>
        <w:rPr>
          <w:rFonts w:ascii="宋体" w:hAnsi="宋体" w:cs="宋体" w:eastAsia="宋体" w:hint="default"/>
          <w:spacing w:val="-4"/>
        </w:rPr>
        <w:t>106,400,000</w:t>
      </w:r>
      <w:r>
        <w:rPr>
          <w:spacing w:val="-4"/>
        </w:rPr>
        <w:t>股，</w:t>
      </w:r>
      <w:r>
        <w:rPr>
          <w:spacing w:val="-42"/>
        </w:rPr>
        <w:t> </w:t>
      </w:r>
      <w:r>
        <w:rPr/>
        <w:t>转增后公司总股本增至</w:t>
      </w:r>
      <w:r>
        <w:rPr>
          <w:rFonts w:ascii="宋体" w:hAnsi="宋体" w:cs="宋体" w:eastAsia="宋体" w:hint="default"/>
        </w:rPr>
        <w:t>202,160,000</w:t>
      </w:r>
      <w:r>
        <w:rPr/>
        <w:t>股；（</w:t>
      </w:r>
      <w:r>
        <w:rPr>
          <w:rFonts w:ascii="宋体" w:hAnsi="宋体" w:cs="宋体" w:eastAsia="宋体" w:hint="default"/>
        </w:rPr>
        <w:t>2</w:t>
      </w:r>
      <w:r>
        <w:rPr/>
        <w:t>）以公司</w:t>
      </w:r>
      <w:r>
        <w:rPr>
          <w:rFonts w:ascii="宋体" w:hAnsi="宋体" w:cs="宋体" w:eastAsia="宋体" w:hint="default"/>
        </w:rPr>
        <w:t>2011</w:t>
      </w:r>
      <w:r>
        <w:rPr/>
        <w:t>年末总股本</w:t>
      </w:r>
      <w:r>
        <w:rPr>
          <w:rFonts w:ascii="宋体" w:hAnsi="宋体" w:cs="宋体" w:eastAsia="宋体" w:hint="default"/>
        </w:rPr>
        <w:t>106,400,000</w:t>
      </w:r>
      <w:r>
        <w:rPr/>
        <w:t>股为基数，向全体</w:t>
      </w:r>
      <w:r>
        <w:rPr>
          <w:w w:val="100"/>
        </w:rPr>
        <w:t> </w:t>
      </w:r>
      <w:r>
        <w:rPr/>
        <w:t>股东每</w:t>
      </w:r>
      <w:r>
        <w:rPr>
          <w:rFonts w:ascii="宋体" w:hAnsi="宋体" w:cs="宋体" w:eastAsia="宋体" w:hint="default"/>
        </w:rPr>
        <w:t>10</w:t>
      </w:r>
      <w:r>
        <w:rPr/>
        <w:t>股派发现金红利</w:t>
      </w:r>
      <w:r>
        <w:rPr>
          <w:rFonts w:ascii="宋体" w:hAnsi="宋体" w:cs="宋体" w:eastAsia="宋体" w:hint="default"/>
        </w:rPr>
        <w:t>1</w:t>
      </w:r>
      <w:r>
        <w:rPr/>
        <w:t>元（含税），共计派发现金股利</w:t>
      </w:r>
      <w:r>
        <w:rPr>
          <w:rFonts w:ascii="宋体" w:hAnsi="宋体" w:cs="宋体" w:eastAsia="宋体" w:hint="default"/>
        </w:rPr>
        <w:t>10,640,000</w:t>
      </w:r>
      <w:r>
        <w:rPr/>
        <w:t>元。</w:t>
      </w:r>
    </w:p>
    <w:p>
      <w:pPr>
        <w:pStyle w:val="Heading4"/>
        <w:spacing w:line="391" w:lineRule="auto"/>
        <w:ind w:right="1189" w:firstLine="439"/>
        <w:jc w:val="left"/>
      </w:pPr>
      <w:r>
        <w:rPr>
          <w:rFonts w:ascii="宋体" w:hAnsi="宋体" w:cs="宋体" w:eastAsia="宋体" w:hint="default"/>
        </w:rPr>
        <w:t>3</w:t>
      </w:r>
      <w:r>
        <w:rPr/>
        <w:t>、公司</w:t>
      </w:r>
      <w:r>
        <w:rPr>
          <w:rFonts w:ascii="宋体" w:hAnsi="宋体" w:cs="宋体" w:eastAsia="宋体" w:hint="default"/>
        </w:rPr>
        <w:t>2012</w:t>
      </w:r>
      <w:r>
        <w:rPr/>
        <w:t>年度利润分配预案为：以公司</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日的总股本</w:t>
      </w:r>
      <w:r>
        <w:rPr>
          <w:rFonts w:ascii="宋体" w:hAnsi="宋体" w:cs="宋体" w:eastAsia="宋体" w:hint="default"/>
        </w:rPr>
        <w:t>202,160,000</w:t>
      </w:r>
      <w:r>
        <w:rPr/>
        <w:t>股为基数，</w:t>
      </w:r>
      <w:r>
        <w:rPr>
          <w:spacing w:val="-4"/>
        </w:rPr>
        <w:t> </w:t>
      </w:r>
      <w:r>
        <w:rPr/>
        <w:t>向</w:t>
      </w:r>
      <w:r>
        <w:rPr>
          <w:w w:val="100"/>
        </w:rPr>
        <w:t> </w:t>
      </w:r>
      <w:r>
        <w:rPr/>
        <w:t>全体股东每</w:t>
      </w:r>
      <w:r>
        <w:rPr>
          <w:rFonts w:ascii="宋体" w:hAnsi="宋体" w:cs="宋体" w:eastAsia="宋体" w:hint="default"/>
        </w:rPr>
        <w:t>10</w:t>
      </w:r>
      <w:r>
        <w:rPr/>
        <w:t>股派发现金红利</w:t>
      </w:r>
      <w:r>
        <w:rPr>
          <w:rFonts w:ascii="宋体" w:hAnsi="宋体" w:cs="宋体" w:eastAsia="宋体" w:hint="default"/>
        </w:rPr>
        <w:t>0.50</w:t>
      </w:r>
      <w:r>
        <w:rPr/>
        <w:t>元（含税），不送红股，不以公积金转增股本。</w:t>
      </w:r>
    </w:p>
    <w:p>
      <w:pPr>
        <w:spacing w:after="0" w:line="391" w:lineRule="auto"/>
        <w:jc w:val="left"/>
        <w:sectPr>
          <w:pgSz w:w="11910" w:h="16840"/>
          <w:pgMar w:header="877" w:footer="1285" w:top="1100" w:bottom="148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before="44"/>
        <w:ind w:right="981"/>
        <w:jc w:val="left"/>
      </w:pPr>
      <w:r>
        <w:rPr/>
        <w:t>公司近三年现金分红情况表</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10,108,000.00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45,541,071.87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22.20%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42,072,183.06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25.29%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35,988,016.58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981"/>
        <w:jc w:val="left"/>
      </w:pPr>
      <w:r>
        <w:rPr/>
        <w:t>公司报告期内盈利且母公司未分配利润为正但未提出现金红利分配预案</w:t>
      </w:r>
    </w:p>
    <w:p>
      <w:pPr>
        <w:pStyle w:val="BodyText"/>
        <w:spacing w:line="240" w:lineRule="auto" w:before="115"/>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1"/>
        <w:jc w:val="left"/>
        <w:rPr>
          <w:b w:val="0"/>
          <w:bCs w:val="0"/>
        </w:rPr>
      </w:pPr>
      <w:r>
        <w:rPr/>
        <w:t>十二、社会责任情况</w:t>
      </w:r>
      <w:r>
        <w:rPr>
          <w:b w:val="0"/>
          <w:bCs w:val="0"/>
        </w:rPr>
      </w:r>
    </w:p>
    <w:p>
      <w:pPr>
        <w:spacing w:line="240" w:lineRule="auto" w:before="1"/>
        <w:rPr>
          <w:rFonts w:ascii="宋体" w:hAnsi="宋体" w:cs="宋体" w:eastAsia="宋体" w:hint="default"/>
          <w:b/>
          <w:bCs/>
          <w:sz w:val="30"/>
          <w:szCs w:val="30"/>
        </w:rPr>
      </w:pPr>
    </w:p>
    <w:p>
      <w:pPr>
        <w:pStyle w:val="Heading4"/>
        <w:spacing w:line="240" w:lineRule="auto" w:before="0"/>
        <w:ind w:left="592" w:right="981"/>
        <w:jc w:val="left"/>
      </w:pPr>
      <w:r>
        <w:rPr/>
        <w:t>保障股东特别是中小股东的利益，维护债权人的合法权益，是公司最基本的社会责任。公司根据</w:t>
      </w:r>
    </w:p>
    <w:p>
      <w:pPr>
        <w:pStyle w:val="Heading4"/>
        <w:spacing w:line="391" w:lineRule="auto" w:before="180"/>
        <w:ind w:right="981"/>
        <w:jc w:val="left"/>
      </w:pPr>
      <w:r>
        <w:rPr>
          <w:spacing w:val="-5"/>
        </w:rPr>
        <w:t>《公司法》、《证券法》等法律法规，不断完善公司治理，建立了以《公司章程》为基础的内控体系，</w:t>
      </w:r>
      <w:r>
        <w:rPr>
          <w:spacing w:val="-48"/>
        </w:rPr>
        <w:t> </w:t>
      </w:r>
      <w:r>
        <w:rPr>
          <w:spacing w:val="-48"/>
        </w:rPr>
      </w:r>
      <w:r>
        <w:rPr>
          <w:spacing w:val="-5"/>
        </w:rPr>
        <w:t>形成了以股东大会、董事会、监事会及管理层为主体结构的决策与经营体系，切实保障全体股东权益。</w:t>
      </w:r>
    </w:p>
    <w:p>
      <w:pPr>
        <w:pStyle w:val="Heading4"/>
        <w:spacing w:line="391" w:lineRule="auto"/>
        <w:ind w:right="981" w:firstLine="550"/>
        <w:jc w:val="left"/>
      </w:pPr>
      <w:r>
        <w:rPr/>
        <w:t>公司认为企业竞争最终是文化的竞争，是人才的竞争。公司进一步深化和丰富“诚信为本，创</w:t>
      </w:r>
      <w:r>
        <w:rPr>
          <w:w w:val="100"/>
        </w:rPr>
        <w:t> </w:t>
      </w:r>
      <w:r>
        <w:rPr>
          <w:spacing w:val="-2"/>
        </w:rPr>
        <w:t>新为魂”的经营理念和“以人为本”的企业文化内涵，将思维理念、工作理念和经营理念细化到各项</w:t>
      </w:r>
      <w:r>
        <w:rPr>
          <w:spacing w:val="-72"/>
        </w:rPr>
        <w:t> </w:t>
      </w:r>
      <w:r>
        <w:rPr>
          <w:spacing w:val="-72"/>
        </w:rPr>
      </w:r>
      <w:r>
        <w:rPr>
          <w:spacing w:val="-3"/>
        </w:rPr>
        <w:t>工作中去。公司注重在竞争中选拔人才、使用人才，关心、爱护、信任人才，为员工提供良好的培训</w:t>
      </w:r>
      <w:r>
        <w:rPr>
          <w:spacing w:val="-32"/>
        </w:rPr>
        <w:t> </w:t>
      </w:r>
      <w:r>
        <w:rPr>
          <w:spacing w:val="-32"/>
        </w:rPr>
      </w:r>
      <w:r>
        <w:rPr>
          <w:spacing w:val="-2"/>
        </w:rPr>
        <w:t>和晋升渠道。公司还为员工提供安全、舒适的工作环境，办理各类社会保险，足额缴纳保费，保证员</w:t>
      </w:r>
      <w:r>
        <w:rPr>
          <w:spacing w:val="-72"/>
        </w:rPr>
        <w:t> </w:t>
      </w:r>
      <w:r>
        <w:rPr>
          <w:spacing w:val="-72"/>
        </w:rPr>
      </w:r>
      <w:r>
        <w:rPr>
          <w:spacing w:val="-5"/>
        </w:rPr>
        <w:t>工依法享受社会保险待遇，公司关注员工身心健康，安排一年一次的体检。支持工会等组织建设工作，</w:t>
      </w:r>
      <w:r>
        <w:rPr>
          <w:spacing w:val="-49"/>
        </w:rPr>
        <w:t> </w:t>
      </w:r>
      <w:r>
        <w:rPr>
          <w:spacing w:val="-49"/>
        </w:rPr>
      </w:r>
      <w:r>
        <w:rPr>
          <w:spacing w:val="-2"/>
        </w:rPr>
        <w:t>维护职工合法权益，积极开展各类职工教育活动，创造平等的发展机会。关心社会弱势群体，为他们</w:t>
      </w:r>
      <w:r>
        <w:rPr>
          <w:spacing w:val="-70"/>
        </w:rPr>
        <w:t> </w:t>
      </w:r>
      <w:r>
        <w:rPr>
          <w:spacing w:val="-70"/>
        </w:rPr>
      </w:r>
      <w:r>
        <w:rPr/>
        <w:t>送温暖、献爱心。内外兼修，实现企业与社会共发展、人类与环境和谐发展。</w:t>
      </w:r>
    </w:p>
    <w:p>
      <w:pPr>
        <w:pStyle w:val="Heading4"/>
        <w:spacing w:line="391" w:lineRule="auto"/>
        <w:ind w:right="1128" w:firstLine="439"/>
        <w:jc w:val="both"/>
      </w:pPr>
      <w:r>
        <w:rPr>
          <w:spacing w:val="-2"/>
        </w:rPr>
        <w:t>公司致力与客户建立良好的关系，为客户提供优质的产品，完善的售后服务。公司通过技术创新</w:t>
      </w:r>
      <w:r>
        <w:rPr>
          <w:w w:val="100"/>
        </w:rPr>
        <w:t> </w:t>
      </w:r>
      <w:r>
        <w:rPr>
          <w:spacing w:val="-2"/>
        </w:rPr>
        <w:t>和精细化管理，在追求经济效益的同时注重环境保护和节能降耗，把建设资源节约型和环境友好型企</w:t>
      </w:r>
      <w:r>
        <w:rPr>
          <w:spacing w:val="-70"/>
        </w:rPr>
        <w:t> </w:t>
      </w:r>
      <w:r>
        <w:rPr>
          <w:spacing w:val="-70"/>
        </w:rPr>
      </w:r>
      <w:r>
        <w:rPr/>
        <w:t>业作为可持续发展战略的重要内容，以履行国有控股上市公司应有的社会责任。</w:t>
      </w:r>
    </w:p>
    <w:p>
      <w:pPr>
        <w:spacing w:line="240" w:lineRule="auto" w:before="1"/>
        <w:rPr>
          <w:rFonts w:ascii="宋体" w:hAnsi="宋体" w:cs="宋体" w:eastAsia="宋体" w:hint="default"/>
          <w:sz w:val="19"/>
          <w:szCs w:val="19"/>
        </w:rPr>
      </w:pPr>
    </w:p>
    <w:p>
      <w:pPr>
        <w:pStyle w:val="Heading3"/>
        <w:spacing w:line="240" w:lineRule="auto"/>
        <w:ind w:right="981"/>
        <w:jc w:val="left"/>
        <w:rPr>
          <w:b w:val="0"/>
          <w:bCs w:val="0"/>
        </w:rPr>
      </w:pPr>
      <w:r>
        <w:rPr/>
        <w:t>十三、报告期内接待调研、沟通、采访等活动登记表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59"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民生证券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年经营情况和</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年市场目标等</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东海证券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公司竞争对手情况和再融 资计划等</w:t>
            </w:r>
          </w:p>
        </w:tc>
      </w:tr>
    </w:tbl>
    <w:p>
      <w:pPr>
        <w:spacing w:after="0" w:line="314" w:lineRule="auto"/>
        <w:jc w:val="left"/>
        <w:rPr>
          <w:rFonts w:ascii="宋体" w:hAnsi="宋体" w:cs="宋体" w:eastAsia="宋体" w:hint="default"/>
          <w:sz w:val="18"/>
          <w:szCs w:val="18"/>
        </w:rPr>
        <w:sectPr>
          <w:pgSz w:w="11910" w:h="16840"/>
          <w:pgMar w:header="877" w:footer="1285" w:top="1100" w:bottom="148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方正证券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公司主营业务情况和前景</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上海颐阳资产管理</w:t>
            </w:r>
          </w:p>
          <w:p>
            <w:pPr>
              <w:pStyle w:val="TableParagraph"/>
              <w:spacing w:line="240" w:lineRule="auto" w:before="74"/>
              <w:ind w:left="74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公司经营情况和发展战略</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广发证券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公司主营业务经营情况</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申银万国</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公司的主要业务和核心竞 争力</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华宝证券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公司的募投项目情况和主 营业务情况</w:t>
            </w:r>
          </w:p>
        </w:tc>
      </w:tr>
    </w:tbl>
    <w:p>
      <w:pPr>
        <w:spacing w:after="0" w:line="316" w:lineRule="auto"/>
        <w:jc w:val="left"/>
        <w:rPr>
          <w:rFonts w:ascii="宋体" w:hAnsi="宋体" w:cs="宋体" w:eastAsia="宋体" w:hint="default"/>
          <w:sz w:val="18"/>
          <w:szCs w:val="18"/>
        </w:rPr>
        <w:sectPr>
          <w:pgSz w:w="11910" w:h="16840"/>
          <w:pgMar w:header="877" w:footer="1285" w:top="1100" w:bottom="14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pStyle w:val="Heading1"/>
        <w:spacing w:line="240" w:lineRule="auto"/>
        <w:ind w:right="976"/>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981"/>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34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 媒体质疑情况</w:t>
      </w:r>
    </w:p>
    <w:p>
      <w:pPr>
        <w:pStyle w:val="BodyText"/>
        <w:spacing w:line="340" w:lineRule="auto" w:before="36"/>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本年度公司无媒体质疑事项。</w:t>
      </w:r>
    </w:p>
    <w:p>
      <w:pPr>
        <w:spacing w:line="240" w:lineRule="auto" w:before="4"/>
        <w:rPr>
          <w:rFonts w:ascii="宋体" w:hAnsi="宋体" w:cs="宋体" w:eastAsia="宋体" w:hint="default"/>
          <w:sz w:val="19"/>
          <w:szCs w:val="19"/>
        </w:rPr>
      </w:pPr>
    </w:p>
    <w:p>
      <w:pPr>
        <w:pStyle w:val="Heading3"/>
        <w:spacing w:line="240" w:lineRule="auto"/>
        <w:ind w:right="981"/>
        <w:jc w:val="left"/>
        <w:rPr>
          <w:b w:val="0"/>
          <w:bCs w:val="0"/>
        </w:rPr>
      </w:pPr>
      <w:r>
        <w:rPr/>
        <w:t>二、上市公司发生控股股东及其关联方非经营性占用资金情况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1"/>
        <w:jc w:val="left"/>
        <w:rPr>
          <w:b w:val="0"/>
          <w:bCs w:val="0"/>
        </w:rPr>
      </w:pPr>
      <w:r>
        <w:rPr/>
        <w:t>三、破产重整相关事项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1"/>
        <w:jc w:val="left"/>
        <w:rPr>
          <w:b w:val="0"/>
          <w:bCs w:val="0"/>
        </w:rPr>
      </w:pPr>
      <w:r>
        <w:rPr/>
        <w:t>四、资产交易事项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981"/>
        <w:jc w:val="left"/>
        <w:rPr>
          <w:b w:val="0"/>
          <w:bCs w:val="0"/>
        </w:rPr>
      </w:pPr>
      <w:r>
        <w:rPr/>
        <w:pict>
          <v:shape style="position:absolute;margin-left:234.287003pt;margin-top:80.683678pt;width:87.65pt;height:20pt;mso-position-horizontal-relative:page;mso-position-vertical-relative:paragraph;z-index:-560560" type="#_x0000_t202" filled="false" stroked="false">
            <v:textbox inset="0,0,0,0">
              <w:txbxContent>
                <w:p>
                  <w:pPr>
                    <w:spacing w:line="240" w:lineRule="auto" w:before="7"/>
                    <w:rPr>
                      <w:rFonts w:ascii="宋体" w:hAnsi="宋体" w:cs="宋体" w:eastAsia="宋体" w:hint="default"/>
                      <w:sz w:val="12"/>
                      <w:szCs w:val="12"/>
                    </w:rPr>
                  </w:pPr>
                </w:p>
                <w:p>
                  <w:pPr>
                    <w:pStyle w:val="BodyText"/>
                    <w:spacing w:line="240" w:lineRule="auto"/>
                    <w:ind w:left="0" w:right="0"/>
                    <w:jc w:val="left"/>
                  </w:pPr>
                  <w:r>
                    <w:rPr/>
                    <w:t>（万元）</w:t>
                  </w:r>
                </w:p>
              </w:txbxContent>
            </v:textbox>
            <w10:wrap type="none"/>
          </v:shape>
        </w:pict>
      </w:r>
      <w:r>
        <w:rPr>
          <w:rFonts w:ascii="Times New Roman" w:hAnsi="Times New Roman" w:cs="Times New Roman" w:eastAsia="Times New Roman" w:hint="default"/>
        </w:rPr>
        <w:t>1</w:t>
      </w:r>
      <w:r>
        <w:rPr/>
        <w:t>、收购资产情况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8"/>
          <w:szCs w:val="28"/>
        </w:rPr>
      </w:pPr>
    </w:p>
    <w:p>
      <w:pPr>
        <w:pStyle w:val="BodyText"/>
        <w:spacing w:line="240" w:lineRule="auto" w:before="44"/>
        <w:ind w:left="0" w:right="1136"/>
        <w:jc w:val="right"/>
      </w:pPr>
      <w:r>
        <w:rPr/>
        <w:pict>
          <v:shape style="position:absolute;margin-left:56.400002pt;margin-top:-145.568283pt;width:479.3pt;height:303.9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49"/>
                    <w:gridCol w:w="751"/>
                    <w:gridCol w:w="749"/>
                    <w:gridCol w:w="747"/>
                    <w:gridCol w:w="1217"/>
                    <w:gridCol w:w="1121"/>
                    <w:gridCol w:w="746"/>
                    <w:gridCol w:w="624"/>
                    <w:gridCol w:w="874"/>
                    <w:gridCol w:w="997"/>
                    <w:gridCol w:w="996"/>
                  </w:tblGrid>
                  <w:tr>
                    <w:trPr>
                      <w:trHeight w:val="2585" w:hRule="exact"/>
                    </w:trPr>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0" w:right="96"/>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00" w:right="98"/>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00" w:right="9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78" w:right="98" w:hanging="180"/>
                          <w:jc w:val="left"/>
                          <w:rPr>
                            <w:rFonts w:ascii="宋体" w:hAnsi="宋体" w:cs="宋体" w:eastAsia="宋体" w:hint="default"/>
                            <w:sz w:val="18"/>
                            <w:szCs w:val="18"/>
                          </w:rPr>
                        </w:pPr>
                        <w:r>
                          <w:rPr>
                            <w:rFonts w:ascii="宋体" w:hAnsi="宋体" w:cs="宋体" w:eastAsia="宋体" w:hint="default"/>
                            <w:sz w:val="18"/>
                            <w:szCs w:val="18"/>
                          </w:rPr>
                          <w:t>进展情 况</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62" w:firstLine="38"/>
                          <w:jc w:val="both"/>
                          <w:rPr>
                            <w:rFonts w:ascii="宋体" w:hAnsi="宋体" w:cs="宋体" w:eastAsia="宋体" w:hint="default"/>
                            <w:sz w:val="18"/>
                            <w:szCs w:val="18"/>
                          </w:rPr>
                        </w:pPr>
                        <w:r>
                          <w:rPr>
                            <w:rFonts w:ascii="宋体" w:hAnsi="宋体" w:cs="宋体" w:eastAsia="宋体" w:hint="default"/>
                            <w:sz w:val="18"/>
                            <w:szCs w:val="18"/>
                          </w:rPr>
                          <w:t>自购买日起至 报告期末为上 市公司贡献的 净利润</w:t>
                        </w:r>
                      </w:p>
                      <w:p>
                        <w:pPr>
                          <w:pStyle w:val="TableParagraph"/>
                          <w:spacing w:line="316" w:lineRule="auto" w:before="19"/>
                          <w:ind w:left="62" w:right="62"/>
                          <w:jc w:val="center"/>
                          <w:rPr>
                            <w:rFonts w:ascii="宋体" w:hAnsi="宋体" w:cs="宋体" w:eastAsia="宋体" w:hint="default"/>
                            <w:sz w:val="18"/>
                            <w:szCs w:val="18"/>
                          </w:rPr>
                        </w:pPr>
                        <w:r>
                          <w:rPr>
                            <w:rFonts w:ascii="宋体" w:hAnsi="宋体" w:cs="宋体" w:eastAsia="宋体" w:hint="default"/>
                            <w:sz w:val="18"/>
                            <w:szCs w:val="18"/>
                          </w:rPr>
                          <w:t>（适用于非同 一控制下的企 业合并）</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05"/>
                          <w:jc w:val="both"/>
                          <w:rPr>
                            <w:rFonts w:ascii="宋体" w:hAnsi="宋体" w:cs="宋体" w:eastAsia="宋体" w:hint="default"/>
                            <w:sz w:val="18"/>
                            <w:szCs w:val="18"/>
                          </w:rPr>
                        </w:pPr>
                        <w:r>
                          <w:rPr>
                            <w:rFonts w:ascii="宋体" w:hAnsi="宋体" w:cs="宋体" w:eastAsia="宋体" w:hint="default"/>
                            <w:sz w:val="18"/>
                            <w:szCs w:val="18"/>
                          </w:rPr>
                          <w:t>自本期初至 报告期末为 上市公司贡 献的净利润</w:t>
                        </w:r>
                      </w:p>
                      <w:p>
                        <w:pPr>
                          <w:pStyle w:val="TableParagraph"/>
                          <w:spacing w:line="316" w:lineRule="auto" w:before="19"/>
                          <w:ind w:left="59" w:right="60"/>
                          <w:jc w:val="center"/>
                          <w:rPr>
                            <w:rFonts w:ascii="宋体" w:hAnsi="宋体" w:cs="宋体" w:eastAsia="宋体" w:hint="default"/>
                            <w:sz w:val="18"/>
                            <w:szCs w:val="18"/>
                          </w:rPr>
                        </w:pPr>
                        <w:r>
                          <w:rPr>
                            <w:rFonts w:ascii="宋体" w:hAnsi="宋体" w:cs="宋体" w:eastAsia="宋体" w:hint="default"/>
                            <w:spacing w:val="-16"/>
                            <w:sz w:val="18"/>
                            <w:szCs w:val="18"/>
                          </w:rPr>
                          <w:t>（万元）（适</w:t>
                        </w:r>
                        <w:r>
                          <w:rPr>
                            <w:rFonts w:ascii="宋体" w:hAnsi="宋体" w:cs="宋体" w:eastAsia="宋体" w:hint="default"/>
                            <w:sz w:val="18"/>
                            <w:szCs w:val="18"/>
                          </w:rPr>
                          <w:t> 用于同一控 制下的企业 合并）</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 为上市 公司贡 献的净 利润占 利润总 额的比 率</w:t>
                        </w:r>
                        <w:r>
                          <w:rPr>
                            <w:rFonts w:ascii="Times New Roman" w:hAnsi="Times New Roman" w:cs="Times New Roman" w:eastAsia="Times New Roman"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38" w:right="3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7"/>
                            <w:sz w:val="18"/>
                            <w:szCs w:val="18"/>
                          </w:rPr>
                          <w:t>关系（适用</w:t>
                        </w:r>
                        <w:r>
                          <w:rPr>
                            <w:rFonts w:ascii="宋体" w:hAnsi="宋体" w:cs="宋体" w:eastAsia="宋体" w:hint="default"/>
                            <w:sz w:val="18"/>
                            <w:szCs w:val="18"/>
                          </w:rPr>
                          <w:t> 关联交易 情形</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483"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4" w:right="173"/>
                          <w:jc w:val="both"/>
                          <w:rPr>
                            <w:rFonts w:ascii="宋体" w:hAnsi="宋体" w:cs="宋体" w:eastAsia="宋体" w:hint="default"/>
                            <w:sz w:val="18"/>
                            <w:szCs w:val="18"/>
                          </w:rPr>
                        </w:pPr>
                        <w:r>
                          <w:rPr>
                            <w:rFonts w:ascii="宋体" w:hAnsi="宋体" w:cs="宋体" w:eastAsia="宋体" w:hint="default"/>
                            <w:sz w:val="18"/>
                            <w:szCs w:val="18"/>
                          </w:rPr>
                          <w:t>贵州衡 达高速 公路咨 询服务 有限公 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3" w:right="156"/>
                          <w:jc w:val="both"/>
                          <w:rPr>
                            <w:rFonts w:ascii="Times New Roman" w:hAnsi="Times New Roman" w:cs="Times New Roman" w:eastAsia="Times New Roman" w:hint="default"/>
                            <w:sz w:val="18"/>
                            <w:szCs w:val="18"/>
                          </w:rPr>
                        </w:pPr>
                        <w:r>
                          <w:rPr>
                            <w:rFonts w:ascii="宋体" w:hAnsi="宋体" w:cs="宋体" w:eastAsia="宋体" w:hint="default"/>
                            <w:sz w:val="18"/>
                            <w:szCs w:val="18"/>
                          </w:rPr>
                          <w:t>贵州新 思维科 技有限 责任公 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100.45</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316" w:lineRule="auto" w:before="63"/>
                          <w:ind w:left="23" w:right="-7"/>
                          <w:jc w:val="left"/>
                          <w:rPr>
                            <w:rFonts w:ascii="Times New Roman" w:hAnsi="Times New Roman" w:cs="Times New Roman" w:eastAsia="Times New Roman" w:hint="default"/>
                            <w:sz w:val="18"/>
                            <w:szCs w:val="18"/>
                          </w:rPr>
                        </w:pPr>
                        <w:r>
                          <w:rPr>
                            <w:rFonts w:ascii="宋体" w:hAnsi="宋体" w:cs="宋体" w:eastAsia="宋体" w:hint="default"/>
                            <w:sz w:val="18"/>
                            <w:szCs w:val="18"/>
                          </w:rPr>
                          <w:t>日经第 四届董 事会第 二十次 会议审 议通过， 并于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1</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月完成</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否</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315"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号公告</w:t>
                        </w:r>
                      </w:p>
                      <w:p>
                        <w:pPr>
                          <w:pStyle w:val="TableParagraph"/>
                          <w:spacing w:line="316" w:lineRule="auto" w:before="63"/>
                          <w:ind w:left="23" w:right="-27"/>
                          <w:jc w:val="left"/>
                          <w:rPr>
                            <w:rFonts w:ascii="宋体" w:hAnsi="宋体" w:cs="宋体" w:eastAsia="宋体" w:hint="default"/>
                            <w:sz w:val="18"/>
                            <w:szCs w:val="18"/>
                          </w:rPr>
                        </w:pPr>
                        <w:r>
                          <w:rPr>
                            <w:rFonts w:ascii="宋体" w:hAnsi="宋体" w:cs="宋体" w:eastAsia="宋体" w:hint="default"/>
                            <w:sz w:val="18"/>
                            <w:szCs w:val="18"/>
                          </w:rPr>
                          <w:t>《公司关于 使用部分超 募资金收购 参股公司股 </w:t>
                        </w:r>
                        <w:r>
                          <w:rPr>
                            <w:rFonts w:ascii="宋体" w:hAnsi="宋体" w:cs="宋体" w:eastAsia="宋体" w:hint="default"/>
                            <w:spacing w:val="-16"/>
                            <w:sz w:val="18"/>
                            <w:szCs w:val="18"/>
                          </w:rPr>
                          <w:t>权的公告》，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详见： </w:t>
                        </w:r>
                        <w:r>
                          <w:rPr>
                            <w:rFonts w:ascii="Times New Roman" w:hAnsi="Times New Roman" w:cs="Times New Roman" w:eastAsia="Times New Roman" w:hint="default"/>
                            <w:sz w:val="18"/>
                            <w:szCs w:val="18"/>
                          </w:rPr>
                          <w:t>2012“</w:t>
                        </w:r>
                        <w:r>
                          <w:rPr>
                            <w:rFonts w:ascii="宋体" w:hAnsi="宋体" w:cs="宋体" w:eastAsia="宋体" w:hint="default"/>
                            <w:sz w:val="18"/>
                            <w:szCs w:val="18"/>
                          </w:rPr>
                          <w:t>巨潮</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资讯网</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《证券时</w:t>
                        </w:r>
                      </w:p>
                    </w:tc>
                  </w:tr>
                </w:tbl>
                <w:p>
                  <w:pPr/>
                </w:p>
              </w:txbxContent>
            </v:textbox>
            <w10:wrap type="none"/>
          </v:shape>
        </w:pict>
      </w:r>
      <w:r>
        <w:rPr/>
        <w:t>：</w:t>
      </w:r>
    </w:p>
    <w:p>
      <w:pPr>
        <w:spacing w:after="0" w:line="240" w:lineRule="auto"/>
        <w:jc w:val="right"/>
        <w:sectPr>
          <w:footerReference w:type="default" r:id="rId19"/>
          <w:pgSz w:w="11910" w:h="16840"/>
          <w:pgMar w:footer="1340" w:header="877" w:top="1100" w:bottom="1540" w:left="980" w:right="0"/>
          <w:pgNumType w:start="3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49"/>
        <w:gridCol w:w="751"/>
        <w:gridCol w:w="749"/>
        <w:gridCol w:w="747"/>
        <w:gridCol w:w="1217"/>
        <w:gridCol w:w="1121"/>
        <w:gridCol w:w="746"/>
        <w:gridCol w:w="624"/>
        <w:gridCol w:w="874"/>
        <w:gridCol w:w="997"/>
        <w:gridCol w:w="996"/>
      </w:tblGrid>
      <w:tr>
        <w:trPr>
          <w:trHeight w:val="363" w:hRule="exact"/>
        </w:trPr>
        <w:tc>
          <w:tcPr>
            <w:tcW w:w="74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交易。</w:t>
            </w:r>
          </w:p>
        </w:tc>
        <w:tc>
          <w:tcPr>
            <w:tcW w:w="121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pStyle w:val="BodyText"/>
        <w:spacing w:line="240" w:lineRule="auto" w:before="49"/>
        <w:ind w:right="981"/>
        <w:jc w:val="left"/>
      </w:pPr>
      <w:r>
        <w:rPr/>
        <w:t>收购资产情况概述</w:t>
      </w:r>
    </w:p>
    <w:p>
      <w:pPr>
        <w:pStyle w:val="Heading4"/>
        <w:spacing w:line="391" w:lineRule="auto" w:before="161"/>
        <w:ind w:right="981" w:firstLine="439"/>
        <w:jc w:val="left"/>
      </w:pP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25</w:t>
      </w:r>
      <w:r>
        <w:rPr/>
        <w:t>日召开的公司第四届董事会第二十次会议，审议通过了《关于使用部分超募资金收</w:t>
      </w:r>
      <w:r>
        <w:rPr>
          <w:w w:val="100"/>
        </w:rPr>
        <w:t> </w:t>
      </w:r>
      <w:r>
        <w:rPr/>
        <w:t>购参股公司股权的议案》，同意公司使用超募资金</w:t>
      </w:r>
      <w:r>
        <w:rPr>
          <w:rFonts w:ascii="宋体" w:hAnsi="宋体" w:cs="宋体" w:eastAsia="宋体" w:hint="default"/>
        </w:rPr>
        <w:t>100.452</w:t>
      </w:r>
      <w:r>
        <w:rPr/>
        <w:t>万元人民币收购贵州衡达高速公路咨询服</w:t>
      </w:r>
      <w:r>
        <w:rPr>
          <w:w w:val="100"/>
        </w:rPr>
        <w:t> </w:t>
      </w:r>
      <w:r>
        <w:rPr>
          <w:spacing w:val="-5"/>
        </w:rPr>
        <w:t>务有限公司持有的贵州新思维科技有限责任公司</w:t>
      </w:r>
      <w:r>
        <w:rPr>
          <w:rFonts w:ascii="宋体" w:hAnsi="宋体" w:cs="宋体" w:eastAsia="宋体" w:hint="default"/>
          <w:spacing w:val="-5"/>
        </w:rPr>
        <w:t>20%</w:t>
      </w:r>
      <w:r>
        <w:rPr>
          <w:spacing w:val="-5"/>
        </w:rPr>
        <w:t>股权，收购完成后，公司持有贵州新思维</w:t>
      </w:r>
      <w:r>
        <w:rPr>
          <w:rFonts w:ascii="宋体" w:hAnsi="宋体" w:cs="宋体" w:eastAsia="宋体" w:hint="default"/>
          <w:spacing w:val="-5"/>
        </w:rPr>
        <w:t>60%</w:t>
      </w:r>
      <w:r>
        <w:rPr>
          <w:spacing w:val="-5"/>
        </w:rPr>
        <w:t>股权。</w:t>
      </w:r>
    </w:p>
    <w:p>
      <w:pPr>
        <w:pStyle w:val="Heading4"/>
        <w:spacing w:line="391" w:lineRule="auto"/>
        <w:ind w:right="981" w:firstLine="439"/>
        <w:jc w:val="left"/>
      </w:pPr>
      <w:r>
        <w:rPr>
          <w:spacing w:val="-5"/>
        </w:rPr>
        <w:t>目前，本次收购已完成，本次股权收购事项没有对公司业务的连续性、管理层的稳定性产生影响。</w:t>
      </w:r>
      <w:r>
        <w:rPr>
          <w:w w:val="100"/>
        </w:rPr>
        <w:t> </w:t>
      </w:r>
      <w:r>
        <w:rPr>
          <w:spacing w:val="-2"/>
        </w:rPr>
        <w:t>公司通过购买贵州新思维产权，从而达到对其的控股，有利于中海科技达成在贵州市场的长远战略布</w:t>
      </w:r>
      <w:r>
        <w:rPr>
          <w:spacing w:val="-69"/>
        </w:rPr>
        <w:t> </w:t>
      </w:r>
      <w:r>
        <w:rPr>
          <w:spacing w:val="-69"/>
        </w:rPr>
      </w:r>
      <w:r>
        <w:rPr/>
        <w:t>局，提升中海科技在贵州区域的市场地位。</w:t>
      </w:r>
    </w:p>
    <w:p>
      <w:pPr>
        <w:pStyle w:val="Heading4"/>
        <w:spacing w:line="240" w:lineRule="auto"/>
        <w:ind w:left="592" w:right="981"/>
        <w:jc w:val="left"/>
      </w:pPr>
      <w:r>
        <w:rPr/>
        <w:t>贵州新思维的股权过户事项在</w:t>
      </w:r>
      <w:r>
        <w:rPr>
          <w:rFonts w:ascii="宋体" w:hAnsi="宋体" w:cs="宋体" w:eastAsia="宋体" w:hint="default"/>
        </w:rPr>
        <w:t>2013</w:t>
      </w:r>
      <w:r>
        <w:rPr/>
        <w:t>年</w:t>
      </w:r>
      <w:r>
        <w:rPr>
          <w:rFonts w:ascii="宋体" w:hAnsi="宋体" w:cs="宋体" w:eastAsia="宋体" w:hint="default"/>
        </w:rPr>
        <w:t>1</w:t>
      </w:r>
      <w:r>
        <w:rPr/>
        <w:t>月完成，因此对公司</w:t>
      </w:r>
      <w:r>
        <w:rPr>
          <w:rFonts w:ascii="宋体" w:hAnsi="宋体" w:cs="宋体" w:eastAsia="宋体" w:hint="default"/>
        </w:rPr>
        <w:t>2012</w:t>
      </w:r>
      <w:r>
        <w:rPr/>
        <w:t>年度的净利润不产生影响。</w:t>
      </w:r>
    </w:p>
    <w:p>
      <w:pPr>
        <w:spacing w:line="240" w:lineRule="auto" w:before="8"/>
        <w:rPr>
          <w:rFonts w:ascii="宋体" w:hAnsi="宋体" w:cs="宋体" w:eastAsia="宋体" w:hint="default"/>
          <w:sz w:val="31"/>
          <w:szCs w:val="31"/>
        </w:rPr>
      </w:pPr>
    </w:p>
    <w:p>
      <w:pPr>
        <w:pStyle w:val="Heading5"/>
        <w:spacing w:line="240" w:lineRule="auto"/>
        <w:ind w:right="981"/>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981"/>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1"/>
        <w:jc w:val="left"/>
        <w:rPr>
          <w:b w:val="0"/>
          <w:bCs w:val="0"/>
        </w:rPr>
      </w:pPr>
      <w:r>
        <w:rPr/>
        <w:t>五、公司股权激励的实施情况及其影响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1"/>
        <w:jc w:val="left"/>
        <w:rPr>
          <w:b w:val="0"/>
          <w:bCs w:val="0"/>
        </w:rPr>
      </w:pPr>
      <w:r>
        <w:rPr/>
        <w:t>六、重大关联交易</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981"/>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7"/>
        <w:gridCol w:w="799"/>
        <w:gridCol w:w="797"/>
        <w:gridCol w:w="303"/>
        <w:gridCol w:w="799"/>
        <w:gridCol w:w="900"/>
        <w:gridCol w:w="850"/>
        <w:gridCol w:w="643"/>
        <w:gridCol w:w="797"/>
        <w:gridCol w:w="828"/>
        <w:gridCol w:w="766"/>
        <w:gridCol w:w="864"/>
      </w:tblGrid>
      <w:tr>
        <w:trPr>
          <w:trHeight w:val="1961"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305" w:right="32"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5" w:right="56"/>
              <w:jc w:val="both"/>
              <w:rPr>
                <w:rFonts w:ascii="宋体" w:hAnsi="宋体" w:cs="宋体" w:eastAsia="宋体" w:hint="default"/>
                <w:sz w:val="18"/>
                <w:szCs w:val="18"/>
              </w:rPr>
            </w:pPr>
            <w:r>
              <w:rPr>
                <w:rFonts w:ascii="宋体" w:hAnsi="宋体" w:cs="宋体" w:eastAsia="宋体" w:hint="default"/>
                <w:sz w:val="18"/>
                <w:szCs w:val="18"/>
              </w:rPr>
              <w:t>关 联 交 易 内 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36"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86" w:right="83"/>
              <w:jc w:val="center"/>
              <w:rPr>
                <w:rFonts w:ascii="宋体" w:hAnsi="宋体" w:cs="宋体" w:eastAsia="宋体" w:hint="default"/>
                <w:sz w:val="18"/>
                <w:szCs w:val="18"/>
              </w:rPr>
            </w:pPr>
            <w:r>
              <w:rPr>
                <w:rFonts w:ascii="宋体" w:hAnsi="宋体" w:cs="宋体" w:eastAsia="宋体" w:hint="default"/>
                <w:sz w:val="18"/>
                <w:szCs w:val="18"/>
              </w:rPr>
              <w:t>关联交易 价格（万 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59" w:right="58"/>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47" w:right="43"/>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 交易金 额的比 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市场价格</w:t>
            </w:r>
          </w:p>
          <w:p>
            <w:pPr>
              <w:pStyle w:val="TableParagraph"/>
              <w:spacing w:line="240" w:lineRule="auto" w:before="115"/>
              <w:ind w:left="5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91" w:right="104" w:hanging="181"/>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6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4"/>
              <w:ind w:left="24" w:right="41"/>
              <w:jc w:val="both"/>
              <w:rPr>
                <w:rFonts w:ascii="宋体" w:hAnsi="宋体" w:cs="宋体" w:eastAsia="宋体" w:hint="default"/>
                <w:sz w:val="18"/>
                <w:szCs w:val="18"/>
              </w:rPr>
            </w:pPr>
            <w:r>
              <w:rPr>
                <w:rFonts w:ascii="宋体" w:hAnsi="宋体" w:cs="宋体" w:eastAsia="宋体" w:hint="default"/>
                <w:sz w:val="18"/>
                <w:szCs w:val="18"/>
              </w:rPr>
              <w:t>上海船舶 运输科学 研究所</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4"/>
              <w:ind w:left="24" w:right="41"/>
              <w:jc w:val="both"/>
              <w:rPr>
                <w:rFonts w:ascii="宋体" w:hAnsi="宋体" w:cs="宋体" w:eastAsia="宋体" w:hint="default"/>
                <w:sz w:val="18"/>
                <w:szCs w:val="18"/>
              </w:rPr>
            </w:pPr>
            <w:r>
              <w:rPr>
                <w:rFonts w:ascii="宋体" w:hAnsi="宋体" w:cs="宋体" w:eastAsia="宋体" w:hint="default"/>
                <w:sz w:val="18"/>
                <w:szCs w:val="18"/>
              </w:rPr>
              <w:t>关联方销 售商品、 提供劳务</w:t>
            </w:r>
          </w:p>
        </w:tc>
        <w:tc>
          <w:tcPr>
            <w:tcW w:w="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6" w:lineRule="auto"/>
              <w:ind w:left="23" w:right="87"/>
              <w:jc w:val="both"/>
              <w:rPr>
                <w:rFonts w:ascii="宋体" w:hAnsi="宋体" w:cs="宋体" w:eastAsia="宋体" w:hint="default"/>
                <w:sz w:val="18"/>
                <w:szCs w:val="18"/>
              </w:rPr>
            </w:pPr>
            <w:r>
              <w:rPr>
                <w:rFonts w:ascii="宋体" w:hAnsi="宋体" w:cs="宋体" w:eastAsia="宋体" w:hint="default"/>
                <w:sz w:val="18"/>
                <w:szCs w:val="18"/>
              </w:rPr>
              <w:t>技 术 服 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12.11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419" w:right="0"/>
              <w:jc w:val="left"/>
              <w:rPr>
                <w:rFonts w:ascii="Times New Roman" w:hAnsi="Times New Roman" w:cs="Times New Roman" w:eastAsia="Times New Roman" w:hint="default"/>
                <w:sz w:val="18"/>
                <w:szCs w:val="18"/>
              </w:rPr>
            </w:pPr>
            <w:r>
              <w:rPr>
                <w:rFonts w:ascii="Times New Roman"/>
                <w:sz w:val="18"/>
              </w:rPr>
              <w:t>12.11</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0.71%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12.11</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w:t>
            </w:r>
          </w:p>
          <w:p>
            <w:pPr>
              <w:pStyle w:val="TableParagraph"/>
              <w:spacing w:line="312" w:lineRule="auto" w:before="60"/>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 </w:t>
            </w:r>
            <w:r>
              <w:rPr>
                <w:rFonts w:ascii="宋体" w:hAnsi="宋体" w:cs="宋体" w:eastAsia="宋体" w:hint="default"/>
                <w:spacing w:val="-19"/>
                <w:sz w:val="18"/>
                <w:szCs w:val="18"/>
              </w:rPr>
              <w:t>告：《关于</w:t>
            </w:r>
            <w:r>
              <w:rPr>
                <w:rFonts w:ascii="宋体" w:hAnsi="宋体" w:cs="宋体" w:eastAsia="宋体" w:hint="default"/>
                <w:sz w:val="18"/>
                <w:szCs w:val="18"/>
              </w:rPr>
              <w:t> 重新预计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部分日常 关联交易 的公告》</w:t>
            </w:r>
          </w:p>
        </w:tc>
      </w:tr>
    </w:tbl>
    <w:p>
      <w:pPr>
        <w:spacing w:after="0" w:line="312" w:lineRule="auto"/>
        <w:jc w:val="left"/>
        <w:rPr>
          <w:rFonts w:ascii="宋体" w:hAnsi="宋体" w:cs="宋体" w:eastAsia="宋体" w:hint="default"/>
          <w:sz w:val="18"/>
          <w:szCs w:val="18"/>
        </w:rPr>
        <w:sectPr>
          <w:pgSz w:w="11910" w:h="16840"/>
          <w:pgMar w:header="877" w:footer="1340" w:top="1100" w:bottom="154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460.320007pt;margin-top:764.919983pt;width:135.0pt;height:77pt;mso-position-horizontal-relative:page;mso-position-vertical-relative:page;z-index:-560512" type="#_x0000_t75" stroked="false">
            <v:imagedata r:id="rId5" o:title=""/>
          </v:shape>
        </w:pict>
      </w:r>
    </w:p>
    <w:tbl>
      <w:tblPr>
        <w:tblW w:w="0" w:type="auto"/>
        <w:jc w:val="left"/>
        <w:tblInd w:w="148" w:type="dxa"/>
        <w:tblLayout w:type="fixed"/>
        <w:tblCellMar>
          <w:top w:w="0" w:type="dxa"/>
          <w:left w:w="0" w:type="dxa"/>
          <w:bottom w:w="0" w:type="dxa"/>
          <w:right w:w="0" w:type="dxa"/>
        </w:tblCellMar>
        <w:tblLook w:val="01E0"/>
      </w:tblPr>
      <w:tblGrid>
        <w:gridCol w:w="797"/>
        <w:gridCol w:w="799"/>
        <w:gridCol w:w="797"/>
        <w:gridCol w:w="303"/>
        <w:gridCol w:w="799"/>
        <w:gridCol w:w="900"/>
        <w:gridCol w:w="850"/>
        <w:gridCol w:w="643"/>
        <w:gridCol w:w="797"/>
        <w:gridCol w:w="828"/>
        <w:gridCol w:w="766"/>
        <w:gridCol w:w="864"/>
      </w:tblGrid>
      <w:tr>
        <w:trPr>
          <w:trHeight w:val="258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上海船舶 运输科学 研究所</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关联方销 售商品、 提供劳务</w:t>
            </w:r>
          </w:p>
        </w:tc>
        <w:tc>
          <w:tcPr>
            <w:tcW w:w="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87"/>
              <w:jc w:val="both"/>
              <w:rPr>
                <w:rFonts w:ascii="宋体" w:hAnsi="宋体" w:cs="宋体" w:eastAsia="宋体" w:hint="default"/>
                <w:sz w:val="18"/>
                <w:szCs w:val="18"/>
              </w:rPr>
            </w:pPr>
            <w:r>
              <w:rPr>
                <w:rFonts w:ascii="宋体" w:hAnsi="宋体" w:cs="宋体" w:eastAsia="宋体" w:hint="default"/>
                <w:sz w:val="18"/>
                <w:szCs w:val="18"/>
              </w:rPr>
              <w:t>产 品 销 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04" w:right="0"/>
              <w:jc w:val="left"/>
              <w:rPr>
                <w:rFonts w:ascii="Times New Roman" w:hAnsi="Times New Roman" w:cs="Times New Roman" w:eastAsia="Times New Roman" w:hint="default"/>
                <w:sz w:val="18"/>
                <w:szCs w:val="18"/>
              </w:rPr>
            </w:pPr>
            <w:r>
              <w:rPr>
                <w:rFonts w:ascii="Times New Roman"/>
                <w:sz w:val="18"/>
              </w:rPr>
              <w:t>375.24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375.24</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6"/>
              <w:jc w:val="right"/>
              <w:rPr>
                <w:rFonts w:ascii="Times New Roman" w:hAnsi="Times New Roman" w:cs="Times New Roman" w:eastAsia="Times New Roman" w:hint="default"/>
                <w:sz w:val="18"/>
                <w:szCs w:val="18"/>
              </w:rPr>
            </w:pPr>
            <w:r>
              <w:rPr>
                <w:rFonts w:ascii="Times New Roman"/>
                <w:sz w:val="18"/>
              </w:rPr>
              <w:t>13.16%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41"/>
              <w:jc w:val="right"/>
              <w:rPr>
                <w:rFonts w:ascii="宋体" w:hAnsi="宋体" w:cs="宋体" w:eastAsia="宋体" w:hint="default"/>
                <w:sz w:val="18"/>
                <w:szCs w:val="18"/>
              </w:rPr>
            </w:pPr>
            <w:r>
              <w:rPr>
                <w:rFonts w:ascii="宋体" w:hAnsi="宋体" w:cs="宋体" w:eastAsia="宋体" w:hint="default"/>
                <w:sz w:val="18"/>
                <w:szCs w:val="18"/>
              </w:rPr>
              <w:t>转账</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06" w:right="0"/>
              <w:jc w:val="left"/>
              <w:rPr>
                <w:rFonts w:ascii="Times New Roman" w:hAnsi="Times New Roman" w:cs="Times New Roman" w:eastAsia="Times New Roman" w:hint="default"/>
                <w:sz w:val="18"/>
                <w:szCs w:val="18"/>
              </w:rPr>
            </w:pPr>
            <w:r>
              <w:rPr>
                <w:rFonts w:ascii="Times New Roman"/>
                <w:sz w:val="18"/>
              </w:rPr>
              <w:t>375.24</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w:t>
            </w:r>
          </w:p>
          <w:p>
            <w:pPr>
              <w:pStyle w:val="TableParagraph"/>
              <w:spacing w:line="312" w:lineRule="auto" w:before="63"/>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 </w:t>
            </w:r>
            <w:r>
              <w:rPr>
                <w:rFonts w:ascii="宋体" w:hAnsi="宋体" w:cs="宋体" w:eastAsia="宋体" w:hint="default"/>
                <w:spacing w:val="-19"/>
                <w:sz w:val="18"/>
                <w:szCs w:val="18"/>
              </w:rPr>
              <w:t>告：《关于</w:t>
            </w:r>
            <w:r>
              <w:rPr>
                <w:rFonts w:ascii="宋体" w:hAnsi="宋体" w:cs="宋体" w:eastAsia="宋体" w:hint="default"/>
                <w:sz w:val="18"/>
                <w:szCs w:val="18"/>
              </w:rPr>
              <w:t> 重新预计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部分日常 关联交易 的公告》</w:t>
            </w:r>
          </w:p>
        </w:tc>
      </w:tr>
      <w:tr>
        <w:trPr>
          <w:trHeight w:val="258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贵州新思 维科技有 限责任公 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关联方销 售商品、 提供劳务</w:t>
            </w:r>
          </w:p>
        </w:tc>
        <w:tc>
          <w:tcPr>
            <w:tcW w:w="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87"/>
              <w:jc w:val="both"/>
              <w:rPr>
                <w:rFonts w:ascii="宋体" w:hAnsi="宋体" w:cs="宋体" w:eastAsia="宋体" w:hint="default"/>
                <w:sz w:val="18"/>
                <w:szCs w:val="18"/>
              </w:rPr>
            </w:pPr>
            <w:r>
              <w:rPr>
                <w:rFonts w:ascii="宋体" w:hAnsi="宋体" w:cs="宋体" w:eastAsia="宋体" w:hint="default"/>
                <w:sz w:val="18"/>
                <w:szCs w:val="18"/>
              </w:rPr>
              <w:t>技 术 服 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95" w:right="0"/>
              <w:jc w:val="left"/>
              <w:rPr>
                <w:rFonts w:ascii="Times New Roman" w:hAnsi="Times New Roman" w:cs="Times New Roman" w:eastAsia="Times New Roman" w:hint="default"/>
                <w:sz w:val="18"/>
                <w:szCs w:val="18"/>
              </w:rPr>
            </w:pPr>
            <w:r>
              <w:rPr>
                <w:rFonts w:ascii="Times New Roman"/>
                <w:sz w:val="18"/>
              </w:rPr>
              <w:t>55.62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55.62</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3.25%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41"/>
              <w:jc w:val="right"/>
              <w:rPr>
                <w:rFonts w:ascii="宋体" w:hAnsi="宋体" w:cs="宋体" w:eastAsia="宋体" w:hint="default"/>
                <w:sz w:val="18"/>
                <w:szCs w:val="18"/>
              </w:rPr>
            </w:pPr>
            <w:r>
              <w:rPr>
                <w:rFonts w:ascii="宋体" w:hAnsi="宋体" w:cs="宋体" w:eastAsia="宋体" w:hint="default"/>
                <w:sz w:val="18"/>
                <w:szCs w:val="18"/>
              </w:rPr>
              <w:t>转账</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97" w:right="0"/>
              <w:jc w:val="left"/>
              <w:rPr>
                <w:rFonts w:ascii="Times New Roman" w:hAnsi="Times New Roman" w:cs="Times New Roman" w:eastAsia="Times New Roman" w:hint="default"/>
                <w:sz w:val="18"/>
                <w:szCs w:val="18"/>
              </w:rPr>
            </w:pPr>
            <w:r>
              <w:rPr>
                <w:rFonts w:ascii="Times New Roman"/>
                <w:sz w:val="18"/>
              </w:rPr>
              <w:t>55.62</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w:t>
            </w:r>
          </w:p>
          <w:p>
            <w:pPr>
              <w:pStyle w:val="TableParagraph"/>
              <w:spacing w:line="312" w:lineRule="auto" w:before="60"/>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 </w:t>
            </w:r>
            <w:r>
              <w:rPr>
                <w:rFonts w:ascii="宋体" w:hAnsi="宋体" w:cs="宋体" w:eastAsia="宋体" w:hint="default"/>
                <w:spacing w:val="-19"/>
                <w:sz w:val="18"/>
                <w:szCs w:val="18"/>
              </w:rPr>
              <w:t>告：《关于</w:t>
            </w:r>
            <w:r>
              <w:rPr>
                <w:rFonts w:ascii="宋体" w:hAnsi="宋体" w:cs="宋体" w:eastAsia="宋体" w:hint="default"/>
                <w:sz w:val="18"/>
                <w:szCs w:val="18"/>
              </w:rPr>
              <w:t> 重新预计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部分日常 关联交易 的公告》</w:t>
            </w:r>
          </w:p>
        </w:tc>
      </w:tr>
      <w:tr>
        <w:trPr>
          <w:trHeight w:val="258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贵州新思 维科技有 限责任公 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关联方销 售商品、 提供劳务</w:t>
            </w:r>
          </w:p>
        </w:tc>
        <w:tc>
          <w:tcPr>
            <w:tcW w:w="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87"/>
              <w:jc w:val="both"/>
              <w:rPr>
                <w:rFonts w:ascii="宋体" w:hAnsi="宋体" w:cs="宋体" w:eastAsia="宋体" w:hint="default"/>
                <w:sz w:val="18"/>
                <w:szCs w:val="18"/>
              </w:rPr>
            </w:pPr>
            <w:r>
              <w:rPr>
                <w:rFonts w:ascii="宋体" w:hAnsi="宋体" w:cs="宋体" w:eastAsia="宋体" w:hint="default"/>
                <w:sz w:val="18"/>
                <w:szCs w:val="18"/>
              </w:rPr>
              <w:t>产 品 销 售</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95" w:right="0"/>
              <w:jc w:val="left"/>
              <w:rPr>
                <w:rFonts w:ascii="Times New Roman" w:hAnsi="Times New Roman" w:cs="Times New Roman" w:eastAsia="Times New Roman" w:hint="default"/>
                <w:sz w:val="18"/>
                <w:szCs w:val="18"/>
              </w:rPr>
            </w:pPr>
            <w:r>
              <w:rPr>
                <w:rFonts w:ascii="Times New Roman"/>
                <w:sz w:val="18"/>
              </w:rPr>
              <w:t>43.11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2"/>
                <w:sz w:val="18"/>
              </w:rPr>
              <w:t>43.11</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41"/>
              <w:jc w:val="right"/>
              <w:rPr>
                <w:rFonts w:ascii="宋体" w:hAnsi="宋体" w:cs="宋体" w:eastAsia="宋体" w:hint="default"/>
                <w:sz w:val="18"/>
                <w:szCs w:val="18"/>
              </w:rPr>
            </w:pPr>
            <w:r>
              <w:rPr>
                <w:rFonts w:ascii="宋体" w:hAnsi="宋体" w:cs="宋体" w:eastAsia="宋体" w:hint="default"/>
                <w:sz w:val="18"/>
                <w:szCs w:val="18"/>
              </w:rPr>
              <w:t>转账</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97" w:right="0"/>
              <w:jc w:val="left"/>
              <w:rPr>
                <w:rFonts w:ascii="Times New Roman" w:hAnsi="Times New Roman" w:cs="Times New Roman" w:eastAsia="Times New Roman" w:hint="default"/>
                <w:sz w:val="18"/>
                <w:szCs w:val="18"/>
              </w:rPr>
            </w:pPr>
            <w:r>
              <w:rPr>
                <w:rFonts w:ascii="Times New Roman"/>
                <w:sz w:val="18"/>
              </w:rPr>
              <w:t>43.11</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w:t>
            </w:r>
          </w:p>
          <w:p>
            <w:pPr>
              <w:pStyle w:val="TableParagraph"/>
              <w:spacing w:line="312" w:lineRule="auto" w:before="63"/>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 </w:t>
            </w:r>
            <w:r>
              <w:rPr>
                <w:rFonts w:ascii="宋体" w:hAnsi="宋体" w:cs="宋体" w:eastAsia="宋体" w:hint="default"/>
                <w:spacing w:val="-19"/>
                <w:sz w:val="18"/>
                <w:szCs w:val="18"/>
              </w:rPr>
              <w:t>告：《关于</w:t>
            </w:r>
            <w:r>
              <w:rPr>
                <w:rFonts w:ascii="宋体" w:hAnsi="宋体" w:cs="宋体" w:eastAsia="宋体" w:hint="default"/>
                <w:sz w:val="18"/>
                <w:szCs w:val="18"/>
              </w:rPr>
              <w:t> 重新预计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部分日常 关联交易 的公告》</w:t>
            </w:r>
          </w:p>
        </w:tc>
      </w:tr>
      <w:tr>
        <w:trPr>
          <w:trHeight w:val="258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贵州新思 维科技有 限责任公 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关联方采 购商品、 接受劳务</w:t>
            </w:r>
          </w:p>
        </w:tc>
        <w:tc>
          <w:tcPr>
            <w:tcW w:w="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87"/>
              <w:jc w:val="both"/>
              <w:rPr>
                <w:rFonts w:ascii="宋体" w:hAnsi="宋体" w:cs="宋体" w:eastAsia="宋体" w:hint="default"/>
                <w:sz w:val="18"/>
                <w:szCs w:val="18"/>
              </w:rPr>
            </w:pPr>
            <w:r>
              <w:rPr>
                <w:rFonts w:ascii="宋体" w:hAnsi="宋体" w:cs="宋体" w:eastAsia="宋体" w:hint="default"/>
                <w:sz w:val="18"/>
                <w:szCs w:val="18"/>
              </w:rPr>
              <w:t>技 术 服 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95" w:right="0"/>
              <w:jc w:val="left"/>
              <w:rPr>
                <w:rFonts w:ascii="Times New Roman" w:hAnsi="Times New Roman" w:cs="Times New Roman" w:eastAsia="Times New Roman" w:hint="default"/>
                <w:sz w:val="18"/>
                <w:szCs w:val="18"/>
              </w:rPr>
            </w:pPr>
            <w:r>
              <w:rPr>
                <w:rFonts w:ascii="Times New Roman"/>
                <w:sz w:val="18"/>
              </w:rPr>
              <w:t>25.06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z w:val="18"/>
              </w:rPr>
              <w:t>25.06</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6"/>
              <w:jc w:val="right"/>
              <w:rPr>
                <w:rFonts w:ascii="Times New Roman" w:hAnsi="Times New Roman" w:cs="Times New Roman" w:eastAsia="Times New Roman" w:hint="default"/>
                <w:sz w:val="18"/>
                <w:szCs w:val="18"/>
              </w:rPr>
            </w:pPr>
            <w:r>
              <w:rPr>
                <w:rFonts w:ascii="Times New Roman"/>
                <w:sz w:val="18"/>
              </w:rPr>
              <w:t>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41"/>
              <w:jc w:val="right"/>
              <w:rPr>
                <w:rFonts w:ascii="宋体" w:hAnsi="宋体" w:cs="宋体" w:eastAsia="宋体" w:hint="default"/>
                <w:sz w:val="18"/>
                <w:szCs w:val="18"/>
              </w:rPr>
            </w:pPr>
            <w:r>
              <w:rPr>
                <w:rFonts w:ascii="宋体" w:hAnsi="宋体" w:cs="宋体" w:eastAsia="宋体" w:hint="default"/>
                <w:sz w:val="18"/>
                <w:szCs w:val="18"/>
              </w:rPr>
              <w:t>转账</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97" w:right="0"/>
              <w:jc w:val="left"/>
              <w:rPr>
                <w:rFonts w:ascii="Times New Roman" w:hAnsi="Times New Roman" w:cs="Times New Roman" w:eastAsia="Times New Roman" w:hint="default"/>
                <w:sz w:val="18"/>
                <w:szCs w:val="18"/>
              </w:rPr>
            </w:pPr>
            <w:r>
              <w:rPr>
                <w:rFonts w:ascii="Times New Roman"/>
                <w:sz w:val="18"/>
              </w:rPr>
              <w:t>25.06</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w:t>
            </w:r>
          </w:p>
          <w:p>
            <w:pPr>
              <w:pStyle w:val="TableParagraph"/>
              <w:spacing w:line="312" w:lineRule="auto" w:before="60"/>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 </w:t>
            </w:r>
            <w:r>
              <w:rPr>
                <w:rFonts w:ascii="宋体" w:hAnsi="宋体" w:cs="宋体" w:eastAsia="宋体" w:hint="default"/>
                <w:spacing w:val="-19"/>
                <w:sz w:val="18"/>
                <w:szCs w:val="18"/>
              </w:rPr>
              <w:t>告：《关于</w:t>
            </w:r>
            <w:r>
              <w:rPr>
                <w:rFonts w:ascii="宋体" w:hAnsi="宋体" w:cs="宋体" w:eastAsia="宋体" w:hint="default"/>
                <w:sz w:val="18"/>
                <w:szCs w:val="18"/>
              </w:rPr>
              <w:t> 重新预计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部分日常 关联交易 的公告》</w:t>
            </w:r>
          </w:p>
        </w:tc>
      </w:tr>
      <w:tr>
        <w:trPr>
          <w:trHeight w:val="258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上海交通 设计所有 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43"/>
              <w:jc w:val="left"/>
              <w:rPr>
                <w:rFonts w:ascii="宋体" w:hAnsi="宋体" w:cs="宋体" w:eastAsia="宋体" w:hint="default"/>
                <w:sz w:val="18"/>
                <w:szCs w:val="18"/>
              </w:rPr>
            </w:pPr>
            <w:r>
              <w:rPr>
                <w:rFonts w:ascii="宋体" w:hAnsi="宋体" w:cs="宋体" w:eastAsia="宋体" w:hint="default"/>
                <w:sz w:val="18"/>
                <w:szCs w:val="18"/>
              </w:rPr>
              <w:t>同一母公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关联方销 售商品、 提供劳务</w:t>
            </w:r>
          </w:p>
        </w:tc>
        <w:tc>
          <w:tcPr>
            <w:tcW w:w="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3" w:right="87"/>
              <w:jc w:val="both"/>
              <w:rPr>
                <w:rFonts w:ascii="宋体" w:hAnsi="宋体" w:cs="宋体" w:eastAsia="宋体" w:hint="default"/>
                <w:sz w:val="18"/>
                <w:szCs w:val="18"/>
              </w:rPr>
            </w:pPr>
            <w:r>
              <w:rPr>
                <w:rFonts w:ascii="宋体" w:hAnsi="宋体" w:cs="宋体" w:eastAsia="宋体" w:hint="default"/>
                <w:sz w:val="18"/>
                <w:szCs w:val="18"/>
              </w:rPr>
              <w:t>技 术 服 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95" w:right="0"/>
              <w:jc w:val="left"/>
              <w:rPr>
                <w:rFonts w:ascii="Times New Roman" w:hAnsi="Times New Roman" w:cs="Times New Roman" w:eastAsia="Times New Roman" w:hint="default"/>
                <w:sz w:val="18"/>
                <w:szCs w:val="18"/>
              </w:rPr>
            </w:pPr>
            <w:r>
              <w:rPr>
                <w:rFonts w:ascii="Times New Roman"/>
                <w:sz w:val="18"/>
              </w:rPr>
              <w:t>157.70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8"/>
              <w:jc w:val="right"/>
              <w:rPr>
                <w:rFonts w:ascii="Times New Roman" w:hAnsi="Times New Roman" w:cs="Times New Roman" w:eastAsia="Times New Roman" w:hint="default"/>
                <w:sz w:val="18"/>
                <w:szCs w:val="18"/>
              </w:rPr>
            </w:pPr>
            <w:r>
              <w:rPr>
                <w:rFonts w:ascii="Times New Roman"/>
                <w:spacing w:val="-1"/>
                <w:sz w:val="18"/>
              </w:rPr>
              <w:t>157.70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8"/>
              <w:jc w:val="right"/>
              <w:rPr>
                <w:rFonts w:ascii="Times New Roman" w:hAnsi="Times New Roman" w:cs="Times New Roman" w:eastAsia="Times New Roman" w:hint="default"/>
                <w:sz w:val="18"/>
                <w:szCs w:val="18"/>
              </w:rPr>
            </w:pPr>
            <w:r>
              <w:rPr>
                <w:rFonts w:ascii="Times New Roman"/>
                <w:sz w:val="18"/>
              </w:rPr>
              <w:t>9.20%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41"/>
              <w:jc w:val="right"/>
              <w:rPr>
                <w:rFonts w:ascii="宋体" w:hAnsi="宋体" w:cs="宋体" w:eastAsia="宋体" w:hint="default"/>
                <w:sz w:val="18"/>
                <w:szCs w:val="18"/>
              </w:rPr>
            </w:pPr>
            <w:r>
              <w:rPr>
                <w:rFonts w:ascii="宋体" w:hAnsi="宋体" w:cs="宋体" w:eastAsia="宋体" w:hint="default"/>
                <w:sz w:val="18"/>
                <w:szCs w:val="18"/>
              </w:rPr>
              <w:t>转账</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97" w:right="0"/>
              <w:jc w:val="left"/>
              <w:rPr>
                <w:rFonts w:ascii="Times New Roman" w:hAnsi="Times New Roman" w:cs="Times New Roman" w:eastAsia="Times New Roman" w:hint="default"/>
                <w:sz w:val="18"/>
                <w:szCs w:val="18"/>
              </w:rPr>
            </w:pPr>
            <w:r>
              <w:rPr>
                <w:rFonts w:ascii="Times New Roman"/>
                <w:sz w:val="18"/>
              </w:rPr>
              <w:t>157.70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w:t>
            </w:r>
          </w:p>
          <w:p>
            <w:pPr>
              <w:pStyle w:val="TableParagraph"/>
              <w:spacing w:line="312" w:lineRule="auto" w:before="63"/>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 </w:t>
            </w:r>
            <w:r>
              <w:rPr>
                <w:rFonts w:ascii="宋体" w:hAnsi="宋体" w:cs="宋体" w:eastAsia="宋体" w:hint="default"/>
                <w:spacing w:val="-19"/>
                <w:sz w:val="18"/>
                <w:szCs w:val="18"/>
              </w:rPr>
              <w:t>告：《关于</w:t>
            </w:r>
            <w:r>
              <w:rPr>
                <w:rFonts w:ascii="宋体" w:hAnsi="宋体" w:cs="宋体" w:eastAsia="宋体" w:hint="default"/>
                <w:sz w:val="18"/>
                <w:szCs w:val="18"/>
              </w:rPr>
              <w:t> 重新预计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部分日常 关联交易 的公告》</w:t>
            </w:r>
          </w:p>
        </w:tc>
      </w:tr>
      <w:tr>
        <w:trPr>
          <w:trHeight w:val="98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41"/>
              <w:jc w:val="left"/>
              <w:rPr>
                <w:rFonts w:ascii="宋体" w:hAnsi="宋体" w:cs="宋体" w:eastAsia="宋体" w:hint="default"/>
                <w:sz w:val="18"/>
                <w:szCs w:val="18"/>
              </w:rPr>
            </w:pPr>
            <w:r>
              <w:rPr>
                <w:rFonts w:ascii="宋体" w:hAnsi="宋体" w:cs="宋体" w:eastAsia="宋体" w:hint="default"/>
                <w:sz w:val="18"/>
                <w:szCs w:val="18"/>
              </w:rPr>
              <w:t>上海运昌 商贸发展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同一母公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宋体" w:hAnsi="宋体" w:cs="宋体" w:eastAsia="宋体" w:hint="default"/>
                <w:sz w:val="18"/>
                <w:szCs w:val="18"/>
              </w:rPr>
              <w:t>关联租赁</w:t>
            </w:r>
          </w:p>
        </w:tc>
        <w:tc>
          <w:tcPr>
            <w:tcW w:w="3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7"/>
              <w:jc w:val="both"/>
              <w:rPr>
                <w:rFonts w:ascii="宋体" w:hAnsi="宋体" w:cs="宋体" w:eastAsia="宋体" w:hint="default"/>
                <w:sz w:val="18"/>
                <w:szCs w:val="18"/>
              </w:rPr>
            </w:pPr>
            <w:r>
              <w:rPr>
                <w:rFonts w:ascii="宋体" w:hAnsi="宋体" w:cs="宋体" w:eastAsia="宋体" w:hint="default"/>
                <w:sz w:val="18"/>
                <w:szCs w:val="18"/>
              </w:rPr>
              <w:t>房 屋 租</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76.00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76.00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64.44%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41"/>
              <w:jc w:val="right"/>
              <w:rPr>
                <w:rFonts w:ascii="宋体" w:hAnsi="宋体" w:cs="宋体" w:eastAsia="宋体" w:hint="default"/>
                <w:sz w:val="18"/>
                <w:szCs w:val="18"/>
              </w:rPr>
            </w:pPr>
            <w:r>
              <w:rPr>
                <w:rFonts w:ascii="宋体" w:hAnsi="宋体" w:cs="宋体" w:eastAsia="宋体" w:hint="default"/>
                <w:sz w:val="18"/>
                <w:szCs w:val="18"/>
              </w:rPr>
              <w:t>转账</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76.00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w:t>
            </w:r>
          </w:p>
          <w:p>
            <w:pPr>
              <w:pStyle w:val="TableParagraph"/>
              <w:spacing w:line="300" w:lineRule="auto" w:before="60"/>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 </w:t>
            </w:r>
            <w:r>
              <w:rPr>
                <w:rFonts w:ascii="宋体" w:hAnsi="宋体" w:cs="宋体" w:eastAsia="宋体" w:hint="default"/>
                <w:spacing w:val="-19"/>
                <w:sz w:val="18"/>
                <w:szCs w:val="18"/>
              </w:rPr>
              <w:t>告：《关于</w:t>
            </w:r>
          </w:p>
        </w:tc>
      </w:tr>
    </w:tbl>
    <w:p>
      <w:pPr>
        <w:spacing w:after="0" w:line="300" w:lineRule="auto"/>
        <w:jc w:val="left"/>
        <w:rPr>
          <w:rFonts w:ascii="宋体" w:hAnsi="宋体" w:cs="宋体" w:eastAsia="宋体" w:hint="default"/>
          <w:sz w:val="18"/>
          <w:szCs w:val="18"/>
        </w:rPr>
        <w:sectPr>
          <w:footerReference w:type="default" r:id="rId20"/>
          <w:pgSz w:w="11910" w:h="16840"/>
          <w:pgMar w:footer="980" w:header="877" w:top="1100" w:bottom="1160" w:left="980" w:right="0"/>
          <w:pgNumType w:start="32"/>
        </w:sectPr>
      </w:pPr>
    </w:p>
    <w:p>
      <w:pPr>
        <w:spacing w:line="240" w:lineRule="auto" w:before="11"/>
        <w:rPr>
          <w:rFonts w:ascii="Times New Roman" w:hAnsi="Times New Roman" w:cs="Times New Roman" w:eastAsia="Times New Roman" w:hint="default"/>
          <w:sz w:val="27"/>
          <w:szCs w:val="27"/>
        </w:rPr>
      </w:pPr>
      <w:r>
        <w:rPr/>
        <w:pict>
          <v:shape style="position:absolute;margin-left:460.320007pt;margin-top:764.919983pt;width:135.0pt;height:77pt;mso-position-horizontal-relative:page;mso-position-vertical-relative:page;z-index:1480" type="#_x0000_t75" stroked="false">
            <v:imagedata r:id="rId5" o:title=""/>
          </v:shape>
        </w:pict>
      </w:r>
    </w:p>
    <w:tbl>
      <w:tblPr>
        <w:tblW w:w="0" w:type="auto"/>
        <w:jc w:val="left"/>
        <w:tblInd w:w="148" w:type="dxa"/>
        <w:tblLayout w:type="fixed"/>
        <w:tblCellMar>
          <w:top w:w="0" w:type="dxa"/>
          <w:left w:w="0" w:type="dxa"/>
          <w:bottom w:w="0" w:type="dxa"/>
          <w:right w:w="0" w:type="dxa"/>
        </w:tblCellMar>
        <w:tblLook w:val="01E0"/>
      </w:tblPr>
      <w:tblGrid>
        <w:gridCol w:w="797"/>
        <w:gridCol w:w="799"/>
        <w:gridCol w:w="797"/>
        <w:gridCol w:w="303"/>
        <w:gridCol w:w="799"/>
        <w:gridCol w:w="900"/>
        <w:gridCol w:w="850"/>
        <w:gridCol w:w="643"/>
        <w:gridCol w:w="797"/>
        <w:gridCol w:w="828"/>
        <w:gridCol w:w="766"/>
        <w:gridCol w:w="864"/>
      </w:tblGrid>
      <w:tr>
        <w:trPr>
          <w:trHeight w:val="161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赁</w:t>
            </w:r>
          </w:p>
        </w:tc>
        <w:tc>
          <w:tcPr>
            <w:tcW w:w="799"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60"/>
              <w:jc w:val="both"/>
              <w:rPr>
                <w:rFonts w:ascii="宋体" w:hAnsi="宋体" w:cs="宋体" w:eastAsia="宋体" w:hint="default"/>
                <w:sz w:val="18"/>
                <w:szCs w:val="18"/>
              </w:rPr>
            </w:pPr>
            <w:r>
              <w:rPr>
                <w:rFonts w:ascii="宋体" w:hAnsi="宋体" w:cs="宋体" w:eastAsia="宋体" w:hint="default"/>
                <w:sz w:val="18"/>
                <w:szCs w:val="18"/>
              </w:rPr>
              <w:t>重新预计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部分日常 关联交易 的公告》</w:t>
            </w:r>
          </w:p>
        </w:tc>
      </w:tr>
      <w:tr>
        <w:trPr>
          <w:trHeight w:val="258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中海集团 财务有限 责任公司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受同一最 终控制方 控制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金融服务</w:t>
            </w:r>
          </w:p>
        </w:tc>
        <w:tc>
          <w:tcPr>
            <w:tcW w:w="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87"/>
              <w:jc w:val="both"/>
              <w:rPr>
                <w:rFonts w:ascii="宋体" w:hAnsi="宋体" w:cs="宋体" w:eastAsia="宋体" w:hint="default"/>
                <w:sz w:val="18"/>
                <w:szCs w:val="18"/>
              </w:rPr>
            </w:pPr>
            <w:r>
              <w:rPr>
                <w:rFonts w:ascii="宋体" w:hAnsi="宋体" w:cs="宋体" w:eastAsia="宋体" w:hint="default"/>
                <w:sz w:val="18"/>
                <w:szCs w:val="18"/>
              </w:rPr>
              <w:t>存 款 余 额</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20"/>
              <w:jc w:val="center"/>
              <w:rPr>
                <w:rFonts w:ascii="Times New Roman" w:hAnsi="Times New Roman" w:cs="Times New Roman" w:eastAsia="Times New Roman" w:hint="default"/>
                <w:sz w:val="18"/>
                <w:szCs w:val="18"/>
              </w:rPr>
            </w:pPr>
            <w:r>
              <w:rPr>
                <w:rFonts w:ascii="Times New Roman"/>
                <w:sz w:val="18"/>
              </w:rPr>
              <w:t>13,012.67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76" w:right="0"/>
              <w:jc w:val="center"/>
              <w:rPr>
                <w:rFonts w:ascii="Times New Roman" w:hAnsi="Times New Roman" w:cs="Times New Roman" w:eastAsia="Times New Roman" w:hint="default"/>
                <w:sz w:val="18"/>
                <w:szCs w:val="18"/>
              </w:rPr>
            </w:pPr>
            <w:r>
              <w:rPr>
                <w:rFonts w:ascii="Times New Roman"/>
                <w:sz w:val="18"/>
              </w:rPr>
              <w:t>13,012.67</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9" w:right="0"/>
              <w:jc w:val="center"/>
              <w:rPr>
                <w:rFonts w:ascii="Times New Roman" w:hAnsi="Times New Roman" w:cs="Times New Roman" w:eastAsia="Times New Roman" w:hint="default"/>
                <w:sz w:val="18"/>
                <w:szCs w:val="18"/>
              </w:rPr>
            </w:pPr>
            <w:r>
              <w:rPr>
                <w:rFonts w:ascii="Times New Roman"/>
                <w:sz w:val="18"/>
              </w:rPr>
              <w:t>26.45%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38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43"/>
              <w:jc w:val="center"/>
              <w:rPr>
                <w:rFonts w:ascii="Times New Roman" w:hAnsi="Times New Roman" w:cs="Times New Roman" w:eastAsia="Times New Roman" w:hint="default"/>
                <w:sz w:val="18"/>
                <w:szCs w:val="18"/>
              </w:rPr>
            </w:pPr>
            <w:r>
              <w:rPr>
                <w:rFonts w:ascii="Times New Roman"/>
                <w:sz w:val="18"/>
              </w:rPr>
              <w:t>13,012.67</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w:t>
            </w:r>
          </w:p>
          <w:p>
            <w:pPr>
              <w:pStyle w:val="TableParagraph"/>
              <w:spacing w:line="312" w:lineRule="auto" w:before="63"/>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 </w:t>
            </w:r>
            <w:r>
              <w:rPr>
                <w:rFonts w:ascii="宋体" w:hAnsi="宋体" w:cs="宋体" w:eastAsia="宋体" w:hint="default"/>
                <w:spacing w:val="-19"/>
                <w:sz w:val="18"/>
                <w:szCs w:val="18"/>
              </w:rPr>
              <w:t>告：《关于</w:t>
            </w:r>
            <w:r>
              <w:rPr>
                <w:rFonts w:ascii="宋体" w:hAnsi="宋体" w:cs="宋体" w:eastAsia="宋体" w:hint="default"/>
                <w:sz w:val="18"/>
                <w:szCs w:val="18"/>
              </w:rPr>
              <w:t> 重新预计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部分日常 关联交易 的公告》</w:t>
            </w:r>
          </w:p>
        </w:tc>
      </w:tr>
      <w:tr>
        <w:trPr>
          <w:trHeight w:val="403" w:hRule="exact"/>
        </w:trPr>
        <w:tc>
          <w:tcPr>
            <w:tcW w:w="269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13,757.52</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69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447"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2696" w:type="dxa"/>
            <w:gridSpan w:val="4"/>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6" w:lineRule="auto" w:before="49"/>
              <w:ind w:left="24" w:right="-50"/>
              <w:jc w:val="left"/>
              <w:rPr>
                <w:rFonts w:ascii="宋体" w:hAnsi="宋体" w:cs="宋体" w:eastAsia="宋体" w:hint="default"/>
                <w:sz w:val="18"/>
                <w:szCs w:val="18"/>
              </w:rPr>
            </w:pPr>
            <w:r>
              <w:rPr>
                <w:rFonts w:ascii="宋体" w:hAnsi="宋体" w:cs="宋体" w:eastAsia="宋体" w:hint="default"/>
                <w:spacing w:val="-5"/>
                <w:sz w:val="18"/>
                <w:szCs w:val="18"/>
              </w:rPr>
              <w:t>关联交易的必要性、持续性、选择</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与关联方（而非市场其他交易方） 进行交易的原因</w:t>
            </w:r>
          </w:p>
        </w:tc>
        <w:tc>
          <w:tcPr>
            <w:tcW w:w="6447" w:type="dxa"/>
            <w:gridSpan w:val="8"/>
            <w:tcBorders>
              <w:top w:val="single" w:sz="4" w:space="0" w:color="000000"/>
              <w:left w:val="single" w:sz="10" w:space="0" w:color="FFFFFF"/>
              <w:bottom w:val="single" w:sz="4" w:space="0" w:color="000000"/>
              <w:right w:val="single" w:sz="4" w:space="0" w:color="000000"/>
            </w:tcBorders>
          </w:tcPr>
          <w:p>
            <w:pPr>
              <w:pStyle w:val="TableParagraph"/>
              <w:spacing w:line="309" w:lineRule="auto" w:before="49"/>
              <w:ind w:left="16" w:right="20"/>
              <w:jc w:val="both"/>
              <w:rPr>
                <w:rFonts w:ascii="宋体" w:hAnsi="宋体" w:cs="宋体" w:eastAsia="宋体" w:hint="default"/>
                <w:sz w:val="18"/>
                <w:szCs w:val="18"/>
              </w:rPr>
            </w:pPr>
            <w:r>
              <w:rPr>
                <w:rFonts w:ascii="宋体" w:hAnsi="宋体" w:cs="宋体" w:eastAsia="宋体" w:hint="default"/>
                <w:spacing w:val="-3"/>
                <w:sz w:val="18"/>
                <w:szCs w:val="18"/>
              </w:rPr>
              <w:t>上述关联交易是因公司正常的生产经营需要而进行的，公司与关联方发生的交易是</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按照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公平自愿，互惠互利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的原则进行的，交易价格按市场价格确定，没有违反公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开、公平、公正的原则，不存在损害公司和中小股东的利益的行为。</w:t>
            </w:r>
          </w:p>
        </w:tc>
      </w:tr>
      <w:tr>
        <w:trPr>
          <w:trHeight w:val="161" w:hRule="exact"/>
        </w:trPr>
        <w:tc>
          <w:tcPr>
            <w:tcW w:w="2696"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447" w:type="dxa"/>
            <w:gridSpan w:val="8"/>
            <w:vMerge w:val="restart"/>
            <w:tcBorders>
              <w:top w:val="single" w:sz="4" w:space="0" w:color="000000"/>
              <w:left w:val="single" w:sz="10" w:space="0" w:color="D2D2D2"/>
              <w:right w:val="single" w:sz="4" w:space="0" w:color="000000"/>
            </w:tcBorders>
          </w:tcPr>
          <w:p>
            <w:pPr>
              <w:pStyle w:val="TableParagraph"/>
              <w:spacing w:line="316" w:lineRule="auto" w:before="49"/>
              <w:ind w:left="16" w:right="17"/>
              <w:jc w:val="both"/>
              <w:rPr>
                <w:rFonts w:ascii="宋体" w:hAnsi="宋体" w:cs="宋体" w:eastAsia="宋体" w:hint="default"/>
                <w:sz w:val="18"/>
                <w:szCs w:val="18"/>
              </w:rPr>
            </w:pPr>
            <w:r>
              <w:rPr>
                <w:rFonts w:ascii="宋体" w:hAnsi="宋体" w:cs="宋体" w:eastAsia="宋体" w:hint="default"/>
                <w:spacing w:val="-3"/>
                <w:sz w:val="18"/>
                <w:szCs w:val="18"/>
              </w:rPr>
              <w:t>关联交易价格依据市场公允价格公平、合理确定，不存在损害公司和全体股东利益</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的行为。公司与关联企业均为独立法人，独立经营，在资产、财务、人员等方面均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独立，关联交易不会对公司的独立性产生不利影响。</w:t>
            </w:r>
          </w:p>
        </w:tc>
      </w:tr>
      <w:tr>
        <w:trPr>
          <w:trHeight w:val="703" w:hRule="exact"/>
        </w:trPr>
        <w:tc>
          <w:tcPr>
            <w:tcW w:w="2696"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4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 响</w:t>
            </w:r>
          </w:p>
        </w:tc>
        <w:tc>
          <w:tcPr>
            <w:tcW w:w="6447" w:type="dxa"/>
            <w:gridSpan w:val="8"/>
            <w:vMerge/>
            <w:tcBorders>
              <w:left w:val="single" w:sz="10" w:space="0" w:color="D2D2D2"/>
              <w:right w:val="single" w:sz="4" w:space="0" w:color="000000"/>
            </w:tcBorders>
          </w:tcPr>
          <w:p>
            <w:pPr/>
          </w:p>
        </w:tc>
      </w:tr>
      <w:tr>
        <w:trPr>
          <w:trHeight w:val="161" w:hRule="exact"/>
        </w:trPr>
        <w:tc>
          <w:tcPr>
            <w:tcW w:w="2696"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447" w:type="dxa"/>
            <w:gridSpan w:val="8"/>
            <w:vMerge/>
            <w:tcBorders>
              <w:left w:val="single" w:sz="10" w:space="0" w:color="D2D2D2"/>
              <w:bottom w:val="single" w:sz="4" w:space="0" w:color="000000"/>
              <w:right w:val="single" w:sz="4" w:space="0" w:color="000000"/>
            </w:tcBorders>
          </w:tcPr>
          <w:p>
            <w:pPr/>
          </w:p>
        </w:tc>
      </w:tr>
      <w:tr>
        <w:trPr>
          <w:trHeight w:val="716" w:hRule="exact"/>
        </w:trPr>
        <w:tc>
          <w:tcPr>
            <w:tcW w:w="269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3"/>
              <w:jc w:val="left"/>
              <w:rPr>
                <w:rFonts w:ascii="宋体" w:hAnsi="宋体" w:cs="宋体" w:eastAsia="宋体" w:hint="default"/>
                <w:sz w:val="18"/>
                <w:szCs w:val="18"/>
              </w:rPr>
            </w:pPr>
            <w:r>
              <w:rPr>
                <w:rFonts w:ascii="宋体" w:hAnsi="宋体" w:cs="宋体" w:eastAsia="宋体" w:hint="default"/>
                <w:spacing w:val="-5"/>
                <w:sz w:val="18"/>
                <w:szCs w:val="18"/>
              </w:rPr>
              <w:t>公司对关联方的依赖程度，以及相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关解决措施（如有）</w:t>
            </w:r>
          </w:p>
        </w:tc>
        <w:tc>
          <w:tcPr>
            <w:tcW w:w="6447"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不存在对关联方的依赖</w:t>
            </w:r>
          </w:p>
        </w:tc>
      </w:tr>
      <w:tr>
        <w:trPr>
          <w:trHeight w:val="1025" w:hRule="exact"/>
        </w:trPr>
        <w:tc>
          <w:tcPr>
            <w:tcW w:w="269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 </w:t>
            </w:r>
            <w:r>
              <w:rPr>
                <w:rFonts w:ascii="宋体" w:hAnsi="宋体" w:cs="宋体" w:eastAsia="宋体" w:hint="default"/>
                <w:spacing w:val="-5"/>
                <w:sz w:val="18"/>
                <w:szCs w:val="18"/>
              </w:rPr>
              <w:t>交易进行总金额预计的，在报告期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内的实际履行情况（如有）</w:t>
            </w:r>
          </w:p>
        </w:tc>
        <w:tc>
          <w:tcPr>
            <w:tcW w:w="6447"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11" w:right="20"/>
              <w:jc w:val="left"/>
              <w:rPr>
                <w:rFonts w:ascii="宋体" w:hAnsi="宋体" w:cs="宋体" w:eastAsia="宋体" w:hint="default"/>
                <w:sz w:val="18"/>
                <w:szCs w:val="18"/>
              </w:rPr>
            </w:pPr>
            <w:r>
              <w:rPr>
                <w:rFonts w:ascii="宋体" w:hAnsi="宋体" w:cs="宋体" w:eastAsia="宋体" w:hint="default"/>
                <w:sz w:val="18"/>
                <w:szCs w:val="18"/>
              </w:rPr>
              <w:t>公司按类别对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年将发生的日常关联交易进行总金额预计，详见上述公告，实 际执行情况列示于上表中，均在预计范围内。</w:t>
            </w:r>
          </w:p>
        </w:tc>
      </w:tr>
      <w:tr>
        <w:trPr>
          <w:trHeight w:val="715" w:hRule="exact"/>
        </w:trPr>
        <w:tc>
          <w:tcPr>
            <w:tcW w:w="269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 大的原因</w:t>
            </w:r>
          </w:p>
        </w:tc>
        <w:tc>
          <w:tcPr>
            <w:tcW w:w="6447"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981"/>
        <w:jc w:val="left"/>
        <w:rPr>
          <w:b w:val="0"/>
          <w:bCs w:val="0"/>
        </w:rPr>
      </w:pPr>
      <w:r>
        <w:rPr>
          <w:rFonts w:ascii="Times New Roman" w:hAnsi="Times New Roman" w:cs="Times New Roman" w:eastAsia="Times New Roman" w:hint="default"/>
        </w:rPr>
        <w:t>2</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5"/>
        <w:spacing w:line="240" w:lineRule="auto"/>
        <w:ind w:right="981"/>
        <w:jc w:val="left"/>
        <w:rPr>
          <w:b w:val="0"/>
          <w:bCs w:val="0"/>
        </w:rPr>
      </w:pPr>
      <w:r>
        <w:rPr>
          <w:rFonts w:ascii="Times New Roman" w:hAnsi="Times New Roman" w:cs="Times New Roman" w:eastAsia="Times New Roman" w:hint="default"/>
        </w:rPr>
        <w:t>3</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981"/>
        <w:jc w:val="left"/>
        <w:rPr>
          <w:b w:val="0"/>
          <w:bCs w:val="0"/>
        </w:rPr>
      </w:pPr>
      <w:r>
        <w:rPr>
          <w:rFonts w:ascii="Times New Roman" w:hAnsi="Times New Roman" w:cs="Times New Roman" w:eastAsia="Times New Roman" w:hint="default"/>
        </w:rPr>
        <w:t>4</w:t>
      </w:r>
      <w:r>
        <w:rPr/>
        <w:t>、</w:t>
      </w:r>
      <w:r>
        <w:rPr>
          <w:spacing w:val="3"/>
        </w:rPr>
        <w:t> </w:t>
      </w:r>
      <w:r>
        <w:rPr/>
        <w:t>其他关联交易</w:t>
      </w:r>
      <w:r>
        <w:rPr>
          <w:b w:val="0"/>
          <w:bCs w:val="0"/>
        </w:rPr>
      </w:r>
    </w:p>
    <w:p>
      <w:pPr>
        <w:spacing w:line="240" w:lineRule="auto" w:before="12"/>
        <w:rPr>
          <w:rFonts w:ascii="宋体" w:hAnsi="宋体" w:cs="宋体" w:eastAsia="宋体" w:hint="default"/>
          <w:b/>
          <w:bCs/>
          <w:sz w:val="29"/>
          <w:szCs w:val="29"/>
        </w:rPr>
      </w:pPr>
    </w:p>
    <w:p>
      <w:pPr>
        <w:pStyle w:val="Heading4"/>
        <w:spacing w:line="391" w:lineRule="auto" w:before="0"/>
        <w:ind w:right="981" w:firstLine="439"/>
        <w:jc w:val="left"/>
      </w:pPr>
      <w:r>
        <w:rPr>
          <w:spacing w:val="-2"/>
        </w:rPr>
        <w:t>根据中国海运（集团）总公司《关于缴纳补充医疗保险费的通知》（中海人保（</w:t>
      </w:r>
      <w:r>
        <w:rPr>
          <w:rFonts w:ascii="宋体" w:hAnsi="宋体" w:cs="宋体" w:eastAsia="宋体" w:hint="default"/>
          <w:spacing w:val="-2"/>
        </w:rPr>
        <w:t>2010</w:t>
      </w:r>
      <w:r>
        <w:rPr>
          <w:spacing w:val="-2"/>
        </w:rPr>
        <w:t>）</w:t>
      </w:r>
      <w:r>
        <w:rPr>
          <w:rFonts w:ascii="宋体" w:hAnsi="宋体" w:cs="宋体" w:eastAsia="宋体" w:hint="default"/>
          <w:spacing w:val="-2"/>
        </w:rPr>
        <w:t>14</w:t>
      </w:r>
      <w:r>
        <w:rPr>
          <w:spacing w:val="-2"/>
        </w:rPr>
        <w:t>号）要</w:t>
      </w:r>
      <w:r>
        <w:rPr>
          <w:w w:val="100"/>
        </w:rPr>
        <w:t> </w:t>
      </w:r>
      <w:r>
        <w:rPr>
          <w:spacing w:val="-2"/>
        </w:rPr>
        <w:t>求，公司将</w:t>
      </w:r>
      <w:r>
        <w:rPr>
          <w:rFonts w:ascii="宋体" w:hAnsi="宋体" w:cs="宋体" w:eastAsia="宋体" w:hint="default"/>
          <w:spacing w:val="-2"/>
        </w:rPr>
        <w:t>2012</w:t>
      </w:r>
      <w:r>
        <w:rPr>
          <w:spacing w:val="-2"/>
        </w:rPr>
        <w:t>年度职工补充医疗保险费</w:t>
      </w:r>
      <w:r>
        <w:rPr>
          <w:rFonts w:ascii="宋体" w:hAnsi="宋体" w:cs="宋体" w:eastAsia="宋体" w:hint="default"/>
          <w:spacing w:val="-2"/>
        </w:rPr>
        <w:t>1,566,300.00</w:t>
      </w:r>
      <w:r>
        <w:rPr>
          <w:spacing w:val="-2"/>
        </w:rPr>
        <w:t>元缴纳至上海船舶运输科学研究所财务处，由</w:t>
      </w:r>
    </w:p>
    <w:p>
      <w:pPr>
        <w:spacing w:after="0" w:line="391" w:lineRule="auto"/>
        <w:jc w:val="left"/>
        <w:sectPr>
          <w:pgSz w:w="11910" w:h="16840"/>
          <w:pgMar w:header="877" w:footer="980" w:top="1100" w:bottom="1160" w:left="980" w:right="0"/>
        </w:sectPr>
      </w:pPr>
    </w:p>
    <w:p>
      <w:pPr>
        <w:spacing w:line="240" w:lineRule="auto" w:before="4"/>
        <w:rPr>
          <w:rFonts w:ascii="宋体" w:hAnsi="宋体" w:cs="宋体" w:eastAsia="宋体" w:hint="default"/>
          <w:sz w:val="26"/>
          <w:szCs w:val="26"/>
        </w:rPr>
      </w:pPr>
      <w:r>
        <w:rPr/>
        <w:pict>
          <v:shape style="position:absolute;margin-left:285.53299pt;margin-top:628.779968pt;width:113.7pt;height:17.650pt;mso-position-horizontal-relative:page;mso-position-vertical-relative:page;z-index:-560464" type="#_x0000_t202" filled="false" stroked="false">
            <v:textbox inset="0,0,0,0">
              <w:txbxContent>
                <w:p>
                  <w:pPr>
                    <w:pStyle w:val="BodyText"/>
                    <w:spacing w:line="240" w:lineRule="auto" w:before="49"/>
                    <w:ind w:left="0" w:right="0"/>
                    <w:jc w:val="left"/>
                  </w:pPr>
                  <w:r>
                    <w:rPr/>
                    <w:t>（除中海科技外）</w:t>
                  </w:r>
                </w:p>
              </w:txbxContent>
            </v:textbox>
            <w10:wrap type="none"/>
          </v:shape>
        </w:pict>
      </w:r>
      <w:r>
        <w:rPr/>
        <w:pict>
          <v:group style="position:absolute;margin-left:355.869995pt;margin-top:628.779968pt;width:43.35pt;height:17.650pt;mso-position-horizontal-relative:page;mso-position-vertical-relative:page;z-index:-560440" coordorigin="7117,12576" coordsize="867,353">
            <v:shape style="position:absolute;left:7117;top:12576;width:867;height:353" coordorigin="7117,12576" coordsize="867,353" path="m7117,12928l7984,12928,7984,12576,7117,12576,7117,12928xe" filled="true" fillcolor="#ffffff" stroked="false">
              <v:path arrowok="t"/>
              <v:fill type="solid"/>
            </v:shape>
            <w10:wrap type="none"/>
          </v:group>
        </w:pict>
      </w:r>
      <w:r>
        <w:rPr/>
        <w:pict>
          <v:group style="position:absolute;margin-left:252.889999pt;margin-top:728.855957pt;width:100.25pt;height:31.2pt;mso-position-horizontal-relative:page;mso-position-vertical-relative:page;z-index:-560416" coordorigin="5058,14577" coordsize="2005,624">
            <v:group style="position:absolute;left:5058;top:14577;width:2005;height:312" coordorigin="5058,14577" coordsize="2005,312">
              <v:shape style="position:absolute;left:5058;top:14577;width:2005;height:312" coordorigin="5058,14577" coordsize="2005,312" path="m5058,14889l7062,14889,7062,14577,5058,14577,5058,14889xe" filled="true" fillcolor="#ffffff" stroked="false">
                <v:path arrowok="t"/>
                <v:fill type="solid"/>
              </v:shape>
            </v:group>
            <v:group style="position:absolute;left:5058;top:14889;width:2005;height:312" coordorigin="5058,14889" coordsize="2005,312">
              <v:shape style="position:absolute;left:5058;top:14889;width:2005;height:312" coordorigin="5058,14889" coordsize="2005,312" path="m5058,15201l7062,15201,7062,14889,5058,14889,5058,15201xe" filled="true" fillcolor="#ffffff" stroked="false">
                <v:path arrowok="t"/>
                <v:fill type="solid"/>
              </v:shape>
            </v:group>
            <w10:wrap type="none"/>
          </v:group>
        </w:pict>
      </w:r>
    </w:p>
    <w:p>
      <w:pPr>
        <w:pStyle w:val="Heading4"/>
        <w:spacing w:line="240" w:lineRule="auto" w:before="32"/>
        <w:ind w:right="981"/>
        <w:jc w:val="left"/>
      </w:pPr>
      <w:r>
        <w:rPr/>
        <w:t>上海船舶运输科学研究所统一缴纳至中国海运（集团）总公司财务金融部补充医疗保险基金专户。</w:t>
      </w:r>
    </w:p>
    <w:p>
      <w:pPr>
        <w:spacing w:line="240" w:lineRule="auto" w:before="8"/>
        <w:rPr>
          <w:rFonts w:ascii="宋体" w:hAnsi="宋体" w:cs="宋体" w:eastAsia="宋体" w:hint="default"/>
          <w:sz w:val="29"/>
          <w:szCs w:val="29"/>
        </w:rPr>
      </w:pPr>
    </w:p>
    <w:p>
      <w:pPr>
        <w:pStyle w:val="Heading3"/>
        <w:spacing w:line="240" w:lineRule="auto"/>
        <w:ind w:right="981"/>
        <w:jc w:val="left"/>
        <w:rPr>
          <w:b w:val="0"/>
          <w:bCs w:val="0"/>
        </w:rPr>
      </w:pPr>
      <w:r>
        <w:rPr/>
        <w:t>七、重大合同及其履行情况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981"/>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981"/>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3"/>
        <w:spacing w:line="240" w:lineRule="auto"/>
        <w:ind w:right="981"/>
        <w:jc w:val="left"/>
        <w:rPr>
          <w:b w:val="0"/>
          <w:bCs w:val="0"/>
        </w:rPr>
      </w:pPr>
      <w:r>
        <w:rPr/>
        <w:t>八、承诺事项履行情况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981"/>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835"/>
        <w:gridCol w:w="1061"/>
        <w:gridCol w:w="2060"/>
        <w:gridCol w:w="922"/>
        <w:gridCol w:w="1280"/>
        <w:gridCol w:w="1133"/>
      </w:tblGrid>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4"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无</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1649"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4" w:right="9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13"/>
                <w:sz w:val="18"/>
                <w:szCs w:val="18"/>
              </w:rPr>
              <w:t>中国海运（集</w:t>
            </w:r>
            <w:r>
              <w:rPr>
                <w:rFonts w:ascii="宋体" w:hAnsi="宋体" w:cs="宋体" w:eastAsia="宋体" w:hint="default"/>
                <w:sz w:val="18"/>
                <w:szCs w:val="18"/>
              </w:rPr>
              <w:t> 团）总公司</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5"/>
              <w:jc w:val="both"/>
              <w:rPr>
                <w:rFonts w:ascii="宋体" w:hAnsi="宋体" w:cs="宋体" w:eastAsia="宋体" w:hint="default"/>
                <w:sz w:val="18"/>
                <w:szCs w:val="18"/>
              </w:rPr>
            </w:pPr>
            <w:r>
              <w:rPr>
                <w:rFonts w:ascii="宋体" w:hAnsi="宋体" w:cs="宋体" w:eastAsia="宋体" w:hint="default"/>
                <w:sz w:val="18"/>
                <w:szCs w:val="18"/>
              </w:rPr>
              <w:t>本次划转将不影响上海船 研所的上述承诺，中国海 运将继续履行及支持上海 船研所继续履行其关于股 份锁定的承诺。</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正在履行</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无</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2273" w:hRule="exact"/>
        </w:trPr>
        <w:tc>
          <w:tcPr>
            <w:tcW w:w="28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4" w:right="125"/>
              <w:jc w:val="both"/>
              <w:rPr>
                <w:rFonts w:ascii="宋体" w:hAnsi="宋体" w:cs="宋体" w:eastAsia="宋体" w:hint="default"/>
                <w:sz w:val="18"/>
                <w:szCs w:val="18"/>
              </w:rPr>
            </w:pPr>
            <w:r>
              <w:rPr>
                <w:rFonts w:ascii="宋体" w:hAnsi="宋体" w:cs="宋体" w:eastAsia="宋体" w:hint="default"/>
                <w:sz w:val="18"/>
                <w:szCs w:val="18"/>
              </w:rPr>
              <w:t>上海船舶运 输科学研究 所</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5"/>
              <w:jc w:val="both"/>
              <w:rPr>
                <w:rFonts w:ascii="宋体" w:hAnsi="宋体" w:cs="宋体" w:eastAsia="宋体" w:hint="default"/>
                <w:sz w:val="18"/>
                <w:szCs w:val="18"/>
              </w:rPr>
            </w:pPr>
            <w:r>
              <w:rPr>
                <w:rFonts w:ascii="宋体" w:hAnsi="宋体" w:cs="宋体" w:eastAsia="宋体" w:hint="default"/>
                <w:sz w:val="18"/>
                <w:szCs w:val="18"/>
              </w:rPr>
              <w:t>自本公司股票在证券交易 所上市交易之日起三十六 个月内，不转让或者委托 他人管理其在本次发行前 已持有的发行人股份，也 不由发行人回购该部分股 份。</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588" w:hRule="exact"/>
        </w:trPr>
        <w:tc>
          <w:tcPr>
            <w:tcW w:w="2835" w:type="dxa"/>
            <w:vMerge/>
            <w:tcBorders>
              <w:left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3"/>
              <w:ind w:left="24" w:right="125"/>
              <w:jc w:val="both"/>
              <w:rPr>
                <w:rFonts w:ascii="宋体" w:hAnsi="宋体" w:cs="宋体" w:eastAsia="宋体" w:hint="default"/>
                <w:sz w:val="18"/>
                <w:szCs w:val="18"/>
              </w:rPr>
            </w:pPr>
            <w:r>
              <w:rPr>
                <w:rFonts w:ascii="宋体" w:hAnsi="宋体" w:cs="宋体" w:eastAsia="宋体" w:hint="default"/>
                <w:sz w:val="18"/>
                <w:szCs w:val="18"/>
              </w:rPr>
              <w:t>上海船舶运 输科学研究 所</w:t>
            </w:r>
          </w:p>
        </w:tc>
        <w:tc>
          <w:tcPr>
            <w:tcW w:w="2060"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33"/>
              <w:jc w:val="left"/>
              <w:rPr>
                <w:rFonts w:ascii="宋体" w:hAnsi="宋体" w:cs="宋体" w:eastAsia="宋体" w:hint="default"/>
                <w:sz w:val="18"/>
                <w:szCs w:val="18"/>
              </w:rPr>
            </w:pPr>
            <w:r>
              <w:rPr>
                <w:rFonts w:ascii="宋体" w:hAnsi="宋体" w:cs="宋体" w:eastAsia="宋体" w:hint="default"/>
                <w:sz w:val="18"/>
                <w:szCs w:val="18"/>
              </w:rPr>
              <w:t>本所在作为中海科技的控 股股东期间，将采取有效 措施，保证本所及下属控 股子公司 不从事或参与任何可能对 中海科技从事的经营业务 构成竞争或可能构成竞争 的业务。</w:t>
            </w:r>
          </w:p>
        </w:tc>
        <w:tc>
          <w:tcPr>
            <w:tcW w:w="92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长期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正在履行</w:t>
            </w:r>
          </w:p>
        </w:tc>
      </w:tr>
      <w:tr>
        <w:trPr>
          <w:trHeight w:val="986" w:hRule="exact"/>
        </w:trPr>
        <w:tc>
          <w:tcPr>
            <w:tcW w:w="2835"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13" w:space="0" w:color="FFFFFF"/>
            </w:tcBorders>
          </w:tcPr>
          <w:p>
            <w:pPr>
              <w:pStyle w:val="TableParagraph"/>
              <w:spacing w:line="307" w:lineRule="auto" w:before="49"/>
              <w:ind w:left="24" w:right="35"/>
              <w:jc w:val="left"/>
              <w:rPr>
                <w:rFonts w:ascii="宋体" w:hAnsi="宋体" w:cs="宋体" w:eastAsia="宋体" w:hint="default"/>
                <w:sz w:val="18"/>
                <w:szCs w:val="18"/>
              </w:rPr>
            </w:pPr>
            <w:r>
              <w:rPr>
                <w:rFonts w:ascii="宋体" w:hAnsi="宋体" w:cs="宋体" w:eastAsia="宋体" w:hint="default"/>
                <w:sz w:val="18"/>
                <w:szCs w:val="18"/>
              </w:rPr>
              <w:t>公司股东</w:t>
            </w:r>
            <w:r>
              <w:rPr>
                <w:rFonts w:ascii="Times New Roman" w:hAnsi="Times New Roman" w:cs="Times New Roman" w:eastAsia="Times New Roman" w:hint="default"/>
                <w:sz w:val="18"/>
                <w:szCs w:val="18"/>
              </w:rPr>
              <w:t>“</w:t>
            </w:r>
            <w:r>
              <w:rPr>
                <w:rFonts w:ascii="宋体" w:hAnsi="宋体" w:cs="宋体" w:eastAsia="宋体" w:hint="default"/>
                <w:sz w:val="18"/>
                <w:szCs w:val="18"/>
              </w:rPr>
              <w:t>周 群、孙文彬 高庆、瞿辉</w:t>
            </w:r>
          </w:p>
        </w:tc>
        <w:tc>
          <w:tcPr>
            <w:tcW w:w="206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right="33"/>
              <w:jc w:val="center"/>
              <w:rPr>
                <w:rFonts w:ascii="宋体" w:hAnsi="宋体" w:cs="宋体" w:eastAsia="宋体" w:hint="default"/>
                <w:sz w:val="18"/>
                <w:szCs w:val="18"/>
              </w:rPr>
            </w:pPr>
            <w:r>
              <w:rPr>
                <w:rFonts w:ascii="宋体" w:hAnsi="宋体" w:cs="宋体" w:eastAsia="宋体" w:hint="default"/>
                <w:sz w:val="18"/>
                <w:szCs w:val="18"/>
              </w:rPr>
              <w:t>自本公司股票在证券交易</w:t>
            </w:r>
          </w:p>
          <w:p>
            <w:pPr>
              <w:pStyle w:val="TableParagraph"/>
              <w:spacing w:line="240" w:lineRule="auto" w:before="74"/>
              <w:ind w:left="-149" w:right="45"/>
              <w:jc w:val="center"/>
              <w:rPr>
                <w:rFonts w:ascii="宋体" w:hAnsi="宋体" w:cs="宋体" w:eastAsia="宋体" w:hint="default"/>
                <w:sz w:val="18"/>
                <w:szCs w:val="18"/>
              </w:rPr>
            </w:pPr>
            <w:r>
              <w:rPr>
                <w:rFonts w:ascii="宋体" w:hAnsi="宋体" w:cs="宋体" w:eastAsia="宋体" w:hint="default"/>
                <w:spacing w:val="-2"/>
                <w:sz w:val="18"/>
                <w:szCs w:val="18"/>
              </w:rPr>
              <w:t>、所上市交易之日起十二个</w:t>
            </w:r>
          </w:p>
          <w:p>
            <w:pPr>
              <w:pStyle w:val="TableParagraph"/>
              <w:spacing w:line="240" w:lineRule="auto" w:before="76"/>
              <w:ind w:left="-149" w:right="45"/>
              <w:jc w:val="center"/>
              <w:rPr>
                <w:rFonts w:ascii="宋体" w:hAnsi="宋体" w:cs="宋体" w:eastAsia="宋体" w:hint="default"/>
                <w:sz w:val="18"/>
                <w:szCs w:val="18"/>
              </w:rPr>
            </w:pPr>
            <w:r>
              <w:rPr>
                <w:rFonts w:ascii="宋体" w:hAnsi="宋体" w:cs="宋体" w:eastAsia="宋体" w:hint="default"/>
                <w:spacing w:val="-2"/>
                <w:sz w:val="18"/>
                <w:szCs w:val="18"/>
              </w:rPr>
              <w:t>、月内，不转让或者委托他</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任职期间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right"/>
        <w:rPr>
          <w:rFonts w:ascii="宋体" w:hAnsi="宋体" w:cs="宋体" w:eastAsia="宋体" w:hint="default"/>
          <w:sz w:val="18"/>
          <w:szCs w:val="18"/>
        </w:rPr>
        <w:sectPr>
          <w:footerReference w:type="default" r:id="rId21"/>
          <w:pgSz w:w="11910" w:h="16840"/>
          <w:pgMar w:footer="1340" w:header="877" w:top="1100" w:bottom="1620" w:left="980" w:right="0"/>
          <w:pgNumType w:start="34"/>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2835"/>
        <w:gridCol w:w="1061"/>
        <w:gridCol w:w="2060"/>
        <w:gridCol w:w="922"/>
        <w:gridCol w:w="1280"/>
        <w:gridCol w:w="1133"/>
      </w:tblGrid>
      <w:tr>
        <w:trPr>
          <w:trHeight w:val="2547" w:hRule="exact"/>
        </w:trPr>
        <w:tc>
          <w:tcPr>
            <w:tcW w:w="2835" w:type="dxa"/>
            <w:tcBorders>
              <w:top w:val="nil" w:sz="6" w:space="0" w:color="auto"/>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2"/>
              <w:jc w:val="left"/>
              <w:rPr>
                <w:rFonts w:ascii="Times New Roman" w:hAnsi="Times New Roman" w:cs="Times New Roman" w:eastAsia="Times New Roman" w:hint="default"/>
                <w:sz w:val="18"/>
                <w:szCs w:val="18"/>
              </w:rPr>
            </w:pPr>
            <w:r>
              <w:rPr>
                <w:rFonts w:ascii="宋体" w:hAnsi="宋体" w:cs="宋体" w:eastAsia="宋体" w:hint="default"/>
                <w:spacing w:val="-13"/>
                <w:sz w:val="18"/>
                <w:szCs w:val="18"/>
              </w:rPr>
              <w:t>杨忆明、周保</w:t>
            </w:r>
            <w:r>
              <w:rPr>
                <w:rFonts w:ascii="宋体" w:hAnsi="宋体" w:cs="宋体" w:eastAsia="宋体" w:hint="default"/>
                <w:sz w:val="18"/>
                <w:szCs w:val="18"/>
              </w:rPr>
              <w:t> 国、全江楚</w:t>
            </w:r>
            <w:r>
              <w:rPr>
                <w:rFonts w:ascii="Times New Roman" w:hAnsi="Times New Roman" w:cs="Times New Roman" w:eastAsia="Times New Roman" w:hint="default"/>
                <w:sz w:val="18"/>
                <w:szCs w:val="18"/>
              </w:rPr>
              <w:t>”</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26"/>
              <w:jc w:val="left"/>
              <w:rPr>
                <w:rFonts w:ascii="宋体" w:hAnsi="宋体" w:cs="宋体" w:eastAsia="宋体" w:hint="default"/>
                <w:sz w:val="18"/>
                <w:szCs w:val="18"/>
              </w:rPr>
            </w:pPr>
            <w:r>
              <w:rPr>
                <w:rFonts w:ascii="宋体" w:hAnsi="宋体" w:cs="宋体" w:eastAsia="宋体" w:hint="default"/>
                <w:sz w:val="18"/>
                <w:szCs w:val="18"/>
              </w:rPr>
              <w:t>人管理其在本次发行前已 持有的发行人股份，也不 由发行人回购该部分股 份。上述锁定期结束后， 在公司任职期间每年转让 的股份不超过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 后半年内，不转让所持有 的发行人股份。</w:t>
            </w:r>
          </w:p>
        </w:tc>
        <w:tc>
          <w:tcPr>
            <w:tcW w:w="922"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125"/>
              <w:jc w:val="both"/>
              <w:rPr>
                <w:rFonts w:ascii="宋体" w:hAnsi="宋体" w:cs="宋体" w:eastAsia="宋体" w:hint="default"/>
                <w:sz w:val="18"/>
                <w:szCs w:val="18"/>
              </w:rPr>
            </w:pPr>
            <w:r>
              <w:rPr>
                <w:rFonts w:ascii="宋体" w:hAnsi="宋体" w:cs="宋体" w:eastAsia="宋体" w:hint="default"/>
                <w:sz w:val="18"/>
                <w:szCs w:val="18"/>
              </w:rPr>
              <w:t>上海船舶运 输科学研究 所</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5"/>
              <w:jc w:val="both"/>
              <w:rPr>
                <w:rFonts w:ascii="宋体" w:hAnsi="宋体" w:cs="宋体" w:eastAsia="宋体" w:hint="default"/>
                <w:sz w:val="18"/>
                <w:szCs w:val="18"/>
              </w:rPr>
            </w:pPr>
            <w:r>
              <w:rPr>
                <w:rFonts w:ascii="宋体" w:hAnsi="宋体" w:cs="宋体" w:eastAsia="宋体" w:hint="default"/>
                <w:sz w:val="18"/>
                <w:szCs w:val="18"/>
              </w:rPr>
              <w:t>本所承诺不利用中海科技 控股股东身份从事任何损 害或可能损害中海科技及 其他股东权益的活动。</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长期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40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45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 问题作出承诺</w:t>
            </w:r>
          </w:p>
        </w:tc>
        <w:tc>
          <w:tcPr>
            <w:tcW w:w="645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45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455"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3"/>
                <w:sz w:val="18"/>
                <w:szCs w:val="18"/>
              </w:rPr>
              <w:t>如果本所及下属控股子公司（除中海科技外）因违反上述承诺而导致中海科技或其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他股东权益受到损害，本所将依法承担相应的赔偿责任。</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45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line="240" w:lineRule="auto" w:before="3"/>
        <w:rPr>
          <w:rFonts w:ascii="宋体" w:hAnsi="宋体" w:cs="宋体" w:eastAsia="宋体" w:hint="default"/>
          <w:b/>
          <w:bCs/>
          <w:sz w:val="19"/>
          <w:szCs w:val="19"/>
        </w:rPr>
      </w:pPr>
    </w:p>
    <w:p>
      <w:pPr>
        <w:pStyle w:val="Heading5"/>
        <w:spacing w:line="259" w:lineRule="auto" w:before="36"/>
        <w:ind w:right="981"/>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1"/>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1"/>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张坚、党小安、俞扬</w:t>
            </w:r>
          </w:p>
        </w:tc>
      </w:tr>
      <w:tr>
        <w:trPr>
          <w:trHeight w:val="404"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981"/>
        <w:jc w:val="left"/>
      </w:pPr>
      <w:r>
        <w:rPr/>
        <w:t>当期是否改聘会计师事务所</w:t>
      </w:r>
    </w:p>
    <w:p>
      <w:pPr>
        <w:pStyle w:val="BodyText"/>
        <w:spacing w:line="340" w:lineRule="auto" w:before="115"/>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1340" w:top="1100" w:bottom="1540" w:left="980" w:right="0"/>
        </w:sectPr>
      </w:pPr>
    </w:p>
    <w:p>
      <w:pPr>
        <w:spacing w:line="240" w:lineRule="auto" w:before="9"/>
        <w:rPr>
          <w:rFonts w:ascii="宋体" w:hAnsi="宋体" w:cs="宋体" w:eastAsia="宋体" w:hint="default"/>
          <w:sz w:val="19"/>
          <w:szCs w:val="19"/>
        </w:rPr>
      </w:pPr>
    </w:p>
    <w:p>
      <w:pPr>
        <w:pStyle w:val="Heading3"/>
        <w:spacing w:line="240" w:lineRule="auto" w:before="26"/>
        <w:ind w:right="981"/>
        <w:jc w:val="left"/>
        <w:rPr>
          <w:b w:val="0"/>
          <w:bCs w:val="0"/>
        </w:rPr>
      </w:pPr>
      <w:r>
        <w:rPr/>
        <w:t>十、监事会、独立董事（如适用）对会计师事务所本报告期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981"/>
        <w:jc w:val="left"/>
        <w:rPr>
          <w:b w:val="0"/>
          <w:bCs w:val="0"/>
        </w:rPr>
      </w:pPr>
      <w:r>
        <w:rPr/>
        <w:t>十一、处罚及整改情况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1"/>
        <w:jc w:val="left"/>
        <w:rPr>
          <w:b w:val="0"/>
          <w:bCs w:val="0"/>
        </w:rPr>
      </w:pPr>
      <w:r>
        <w:rPr/>
        <w:t>十二、年度报告披露后面临暂停上市和终止上市情况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3"/>
        <w:spacing w:line="240" w:lineRule="auto"/>
        <w:ind w:right="981"/>
        <w:jc w:val="left"/>
        <w:rPr>
          <w:b w:val="0"/>
          <w:bCs w:val="0"/>
        </w:rPr>
      </w:pPr>
      <w:r>
        <w:rPr/>
        <w:t>十三、其他重大事项的说明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981"/>
        <w:jc w:val="left"/>
        <w:rPr>
          <w:b w:val="0"/>
          <w:bCs w:val="0"/>
        </w:rPr>
      </w:pPr>
      <w:r>
        <w:rPr/>
        <w:t>十四、公司子公司重要事项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981"/>
        <w:jc w:val="left"/>
        <w:rPr>
          <w:b w:val="0"/>
          <w:bCs w:val="0"/>
        </w:rPr>
      </w:pPr>
      <w:r>
        <w:rPr/>
        <w:t>十五、公司发行公司债券的情况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1340" w:top="110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2964" w:right="981"/>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981"/>
        <w:jc w:val="left"/>
        <w:rPr>
          <w:b w:val="0"/>
          <w:bCs w:val="0"/>
        </w:rPr>
      </w:pPr>
      <w:r>
        <w:rPr/>
        <w:t>一、</w:t>
      </w:r>
      <w:r>
        <w:rPr>
          <w:spacing w:val="-94"/>
        </w:rPr>
        <w:t> </w:t>
      </w:r>
      <w:r>
        <w:rPr/>
        <w:t>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33"/>
        <w:gridCol w:w="1132"/>
        <w:gridCol w:w="744"/>
        <w:gridCol w:w="845"/>
        <w:gridCol w:w="843"/>
        <w:gridCol w:w="972"/>
        <w:gridCol w:w="713"/>
        <w:gridCol w:w="989"/>
        <w:gridCol w:w="991"/>
        <w:gridCol w:w="852"/>
      </w:tblGrid>
      <w:tr>
        <w:trPr>
          <w:trHeight w:val="206" w:hRule="exact"/>
        </w:trPr>
        <w:tc>
          <w:tcPr>
            <w:tcW w:w="18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7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8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6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8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6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833" w:type="dxa"/>
            <w:vMerge w:val="restart"/>
            <w:tcBorders>
              <w:top w:val="nil" w:sz="6" w:space="0" w:color="auto"/>
              <w:left w:val="single" w:sz="4" w:space="0" w:color="000000"/>
              <w:right w:val="single" w:sz="4" w:space="0" w:color="000000"/>
            </w:tcBorders>
            <w:shd w:val="clear" w:color="auto" w:fill="D2D2D2"/>
          </w:tcPr>
          <w:p>
            <w:pPr/>
          </w:p>
        </w:tc>
        <w:tc>
          <w:tcPr>
            <w:tcW w:w="1876" w:type="dxa"/>
            <w:gridSpan w:val="2"/>
            <w:vMerge/>
            <w:tcBorders>
              <w:left w:val="single" w:sz="4" w:space="0" w:color="000000"/>
              <w:bottom w:val="single" w:sz="4" w:space="0" w:color="000000"/>
              <w:right w:val="single" w:sz="4" w:space="0" w:color="000000"/>
            </w:tcBorders>
            <w:shd w:val="clear" w:color="auto" w:fill="D2D2D2"/>
          </w:tcPr>
          <w:p>
            <w:pPr/>
          </w:p>
        </w:tc>
        <w:tc>
          <w:tcPr>
            <w:tcW w:w="4362" w:type="dxa"/>
            <w:gridSpan w:val="5"/>
            <w:vMerge/>
            <w:tcBorders>
              <w:left w:val="single" w:sz="4" w:space="0" w:color="000000"/>
              <w:bottom w:val="single" w:sz="4" w:space="0" w:color="000000"/>
              <w:right w:val="single" w:sz="4" w:space="0" w:color="000000"/>
            </w:tcBorders>
            <w:shd w:val="clear" w:color="auto" w:fill="D2D2D2"/>
          </w:tcPr>
          <w:p>
            <w:pPr/>
          </w:p>
        </w:tc>
        <w:tc>
          <w:tcPr>
            <w:tcW w:w="1843"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833" w:type="dxa"/>
            <w:vMerge/>
            <w:tcBorders>
              <w:left w:val="single" w:sz="4" w:space="0" w:color="000000"/>
              <w:bottom w:val="nil" w:sz="6" w:space="0" w:color="auto"/>
              <w:right w:val="single" w:sz="4" w:space="0" w:color="000000"/>
            </w:tcBorders>
            <w:shd w:val="clear" w:color="auto" w:fill="D2D2D2"/>
          </w:tcPr>
          <w:p>
            <w:pPr/>
          </w:p>
        </w:tc>
        <w:tc>
          <w:tcPr>
            <w:tcW w:w="11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7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4" w:hRule="exact"/>
        </w:trPr>
        <w:tc>
          <w:tcPr>
            <w:tcW w:w="18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2" w:type="dxa"/>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45" w:type="dxa"/>
            <w:vMerge/>
            <w:tcBorders>
              <w:left w:val="single" w:sz="4" w:space="0" w:color="000000"/>
              <w:bottom w:val="single" w:sz="4" w:space="0" w:color="000000"/>
              <w:right w:val="single" w:sz="4" w:space="0" w:color="000000"/>
            </w:tcBorders>
            <w:shd w:val="clear" w:color="auto" w:fill="D2D2D2"/>
          </w:tcPr>
          <w:p>
            <w:pPr/>
          </w:p>
        </w:tc>
        <w:tc>
          <w:tcPr>
            <w:tcW w:w="843" w:type="dxa"/>
            <w:vMerge/>
            <w:tcBorders>
              <w:left w:val="single" w:sz="4" w:space="0" w:color="000000"/>
              <w:bottom w:val="single" w:sz="4" w:space="0" w:color="000000"/>
              <w:right w:val="single" w:sz="4" w:space="0" w:color="000000"/>
            </w:tcBorders>
            <w:shd w:val="clear" w:color="auto" w:fill="D2D2D2"/>
          </w:tcPr>
          <w:p>
            <w:pPr/>
          </w:p>
        </w:tc>
        <w:tc>
          <w:tcPr>
            <w:tcW w:w="972" w:type="dxa"/>
            <w:vMerge/>
            <w:tcBorders>
              <w:left w:val="single" w:sz="4" w:space="0" w:color="000000"/>
              <w:bottom w:val="single" w:sz="4" w:space="0" w:color="000000"/>
              <w:right w:val="single" w:sz="4" w:space="0" w:color="000000"/>
            </w:tcBorders>
            <w:shd w:val="clear" w:color="auto" w:fill="D2D2D2"/>
          </w:tcPr>
          <w:p>
            <w:pPr/>
          </w:p>
        </w:tc>
        <w:tc>
          <w:tcPr>
            <w:tcW w:w="713" w:type="dxa"/>
            <w:vMerge/>
            <w:tcBorders>
              <w:left w:val="single" w:sz="4" w:space="0" w:color="000000"/>
              <w:bottom w:val="single" w:sz="4" w:space="0" w:color="000000"/>
              <w:right w:val="single" w:sz="4" w:space="0" w:color="000000"/>
            </w:tcBorders>
            <w:shd w:val="clear" w:color="auto" w:fill="D2D2D2"/>
          </w:tcPr>
          <w:p>
            <w:pPr/>
          </w:p>
        </w:tc>
        <w:tc>
          <w:tcPr>
            <w:tcW w:w="989"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65,528,700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61.59%</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58,701,827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-304,448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58,397,379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123,926,079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61.3%</w:t>
            </w: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61,883,400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58.16%</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55,695,060</w:t>
            </w:r>
          </w:p>
        </w:tc>
        <w:tc>
          <w:tcPr>
            <w:tcW w:w="71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55,695,060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117,578,460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58.16%</w:t>
            </w: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3,645,300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3.43%</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3,006,767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-304,448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2,702,319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8" w:right="0"/>
              <w:jc w:val="center"/>
              <w:rPr>
                <w:rFonts w:ascii="Times New Roman" w:hAnsi="Times New Roman" w:cs="Times New Roman" w:eastAsia="Times New Roman" w:hint="default"/>
                <w:sz w:val="18"/>
                <w:szCs w:val="18"/>
              </w:rPr>
            </w:pPr>
            <w:r>
              <w:rPr>
                <w:rFonts w:ascii="Times New Roman"/>
                <w:sz w:val="18"/>
              </w:rPr>
              <w:t>6,347,619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3.14%</w:t>
            </w: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40,871,300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38.41%</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37,058,173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304,448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37,362,621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center"/>
              <w:rPr>
                <w:rFonts w:ascii="Times New Roman" w:hAnsi="Times New Roman" w:cs="Times New Roman" w:eastAsia="Times New Roman" w:hint="default"/>
                <w:sz w:val="18"/>
                <w:szCs w:val="18"/>
              </w:rPr>
            </w:pPr>
            <w:r>
              <w:rPr>
                <w:rFonts w:ascii="Times New Roman"/>
                <w:sz w:val="18"/>
              </w:rPr>
              <w:t>78,233,921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38.70%</w:t>
            </w: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40,871,300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38.41%</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37,058,173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center"/>
              <w:rPr>
                <w:rFonts w:ascii="Times New Roman" w:hAnsi="Times New Roman" w:cs="Times New Roman" w:eastAsia="Times New Roman" w:hint="default"/>
                <w:sz w:val="18"/>
                <w:szCs w:val="18"/>
              </w:rPr>
            </w:pPr>
            <w:r>
              <w:rPr>
                <w:rFonts w:ascii="Times New Roman"/>
                <w:sz w:val="18"/>
              </w:rPr>
              <w:t>304,448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37,362,621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center"/>
              <w:rPr>
                <w:rFonts w:ascii="Times New Roman" w:hAnsi="Times New Roman" w:cs="Times New Roman" w:eastAsia="Times New Roman" w:hint="default"/>
                <w:sz w:val="18"/>
                <w:szCs w:val="18"/>
              </w:rPr>
            </w:pPr>
            <w:r>
              <w:rPr>
                <w:rFonts w:ascii="Times New Roman"/>
                <w:sz w:val="18"/>
              </w:rPr>
              <w:t>78,233,921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38.70%</w:t>
            </w: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106,400,000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95,760,000</w:t>
            </w:r>
          </w:p>
        </w:tc>
        <w:tc>
          <w:tcPr>
            <w:tcW w:w="71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95,760,000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202,160,000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981"/>
        <w:jc w:val="left"/>
      </w:pPr>
      <w:r>
        <w:rPr/>
        <w:t>股份变动的原因</w:t>
      </w:r>
    </w:p>
    <w:p>
      <w:pPr>
        <w:pStyle w:val="Heading4"/>
        <w:spacing w:line="240" w:lineRule="auto" w:before="161"/>
        <w:ind w:left="592" w:right="981"/>
        <w:jc w:val="left"/>
      </w:pPr>
      <w:r>
        <w:rPr>
          <w:rFonts w:ascii="宋体" w:hAnsi="宋体" w:cs="宋体" w:eastAsia="宋体" w:hint="default"/>
        </w:rPr>
        <w:t>1</w:t>
      </w:r>
      <w:r>
        <w:rPr/>
        <w:t>、“公积金转股”的变动是由于公司在</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20</w:t>
      </w:r>
      <w:r>
        <w:rPr/>
        <w:t>日实施了</w:t>
      </w:r>
      <w:r>
        <w:rPr>
          <w:rFonts w:ascii="宋体" w:hAnsi="宋体" w:cs="宋体" w:eastAsia="宋体" w:hint="default"/>
        </w:rPr>
        <w:t>2011</w:t>
      </w:r>
      <w:r>
        <w:rPr/>
        <w:t>年度权益分派方案，以公司</w:t>
      </w:r>
    </w:p>
    <w:p>
      <w:pPr>
        <w:pStyle w:val="Heading4"/>
        <w:spacing w:line="240" w:lineRule="auto" w:before="180"/>
        <w:ind w:right="981"/>
        <w:jc w:val="left"/>
      </w:pPr>
      <w:r>
        <w:rPr>
          <w:rFonts w:ascii="宋体" w:hAnsi="宋体" w:cs="宋体" w:eastAsia="宋体" w:hint="default"/>
        </w:rPr>
        <w:t>2011</w:t>
      </w:r>
      <w:r>
        <w:rPr/>
        <w:t>年末总股本</w:t>
      </w:r>
      <w:r>
        <w:rPr>
          <w:rFonts w:ascii="宋体" w:hAnsi="宋体" w:cs="宋体" w:eastAsia="宋体" w:hint="default"/>
        </w:rPr>
        <w:t>106,400,000</w:t>
      </w:r>
      <w:r>
        <w:rPr/>
        <w:t>股为基数，以资本公积金向全体股东每</w:t>
      </w:r>
      <w:r>
        <w:rPr>
          <w:rFonts w:ascii="宋体" w:hAnsi="宋体" w:cs="宋体" w:eastAsia="宋体" w:hint="default"/>
        </w:rPr>
        <w:t>10</w:t>
      </w:r>
      <w:r>
        <w:rPr/>
        <w:t>股转增</w:t>
      </w:r>
      <w:r>
        <w:rPr>
          <w:rFonts w:ascii="宋体" w:hAnsi="宋体" w:cs="宋体" w:eastAsia="宋体" w:hint="default"/>
        </w:rPr>
        <w:t>9</w:t>
      </w:r>
      <w:r>
        <w:rPr/>
        <w:t>股；</w:t>
      </w:r>
    </w:p>
    <w:p>
      <w:pPr>
        <w:pStyle w:val="Heading4"/>
        <w:spacing w:line="240" w:lineRule="auto" w:before="180"/>
        <w:ind w:left="592" w:right="981"/>
        <w:jc w:val="left"/>
      </w:pPr>
      <w:r>
        <w:rPr>
          <w:rFonts w:ascii="宋体" w:hAnsi="宋体" w:cs="宋体" w:eastAsia="宋体" w:hint="default"/>
        </w:rPr>
        <w:t>2</w:t>
      </w:r>
      <w:r>
        <w:rPr/>
        <w:t>、“其他”的变动系高管减持所致。</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17"/>
          <w:szCs w:val="17"/>
        </w:rPr>
      </w:pPr>
    </w:p>
    <w:p>
      <w:pPr>
        <w:pStyle w:val="BodyText"/>
        <w:spacing w:line="240" w:lineRule="auto"/>
        <w:ind w:right="981"/>
        <w:jc w:val="left"/>
      </w:pPr>
      <w:r>
        <w:rPr/>
        <w:t>股份变动的批准情况</w:t>
      </w:r>
    </w:p>
    <w:p>
      <w:pPr>
        <w:pStyle w:val="BodyText"/>
        <w:spacing w:line="240" w:lineRule="auto" w:before="115"/>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4"/>
        <w:spacing w:line="240" w:lineRule="auto" w:before="150"/>
        <w:ind w:left="592" w:right="981"/>
        <w:jc w:val="left"/>
      </w:pP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28</w:t>
      </w:r>
      <w:r>
        <w:rPr/>
        <w:t>日，公司</w:t>
      </w:r>
      <w:r>
        <w:rPr>
          <w:rFonts w:ascii="宋体" w:hAnsi="宋体" w:cs="宋体" w:eastAsia="宋体" w:hint="default"/>
        </w:rPr>
        <w:t>2011</w:t>
      </w:r>
      <w:r>
        <w:rPr/>
        <w:t>年度股东大会审议通过了</w:t>
      </w:r>
      <w:r>
        <w:rPr>
          <w:rFonts w:ascii="宋体" w:hAnsi="宋体" w:cs="宋体" w:eastAsia="宋体" w:hint="default"/>
        </w:rPr>
        <w:t>2011</w:t>
      </w:r>
      <w:r>
        <w:rPr/>
        <w:t>年年度权益分派方案，方案为：以公司</w:t>
      </w:r>
    </w:p>
    <w:p>
      <w:pPr>
        <w:pStyle w:val="Heading4"/>
        <w:spacing w:line="391" w:lineRule="auto" w:before="180"/>
        <w:ind w:right="981"/>
        <w:jc w:val="left"/>
      </w:pPr>
      <w:r>
        <w:rPr>
          <w:rFonts w:ascii="宋体" w:hAnsi="宋体" w:cs="宋体" w:eastAsia="宋体" w:hint="default"/>
          <w:spacing w:val="-2"/>
        </w:rPr>
        <w:t>2011</w:t>
      </w:r>
      <w:r>
        <w:rPr>
          <w:spacing w:val="-2"/>
        </w:rPr>
        <w:t>年末总股本</w:t>
      </w:r>
      <w:r>
        <w:rPr>
          <w:rFonts w:ascii="宋体" w:hAnsi="宋体" w:cs="宋体" w:eastAsia="宋体" w:hint="default"/>
          <w:spacing w:val="-2"/>
        </w:rPr>
        <w:t>106,400,000</w:t>
      </w:r>
      <w:r>
        <w:rPr>
          <w:spacing w:val="-2"/>
        </w:rPr>
        <w:t>股为基数，向全体股东每</w:t>
      </w:r>
      <w:r>
        <w:rPr>
          <w:rFonts w:ascii="宋体" w:hAnsi="宋体" w:cs="宋体" w:eastAsia="宋体" w:hint="default"/>
          <w:spacing w:val="-2"/>
        </w:rPr>
        <w:t>10</w:t>
      </w:r>
      <w:r>
        <w:rPr>
          <w:spacing w:val="-2"/>
        </w:rPr>
        <w:t>股派</w:t>
      </w:r>
      <w:r>
        <w:rPr>
          <w:rFonts w:ascii="宋体" w:hAnsi="宋体" w:cs="宋体" w:eastAsia="宋体" w:hint="default"/>
          <w:spacing w:val="-2"/>
        </w:rPr>
        <w:t>1</w:t>
      </w:r>
      <w:r>
        <w:rPr>
          <w:spacing w:val="-2"/>
        </w:rPr>
        <w:t>元人民币现金（含税）；同时，以资本</w:t>
      </w:r>
      <w:r>
        <w:rPr>
          <w:spacing w:val="-57"/>
        </w:rPr>
        <w:t> </w:t>
      </w:r>
      <w:r>
        <w:rPr>
          <w:spacing w:val="-57"/>
        </w:rPr>
      </w:r>
      <w:r>
        <w:rPr/>
        <w:t>公积金向全体股东每</w:t>
      </w:r>
      <w:r>
        <w:rPr>
          <w:rFonts w:ascii="宋体" w:hAnsi="宋体" w:cs="宋体" w:eastAsia="宋体" w:hint="default"/>
        </w:rPr>
        <w:t>10</w:t>
      </w:r>
      <w:r>
        <w:rPr/>
        <w:t>股转增</w:t>
      </w:r>
      <w:r>
        <w:rPr>
          <w:rFonts w:ascii="宋体" w:hAnsi="宋体" w:cs="宋体" w:eastAsia="宋体" w:hint="default"/>
        </w:rPr>
        <w:t>9</w:t>
      </w:r>
      <w:r>
        <w:rPr/>
        <w:t>股。</w:t>
      </w:r>
    </w:p>
    <w:p>
      <w:pPr>
        <w:pStyle w:val="BodyText"/>
        <w:spacing w:line="357" w:lineRule="auto" w:before="35"/>
        <w:ind w:right="9134"/>
        <w:jc w:val="left"/>
      </w:pPr>
      <w:r>
        <w:rPr/>
        <w:t>股份变动的过户情况 无</w:t>
      </w:r>
    </w:p>
    <w:p>
      <w:pPr>
        <w:pStyle w:val="BodyText"/>
        <w:spacing w:line="240" w:lineRule="auto" w:before="29"/>
        <w:ind w:right="981"/>
        <w:jc w:val="left"/>
      </w:pPr>
      <w:r>
        <w:rPr/>
        <w:t>股份变动对最近一年和最近一期基本每股收益和稀释每股收益、归属于公司普通股股东的每股净资产等财务指标的影响</w:t>
      </w:r>
    </w:p>
    <w:p>
      <w:pPr>
        <w:pStyle w:val="BodyText"/>
        <w:spacing w:line="34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 无</w:t>
      </w:r>
    </w:p>
    <w:p>
      <w:pPr>
        <w:spacing w:after="0" w:line="348" w:lineRule="auto"/>
        <w:jc w:val="left"/>
        <w:sectPr>
          <w:pgSz w:w="11910" w:h="16840"/>
          <w:pgMar w:header="877" w:footer="1340" w:top="1100" w:bottom="1540" w:left="980" w:right="0"/>
        </w:sectPr>
      </w:pPr>
    </w:p>
    <w:p>
      <w:pPr>
        <w:spacing w:line="240" w:lineRule="auto" w:before="9"/>
        <w:rPr>
          <w:rFonts w:ascii="宋体" w:hAnsi="宋体" w:cs="宋体" w:eastAsia="宋体" w:hint="default"/>
          <w:sz w:val="19"/>
          <w:szCs w:val="19"/>
        </w:rPr>
      </w:pPr>
    </w:p>
    <w:p>
      <w:pPr>
        <w:pStyle w:val="Heading3"/>
        <w:spacing w:line="240" w:lineRule="auto" w:before="26"/>
        <w:ind w:right="981"/>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981"/>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609"/>
        <w:gridCol w:w="1418"/>
        <w:gridCol w:w="1136"/>
        <w:gridCol w:w="1702"/>
        <w:gridCol w:w="1133"/>
        <w:gridCol w:w="1207"/>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6"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7" w:right="71" w:hanging="452"/>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2" w:right="110" w:hanging="180"/>
              <w:jc w:val="left"/>
              <w:rPr>
                <w:rFonts w:ascii="宋体" w:hAnsi="宋体" w:cs="宋体" w:eastAsia="宋体" w:hint="default"/>
                <w:sz w:val="18"/>
                <w:szCs w:val="18"/>
              </w:rPr>
            </w:pPr>
            <w:r>
              <w:rPr>
                <w:rFonts w:ascii="宋体" w:hAnsi="宋体" w:cs="宋体" w:eastAsia="宋体" w:hint="default"/>
                <w:sz w:val="18"/>
                <w:szCs w:val="18"/>
              </w:rPr>
              <w:t>获准上市交 易数量</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6"/>
                <w:sz w:val="18"/>
                <w:szCs w:val="18"/>
              </w:rPr>
              <w:t>交技发展（</w:t>
            </w:r>
            <w:r>
              <w:rPr>
                <w:rFonts w:ascii="Times New Roman" w:hAnsi="Times New Roman" w:cs="Times New Roman" w:eastAsia="Times New Roman" w:hint="default"/>
                <w:spacing w:val="-6"/>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415" w:lineRule="exact"/>
              <w:ind w:left="2" w:right="-17"/>
              <w:jc w:val="left"/>
              <w:rPr>
                <w:rFonts w:ascii="宋体" w:hAnsi="宋体" w:cs="宋体" w:eastAsia="宋体" w:hint="default"/>
                <w:sz w:val="20"/>
                <w:szCs w:val="20"/>
              </w:rPr>
            </w:pPr>
            <w:r>
              <w:rPr>
                <w:rFonts w:ascii="宋体" w:hAnsi="宋体" w:cs="宋体" w:eastAsia="宋体" w:hint="default"/>
                <w:position w:val="-7"/>
                <w:sz w:val="20"/>
                <w:szCs w:val="20"/>
              </w:rPr>
              <w:pict>
                <v:group style="width:78.75pt;height:20.8pt;mso-position-horizontal-relative:char;mso-position-vertical-relative:line" coordorigin="0,0" coordsize="1575,416">
                  <v:group style="position:absolute;left:11;top:11;width:2;height:394" coordorigin="11,11" coordsize="2,394">
                    <v:shape style="position:absolute;left:11;top:11;width:2;height:394" coordorigin="11,11" coordsize="0,394" path="m11,11l11,404e" filled="false" stroked="true" strokeweight="1.08pt" strokecolor="#ffffff">
                      <v:path arrowok="t"/>
                    </v:shape>
                  </v:group>
                  <v:group style="position:absolute;left:22;top:11;width:1554;height:394" coordorigin="22,11" coordsize="1554,394">
                    <v:shape style="position:absolute;left:22;top:11;width:1554;height:394" coordorigin="22,11" coordsize="1554,394" path="m22,404l1575,404,1575,11,22,11,22,404xe" filled="true" fillcolor="#ffffff" stroked="false">
                      <v:path arrowok="t"/>
                      <v:fill type="solid"/>
                    </v:shape>
                  </v:group>
                </v:group>
              </w:pict>
            </w:r>
            <w:r>
              <w:rPr>
                <w:rFonts w:ascii="宋体" w:hAnsi="宋体" w:cs="宋体" w:eastAsia="宋体" w:hint="default"/>
                <w:position w:val="-7"/>
                <w:sz w:val="20"/>
                <w:szCs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26.40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13,300,000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13,300,000</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r>
              <w:rPr>
                <w:rFonts w:ascii="Times New Roman" w:hAnsi="Times New Roman" w:cs="Times New Roman" w:eastAsia="Times New Roman" w:hint="default"/>
                <w:sz w:val="18"/>
                <w:szCs w:val="18"/>
              </w:rPr>
              <w:t>—</w:t>
            </w:r>
            <w:r>
              <w:rPr>
                <w:rFonts w:ascii="宋体" w:hAnsi="宋体" w:cs="宋体" w:eastAsia="宋体" w:hint="default"/>
                <w:sz w:val="18"/>
                <w:szCs w:val="18"/>
              </w:rPr>
              <w:t>无</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权证类</w:t>
            </w:r>
            <w:r>
              <w:rPr>
                <w:rFonts w:ascii="Times New Roman" w:hAnsi="Times New Roman" w:cs="Times New Roman" w:eastAsia="Times New Roman" w:hint="default"/>
                <w:sz w:val="18"/>
                <w:szCs w:val="18"/>
              </w:rPr>
              <w:t>—</w:t>
            </w:r>
            <w:r>
              <w:rPr>
                <w:rFonts w:ascii="宋体" w:hAnsi="宋体" w:cs="宋体" w:eastAsia="宋体" w:hint="default"/>
                <w:sz w:val="18"/>
                <w:szCs w:val="18"/>
              </w:rPr>
              <w:t>无</w:t>
            </w:r>
          </w:p>
        </w:tc>
      </w:tr>
    </w:tbl>
    <w:p>
      <w:pPr>
        <w:pStyle w:val="BodyText"/>
        <w:spacing w:line="240" w:lineRule="auto" w:before="49"/>
        <w:ind w:right="981"/>
        <w:jc w:val="left"/>
      </w:pPr>
      <w:r>
        <w:rPr/>
        <w:pict>
          <v:shape style="position:absolute;margin-left:119.18pt;margin-top:-60.358299pt;width:85pt;height:19.7pt;mso-position-horizontal-relative:page;mso-position-vertical-relative:paragraph;z-index:-560368" type="#_x0000_t202" filled="false" stroked="false">
            <v:textbox inset="0,0,0,0">
              <w:txbxContent>
                <w:p>
                  <w:pPr>
                    <w:pStyle w:val="BodyText"/>
                    <w:spacing w:line="240" w:lineRule="auto" w:before="49"/>
                    <w:ind w:left="0" w:right="0"/>
                    <w:jc w:val="left"/>
                  </w:pPr>
                  <w:r>
                    <w:rPr/>
                    <w:t>）</w:t>
                  </w:r>
                </w:p>
              </w:txbxContent>
            </v:textbox>
            <w10:wrap type="none"/>
          </v:shape>
        </w:pict>
      </w:r>
      <w:r>
        <w:rPr/>
        <w:t>前三年历次证券发行情况的说明</w:t>
      </w:r>
    </w:p>
    <w:p>
      <w:pPr>
        <w:spacing w:line="240" w:lineRule="auto" w:before="5"/>
        <w:rPr>
          <w:rFonts w:ascii="宋体" w:hAnsi="宋体" w:cs="宋体" w:eastAsia="宋体" w:hint="default"/>
          <w:sz w:val="12"/>
          <w:szCs w:val="12"/>
        </w:rPr>
      </w:pPr>
    </w:p>
    <w:p>
      <w:pPr>
        <w:pStyle w:val="Heading4"/>
        <w:spacing w:line="240" w:lineRule="auto" w:before="0"/>
        <w:ind w:left="0" w:right="1200"/>
        <w:jc w:val="right"/>
      </w:pPr>
      <w:r>
        <w:rPr>
          <w:rFonts w:ascii="宋体" w:hAnsi="宋体" w:cs="宋体" w:eastAsia="宋体" w:hint="default"/>
          <w:spacing w:val="-1"/>
        </w:rPr>
        <w:t>1</w:t>
      </w:r>
      <w:r>
        <w:rPr>
          <w:spacing w:val="-1"/>
        </w:rPr>
        <w:t>、经中国证监会《关于核准上海交技发展股份有限公司首次公开发行股票的批复》（证监许可</w:t>
      </w:r>
    </w:p>
    <w:p>
      <w:pPr>
        <w:pStyle w:val="Heading4"/>
        <w:spacing w:line="391" w:lineRule="auto" w:before="180"/>
        <w:ind w:right="981"/>
        <w:jc w:val="left"/>
      </w:pPr>
      <w:r>
        <w:rPr>
          <w:spacing w:val="-4"/>
        </w:rPr>
        <w:t>【</w:t>
      </w:r>
      <w:r>
        <w:rPr>
          <w:rFonts w:ascii="宋体" w:hAnsi="宋体" w:cs="宋体" w:eastAsia="宋体" w:hint="default"/>
          <w:spacing w:val="-4"/>
        </w:rPr>
        <w:t>2010</w:t>
      </w:r>
      <w:r>
        <w:rPr>
          <w:spacing w:val="-4"/>
        </w:rPr>
        <w:t>】</w:t>
      </w:r>
      <w:r>
        <w:rPr>
          <w:rFonts w:ascii="宋体" w:hAnsi="宋体" w:cs="宋体" w:eastAsia="宋体" w:hint="default"/>
          <w:spacing w:val="-4"/>
        </w:rPr>
        <w:t>406</w:t>
      </w:r>
      <w:r>
        <w:rPr>
          <w:spacing w:val="-4"/>
        </w:rPr>
        <w:t>号）核准，公司于</w:t>
      </w:r>
      <w:r>
        <w:rPr>
          <w:rFonts w:ascii="宋体" w:hAnsi="宋体" w:cs="宋体" w:eastAsia="宋体" w:hint="default"/>
          <w:spacing w:val="-4"/>
        </w:rPr>
        <w:t>2010</w:t>
      </w:r>
      <w:r>
        <w:rPr>
          <w:spacing w:val="-4"/>
        </w:rPr>
        <w:t>年首次公开发行人民币普通股</w:t>
      </w:r>
      <w:r>
        <w:rPr>
          <w:rFonts w:ascii="宋体" w:hAnsi="宋体" w:cs="宋体" w:eastAsia="宋体" w:hint="default"/>
          <w:spacing w:val="-4"/>
        </w:rPr>
        <w:t>1,330</w:t>
      </w:r>
      <w:r>
        <w:rPr>
          <w:spacing w:val="-4"/>
        </w:rPr>
        <w:t>万股，发行价格为</w:t>
      </w:r>
      <w:r>
        <w:rPr>
          <w:rFonts w:ascii="宋体" w:hAnsi="宋体" w:cs="宋体" w:eastAsia="宋体" w:hint="default"/>
          <w:spacing w:val="-4"/>
        </w:rPr>
        <w:t>26.40</w:t>
      </w:r>
      <w:r>
        <w:rPr>
          <w:spacing w:val="-4"/>
        </w:rPr>
        <w:t>元</w:t>
      </w:r>
      <w:r>
        <w:rPr>
          <w:rFonts w:ascii="宋体" w:hAnsi="宋体" w:cs="宋体" w:eastAsia="宋体" w:hint="default"/>
          <w:spacing w:val="-4"/>
        </w:rPr>
        <w:t>/</w:t>
      </w:r>
      <w:r>
        <w:rPr>
          <w:spacing w:val="-4"/>
        </w:rPr>
        <w:t>股，</w:t>
      </w:r>
      <w:r>
        <w:rPr>
          <w:spacing w:val="-48"/>
        </w:rPr>
        <w:t> </w:t>
      </w:r>
      <w:r>
        <w:rPr/>
        <w:t>发行后公司总股本为</w:t>
      </w:r>
      <w:r>
        <w:rPr>
          <w:rFonts w:ascii="宋体" w:hAnsi="宋体" w:cs="宋体" w:eastAsia="宋体" w:hint="default"/>
        </w:rPr>
        <w:t>5,320</w:t>
      </w:r>
      <w:r>
        <w:rPr/>
        <w:t>万股。</w:t>
      </w:r>
    </w:p>
    <w:p>
      <w:pPr>
        <w:pStyle w:val="Heading4"/>
        <w:spacing w:line="391" w:lineRule="auto"/>
        <w:ind w:right="1198" w:firstLine="439"/>
        <w:jc w:val="both"/>
      </w:pPr>
      <w:r>
        <w:rPr>
          <w:rFonts w:ascii="宋体" w:hAnsi="宋体" w:cs="宋体" w:eastAsia="宋体" w:hint="default"/>
          <w:spacing w:val="-1"/>
        </w:rPr>
        <w:t>2</w:t>
      </w:r>
      <w:r>
        <w:rPr>
          <w:spacing w:val="-1"/>
        </w:rPr>
        <w:t>．经深圳证券交易所《关于上海交技发展股份有限公司人民币普通股股票上市的通知》（深证</w:t>
      </w:r>
      <w:r>
        <w:rPr>
          <w:w w:val="100"/>
        </w:rPr>
        <w:t> </w:t>
      </w:r>
      <w:r>
        <w:rPr>
          <w:spacing w:val="-1"/>
        </w:rPr>
        <w:t>上【</w:t>
      </w:r>
      <w:r>
        <w:rPr>
          <w:rFonts w:ascii="宋体" w:hAnsi="宋体" w:cs="宋体" w:eastAsia="宋体" w:hint="default"/>
          <w:spacing w:val="-1"/>
        </w:rPr>
        <w:t>2010</w:t>
      </w:r>
      <w:r>
        <w:rPr>
          <w:spacing w:val="-1"/>
        </w:rPr>
        <w:t>】</w:t>
      </w:r>
      <w:r>
        <w:rPr>
          <w:rFonts w:ascii="宋体" w:hAnsi="宋体" w:cs="宋体" w:eastAsia="宋体" w:hint="default"/>
          <w:spacing w:val="-1"/>
        </w:rPr>
        <w:t>146</w:t>
      </w:r>
      <w:r>
        <w:rPr>
          <w:spacing w:val="-1"/>
        </w:rPr>
        <w:t>号文）同意，公司发行的人民币普通股股票在深圳证券交易所上市，股票简称“交技</w:t>
      </w:r>
      <w:r>
        <w:rPr>
          <w:spacing w:val="-73"/>
        </w:rPr>
        <w:t> </w:t>
      </w:r>
      <w:r>
        <w:rPr>
          <w:spacing w:val="-73"/>
        </w:rPr>
      </w:r>
      <w:r>
        <w:rPr>
          <w:spacing w:val="-1"/>
        </w:rPr>
        <w:t>发展”，股票代码“002401”。其中本次公开发行中网上定价发行的</w:t>
      </w:r>
      <w:r>
        <w:rPr>
          <w:rFonts w:ascii="宋体" w:hAnsi="宋体" w:cs="宋体" w:eastAsia="宋体" w:hint="default"/>
          <w:spacing w:val="-1"/>
        </w:rPr>
        <w:t>1,064</w:t>
      </w:r>
      <w:r>
        <w:rPr>
          <w:spacing w:val="-1"/>
        </w:rPr>
        <w:t>万股股票于</w:t>
      </w:r>
      <w:r>
        <w:rPr>
          <w:rFonts w:ascii="宋体" w:hAnsi="宋体" w:cs="宋体" w:eastAsia="宋体" w:hint="default"/>
          <w:spacing w:val="-1"/>
        </w:rPr>
        <w:t>2010</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6</w:t>
      </w:r>
      <w:r>
        <w:rPr>
          <w:spacing w:val="-1"/>
        </w:rPr>
        <w:t>日</w:t>
      </w:r>
      <w:r>
        <w:rPr>
          <w:spacing w:val="-65"/>
        </w:rPr>
        <w:t> </w:t>
      </w:r>
      <w:r>
        <w:rPr/>
        <w:t>起上市交易，网下向询价对象配售的</w:t>
      </w:r>
      <w:r>
        <w:rPr>
          <w:rFonts w:ascii="宋体" w:hAnsi="宋体" w:cs="宋体" w:eastAsia="宋体" w:hint="default"/>
        </w:rPr>
        <w:t>266</w:t>
      </w:r>
      <w:r>
        <w:rPr/>
        <w:t>万股股票于</w:t>
      </w:r>
      <w:r>
        <w:rPr>
          <w:rFonts w:ascii="宋体" w:hAnsi="宋体" w:cs="宋体" w:eastAsia="宋体" w:hint="default"/>
        </w:rPr>
        <w:t>2010</w:t>
      </w:r>
      <w:r>
        <w:rPr/>
        <w:t>年</w:t>
      </w:r>
      <w:r>
        <w:rPr>
          <w:rFonts w:ascii="宋体" w:hAnsi="宋体" w:cs="宋体" w:eastAsia="宋体" w:hint="default"/>
        </w:rPr>
        <w:t>8</w:t>
      </w:r>
      <w:r>
        <w:rPr/>
        <w:t>月</w:t>
      </w:r>
      <w:r>
        <w:rPr>
          <w:rFonts w:ascii="宋体" w:hAnsi="宋体" w:cs="宋体" w:eastAsia="宋体" w:hint="default"/>
        </w:rPr>
        <w:t>6</w:t>
      </w:r>
      <w:r>
        <w:rPr/>
        <w:t>日起上市交易。</w:t>
      </w:r>
    </w:p>
    <w:p>
      <w:pPr>
        <w:pStyle w:val="Heading4"/>
        <w:spacing w:line="391" w:lineRule="auto" w:before="42"/>
        <w:ind w:right="1131" w:firstLine="439"/>
        <w:jc w:val="both"/>
      </w:pPr>
      <w:r>
        <w:rPr>
          <w:rFonts w:ascii="宋体" w:hAnsi="宋体" w:cs="宋体" w:eastAsia="宋体" w:hint="default"/>
          <w:spacing w:val="-2"/>
        </w:rPr>
        <w:t>3</w:t>
      </w:r>
      <w:r>
        <w:rPr>
          <w:spacing w:val="-2"/>
        </w:rPr>
        <w:t>、</w:t>
      </w:r>
      <w:r>
        <w:rPr>
          <w:rFonts w:ascii="宋体" w:hAnsi="宋体" w:cs="宋体" w:eastAsia="宋体" w:hint="default"/>
          <w:spacing w:val="-2"/>
        </w:rPr>
        <w:t>2011</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29</w:t>
      </w:r>
      <w:r>
        <w:rPr>
          <w:spacing w:val="-2"/>
        </w:rPr>
        <w:t>日，公司</w:t>
      </w:r>
      <w:r>
        <w:rPr>
          <w:rFonts w:ascii="宋体" w:hAnsi="宋体" w:cs="宋体" w:eastAsia="宋体" w:hint="default"/>
          <w:spacing w:val="-2"/>
        </w:rPr>
        <w:t>2011</w:t>
      </w:r>
      <w:r>
        <w:rPr>
          <w:spacing w:val="-2"/>
        </w:rPr>
        <w:t>年第二次（临时）股东大会审议通过了《关于公司名称变更为中海</w:t>
      </w:r>
      <w:r>
        <w:rPr>
          <w:w w:val="100"/>
        </w:rPr>
        <w:t> </w:t>
      </w:r>
      <w:r>
        <w:rPr>
          <w:spacing w:val="-2"/>
        </w:rPr>
        <w:t>网络科技股份有限公司的议案》，将原公司名称“上海交技发展股份有限公司”变更为“中海网络科</w:t>
      </w:r>
      <w:r>
        <w:rPr>
          <w:spacing w:val="-72"/>
        </w:rPr>
        <w:t> </w:t>
      </w:r>
      <w:r>
        <w:rPr>
          <w:spacing w:val="-72"/>
        </w:rPr>
      </w:r>
      <w:r>
        <w:rPr/>
        <w:t>技股份有限公司”。证券简称变更为“中海科技”。</w:t>
      </w:r>
    </w:p>
    <w:p>
      <w:pPr>
        <w:spacing w:line="240" w:lineRule="auto" w:before="12"/>
        <w:rPr>
          <w:rFonts w:ascii="宋体" w:hAnsi="宋体" w:cs="宋体" w:eastAsia="宋体" w:hint="default"/>
          <w:sz w:val="20"/>
          <w:szCs w:val="20"/>
        </w:rPr>
      </w:pPr>
    </w:p>
    <w:p>
      <w:pPr>
        <w:pStyle w:val="Heading5"/>
        <w:spacing w:line="240" w:lineRule="auto"/>
        <w:ind w:right="981"/>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2"/>
        <w:rPr>
          <w:rFonts w:ascii="宋体" w:hAnsi="宋体" w:cs="宋体" w:eastAsia="宋体" w:hint="default"/>
          <w:b/>
          <w:bCs/>
          <w:sz w:val="29"/>
          <w:szCs w:val="29"/>
        </w:rPr>
      </w:pPr>
    </w:p>
    <w:p>
      <w:pPr>
        <w:pStyle w:val="Heading4"/>
        <w:spacing w:line="391" w:lineRule="auto" w:before="0"/>
        <w:ind w:right="1129" w:firstLine="439"/>
        <w:jc w:val="both"/>
      </w:pPr>
      <w:r>
        <w:rPr/>
        <w:t>经公司</w:t>
      </w:r>
      <w:r>
        <w:rPr>
          <w:rFonts w:ascii="宋体" w:hAnsi="宋体" w:cs="宋体" w:eastAsia="宋体" w:hint="default"/>
        </w:rPr>
        <w:t>2011</w:t>
      </w:r>
      <w:r>
        <w:rPr/>
        <w:t>年度股东大会审议通过，公司于</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20</w:t>
      </w:r>
      <w:r>
        <w:rPr/>
        <w:t>日实施了</w:t>
      </w:r>
      <w:r>
        <w:rPr>
          <w:rFonts w:ascii="宋体" w:hAnsi="宋体" w:cs="宋体" w:eastAsia="宋体" w:hint="default"/>
        </w:rPr>
        <w:t>2011</w:t>
      </w:r>
      <w:r>
        <w:rPr/>
        <w:t>年度权益分派方案，方案</w:t>
      </w:r>
      <w:r>
        <w:rPr>
          <w:w w:val="100"/>
        </w:rPr>
        <w:t> </w:t>
      </w:r>
      <w:r>
        <w:rPr>
          <w:spacing w:val="-2"/>
        </w:rPr>
        <w:t>为：以公司</w:t>
      </w:r>
      <w:r>
        <w:rPr>
          <w:rFonts w:ascii="宋体" w:hAnsi="宋体" w:cs="宋体" w:eastAsia="宋体" w:hint="default"/>
          <w:spacing w:val="-2"/>
        </w:rPr>
        <w:t>2011</w:t>
      </w:r>
      <w:r>
        <w:rPr>
          <w:spacing w:val="-2"/>
        </w:rPr>
        <w:t>年末总股本</w:t>
      </w:r>
      <w:r>
        <w:rPr>
          <w:rFonts w:ascii="宋体" w:hAnsi="宋体" w:cs="宋体" w:eastAsia="宋体" w:hint="default"/>
          <w:spacing w:val="-2"/>
        </w:rPr>
        <w:t>106,400,000</w:t>
      </w:r>
      <w:r>
        <w:rPr>
          <w:spacing w:val="-2"/>
        </w:rPr>
        <w:t>股为基数，向全体股东每</w:t>
      </w:r>
      <w:r>
        <w:rPr>
          <w:rFonts w:ascii="宋体" w:hAnsi="宋体" w:cs="宋体" w:eastAsia="宋体" w:hint="default"/>
          <w:spacing w:val="-2"/>
        </w:rPr>
        <w:t>10</w:t>
      </w:r>
      <w:r>
        <w:rPr>
          <w:spacing w:val="-2"/>
        </w:rPr>
        <w:t>股派</w:t>
      </w:r>
      <w:r>
        <w:rPr>
          <w:rFonts w:ascii="宋体" w:hAnsi="宋体" w:cs="宋体" w:eastAsia="宋体" w:hint="default"/>
          <w:spacing w:val="-2"/>
        </w:rPr>
        <w:t>1</w:t>
      </w:r>
      <w:r>
        <w:rPr>
          <w:spacing w:val="-2"/>
        </w:rPr>
        <w:t>元人民币现金（含税）；同</w:t>
      </w:r>
      <w:r>
        <w:rPr>
          <w:spacing w:val="-52"/>
        </w:rPr>
        <w:t> </w:t>
      </w:r>
      <w:r>
        <w:rPr>
          <w:spacing w:val="-52"/>
        </w:rPr>
      </w:r>
      <w:r>
        <w:rPr/>
        <w:t>时，以资本公积金向全体股东每</w:t>
      </w:r>
      <w:r>
        <w:rPr>
          <w:rFonts w:ascii="宋体" w:hAnsi="宋体" w:cs="宋体" w:eastAsia="宋体" w:hint="default"/>
        </w:rPr>
        <w:t>10</w:t>
      </w:r>
      <w:r>
        <w:rPr/>
        <w:t>股转增</w:t>
      </w:r>
      <w:r>
        <w:rPr>
          <w:rFonts w:ascii="宋体" w:hAnsi="宋体" w:cs="宋体" w:eastAsia="宋体" w:hint="default"/>
        </w:rPr>
        <w:t>9</w:t>
      </w:r>
      <w:r>
        <w:rPr/>
        <w:t>股。</w:t>
      </w:r>
    </w:p>
    <w:p>
      <w:pPr>
        <w:spacing w:line="240" w:lineRule="auto" w:before="1"/>
        <w:rPr>
          <w:rFonts w:ascii="宋体" w:hAnsi="宋体" w:cs="宋体" w:eastAsia="宋体" w:hint="default"/>
          <w:sz w:val="19"/>
          <w:szCs w:val="19"/>
        </w:rPr>
      </w:pPr>
    </w:p>
    <w:p>
      <w:pPr>
        <w:pStyle w:val="Heading3"/>
        <w:spacing w:line="240" w:lineRule="auto"/>
        <w:ind w:right="981"/>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981"/>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06"/>
        <w:gridCol w:w="1392"/>
        <w:gridCol w:w="4081"/>
        <w:gridCol w:w="1380"/>
      </w:tblGrid>
      <w:tr>
        <w:trPr>
          <w:trHeight w:val="408" w:hRule="exact"/>
        </w:trPr>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92"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left="842" w:right="0"/>
              <w:jc w:val="left"/>
              <w:rPr>
                <w:rFonts w:ascii="Times New Roman" w:hAnsi="Times New Roman" w:cs="Times New Roman" w:eastAsia="Times New Roman" w:hint="default"/>
                <w:sz w:val="18"/>
                <w:szCs w:val="18"/>
              </w:rPr>
            </w:pPr>
            <w:r>
              <w:rPr>
                <w:rFonts w:ascii="Times New Roman"/>
                <w:sz w:val="18"/>
              </w:rPr>
              <w:t>20,352</w:t>
            </w:r>
          </w:p>
        </w:tc>
        <w:tc>
          <w:tcPr>
            <w:tcW w:w="4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42" w:right="0"/>
              <w:jc w:val="left"/>
              <w:rPr>
                <w:rFonts w:ascii="Times New Roman" w:hAnsi="Times New Roman" w:cs="Times New Roman" w:eastAsia="Times New Roman" w:hint="default"/>
                <w:sz w:val="18"/>
                <w:szCs w:val="18"/>
              </w:rPr>
            </w:pPr>
            <w:r>
              <w:rPr>
                <w:rFonts w:ascii="Times New Roman"/>
                <w:sz w:val="18"/>
              </w:rPr>
              <w:t>18,322</w:t>
            </w: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bl>
    <w:p>
      <w:pPr>
        <w:spacing w:after="0" w:line="240" w:lineRule="auto"/>
        <w:jc w:val="center"/>
        <w:rPr>
          <w:rFonts w:ascii="宋体" w:hAnsi="宋体" w:cs="宋体" w:eastAsia="宋体" w:hint="default"/>
          <w:sz w:val="18"/>
          <w:szCs w:val="18"/>
        </w:rPr>
        <w:sectPr>
          <w:pgSz w:w="11910" w:h="16840"/>
          <w:pgMar w:header="877" w:footer="1340" w:top="1100" w:bottom="1540" w:left="980" w:right="0"/>
        </w:sectPr>
      </w:pPr>
    </w:p>
    <w:p>
      <w:pPr>
        <w:spacing w:line="240" w:lineRule="auto" w:before="8"/>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560344" type="#_x0000_t75" stroked="false">
            <v:imagedata r:id="rId5" o:title=""/>
          </v:shape>
        </w:pict>
      </w:r>
    </w:p>
    <w:tbl>
      <w:tblPr>
        <w:tblW w:w="0" w:type="auto"/>
        <w:jc w:val="left"/>
        <w:tblInd w:w="148" w:type="dxa"/>
        <w:tblLayout w:type="fixed"/>
        <w:tblCellMar>
          <w:top w:w="0" w:type="dxa"/>
          <w:left w:w="0" w:type="dxa"/>
          <w:bottom w:w="0" w:type="dxa"/>
          <w:right w:w="0" w:type="dxa"/>
        </w:tblCellMar>
        <w:tblLook w:val="01E0"/>
      </w:tblPr>
      <w:tblGrid>
        <w:gridCol w:w="1361"/>
        <w:gridCol w:w="1369"/>
        <w:gridCol w:w="958"/>
        <w:gridCol w:w="991"/>
        <w:gridCol w:w="711"/>
        <w:gridCol w:w="850"/>
        <w:gridCol w:w="142"/>
        <w:gridCol w:w="708"/>
        <w:gridCol w:w="1114"/>
        <w:gridCol w:w="1368"/>
      </w:tblGrid>
      <w:tr>
        <w:trPr>
          <w:trHeight w:val="402" w:hRule="exact"/>
        </w:trPr>
        <w:tc>
          <w:tcPr>
            <w:tcW w:w="13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0" w:right="3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79" w:right="81"/>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79" w:right="77"/>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4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5" w:hRule="exact"/>
        </w:trPr>
        <w:tc>
          <w:tcPr>
            <w:tcW w:w="136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上海船舶运输科 学研究所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55.81%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112,816,855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无</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112,816,855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上述股东之间不存在关联关系或一致行动的关系。</w:t>
            </w:r>
          </w:p>
        </w:tc>
      </w:tr>
      <w:tr>
        <w:trPr>
          <w:trHeight w:val="402"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73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50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33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73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509"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80"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w:t>
            </w:r>
          </w:p>
        </w:tc>
        <w:tc>
          <w:tcPr>
            <w:tcW w:w="3332"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730" w:type="dxa"/>
            <w:gridSpan w:val="2"/>
            <w:vMerge/>
            <w:tcBorders>
              <w:left w:val="single" w:sz="4" w:space="0" w:color="000000"/>
              <w:bottom w:val="nil" w:sz="6" w:space="0" w:color="auto"/>
              <w:right w:val="single" w:sz="4" w:space="0" w:color="000000"/>
            </w:tcBorders>
            <w:shd w:val="clear" w:color="auto" w:fill="D2D2D2"/>
          </w:tcPr>
          <w:p>
            <w:pPr/>
          </w:p>
        </w:tc>
        <w:tc>
          <w:tcPr>
            <w:tcW w:w="3509" w:type="dxa"/>
            <w:gridSpan w:val="4"/>
            <w:vMerge/>
            <w:tcBorders>
              <w:left w:val="single" w:sz="4" w:space="0" w:color="000000"/>
              <w:bottom w:val="nil" w:sz="6" w:space="0" w:color="auto"/>
              <w:right w:val="single" w:sz="4" w:space="0" w:color="000000"/>
            </w:tcBorders>
            <w:shd w:val="clear" w:color="auto" w:fill="D2D2D2"/>
          </w:tcPr>
          <w:p>
            <w:pPr/>
          </w:p>
        </w:tc>
        <w:tc>
          <w:tcPr>
            <w:tcW w:w="196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16"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7" w:hRule="exact"/>
        </w:trPr>
        <w:tc>
          <w:tcPr>
            <w:tcW w:w="273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50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964" w:type="dxa"/>
            <w:gridSpan w:val="3"/>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上海浦东科技投资有限公司</w:t>
            </w:r>
          </w:p>
        </w:tc>
        <w:tc>
          <w:tcPr>
            <w:tcW w:w="350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6,738,870</w:t>
            </w:r>
          </w:p>
        </w:tc>
        <w:tc>
          <w:tcPr>
            <w:tcW w:w="1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6,738,870</w:t>
            </w:r>
          </w:p>
        </w:tc>
      </w:tr>
      <w:tr>
        <w:trPr>
          <w:trHeight w:val="715"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4"/>
              <w:jc w:val="left"/>
              <w:rPr>
                <w:rFonts w:ascii="宋体" w:hAnsi="宋体" w:cs="宋体" w:eastAsia="宋体" w:hint="default"/>
                <w:sz w:val="18"/>
                <w:szCs w:val="18"/>
              </w:rPr>
            </w:pPr>
            <w:r>
              <w:rPr>
                <w:rFonts w:ascii="宋体" w:hAnsi="宋体" w:cs="宋体" w:eastAsia="宋体" w:hint="default"/>
                <w:sz w:val="18"/>
                <w:szCs w:val="18"/>
              </w:rPr>
              <w:t>申银万国证券股份有限公司客户 信用交易担保证券账户</w:t>
            </w:r>
          </w:p>
        </w:tc>
        <w:tc>
          <w:tcPr>
            <w:tcW w:w="350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1,519,441</w:t>
            </w:r>
          </w:p>
        </w:tc>
        <w:tc>
          <w:tcPr>
            <w:tcW w:w="1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1,519,441</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陶玉宝</w:t>
            </w:r>
          </w:p>
        </w:tc>
        <w:tc>
          <w:tcPr>
            <w:tcW w:w="350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545,668</w:t>
            </w:r>
          </w:p>
        </w:tc>
        <w:tc>
          <w:tcPr>
            <w:tcW w:w="1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545,668</w:t>
            </w:r>
          </w:p>
        </w:tc>
      </w:tr>
      <w:tr>
        <w:trPr>
          <w:trHeight w:val="403"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施胜</w:t>
            </w:r>
          </w:p>
        </w:tc>
        <w:tc>
          <w:tcPr>
            <w:tcW w:w="350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483,580</w:t>
            </w:r>
          </w:p>
        </w:tc>
        <w:tc>
          <w:tcPr>
            <w:tcW w:w="1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483,580</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严敏</w:t>
            </w:r>
          </w:p>
        </w:tc>
        <w:tc>
          <w:tcPr>
            <w:tcW w:w="350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445,018</w:t>
            </w:r>
          </w:p>
        </w:tc>
        <w:tc>
          <w:tcPr>
            <w:tcW w:w="1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445,018</w:t>
            </w:r>
          </w:p>
        </w:tc>
      </w:tr>
      <w:tr>
        <w:trPr>
          <w:trHeight w:val="403"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吴国栋</w:t>
            </w:r>
          </w:p>
        </w:tc>
        <w:tc>
          <w:tcPr>
            <w:tcW w:w="350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w:t>
            </w:r>
          </w:p>
        </w:tc>
        <w:tc>
          <w:tcPr>
            <w:tcW w:w="1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孙忠杰</w:t>
            </w:r>
          </w:p>
        </w:tc>
        <w:tc>
          <w:tcPr>
            <w:tcW w:w="350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323,824</w:t>
            </w:r>
          </w:p>
        </w:tc>
        <w:tc>
          <w:tcPr>
            <w:tcW w:w="1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323,824</w:t>
            </w:r>
          </w:p>
        </w:tc>
      </w:tr>
      <w:tr>
        <w:trPr>
          <w:trHeight w:val="404"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李淑东</w:t>
            </w:r>
          </w:p>
        </w:tc>
        <w:tc>
          <w:tcPr>
            <w:tcW w:w="350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王建春</w:t>
            </w:r>
          </w:p>
        </w:tc>
        <w:tc>
          <w:tcPr>
            <w:tcW w:w="350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286,800</w:t>
            </w:r>
          </w:p>
        </w:tc>
        <w:tc>
          <w:tcPr>
            <w:tcW w:w="1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286,800</w:t>
            </w:r>
          </w:p>
        </w:tc>
      </w:tr>
      <w:tr>
        <w:trPr>
          <w:trHeight w:val="403"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缪杰京</w:t>
            </w:r>
          </w:p>
        </w:tc>
        <w:tc>
          <w:tcPr>
            <w:tcW w:w="350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258,600</w:t>
            </w:r>
          </w:p>
        </w:tc>
        <w:tc>
          <w:tcPr>
            <w:tcW w:w="1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258,600</w:t>
            </w:r>
          </w:p>
        </w:tc>
      </w:tr>
      <w:tr>
        <w:trPr>
          <w:trHeight w:val="1339"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24" w:right="8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684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both"/>
              <w:rPr>
                <w:rFonts w:ascii="宋体" w:hAnsi="宋体" w:cs="宋体" w:eastAsia="宋体" w:hint="default"/>
                <w:sz w:val="18"/>
                <w:szCs w:val="18"/>
              </w:rPr>
            </w:pPr>
            <w:r>
              <w:rPr>
                <w:rFonts w:ascii="宋体" w:hAnsi="宋体" w:cs="宋体" w:eastAsia="宋体" w:hint="default"/>
                <w:spacing w:val="-2"/>
                <w:sz w:val="18"/>
                <w:szCs w:val="18"/>
              </w:rPr>
              <w:t>公司前十名股东中不存在关联关系或一致行动的关系。公司未知前十名无限售条件股东</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之间是否存在关联关系或一致行动的关系，以及前十名股东与前十名无限售条件股东之</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间是否存在关联关系或一致行动的关系。</w:t>
            </w:r>
          </w:p>
        </w:tc>
      </w:tr>
    </w:tbl>
    <w:p>
      <w:pPr>
        <w:spacing w:line="240" w:lineRule="auto" w:before="3"/>
        <w:rPr>
          <w:rFonts w:ascii="宋体" w:hAnsi="宋体" w:cs="宋体" w:eastAsia="宋体" w:hint="default"/>
          <w:sz w:val="19"/>
          <w:szCs w:val="19"/>
        </w:rPr>
      </w:pPr>
    </w:p>
    <w:p>
      <w:pPr>
        <w:pStyle w:val="Heading5"/>
        <w:spacing w:line="240" w:lineRule="auto" w:before="36"/>
        <w:ind w:right="981"/>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81"/>
        <w:jc w:val="left"/>
      </w:pPr>
      <w:r>
        <w:rPr/>
        <w:t>法人</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994"/>
        <w:gridCol w:w="1565"/>
        <w:gridCol w:w="1412"/>
        <w:gridCol w:w="1133"/>
        <w:gridCol w:w="2864"/>
      </w:tblGrid>
      <w:tr>
        <w:trPr>
          <w:trHeight w:val="102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05"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法定代表人</w:t>
            </w:r>
          </w:p>
          <w:p>
            <w:pPr>
              <w:pStyle w:val="TableParagraph"/>
              <w:spacing w:line="300" w:lineRule="auto" w:before="76"/>
              <w:ind w:left="400" w:right="106" w:hanging="29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0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886"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9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4" w:right="46"/>
              <w:jc w:val="left"/>
              <w:rPr>
                <w:rFonts w:ascii="宋体" w:hAnsi="宋体" w:cs="宋体" w:eastAsia="宋体" w:hint="default"/>
                <w:sz w:val="18"/>
                <w:szCs w:val="18"/>
              </w:rPr>
            </w:pPr>
            <w:r>
              <w:rPr>
                <w:rFonts w:ascii="宋体" w:hAnsi="宋体" w:cs="宋体" w:eastAsia="宋体" w:hint="default"/>
                <w:sz w:val="18"/>
                <w:szCs w:val="18"/>
              </w:rPr>
              <w:t>上海船舶运输科学研 究所</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蔡惠星</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1962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508" w:right="0"/>
              <w:jc w:val="left"/>
              <w:rPr>
                <w:rFonts w:ascii="Times New Roman" w:hAnsi="Times New Roman" w:cs="Times New Roman" w:eastAsia="Times New Roman" w:hint="default"/>
                <w:sz w:val="18"/>
                <w:szCs w:val="18"/>
              </w:rPr>
            </w:pPr>
            <w:r>
              <w:rPr>
                <w:rFonts w:ascii="Times New Roman"/>
                <w:sz w:val="18"/>
              </w:rPr>
              <w:t>42487513-4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万元人</w:t>
            </w:r>
          </w:p>
          <w:p>
            <w:pPr>
              <w:pStyle w:val="TableParagraph"/>
              <w:spacing w:line="240" w:lineRule="auto" w:before="63"/>
              <w:ind w:left="741" w:right="0"/>
              <w:jc w:val="left"/>
              <w:rPr>
                <w:rFonts w:ascii="宋体" w:hAnsi="宋体" w:cs="宋体" w:eastAsia="宋体" w:hint="default"/>
                <w:sz w:val="18"/>
                <w:szCs w:val="18"/>
              </w:rPr>
            </w:pPr>
            <w:r>
              <w:rPr>
                <w:rFonts w:ascii="宋体" w:hAnsi="宋体" w:cs="宋体" w:eastAsia="宋体" w:hint="default"/>
                <w:sz w:val="18"/>
                <w:szCs w:val="18"/>
              </w:rPr>
              <w:t>民币</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股东公司船研所目前研究开发和生 </w:t>
            </w:r>
            <w:r>
              <w:rPr>
                <w:rFonts w:ascii="宋体" w:hAnsi="宋体" w:cs="宋体" w:eastAsia="宋体" w:hint="default"/>
                <w:spacing w:val="-5"/>
                <w:sz w:val="18"/>
                <w:szCs w:val="18"/>
              </w:rPr>
              <w:t>产经营领域包括：舰船自动化设备研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制、智能交通系统机电工程、环境影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响评价及污染防治工程、船舶水动力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及海事技术试验研究等；开展主营领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域新技术、新装备和系统集成的论</w:t>
            </w:r>
          </w:p>
        </w:tc>
      </w:tr>
    </w:tbl>
    <w:p>
      <w:pPr>
        <w:spacing w:after="0" w:line="316" w:lineRule="auto"/>
        <w:jc w:val="left"/>
        <w:rPr>
          <w:rFonts w:ascii="宋体" w:hAnsi="宋体" w:cs="宋体" w:eastAsia="宋体" w:hint="default"/>
          <w:sz w:val="18"/>
          <w:szCs w:val="18"/>
        </w:rPr>
        <w:sectPr>
          <w:footerReference w:type="default" r:id="rId22"/>
          <w:pgSz w:w="11910" w:h="16840"/>
          <w:pgMar w:footer="980" w:header="877" w:top="1100" w:bottom="1160" w:left="980" w:right="0"/>
          <w:pgNumType w:start="39"/>
        </w:sectPr>
      </w:pPr>
    </w:p>
    <w:p>
      <w:pPr>
        <w:spacing w:line="240" w:lineRule="auto" w:before="7"/>
        <w:rPr>
          <w:rFonts w:ascii="宋体" w:hAnsi="宋体" w:cs="宋体" w:eastAsia="宋体" w:hint="default"/>
          <w:sz w:val="22"/>
          <w:szCs w:val="22"/>
        </w:rPr>
      </w:pPr>
      <w:r>
        <w:rPr/>
        <w:pict>
          <v:shape style="position:absolute;margin-left:460.320007pt;margin-top:764.919983pt;width:135.0pt;height:77pt;mso-position-horizontal-relative:page;mso-position-vertical-relative:page;z-index:1696" type="#_x0000_t75" stroked="false">
            <v:imagedata r:id="rId5" o:title=""/>
          </v:shape>
        </w:pict>
      </w:r>
    </w:p>
    <w:p>
      <w:pPr>
        <w:pStyle w:val="BodyText"/>
        <w:spacing w:line="240" w:lineRule="auto" w:before="44"/>
        <w:ind w:left="0" w:right="1041"/>
        <w:jc w:val="right"/>
      </w:pPr>
      <w:r>
        <w:rPr/>
        <w:pict>
          <v:shape style="position:absolute;margin-left:99.840004pt;margin-top:98.357361pt;width:438.85pt;height:21.2pt;mso-position-horizontal-relative:page;mso-position-vertical-relative:paragraph;z-index:-560296" type="#_x0000_t202" filled="false" stroked="false">
            <v:textbox inset="0,0,0,0">
              <w:txbxContent>
                <w:p>
                  <w:pPr>
                    <w:pStyle w:val="BodyText"/>
                    <w:spacing w:line="180" w:lineRule="exact"/>
                    <w:ind w:left="0" w:right="0"/>
                    <w:jc w:val="left"/>
                  </w:pPr>
                  <w:r>
                    <w:rPr/>
                    <w:t>财务状况、</w:t>
                  </w:r>
                </w:p>
              </w:txbxContent>
            </v:textbox>
            <w10:wrap type="none"/>
          </v:shape>
        </w:pict>
      </w:r>
      <w:r>
        <w:rPr/>
        <w:pict>
          <v:shape style="position:absolute;margin-left:56.459999pt;margin-top:1.311738pt;width:484.15pt;height:267.650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13"/>
                    <w:gridCol w:w="982"/>
                    <w:gridCol w:w="1565"/>
                    <w:gridCol w:w="1412"/>
                    <w:gridCol w:w="1133"/>
                    <w:gridCol w:w="2864"/>
                  </w:tblGrid>
                  <w:tr>
                    <w:trPr>
                      <w:trHeight w:val="675" w:hRule="exact"/>
                    </w:trPr>
                    <w:tc>
                      <w:tcPr>
                        <w:tcW w:w="171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11"/>
                          <w:jc w:val="left"/>
                          <w:rPr>
                            <w:rFonts w:ascii="宋体" w:hAnsi="宋体" w:cs="宋体" w:eastAsia="宋体" w:hint="default"/>
                            <w:sz w:val="18"/>
                            <w:szCs w:val="18"/>
                          </w:rPr>
                        </w:pPr>
                        <w:r>
                          <w:rPr>
                            <w:rFonts w:ascii="宋体" w:hAnsi="宋体" w:cs="宋体" w:eastAsia="宋体" w:hint="default"/>
                            <w:spacing w:val="-11"/>
                            <w:sz w:val="18"/>
                            <w:szCs w:val="18"/>
                          </w:rPr>
                          <w:t>证、开发、设计、生产以及工程承包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技术咨询等业务。</w:t>
                        </w:r>
                      </w:p>
                    </w:tc>
                  </w:tr>
                  <w:tr>
                    <w:trPr>
                      <w:trHeight w:val="3329" w:hRule="exact"/>
                    </w:trPr>
                    <w:tc>
                      <w:tcPr>
                        <w:tcW w:w="1713"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2" w:right="51"/>
                          <w:jc w:val="left"/>
                          <w:rPr>
                            <w:rFonts w:ascii="宋体" w:hAnsi="宋体" w:cs="宋体" w:eastAsia="宋体" w:hint="default"/>
                            <w:sz w:val="18"/>
                            <w:szCs w:val="18"/>
                          </w:rPr>
                        </w:pPr>
                        <w:r>
                          <w:rPr>
                            <w:rFonts w:ascii="宋体" w:hAnsi="宋体" w:cs="宋体" w:eastAsia="宋体" w:hint="default"/>
                            <w:sz w:val="18"/>
                            <w:szCs w:val="18"/>
                          </w:rPr>
                          <w:t>经营成果、 现金流和未来发展战 略等</w:t>
                        </w:r>
                      </w:p>
                    </w:tc>
                    <w:tc>
                      <w:tcPr>
                        <w:tcW w:w="7955" w:type="dxa"/>
                        <w:gridSpan w:val="5"/>
                        <w:tcBorders>
                          <w:top w:val="single" w:sz="4" w:space="0" w:color="000000"/>
                          <w:left w:val="single" w:sz="10" w:space="0" w:color="FFFFFF"/>
                          <w:bottom w:val="single" w:sz="4" w:space="0" w:color="000000"/>
                          <w:right w:val="single" w:sz="4" w:space="0" w:color="000000"/>
                        </w:tcBorders>
                      </w:tcPr>
                      <w:p>
                        <w:pPr>
                          <w:pStyle w:val="TableParagraph"/>
                          <w:spacing w:line="312" w:lineRule="auto" w:before="49"/>
                          <w:ind w:left="4"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、经营成果：股东船研所作为国家最大的交通运输综合技术研究开发基地，拥有船舶运输控制系统 国家工程研究中心、航运技术与安全国家重点实验室（筹）和航运技术交通行业重点实验室。船研所 专业特色突出、技术力量雄厚、试验设施先进，长期从事交通运输行业共性技术、前瞻性技术的开发 研究。船研所在舰船自动化、智能交通、环境工程以及船舶水动力业务领域处于国内领先水平。</w:t>
                        </w:r>
                      </w:p>
                      <w:p>
                        <w:pPr>
                          <w:pStyle w:val="TableParagraph"/>
                          <w:spacing w:line="240" w:lineRule="auto" w:before="61"/>
                          <w:ind w:left="4" w:right="-34"/>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、财务状况：船研所</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度实现营业收入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w:t>
                        </w:r>
                        <w:r>
                          <w:rPr>
                            <w:rFonts w:ascii="宋体" w:hAnsi="宋体" w:cs="宋体" w:eastAsia="宋体" w:hint="default"/>
                            <w:sz w:val="18"/>
                            <w:szCs w:val="18"/>
                          </w:rPr>
                          <w:t>净利润</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万元（合并报表</w:t>
                        </w:r>
                        <w:r>
                          <w:rPr>
                            <w:rFonts w:ascii="宋体" w:hAnsi="宋体" w:cs="宋体" w:eastAsia="宋体" w:hint="default"/>
                            <w:spacing w:val="-3"/>
                            <w:sz w:val="18"/>
                            <w:szCs w:val="18"/>
                          </w:rPr>
                          <w:t>未</w:t>
                        </w:r>
                        <w:r>
                          <w:rPr>
                            <w:rFonts w:ascii="宋体" w:hAnsi="宋体" w:cs="宋体" w:eastAsia="宋体" w:hint="default"/>
                            <w:sz w:val="18"/>
                            <w:szCs w:val="18"/>
                          </w:rPr>
                          <w:t>经审计</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03"/>
                          <w:ind w:left="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、现金流情况：船研所</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年实现的经营活动产生的现金流量净额</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万元（未经审</w:t>
                        </w:r>
                        <w:r>
                          <w:rPr>
                            <w:rFonts w:ascii="宋体" w:hAnsi="宋体" w:cs="宋体" w:eastAsia="宋体" w:hint="default"/>
                            <w:spacing w:val="-3"/>
                            <w:sz w:val="18"/>
                            <w:szCs w:val="18"/>
                          </w:rPr>
                          <w:t>计</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12" w:lineRule="auto" w:before="103"/>
                          <w:ind w:left="4"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、未来发展战略：成为国际一流的航运科研机构；中国最著名的舰船自动化与智能交通系统集成研 发供应商；国内一流的舰船水动力试验研究与环境工程服务商。船研所在努力实现战略目标的同时， 愿为提高我国交通运输业、造船业和环保业的技术水平、装备水平、管理水平以及国防建设发展作出 积极贡献。</w:t>
                        </w:r>
                      </w:p>
                    </w:tc>
                  </w:tr>
                  <w:tr>
                    <w:trPr>
                      <w:trHeight w:val="1339"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8"/>
                          <w:jc w:val="both"/>
                          <w:rPr>
                            <w:rFonts w:ascii="宋体" w:hAnsi="宋体" w:cs="宋体" w:eastAsia="宋体" w:hint="default"/>
                            <w:sz w:val="18"/>
                            <w:szCs w:val="18"/>
                          </w:rPr>
                        </w:pPr>
                        <w:r>
                          <w:rPr>
                            <w:rFonts w:ascii="宋体" w:hAnsi="宋体" w:cs="宋体" w:eastAsia="宋体" w:hint="default"/>
                            <w:sz w:val="18"/>
                            <w:szCs w:val="18"/>
                          </w:rPr>
                          <w:t>控股股东报告期内控 股和参股的其他境内 外上市公司的股权情 况</w:t>
                        </w:r>
                      </w:p>
                    </w:tc>
                    <w:tc>
                      <w:tcPr>
                        <w:tcW w:w="795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line="703" w:lineRule="exact"/>
        <w:ind w:left="1883"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395.5pt;height:35.2pt;mso-position-horizontal-relative:char;mso-position-vertical-relative:line" coordorigin="0,0" coordsize="7910,704">
            <v:group style="position:absolute;left:0;top:0;width:7910;height:351" coordorigin="0,0" coordsize="7910,351">
              <v:shape style="position:absolute;left:0;top:0;width:7910;height:351" coordorigin="0,0" coordsize="7910,351" path="m0,350l7909,350,7909,0,0,0,0,350xe" filled="true" fillcolor="#ffffff" stroked="false">
                <v:path arrowok="t"/>
                <v:fill type="solid"/>
              </v:shape>
            </v:group>
            <v:group style="position:absolute;left:0;top:350;width:7910;height:353" coordorigin="0,350" coordsize="7910,353">
              <v:shape style="position:absolute;left:0;top:350;width:7910;height:353" coordorigin="0,350" coordsize="7910,353" path="m0,703l7909,703,7909,350,0,350,0,703xe" filled="true" fillcolor="#ffffff" stroked="false">
                <v:path arrowok="t"/>
                <v:fill type="solid"/>
              </v:shape>
            </v:group>
          </v:group>
        </w:pict>
      </w:r>
      <w:r>
        <w:rPr>
          <w:rFonts w:ascii="宋体" w:hAnsi="宋体" w:cs="宋体" w:eastAsia="宋体" w:hint="default"/>
          <w:position w:val="-13"/>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before="44"/>
        <w:ind w:right="981"/>
        <w:jc w:val="left"/>
      </w:pPr>
      <w:r>
        <w:rPr/>
        <w:t>报告期控股股东变更</w:t>
      </w:r>
    </w:p>
    <w:p>
      <w:pPr>
        <w:spacing w:line="547" w:lineRule="auto" w:before="115"/>
        <w:ind w:left="152" w:right="8541" w:firstLine="0"/>
        <w:jc w:val="left"/>
        <w:rPr>
          <w:rFonts w:ascii="宋体" w:hAnsi="宋体" w:cs="宋体" w:eastAsia="宋体" w:hint="default"/>
          <w:sz w:val="18"/>
          <w:szCs w:val="18"/>
        </w:rPr>
      </w:pPr>
      <w:r>
        <w:rPr/>
        <w:pict>
          <v:shape style="position:absolute;margin-left:56.400002pt;margin-top:84.301727pt;width:479.15pt;height:71.9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2"/>
                    <w:gridCol w:w="1093"/>
                    <w:gridCol w:w="888"/>
                    <w:gridCol w:w="1803"/>
                    <w:gridCol w:w="1801"/>
                    <w:gridCol w:w="1802"/>
                  </w:tblGrid>
                  <w:tr>
                    <w:trPr>
                      <w:trHeight w:val="713"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6"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91" w:right="63"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5"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6"/>
                          <w:jc w:val="left"/>
                          <w:rPr>
                            <w:rFonts w:ascii="宋体" w:hAnsi="宋体" w:cs="宋体" w:eastAsia="宋体" w:hint="default"/>
                            <w:sz w:val="18"/>
                            <w:szCs w:val="18"/>
                          </w:rPr>
                        </w:pPr>
                        <w:r>
                          <w:rPr>
                            <w:rFonts w:ascii="宋体" w:hAnsi="宋体" w:cs="宋体" w:eastAsia="宋体" w:hint="default"/>
                            <w:sz w:val="18"/>
                            <w:szCs w:val="18"/>
                          </w:rPr>
                          <w:t>国务院国有资产监督管理 委员会</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01" w:right="0"/>
                          <w:jc w:val="left"/>
                          <w:rPr>
                            <w:rFonts w:ascii="宋体" w:hAnsi="宋体" w:cs="宋体" w:eastAsia="宋体" w:hint="default"/>
                            <w:sz w:val="18"/>
                            <w:szCs w:val="18"/>
                          </w:rPr>
                        </w:pPr>
                        <w:r>
                          <w:rPr>
                            <w:rFonts w:ascii="宋体" w:hAnsi="宋体" w:cs="宋体" w:eastAsia="宋体" w:hint="default"/>
                            <w:sz w:val="18"/>
                            <w:szCs w:val="18"/>
                          </w:rPr>
                          <w:t>王勇</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100"/>
          <w:sz w:val="21"/>
          <w:szCs w:val="21"/>
        </w:rPr>
        <w:t> </w:t>
      </w:r>
      <w:r>
        <w:rPr>
          <w:rFonts w:ascii="宋体" w:hAnsi="宋体" w:cs="宋体" w:eastAsia="宋体" w:hint="default"/>
          <w:sz w:val="18"/>
          <w:szCs w:val="18"/>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BodyText"/>
        <w:spacing w:line="240" w:lineRule="auto" w:before="44"/>
        <w:ind w:right="981"/>
        <w:jc w:val="left"/>
      </w:pPr>
      <w:r>
        <w:rPr/>
        <w:t>报告期实际控制人变更</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公司与实际控制人之间的产权及控制关系的方框图</w:t>
      </w:r>
    </w:p>
    <w:p>
      <w:pPr>
        <w:spacing w:line="240" w:lineRule="auto" w:before="8"/>
        <w:rPr>
          <w:rFonts w:ascii="宋体" w:hAnsi="宋体" w:cs="宋体" w:eastAsia="宋体" w:hint="default"/>
          <w:sz w:val="24"/>
          <w:szCs w:val="24"/>
        </w:rPr>
      </w:pPr>
    </w:p>
    <w:p>
      <w:pPr>
        <w:spacing w:line="3477" w:lineRule="exact"/>
        <w:ind w:left="3484"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1887187" cy="2208276"/>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3" cstate="print"/>
                    <a:stretch>
                      <a:fillRect/>
                    </a:stretch>
                  </pic:blipFill>
                  <pic:spPr>
                    <a:xfrm>
                      <a:off x="0" y="0"/>
                      <a:ext cx="1887187" cy="2208276"/>
                    </a:xfrm>
                    <a:prstGeom prst="rect">
                      <a:avLst/>
                    </a:prstGeom>
                  </pic:spPr>
                </pic:pic>
              </a:graphicData>
            </a:graphic>
          </wp:inline>
        </w:drawing>
      </w:r>
      <w:r>
        <w:rPr>
          <w:rFonts w:ascii="宋体" w:hAnsi="宋体" w:cs="宋体" w:eastAsia="宋体" w:hint="default"/>
          <w:position w:val="-69"/>
          <w:sz w:val="20"/>
          <w:szCs w:val="20"/>
        </w:rPr>
      </w:r>
    </w:p>
    <w:p>
      <w:pPr>
        <w:spacing w:after="0" w:line="3477" w:lineRule="exact"/>
        <w:rPr>
          <w:rFonts w:ascii="宋体" w:hAnsi="宋体" w:cs="宋体" w:eastAsia="宋体" w:hint="default"/>
          <w:sz w:val="20"/>
          <w:szCs w:val="20"/>
        </w:rPr>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4"/>
        <w:ind w:right="981"/>
        <w:jc w:val="left"/>
      </w:pPr>
      <w:r>
        <w:rPr/>
        <w:t>实际控制人通过信托或其他资产管理方式控制公司</w:t>
      </w:r>
    </w:p>
    <w:p>
      <w:pPr>
        <w:pStyle w:val="BodyText"/>
        <w:spacing w:line="240" w:lineRule="auto" w:before="117"/>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981"/>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181"/>
        <w:gridCol w:w="1093"/>
        <w:gridCol w:w="888"/>
        <w:gridCol w:w="1803"/>
        <w:gridCol w:w="1801"/>
        <w:gridCol w:w="1802"/>
      </w:tblGrid>
      <w:tr>
        <w:trPr>
          <w:trHeight w:val="715" w:hRule="exact"/>
        </w:trPr>
        <w:tc>
          <w:tcPr>
            <w:tcW w:w="2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法人股东名称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91" w:right="63"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7" w:right="84" w:hanging="632"/>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r>
        <w:trPr>
          <w:trHeight w:val="401" w:hRule="exact"/>
        </w:trPr>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09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3"/>
        <w:spacing w:line="240" w:lineRule="auto" w:before="26"/>
        <w:ind w:right="981"/>
        <w:jc w:val="left"/>
        <w:rPr>
          <w:b w:val="0"/>
          <w:bCs w:val="0"/>
        </w:rPr>
      </w:pPr>
      <w:r>
        <w:rPr/>
        <w:t>四、公司股东及其一致行动人在报告期提出或实施股份增持计划的情况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318" w:right="21" w:hanging="296"/>
              <w:jc w:val="left"/>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一致行 动人姓名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90" w:right="46" w:hanging="540"/>
              <w:jc w:val="left"/>
              <w:rPr>
                <w:rFonts w:ascii="宋体" w:hAnsi="宋体" w:cs="宋体" w:eastAsia="宋体" w:hint="default"/>
                <w:sz w:val="18"/>
                <w:szCs w:val="18"/>
              </w:rPr>
            </w:pPr>
            <w:r>
              <w:rPr>
                <w:rFonts w:ascii="宋体" w:hAnsi="宋体" w:cs="宋体" w:eastAsia="宋体" w:hint="default"/>
                <w:sz w:val="18"/>
                <w:szCs w:val="18"/>
              </w:rPr>
              <w:t>计划增持股份数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计划增持股份比 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87" w:right="46" w:hanging="540"/>
              <w:jc w:val="left"/>
              <w:rPr>
                <w:rFonts w:ascii="宋体" w:hAnsi="宋体" w:cs="宋体" w:eastAsia="宋体" w:hint="default"/>
                <w:sz w:val="18"/>
                <w:szCs w:val="18"/>
              </w:rPr>
            </w:pPr>
            <w:r>
              <w:rPr>
                <w:rFonts w:ascii="宋体" w:hAnsi="宋体" w:cs="宋体" w:eastAsia="宋体" w:hint="default"/>
                <w:sz w:val="18"/>
                <w:szCs w:val="18"/>
              </w:rPr>
              <w:t>实际增持股份数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实际增持股份比 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股份增持计划初 次披露日期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6" w:right="48"/>
              <w:jc w:val="left"/>
              <w:rPr>
                <w:rFonts w:ascii="宋体" w:hAnsi="宋体" w:cs="宋体" w:eastAsia="宋体" w:hint="default"/>
                <w:sz w:val="18"/>
                <w:szCs w:val="18"/>
              </w:rPr>
            </w:pPr>
            <w:r>
              <w:rPr>
                <w:rFonts w:ascii="宋体" w:hAnsi="宋体" w:cs="宋体" w:eastAsia="宋体" w:hint="default"/>
                <w:sz w:val="18"/>
                <w:szCs w:val="18"/>
              </w:rPr>
              <w:t>股份增持计划实 施结束披露日期</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674"/>
        <w:jc w:val="left"/>
      </w:pPr>
      <w:r>
        <w:rPr/>
        <w:t>其他情况说明 无</w:t>
      </w:r>
    </w:p>
    <w:p>
      <w:pPr>
        <w:spacing w:after="0" w:line="357" w:lineRule="auto"/>
        <w:jc w:val="left"/>
        <w:sectPr>
          <w:footerReference w:type="default" r:id="rId24"/>
          <w:pgSz w:w="11910" w:h="16840"/>
          <w:pgMar w:footer="1340" w:header="877" w:top="1100" w:bottom="1540" w:left="980" w:right="0"/>
          <w:pgNumType w:start="41"/>
        </w:sectPr>
      </w:pPr>
    </w:p>
    <w:p>
      <w:pPr>
        <w:spacing w:line="240" w:lineRule="auto" w:before="0"/>
        <w:rPr>
          <w:rFonts w:ascii="宋体" w:hAnsi="宋体" w:cs="宋体" w:eastAsia="宋体" w:hint="default"/>
          <w:sz w:val="20"/>
          <w:szCs w:val="20"/>
        </w:rPr>
      </w:pPr>
      <w:r>
        <w:rPr/>
        <w:pict>
          <v:shape style="position:absolute;margin-left:101.660004pt;margin-top:618.315979pt;width:85.35pt;height:23.45pt;mso-position-horizontal-relative:page;mso-position-vertical-relative:page;z-index:-560176" type="#_x0000_t202" filled="false" stroked="false">
            <v:textbox inset="0,0,0,0">
              <w:txbxContent>
                <w:p>
                  <w:pPr>
                    <w:pStyle w:val="BodyText"/>
                    <w:spacing w:line="240" w:lineRule="auto" w:before="49"/>
                    <w:ind w:left="0" w:right="0"/>
                    <w:jc w:val="left"/>
                  </w:pPr>
                  <w:r>
                    <w:rPr/>
                    <w:t>党委书记、</w:t>
                  </w:r>
                </w:p>
              </w:txbxContent>
            </v:textbox>
            <w10:wrap type="none"/>
          </v:shape>
        </w:pic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1679" w:right="981"/>
        <w:jc w:val="left"/>
        <w:rPr>
          <w:b w:val="0"/>
          <w:bCs w:val="0"/>
        </w:rPr>
      </w:pPr>
      <w:bookmarkStart w:name="_TOC_250004" w:id="7"/>
      <w:r>
        <w:rPr/>
        <w:t>第七节</w:t>
      </w:r>
      <w:r>
        <w:rPr>
          <w:spacing w:val="-8"/>
        </w:rPr>
        <w:t> </w:t>
      </w:r>
      <w:r>
        <w:rPr/>
        <w:t>董事、监事、高级管理人员和员工情况</w:t>
      </w:r>
      <w:bookmarkEnd w:id="7"/>
      <w:r>
        <w:rPr>
          <w:b w:val="0"/>
          <w:bCs w:val="0"/>
        </w:rPr>
      </w:r>
    </w:p>
    <w:p>
      <w:pPr>
        <w:spacing w:line="240" w:lineRule="auto" w:before="13"/>
        <w:rPr>
          <w:rFonts w:ascii="宋体" w:hAnsi="宋体" w:cs="宋体" w:eastAsia="宋体" w:hint="default"/>
          <w:b/>
          <w:bCs/>
          <w:sz w:val="38"/>
          <w:szCs w:val="38"/>
        </w:rPr>
      </w:pPr>
    </w:p>
    <w:p>
      <w:pPr>
        <w:pStyle w:val="Heading3"/>
        <w:spacing w:line="240" w:lineRule="auto"/>
        <w:ind w:right="981"/>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7"/>
        <w:gridCol w:w="869"/>
        <w:gridCol w:w="869"/>
        <w:gridCol w:w="869"/>
        <w:gridCol w:w="871"/>
        <w:gridCol w:w="869"/>
      </w:tblGrid>
      <w:tr>
        <w:trPr>
          <w:trHeight w:val="1025"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沈以华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马浔</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蔡惠星</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周群</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8"/>
                <w:sz w:val="18"/>
                <w:szCs w:val="18"/>
              </w:rPr>
              <w:t>董事、总经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776,870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593,460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263,291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1,107,039</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张人骥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高勇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张河涛</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莫启欣</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戴静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范晓莹</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全江楚</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585,200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526,680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277,970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833,910</w:t>
            </w:r>
          </w:p>
        </w:tc>
      </w:tr>
      <w:tr>
        <w:trPr>
          <w:trHeight w:val="133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孙文彬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3" w:right="19"/>
              <w:jc w:val="left"/>
              <w:rPr>
                <w:rFonts w:ascii="宋体" w:hAnsi="宋体" w:cs="宋体" w:eastAsia="宋体" w:hint="default"/>
                <w:sz w:val="18"/>
                <w:szCs w:val="18"/>
              </w:rPr>
            </w:pPr>
            <w:r>
              <w:rPr>
                <w:rFonts w:ascii="宋体" w:hAnsi="宋体" w:cs="宋体" w:eastAsia="宋体" w:hint="default"/>
                <w:sz w:val="18"/>
                <w:szCs w:val="18"/>
              </w:rPr>
              <w:t>董事会秘 </w:t>
            </w:r>
            <w:r>
              <w:rPr>
                <w:rFonts w:ascii="宋体" w:hAnsi="宋体" w:cs="宋体" w:eastAsia="宋体" w:hint="default"/>
                <w:spacing w:val="-18"/>
                <w:sz w:val="18"/>
                <w:szCs w:val="18"/>
              </w:rPr>
              <w:t>书、副总经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left="2"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43pt;height:23.45pt;mso-position-horizontal-relative:char;mso-position-vertical-relative:line" coordorigin="0,0" coordsize="860,469">
                  <v:group style="position:absolute;left:0;top:0;width:860;height:469" coordorigin="0,0" coordsize="860,469">
                    <v:shape style="position:absolute;left:0;top:0;width:860;height:469" coordorigin="0,0" coordsize="860,469" path="m0,468l859,468,859,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515,400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347,895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128,850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734,445</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高庆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687,200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463,860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171,800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979,260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瞿辉</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687,200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572,580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280,520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979,260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100" w:bottom="154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7"/>
        <w:gridCol w:w="869"/>
        <w:gridCol w:w="869"/>
        <w:gridCol w:w="869"/>
        <w:gridCol w:w="871"/>
        <w:gridCol w:w="869"/>
      </w:tblGrid>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杨忆明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687,200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618,480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326,420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979,260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周保国</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总会计师</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515,400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347,895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128,850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734,445</w:t>
            </w:r>
          </w:p>
        </w:tc>
      </w:tr>
      <w:tr>
        <w:trPr>
          <w:trHeight w:val="402"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70"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4,454,470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3,470,850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1,577,701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6,347,619</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both"/>
        <w:rPr>
          <w:b w:val="0"/>
          <w:bCs w:val="0"/>
        </w:rPr>
      </w:pPr>
      <w:r>
        <w:rPr/>
        <w:t>二、任职情况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Heading4"/>
        <w:spacing w:line="391" w:lineRule="auto" w:before="150"/>
        <w:ind w:left="592" w:right="981"/>
        <w:jc w:val="left"/>
      </w:pPr>
      <w:r>
        <w:rPr/>
        <w:t>（一）董事会成员</w:t>
      </w:r>
      <w:r>
        <w:rPr>
          <w:w w:val="100"/>
        </w:rPr>
        <w:t> </w:t>
      </w:r>
      <w:r>
        <w:rPr>
          <w:rFonts w:ascii="宋体" w:hAnsi="宋体" w:cs="宋体" w:eastAsia="宋体" w:hint="default"/>
          <w:spacing w:val="-2"/>
        </w:rPr>
        <w:t>1</w:t>
      </w:r>
      <w:r>
        <w:rPr>
          <w:spacing w:val="-2"/>
        </w:rPr>
        <w:t>、沈以华：男，</w:t>
      </w:r>
      <w:r>
        <w:rPr>
          <w:rFonts w:ascii="宋体" w:hAnsi="宋体" w:cs="宋体" w:eastAsia="宋体" w:hint="default"/>
          <w:spacing w:val="-2"/>
        </w:rPr>
        <w:t>1949</w:t>
      </w:r>
      <w:r>
        <w:rPr>
          <w:spacing w:val="-2"/>
        </w:rPr>
        <w:t>年生，在职研究生学历，硕士，研究员，享受政府特殊津贴。</w:t>
      </w:r>
      <w:r>
        <w:rPr>
          <w:rFonts w:ascii="宋体" w:hAnsi="宋体" w:cs="宋体" w:eastAsia="宋体" w:hint="default"/>
          <w:spacing w:val="-2"/>
        </w:rPr>
        <w:t>1975</w:t>
      </w:r>
      <w:r>
        <w:rPr>
          <w:spacing w:val="-2"/>
        </w:rPr>
        <w:t>年</w:t>
      </w:r>
      <w:r>
        <w:rPr>
          <w:rFonts w:ascii="宋体" w:hAnsi="宋体" w:cs="宋体" w:eastAsia="宋体" w:hint="default"/>
          <w:spacing w:val="-2"/>
        </w:rPr>
        <w:t>7</w:t>
      </w:r>
      <w:r>
        <w:rPr>
          <w:spacing w:val="-2"/>
        </w:rPr>
        <w:t>月至</w:t>
      </w:r>
    </w:p>
    <w:p>
      <w:pPr>
        <w:pStyle w:val="Heading4"/>
        <w:spacing w:line="391" w:lineRule="auto" w:before="42"/>
        <w:ind w:right="1022"/>
        <w:jc w:val="both"/>
      </w:pPr>
      <w:r>
        <w:rPr>
          <w:rFonts w:ascii="宋体" w:hAnsi="宋体" w:cs="宋体" w:eastAsia="宋体" w:hint="default"/>
        </w:rPr>
        <w:t>1979</w:t>
      </w:r>
      <w:r>
        <w:rPr/>
        <w:t>年</w:t>
      </w:r>
      <w:r>
        <w:rPr>
          <w:rFonts w:ascii="宋体" w:hAnsi="宋体" w:cs="宋体" w:eastAsia="宋体" w:hint="default"/>
        </w:rPr>
        <w:t>7</w:t>
      </w:r>
      <w:r>
        <w:rPr/>
        <w:t>月，任上海海运学院助教；</w:t>
      </w:r>
      <w:r>
        <w:rPr>
          <w:rFonts w:ascii="宋体" w:hAnsi="宋体" w:cs="宋体" w:eastAsia="宋体" w:hint="default"/>
        </w:rPr>
        <w:t>1979</w:t>
      </w:r>
      <w:r>
        <w:rPr/>
        <w:t>年</w:t>
      </w:r>
      <w:r>
        <w:rPr>
          <w:rFonts w:ascii="宋体" w:hAnsi="宋体" w:cs="宋体" w:eastAsia="宋体" w:hint="default"/>
        </w:rPr>
        <w:t>7</w:t>
      </w:r>
      <w:r>
        <w:rPr/>
        <w:t>月至</w:t>
      </w:r>
      <w:r>
        <w:rPr>
          <w:rFonts w:ascii="宋体" w:hAnsi="宋体" w:cs="宋体" w:eastAsia="宋体" w:hint="default"/>
        </w:rPr>
        <w:t>2000</w:t>
      </w:r>
      <w:r>
        <w:rPr/>
        <w:t>年</w:t>
      </w:r>
      <w:r>
        <w:rPr>
          <w:rFonts w:ascii="宋体" w:hAnsi="宋体" w:cs="宋体" w:eastAsia="宋体" w:hint="default"/>
        </w:rPr>
        <w:t>4</w:t>
      </w:r>
      <w:r>
        <w:rPr/>
        <w:t>月，历任交通部教育局干部、交通部教育司</w:t>
      </w:r>
      <w:r>
        <w:rPr>
          <w:w w:val="100"/>
        </w:rPr>
        <w:t> </w:t>
      </w:r>
      <w:r>
        <w:rPr/>
        <w:t>副处长、处长、司长助理、交通部科技教育司副司长；</w:t>
      </w:r>
      <w:r>
        <w:rPr>
          <w:rFonts w:ascii="宋体" w:hAnsi="宋体" w:cs="宋体" w:eastAsia="宋体" w:hint="default"/>
        </w:rPr>
        <w:t>2000</w:t>
      </w:r>
      <w:r>
        <w:rPr/>
        <w:t>年</w:t>
      </w:r>
      <w:r>
        <w:rPr>
          <w:rFonts w:ascii="宋体" w:hAnsi="宋体" w:cs="宋体" w:eastAsia="宋体" w:hint="default"/>
        </w:rPr>
        <w:t>4</w:t>
      </w:r>
      <w:r>
        <w:rPr/>
        <w:t>月至</w:t>
      </w:r>
      <w:r>
        <w:rPr>
          <w:rFonts w:ascii="宋体" w:hAnsi="宋体" w:cs="宋体" w:eastAsia="宋体" w:hint="default"/>
        </w:rPr>
        <w:t>2009</w:t>
      </w:r>
      <w:r>
        <w:rPr/>
        <w:t>年</w:t>
      </w:r>
      <w:r>
        <w:rPr>
          <w:rFonts w:ascii="宋体" w:hAnsi="宋体" w:cs="宋体" w:eastAsia="宋体" w:hint="default"/>
        </w:rPr>
        <w:t>11</w:t>
      </w:r>
      <w:r>
        <w:rPr/>
        <w:t>月任上海船舶运输科学</w:t>
      </w:r>
      <w:r>
        <w:rPr>
          <w:w w:val="100"/>
        </w:rPr>
        <w:t> </w:t>
      </w:r>
      <w:r>
        <w:rPr>
          <w:spacing w:val="-2"/>
        </w:rPr>
        <w:t>研究所党委书记；</w:t>
      </w:r>
      <w:r>
        <w:rPr>
          <w:rFonts w:ascii="宋体" w:hAnsi="宋体" w:cs="宋体" w:eastAsia="宋体" w:hint="default"/>
          <w:spacing w:val="-2"/>
        </w:rPr>
        <w:t>2001</w:t>
      </w:r>
      <w:r>
        <w:rPr>
          <w:spacing w:val="-2"/>
        </w:rPr>
        <w:t>年</w:t>
      </w:r>
      <w:r>
        <w:rPr>
          <w:rFonts w:ascii="宋体" w:hAnsi="宋体" w:cs="宋体" w:eastAsia="宋体" w:hint="default"/>
          <w:spacing w:val="-2"/>
        </w:rPr>
        <w:t>11</w:t>
      </w:r>
      <w:r>
        <w:rPr>
          <w:spacing w:val="-2"/>
        </w:rPr>
        <w:t>月起，兼任上海船舶运输科学研究所副所长；</w:t>
      </w:r>
      <w:r>
        <w:rPr>
          <w:rFonts w:ascii="宋体" w:hAnsi="宋体" w:cs="宋体" w:eastAsia="宋体" w:hint="default"/>
          <w:spacing w:val="-2"/>
        </w:rPr>
        <w:t>2001</w:t>
      </w:r>
      <w:r>
        <w:rPr>
          <w:spacing w:val="-2"/>
        </w:rPr>
        <w:t>年</w:t>
      </w:r>
      <w:r>
        <w:rPr>
          <w:rFonts w:ascii="宋体" w:hAnsi="宋体" w:cs="宋体" w:eastAsia="宋体" w:hint="default"/>
          <w:spacing w:val="-2"/>
        </w:rPr>
        <w:t>12</w:t>
      </w:r>
      <w:r>
        <w:rPr>
          <w:spacing w:val="-2"/>
        </w:rPr>
        <w:t>月起，兼任上海交</w:t>
      </w:r>
      <w:r>
        <w:rPr>
          <w:spacing w:val="-58"/>
        </w:rPr>
        <w:t> </w:t>
      </w:r>
      <w:r>
        <w:rPr>
          <w:spacing w:val="-58"/>
        </w:rPr>
      </w:r>
      <w:r>
        <w:rPr/>
        <w:t>技发展股份有限公司董事长；</w:t>
      </w:r>
      <w:r>
        <w:rPr>
          <w:rFonts w:ascii="宋体" w:hAnsi="宋体" w:cs="宋体" w:eastAsia="宋体" w:hint="default"/>
        </w:rPr>
        <w:t>2006</w:t>
      </w:r>
      <w:r>
        <w:rPr/>
        <w:t>年</w:t>
      </w:r>
      <w:r>
        <w:rPr>
          <w:rFonts w:ascii="宋体" w:hAnsi="宋体" w:cs="宋体" w:eastAsia="宋体" w:hint="default"/>
        </w:rPr>
        <w:t>8</w:t>
      </w:r>
      <w:r>
        <w:rPr/>
        <w:t>月至</w:t>
      </w:r>
      <w:r>
        <w:rPr>
          <w:rFonts w:ascii="宋体" w:hAnsi="宋体" w:cs="宋体" w:eastAsia="宋体" w:hint="default"/>
        </w:rPr>
        <w:t>2009</w:t>
      </w:r>
      <w:r>
        <w:rPr/>
        <w:t>年</w:t>
      </w:r>
      <w:r>
        <w:rPr>
          <w:rFonts w:ascii="宋体" w:hAnsi="宋体" w:cs="宋体" w:eastAsia="宋体" w:hint="default"/>
        </w:rPr>
        <w:t>9</w:t>
      </w:r>
      <w:r>
        <w:rPr/>
        <w:t>月，兼任上海交通设计所有限公司董事。</w:t>
      </w:r>
      <w:r>
        <w:rPr>
          <w:rFonts w:ascii="宋体" w:hAnsi="宋体" w:cs="宋体" w:eastAsia="宋体" w:hint="default"/>
        </w:rPr>
        <w:t>2010</w:t>
      </w:r>
      <w:r>
        <w:rPr/>
        <w:t>年</w:t>
      </w:r>
      <w:r>
        <w:rPr>
          <w:rFonts w:ascii="宋体" w:hAnsi="宋体" w:cs="宋体" w:eastAsia="宋体" w:hint="default"/>
        </w:rPr>
        <w:t>12</w:t>
      </w:r>
      <w:r>
        <w:rPr>
          <w:rFonts w:ascii="宋体" w:hAnsi="宋体" w:cs="宋体" w:eastAsia="宋体" w:hint="default"/>
          <w:w w:val="100"/>
        </w:rPr>
        <w:t> </w:t>
      </w:r>
      <w:r>
        <w:rPr>
          <w:spacing w:val="-5"/>
        </w:rPr>
        <w:t>月至</w:t>
      </w:r>
      <w:r>
        <w:rPr>
          <w:rFonts w:ascii="宋体" w:hAnsi="宋体" w:cs="宋体" w:eastAsia="宋体" w:hint="default"/>
          <w:spacing w:val="-5"/>
        </w:rPr>
        <w:t>2012</w:t>
      </w:r>
      <w:r>
        <w:rPr>
          <w:spacing w:val="-5"/>
        </w:rPr>
        <w:t>年</w:t>
      </w:r>
      <w:r>
        <w:rPr>
          <w:rFonts w:ascii="宋体" w:hAnsi="宋体" w:cs="宋体" w:eastAsia="宋体" w:hint="default"/>
          <w:spacing w:val="-5"/>
        </w:rPr>
        <w:t>12</w:t>
      </w:r>
      <w:r>
        <w:rPr>
          <w:spacing w:val="-5"/>
        </w:rPr>
        <w:t>月，兼任上海船舶运输科学研究所副总工程师。现任中海网络科技股份有限公司董事长。</w:t>
      </w:r>
    </w:p>
    <w:p>
      <w:pPr>
        <w:pStyle w:val="Heading4"/>
        <w:spacing w:line="391" w:lineRule="auto"/>
        <w:ind w:right="1130" w:firstLine="439"/>
        <w:jc w:val="both"/>
      </w:pPr>
      <w:r>
        <w:rPr>
          <w:rFonts w:ascii="宋体" w:hAnsi="宋体" w:cs="宋体" w:eastAsia="宋体" w:hint="default"/>
          <w:spacing w:val="-2"/>
        </w:rPr>
        <w:t>2</w:t>
      </w:r>
      <w:r>
        <w:rPr>
          <w:spacing w:val="-2"/>
        </w:rPr>
        <w:t>、马浔：男，</w:t>
      </w:r>
      <w:r>
        <w:rPr>
          <w:rFonts w:ascii="宋体" w:hAnsi="宋体" w:cs="宋体" w:eastAsia="宋体" w:hint="default"/>
          <w:spacing w:val="-2"/>
        </w:rPr>
        <w:t>1952</w:t>
      </w:r>
      <w:r>
        <w:rPr>
          <w:spacing w:val="-2"/>
        </w:rPr>
        <w:t>年生，工商管理硕士，研究员，享受政府特殊津贴。</w:t>
      </w:r>
      <w:r>
        <w:rPr>
          <w:rFonts w:ascii="宋体" w:hAnsi="宋体" w:cs="宋体" w:eastAsia="宋体" w:hint="default"/>
          <w:spacing w:val="-2"/>
        </w:rPr>
        <w:t>1977</w:t>
      </w:r>
      <w:r>
        <w:rPr>
          <w:spacing w:val="-2"/>
        </w:rPr>
        <w:t>年</w:t>
      </w:r>
      <w:r>
        <w:rPr>
          <w:rFonts w:ascii="宋体" w:hAnsi="宋体" w:cs="宋体" w:eastAsia="宋体" w:hint="default"/>
          <w:spacing w:val="-2"/>
        </w:rPr>
        <w:t>9</w:t>
      </w:r>
      <w:r>
        <w:rPr>
          <w:spacing w:val="-2"/>
        </w:rPr>
        <w:t>月起在上海船舶</w:t>
      </w:r>
      <w:r>
        <w:rPr>
          <w:w w:val="100"/>
        </w:rPr>
        <w:t> </w:t>
      </w:r>
      <w:r>
        <w:rPr>
          <w:spacing w:val="-2"/>
        </w:rPr>
        <w:t>运输科学研究所工作，历任导航研究室助理工程师、工程师、副主任，上海船舶运输科学研究所经营</w:t>
      </w:r>
      <w:r>
        <w:rPr>
          <w:spacing w:val="-74"/>
        </w:rPr>
        <w:t> </w:t>
      </w:r>
      <w:r>
        <w:rPr>
          <w:spacing w:val="-74"/>
        </w:rPr>
      </w:r>
      <w:r>
        <w:rPr>
          <w:spacing w:val="-2"/>
        </w:rPr>
        <w:t>开发处副处长；上海船舶运输科学研究所副所长、高级工程师，党委委员、党委副书记；上海船舶运</w:t>
      </w:r>
      <w:r>
        <w:rPr>
          <w:spacing w:val="-69"/>
        </w:rPr>
        <w:t> </w:t>
      </w:r>
      <w:r>
        <w:rPr>
          <w:spacing w:val="-69"/>
        </w:rPr>
      </w:r>
      <w:r>
        <w:rPr>
          <w:spacing w:val="-2"/>
        </w:rPr>
        <w:t>输科学研究所所长、党委书记，中国海运（集团）总公司总裁助理。现任中海网络科技股份有限公司</w:t>
      </w:r>
      <w:r>
        <w:rPr>
          <w:spacing w:val="-71"/>
        </w:rPr>
        <w:t> </w:t>
      </w:r>
      <w:r>
        <w:rPr>
          <w:spacing w:val="-71"/>
        </w:rPr>
      </w:r>
      <w:r>
        <w:rPr/>
        <w:t>董事。</w:t>
      </w:r>
    </w:p>
    <w:p>
      <w:pPr>
        <w:pStyle w:val="Heading4"/>
        <w:spacing w:line="391" w:lineRule="auto"/>
        <w:ind w:right="981" w:firstLine="439"/>
        <w:jc w:val="left"/>
      </w:pPr>
      <w:r>
        <w:rPr>
          <w:rFonts w:ascii="宋体" w:hAnsi="宋体" w:cs="宋体" w:eastAsia="宋体" w:hint="default"/>
        </w:rPr>
        <w:t>3</w:t>
      </w:r>
      <w:r>
        <w:rPr/>
        <w:t>、蔡惠星：男，</w:t>
      </w:r>
      <w:r>
        <w:rPr>
          <w:rFonts w:ascii="宋体" w:hAnsi="宋体" w:cs="宋体" w:eastAsia="宋体" w:hint="default"/>
        </w:rPr>
        <w:t>1960</w:t>
      </w:r>
      <w:r>
        <w:rPr/>
        <w:t>年生，在职研究生学历，工商管理硕士，高级工程师。</w:t>
      </w:r>
      <w:r>
        <w:rPr>
          <w:rFonts w:ascii="宋体" w:hAnsi="宋体" w:cs="宋体" w:eastAsia="宋体" w:hint="default"/>
        </w:rPr>
        <w:t>1982</w:t>
      </w:r>
      <w:r>
        <w:rPr/>
        <w:t>年</w:t>
      </w:r>
      <w:r>
        <w:rPr>
          <w:rFonts w:ascii="宋体" w:hAnsi="宋体" w:cs="宋体" w:eastAsia="宋体" w:hint="default"/>
        </w:rPr>
        <w:t>3</w:t>
      </w:r>
      <w:r>
        <w:rPr/>
        <w:t>月起，历任</w:t>
      </w:r>
      <w:r>
        <w:rPr>
          <w:w w:val="100"/>
        </w:rPr>
        <w:t> </w:t>
      </w:r>
      <w:r>
        <w:rPr>
          <w:spacing w:val="-2"/>
        </w:rPr>
        <w:t>上海船舶运输科学研究所团委干事、副书记、书记，所长办公室副主任、改革办主任，所长助理、副</w:t>
      </w:r>
      <w:r>
        <w:rPr>
          <w:spacing w:val="-71"/>
        </w:rPr>
        <w:t> </w:t>
      </w:r>
      <w:r>
        <w:rPr>
          <w:spacing w:val="-71"/>
        </w:rPr>
      </w:r>
      <w:r>
        <w:rPr>
          <w:spacing w:val="-4"/>
        </w:rPr>
        <w:t>所长、党委委员、党委副书记。其间：</w:t>
      </w:r>
      <w:r>
        <w:rPr>
          <w:rFonts w:ascii="宋体" w:hAnsi="宋体" w:cs="宋体" w:eastAsia="宋体" w:hint="default"/>
          <w:spacing w:val="-4"/>
        </w:rPr>
        <w:t>2001</w:t>
      </w:r>
      <w:r>
        <w:rPr>
          <w:spacing w:val="-4"/>
        </w:rPr>
        <w:t>年</w:t>
      </w:r>
      <w:r>
        <w:rPr>
          <w:rFonts w:ascii="宋体" w:hAnsi="宋体" w:cs="宋体" w:eastAsia="宋体" w:hint="default"/>
          <w:spacing w:val="-4"/>
        </w:rPr>
        <w:t>1</w:t>
      </w:r>
      <w:r>
        <w:rPr>
          <w:spacing w:val="-4"/>
        </w:rPr>
        <w:t>月至</w:t>
      </w:r>
      <w:r>
        <w:rPr>
          <w:rFonts w:ascii="宋体" w:hAnsi="宋体" w:cs="宋体" w:eastAsia="宋体" w:hint="default"/>
          <w:spacing w:val="-4"/>
        </w:rPr>
        <w:t>2003</w:t>
      </w:r>
      <w:r>
        <w:rPr>
          <w:spacing w:val="-4"/>
        </w:rPr>
        <w:t>年</w:t>
      </w:r>
      <w:r>
        <w:rPr>
          <w:rFonts w:ascii="宋体" w:hAnsi="宋体" w:cs="宋体" w:eastAsia="宋体" w:hint="default"/>
          <w:spacing w:val="-4"/>
        </w:rPr>
        <w:t>1</w:t>
      </w:r>
      <w:r>
        <w:rPr>
          <w:spacing w:val="-4"/>
        </w:rPr>
        <w:t>月，兼任上海交技发展股份有限公司董事、</w:t>
      </w:r>
      <w:r>
        <w:rPr>
          <w:spacing w:val="-72"/>
        </w:rPr>
        <w:t> </w:t>
      </w:r>
      <w:r>
        <w:rPr>
          <w:spacing w:val="-72"/>
        </w:rPr>
      </w:r>
      <w:r>
        <w:rPr/>
        <w:t>总经理；</w:t>
      </w:r>
      <w:r>
        <w:rPr>
          <w:rFonts w:ascii="宋体" w:hAnsi="宋体" w:cs="宋体" w:eastAsia="宋体" w:hint="default"/>
        </w:rPr>
        <w:t>2005</w:t>
      </w:r>
      <w:r>
        <w:rPr/>
        <w:t>年</w:t>
      </w:r>
      <w:r>
        <w:rPr>
          <w:rFonts w:ascii="宋体" w:hAnsi="宋体" w:cs="宋体" w:eastAsia="宋体" w:hint="default"/>
        </w:rPr>
        <w:t>3</w:t>
      </w:r>
      <w:r>
        <w:rPr/>
        <w:t>月至</w:t>
      </w:r>
      <w:r>
        <w:rPr>
          <w:rFonts w:ascii="宋体" w:hAnsi="宋体" w:cs="宋体" w:eastAsia="宋体" w:hint="default"/>
        </w:rPr>
        <w:t>2007</w:t>
      </w:r>
      <w:r>
        <w:rPr/>
        <w:t>年</w:t>
      </w:r>
      <w:r>
        <w:rPr>
          <w:rFonts w:ascii="宋体" w:hAnsi="宋体" w:cs="宋体" w:eastAsia="宋体" w:hint="default"/>
        </w:rPr>
        <w:t>3</w:t>
      </w:r>
      <w:r>
        <w:rPr/>
        <w:t>月，挂任辽宁省科技厅副厅长、党组成员；</w:t>
      </w:r>
      <w:r>
        <w:rPr>
          <w:rFonts w:ascii="宋体" w:hAnsi="宋体" w:cs="宋体" w:eastAsia="宋体" w:hint="default"/>
        </w:rPr>
        <w:t>2009</w:t>
      </w:r>
      <w:r>
        <w:rPr/>
        <w:t>年</w:t>
      </w:r>
      <w:r>
        <w:rPr>
          <w:rFonts w:ascii="宋体" w:hAnsi="宋体" w:cs="宋体" w:eastAsia="宋体" w:hint="default"/>
        </w:rPr>
        <w:t>9</w:t>
      </w:r>
      <w:r>
        <w:rPr/>
        <w:t>月起兼任上海交通</w:t>
      </w:r>
      <w:r>
        <w:rPr>
          <w:w w:val="100"/>
        </w:rPr>
        <w:t> </w:t>
      </w:r>
      <w:r>
        <w:rPr/>
        <w:t>设计所有限公司董事长。现任上海船舶运输科学研究所所长、党委副书记，中海船研科技股份有限公</w:t>
      </w:r>
      <w:r>
        <w:rPr>
          <w:w w:val="100"/>
        </w:rPr>
        <w:t> </w:t>
      </w:r>
      <w:r>
        <w:rPr/>
        <w:t>司董事长、中海网络科技股份有限公司董事、上海交通设计所有限公司董事长、上海船研迈瑞海事技</w:t>
      </w:r>
      <w:r>
        <w:rPr>
          <w:w w:val="100"/>
        </w:rPr>
        <w:t> </w:t>
      </w:r>
      <w:r>
        <w:rPr/>
        <w:t>术有限责任公司董事。</w:t>
      </w:r>
    </w:p>
    <w:p>
      <w:pPr>
        <w:pStyle w:val="Heading4"/>
        <w:spacing w:line="391" w:lineRule="auto"/>
        <w:ind w:right="1090" w:firstLine="439"/>
        <w:jc w:val="both"/>
      </w:pPr>
      <w:r>
        <w:rPr>
          <w:rFonts w:ascii="宋体" w:hAnsi="宋体" w:cs="宋体" w:eastAsia="宋体" w:hint="default"/>
          <w:spacing w:val="-2"/>
        </w:rPr>
        <w:t>4</w:t>
      </w:r>
      <w:r>
        <w:rPr>
          <w:spacing w:val="-2"/>
        </w:rPr>
        <w:t>、周群：男，</w:t>
      </w:r>
      <w:r>
        <w:rPr>
          <w:rFonts w:ascii="宋体" w:hAnsi="宋体" w:cs="宋体" w:eastAsia="宋体" w:hint="default"/>
          <w:spacing w:val="-2"/>
        </w:rPr>
        <w:t>1961</w:t>
      </w:r>
      <w:r>
        <w:rPr>
          <w:spacing w:val="-2"/>
        </w:rPr>
        <w:t>年生，硕士，研究员级高级工程师。</w:t>
      </w:r>
      <w:r>
        <w:rPr>
          <w:rFonts w:ascii="宋体" w:hAnsi="宋体" w:cs="宋体" w:eastAsia="宋体" w:hint="default"/>
          <w:spacing w:val="-2"/>
        </w:rPr>
        <w:t>1983</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2000</w:t>
      </w:r>
      <w:r>
        <w:rPr>
          <w:spacing w:val="-2"/>
        </w:rPr>
        <w:t>年</w:t>
      </w:r>
      <w:r>
        <w:rPr>
          <w:rFonts w:ascii="宋体" w:hAnsi="宋体" w:cs="宋体" w:eastAsia="宋体" w:hint="default"/>
          <w:spacing w:val="-2"/>
        </w:rPr>
        <w:t>12</w:t>
      </w:r>
      <w:r>
        <w:rPr>
          <w:spacing w:val="-2"/>
        </w:rPr>
        <w:t>月，历任上海船舶</w:t>
      </w:r>
      <w:r>
        <w:rPr>
          <w:w w:val="100"/>
        </w:rPr>
        <w:t> </w:t>
      </w:r>
      <w:r>
        <w:rPr/>
        <w:t>运输科学研究所工程师、高级工程师、经营开发处副处长、科技产业处副处长；</w:t>
      </w:r>
      <w:r>
        <w:rPr>
          <w:rFonts w:ascii="宋体" w:hAnsi="宋体" w:cs="宋体" w:eastAsia="宋体" w:hint="default"/>
        </w:rPr>
        <w:t>2001</w:t>
      </w:r>
      <w:r>
        <w:rPr/>
        <w:t>年</w:t>
      </w:r>
      <w:r>
        <w:rPr>
          <w:rFonts w:ascii="宋体" w:hAnsi="宋体" w:cs="宋体" w:eastAsia="宋体" w:hint="default"/>
        </w:rPr>
        <w:t>1</w:t>
      </w:r>
      <w:r>
        <w:rPr/>
        <w:t>月起就职于</w:t>
      </w:r>
      <w:r>
        <w:rPr>
          <w:w w:val="100"/>
        </w:rPr>
        <w:t> </w:t>
      </w:r>
      <w:r>
        <w:rPr>
          <w:spacing w:val="-2"/>
        </w:rPr>
        <w:t>上海交技发展股份有限公司，历任经营发展部主任、公司副总经理。现任中海网络科技股份有限公司</w:t>
      </w:r>
    </w:p>
    <w:p>
      <w:pPr>
        <w:pStyle w:val="Heading4"/>
        <w:spacing w:line="240" w:lineRule="auto"/>
        <w:ind w:right="0"/>
        <w:jc w:val="both"/>
      </w:pPr>
      <w:r>
        <w:rPr/>
        <w:t>董事、总经理、党委副书记，上海船舶运输科学研究所党委副书记，贵州新思维科技有限公司董事、</w:t>
      </w:r>
    </w:p>
    <w:p>
      <w:pPr>
        <w:spacing w:after="0" w:line="240" w:lineRule="auto"/>
        <w:jc w:val="both"/>
        <w:sectPr>
          <w:pgSz w:w="11910" w:h="16840"/>
          <w:pgMar w:header="877" w:footer="1340" w:top="1100" w:bottom="1540" w:left="980" w:right="0"/>
        </w:sectPr>
      </w:pPr>
    </w:p>
    <w:p>
      <w:pPr>
        <w:spacing w:line="240" w:lineRule="auto" w:before="4"/>
        <w:rPr>
          <w:rFonts w:ascii="宋体" w:hAnsi="宋体" w:cs="宋体" w:eastAsia="宋体" w:hint="default"/>
          <w:sz w:val="26"/>
          <w:szCs w:val="26"/>
        </w:rPr>
      </w:pPr>
    </w:p>
    <w:p>
      <w:pPr>
        <w:pStyle w:val="Heading4"/>
        <w:spacing w:line="391" w:lineRule="auto" w:before="32"/>
        <w:ind w:left="592" w:right="981" w:hanging="440"/>
        <w:jc w:val="left"/>
      </w:pPr>
      <w:r>
        <w:rPr/>
        <w:t>中国公路学会交通工程分会理事，上海市交通工程学会常务理事。</w:t>
      </w:r>
      <w:r>
        <w:rPr>
          <w:w w:val="100"/>
        </w:rPr>
        <w:t> </w:t>
      </w:r>
      <w:r>
        <w:rPr>
          <w:rFonts w:ascii="宋体" w:hAnsi="宋体" w:cs="宋体" w:eastAsia="宋体" w:hint="default"/>
          <w:spacing w:val="-2"/>
        </w:rPr>
        <w:t>5</w:t>
      </w:r>
      <w:r>
        <w:rPr>
          <w:spacing w:val="-2"/>
        </w:rPr>
        <w:t>、张人骥：男，</w:t>
      </w:r>
      <w:r>
        <w:rPr>
          <w:rFonts w:ascii="宋体" w:hAnsi="宋体" w:cs="宋体" w:eastAsia="宋体" w:hint="default"/>
          <w:spacing w:val="-2"/>
        </w:rPr>
        <w:t>1942</w:t>
      </w:r>
      <w:r>
        <w:rPr>
          <w:spacing w:val="-2"/>
        </w:rPr>
        <w:t>年生，硕士研究生，会计学教授。</w:t>
      </w:r>
      <w:r>
        <w:rPr>
          <w:rFonts w:ascii="宋体" w:hAnsi="宋体" w:cs="宋体" w:eastAsia="宋体" w:hint="default"/>
          <w:spacing w:val="-2"/>
        </w:rPr>
        <w:t>1981</w:t>
      </w:r>
      <w:r>
        <w:rPr>
          <w:spacing w:val="-2"/>
        </w:rPr>
        <w:t>年毕业于同济大学经济与管理学院，</w:t>
      </w:r>
    </w:p>
    <w:p>
      <w:pPr>
        <w:pStyle w:val="Heading4"/>
        <w:spacing w:line="391" w:lineRule="auto"/>
        <w:ind w:right="981"/>
        <w:jc w:val="left"/>
      </w:pPr>
      <w:r>
        <w:rPr/>
        <w:t>获硕士学位。</w:t>
      </w:r>
      <w:r>
        <w:rPr>
          <w:rFonts w:ascii="宋体" w:hAnsi="宋体" w:cs="宋体" w:eastAsia="宋体" w:hint="default"/>
        </w:rPr>
        <w:t>1981</w:t>
      </w:r>
      <w:r>
        <w:rPr/>
        <w:t>年</w:t>
      </w:r>
      <w:r>
        <w:rPr>
          <w:rFonts w:ascii="宋体" w:hAnsi="宋体" w:cs="宋体" w:eastAsia="宋体" w:hint="default"/>
        </w:rPr>
        <w:t>12</w:t>
      </w:r>
      <w:r>
        <w:rPr/>
        <w:t>月起任上海财经学院经济信息管理系讲师、副教授，</w:t>
      </w:r>
      <w:r>
        <w:rPr>
          <w:rFonts w:ascii="宋体" w:hAnsi="宋体" w:cs="宋体" w:eastAsia="宋体" w:hint="default"/>
        </w:rPr>
        <w:t>1986</w:t>
      </w:r>
      <w:r>
        <w:rPr/>
        <w:t>年</w:t>
      </w:r>
      <w:r>
        <w:rPr>
          <w:rFonts w:ascii="宋体" w:hAnsi="宋体" w:cs="宋体" w:eastAsia="宋体" w:hint="default"/>
        </w:rPr>
        <w:t>11</w:t>
      </w:r>
      <w:r>
        <w:rPr/>
        <w:t>月至</w:t>
      </w:r>
      <w:r>
        <w:rPr>
          <w:rFonts w:ascii="宋体" w:hAnsi="宋体" w:cs="宋体" w:eastAsia="宋体" w:hint="default"/>
        </w:rPr>
        <w:t>1989</w:t>
      </w:r>
      <w:r>
        <w:rPr/>
        <w:t>年</w:t>
      </w:r>
      <w:r>
        <w:rPr>
          <w:rFonts w:ascii="宋体" w:hAnsi="宋体" w:cs="宋体" w:eastAsia="宋体" w:hint="default"/>
        </w:rPr>
        <w:t>3</w:t>
      </w:r>
      <w:r>
        <w:rPr/>
        <w:t>月</w:t>
      </w:r>
      <w:r>
        <w:rPr>
          <w:w w:val="100"/>
        </w:rPr>
        <w:t> </w:t>
      </w:r>
      <w:r>
        <w:rPr>
          <w:spacing w:val="-1"/>
        </w:rPr>
        <w:t>作为访问学者赴联邦德国吉森大学，</w:t>
      </w:r>
      <w:r>
        <w:rPr>
          <w:rFonts w:ascii="宋体" w:hAnsi="宋体" w:cs="宋体" w:eastAsia="宋体" w:hint="default"/>
          <w:spacing w:val="-1"/>
        </w:rPr>
        <w:t>1991</w:t>
      </w:r>
      <w:r>
        <w:rPr>
          <w:spacing w:val="-1"/>
        </w:rPr>
        <w:t>年至</w:t>
      </w:r>
      <w:r>
        <w:rPr>
          <w:rFonts w:ascii="宋体" w:hAnsi="宋体" w:cs="宋体" w:eastAsia="宋体" w:hint="default"/>
          <w:spacing w:val="-1"/>
        </w:rPr>
        <w:t>1998</w:t>
      </w:r>
      <w:r>
        <w:rPr>
          <w:spacing w:val="-1"/>
        </w:rPr>
        <w:t>年任上海财经大学图书馆副馆长，副教授，教授，</w:t>
      </w:r>
      <w:r>
        <w:rPr>
          <w:spacing w:val="-68"/>
        </w:rPr>
        <w:t> </w:t>
      </w:r>
      <w:r>
        <w:rPr>
          <w:spacing w:val="-68"/>
        </w:rPr>
      </w:r>
      <w:r>
        <w:rPr>
          <w:rFonts w:ascii="宋体" w:hAnsi="宋体" w:cs="宋体" w:eastAsia="宋体" w:hint="default"/>
          <w:spacing w:val="-2"/>
        </w:rPr>
        <w:t>1999</w:t>
      </w:r>
      <w:r>
        <w:rPr>
          <w:spacing w:val="-2"/>
        </w:rPr>
        <w:t>年再次赴联邦德国，作为高级访问学者在杜塞尔道夫大学经济系投资与财务研究所工作，</w:t>
      </w:r>
      <w:r>
        <w:rPr>
          <w:rFonts w:ascii="宋体" w:hAnsi="宋体" w:cs="宋体" w:eastAsia="宋体" w:hint="default"/>
          <w:spacing w:val="-2"/>
        </w:rPr>
        <w:t>1999</w:t>
      </w:r>
      <w:r>
        <w:rPr>
          <w:spacing w:val="-2"/>
        </w:rPr>
        <w:t>年</w:t>
      </w:r>
    </w:p>
    <w:p>
      <w:pPr>
        <w:pStyle w:val="Heading4"/>
        <w:spacing w:line="391" w:lineRule="auto"/>
        <w:ind w:right="1199"/>
        <w:jc w:val="both"/>
      </w:pPr>
      <w:r>
        <w:rPr>
          <w:rFonts w:ascii="宋体" w:hAnsi="宋体" w:cs="宋体" w:eastAsia="宋体" w:hint="default"/>
          <w:spacing w:val="-1"/>
        </w:rPr>
        <w:t>10</w:t>
      </w:r>
      <w:r>
        <w:rPr>
          <w:spacing w:val="-1"/>
        </w:rPr>
        <w:t>月任上海财经大学会计学院教授、硕士生导师，</w:t>
      </w:r>
      <w:r>
        <w:rPr>
          <w:rFonts w:ascii="宋体" w:hAnsi="宋体" w:cs="宋体" w:eastAsia="宋体" w:hint="default"/>
          <w:spacing w:val="-1"/>
        </w:rPr>
        <w:t>2002</w:t>
      </w:r>
      <w:r>
        <w:rPr>
          <w:spacing w:val="-1"/>
        </w:rPr>
        <w:t>年</w:t>
      </w:r>
      <w:r>
        <w:rPr>
          <w:rFonts w:ascii="宋体" w:hAnsi="宋体" w:cs="宋体" w:eastAsia="宋体" w:hint="default"/>
          <w:spacing w:val="-1"/>
        </w:rPr>
        <w:t>1</w:t>
      </w:r>
      <w:r>
        <w:rPr>
          <w:spacing w:val="-1"/>
        </w:rPr>
        <w:t>月起在上海国家会计学院教研部任教。现</w:t>
      </w:r>
      <w:r>
        <w:rPr>
          <w:spacing w:val="-70"/>
        </w:rPr>
        <w:t> </w:t>
      </w:r>
      <w:r>
        <w:rPr>
          <w:spacing w:val="-70"/>
        </w:rPr>
      </w:r>
      <w:r>
        <w:rPr>
          <w:spacing w:val="-1"/>
        </w:rPr>
        <w:t>任上海国家会计学院教研部负责人、</w:t>
      </w:r>
      <w:r>
        <w:rPr>
          <w:rFonts w:ascii="宋体" w:hAnsi="宋体" w:cs="宋体" w:eastAsia="宋体" w:hint="default"/>
          <w:spacing w:val="-1"/>
        </w:rPr>
        <w:t>CFO</w:t>
      </w:r>
      <w:r>
        <w:rPr>
          <w:spacing w:val="-1"/>
        </w:rPr>
        <w:t>中心主任，上海机电股份有限公司、上海第一医药股份有限</w:t>
      </w:r>
      <w:r>
        <w:rPr>
          <w:spacing w:val="-72"/>
        </w:rPr>
        <w:t> </w:t>
      </w:r>
      <w:r>
        <w:rPr>
          <w:spacing w:val="-72"/>
        </w:rPr>
      </w:r>
      <w:r>
        <w:rPr/>
        <w:t>公司、上海新朋实业股份有限公司独立董事、中海网络科技股份有限公司独立董事。</w:t>
      </w:r>
    </w:p>
    <w:p>
      <w:pPr>
        <w:pStyle w:val="Heading4"/>
        <w:spacing w:line="391" w:lineRule="auto" w:before="42"/>
        <w:ind w:right="1127" w:firstLine="439"/>
        <w:jc w:val="both"/>
      </w:pPr>
      <w:r>
        <w:rPr>
          <w:rFonts w:ascii="宋体" w:hAnsi="宋体" w:cs="宋体" w:eastAsia="宋体" w:hint="default"/>
          <w:spacing w:val="-2"/>
        </w:rPr>
        <w:t>6</w:t>
      </w:r>
      <w:r>
        <w:rPr>
          <w:spacing w:val="-2"/>
        </w:rPr>
        <w:t>、高勇：男，</w:t>
      </w:r>
      <w:r>
        <w:rPr>
          <w:rFonts w:ascii="宋体" w:hAnsi="宋体" w:cs="宋体" w:eastAsia="宋体" w:hint="default"/>
          <w:spacing w:val="-2"/>
        </w:rPr>
        <w:t>1973</w:t>
      </w:r>
      <w:r>
        <w:rPr>
          <w:spacing w:val="-2"/>
        </w:rPr>
        <w:t>年生，大学本科学历。</w:t>
      </w:r>
      <w:r>
        <w:rPr>
          <w:rFonts w:ascii="宋体" w:hAnsi="宋体" w:cs="宋体" w:eastAsia="宋体" w:hint="default"/>
          <w:spacing w:val="-2"/>
        </w:rPr>
        <w:t>1993</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2000</w:t>
      </w:r>
      <w:r>
        <w:rPr>
          <w:spacing w:val="-2"/>
        </w:rPr>
        <w:t>年</w:t>
      </w:r>
      <w:r>
        <w:rPr>
          <w:rFonts w:ascii="宋体" w:hAnsi="宋体" w:cs="宋体" w:eastAsia="宋体" w:hint="default"/>
          <w:spacing w:val="-2"/>
        </w:rPr>
        <w:t>10</w:t>
      </w:r>
      <w:r>
        <w:rPr>
          <w:spacing w:val="-2"/>
        </w:rPr>
        <w:t>月，先后在杨浦区人民检察院贪</w:t>
      </w:r>
      <w:r>
        <w:rPr>
          <w:w w:val="100"/>
        </w:rPr>
        <w:t> </w:t>
      </w:r>
      <w:r>
        <w:rPr>
          <w:spacing w:val="-2"/>
        </w:rPr>
        <w:t>污贿赂检察科</w:t>
      </w:r>
      <w:r>
        <w:rPr>
          <w:rFonts w:ascii="宋体" w:hAnsi="宋体" w:cs="宋体" w:eastAsia="宋体" w:hint="default"/>
          <w:spacing w:val="-2"/>
        </w:rPr>
        <w:t>(</w:t>
      </w:r>
      <w:r>
        <w:rPr>
          <w:spacing w:val="-2"/>
        </w:rPr>
        <w:t>现为反贪局</w:t>
      </w:r>
      <w:r>
        <w:rPr>
          <w:rFonts w:ascii="宋体" w:hAnsi="宋体" w:cs="宋体" w:eastAsia="宋体" w:hint="default"/>
          <w:spacing w:val="-2"/>
        </w:rPr>
        <w:t>)</w:t>
      </w:r>
      <w:r>
        <w:rPr>
          <w:spacing w:val="-2"/>
        </w:rPr>
        <w:t>、税务检察室、法纪检察科以及杨浦公安分局经侦支队工作。</w:t>
      </w:r>
      <w:r>
        <w:rPr>
          <w:rFonts w:ascii="宋体" w:hAnsi="宋体" w:cs="宋体" w:eastAsia="宋体" w:hint="default"/>
          <w:spacing w:val="-2"/>
        </w:rPr>
        <w:t>2000</w:t>
      </w:r>
      <w:r>
        <w:rPr>
          <w:spacing w:val="-2"/>
        </w:rPr>
        <w:t>年</w:t>
      </w:r>
      <w:r>
        <w:rPr>
          <w:rFonts w:ascii="宋体" w:hAnsi="宋体" w:cs="宋体" w:eastAsia="宋体" w:hint="default"/>
          <w:spacing w:val="-2"/>
        </w:rPr>
        <w:t>10</w:t>
      </w:r>
      <w:r>
        <w:rPr>
          <w:spacing w:val="-2"/>
        </w:rPr>
        <w:t>月</w:t>
      </w:r>
      <w:r>
        <w:rPr>
          <w:spacing w:val="-60"/>
        </w:rPr>
        <w:t> </w:t>
      </w:r>
      <w:r>
        <w:rPr>
          <w:spacing w:val="-2"/>
        </w:rPr>
        <w:t>至今在上海市前和律师事务所任职，期间</w:t>
      </w:r>
      <w:r>
        <w:rPr>
          <w:rFonts w:ascii="宋体" w:hAnsi="宋体" w:cs="宋体" w:eastAsia="宋体" w:hint="default"/>
          <w:spacing w:val="-2"/>
        </w:rPr>
        <w:t>2001</w:t>
      </w:r>
      <w:r>
        <w:rPr>
          <w:spacing w:val="-2"/>
        </w:rPr>
        <w:t>年成为执业律师，</w:t>
      </w:r>
      <w:r>
        <w:rPr>
          <w:rFonts w:ascii="宋体" w:hAnsi="宋体" w:cs="宋体" w:eastAsia="宋体" w:hint="default"/>
          <w:spacing w:val="-2"/>
        </w:rPr>
        <w:t>2004</w:t>
      </w:r>
      <w:r>
        <w:rPr>
          <w:spacing w:val="-2"/>
        </w:rPr>
        <w:t>年先后任该所合伙人、主任。现</w:t>
      </w:r>
      <w:r>
        <w:rPr>
          <w:spacing w:val="-63"/>
        </w:rPr>
        <w:t> </w:t>
      </w:r>
      <w:r>
        <w:rPr>
          <w:spacing w:val="-63"/>
        </w:rPr>
      </w:r>
      <w:r>
        <w:rPr>
          <w:spacing w:val="-2"/>
        </w:rPr>
        <w:t>任上海市前和律师事务所律师、合伙人、主任，上海市律师协会规划与规则委员会委员，长宁区青联</w:t>
      </w:r>
      <w:r>
        <w:rPr>
          <w:spacing w:val="-72"/>
        </w:rPr>
        <w:t> </w:t>
      </w:r>
      <w:r>
        <w:rPr>
          <w:spacing w:val="-72"/>
        </w:rPr>
      </w:r>
      <w:r>
        <w:rPr/>
        <w:t>委员，中海网络科技股份有限公司独立董事。</w:t>
      </w:r>
    </w:p>
    <w:p>
      <w:pPr>
        <w:pStyle w:val="Heading4"/>
        <w:spacing w:line="391" w:lineRule="auto"/>
        <w:ind w:right="1090" w:firstLine="439"/>
        <w:jc w:val="both"/>
      </w:pPr>
      <w:r>
        <w:rPr>
          <w:rFonts w:ascii="宋体" w:hAnsi="宋体" w:cs="宋体" w:eastAsia="宋体" w:hint="default"/>
        </w:rPr>
        <w:t>7</w:t>
      </w:r>
      <w:r>
        <w:rPr/>
        <w:t>、张河涛：男，</w:t>
      </w:r>
      <w:r>
        <w:rPr>
          <w:rFonts w:ascii="宋体" w:hAnsi="宋体" w:cs="宋体" w:eastAsia="宋体" w:hint="default"/>
        </w:rPr>
        <w:t>1969</w:t>
      </w:r>
      <w:r>
        <w:rPr/>
        <w:t>年生，硕士研究生。</w:t>
      </w:r>
      <w:r>
        <w:rPr>
          <w:rFonts w:ascii="宋体" w:hAnsi="宋体" w:cs="宋体" w:eastAsia="宋体" w:hint="default"/>
        </w:rPr>
        <w:t>1996</w:t>
      </w:r>
      <w:r>
        <w:rPr/>
        <w:t>年</w:t>
      </w:r>
      <w:r>
        <w:rPr>
          <w:rFonts w:ascii="宋体" w:hAnsi="宋体" w:cs="宋体" w:eastAsia="宋体" w:hint="default"/>
        </w:rPr>
        <w:t>7</w:t>
      </w:r>
      <w:r>
        <w:rPr/>
        <w:t>月至</w:t>
      </w:r>
      <w:r>
        <w:rPr>
          <w:rFonts w:ascii="宋体" w:hAnsi="宋体" w:cs="宋体" w:eastAsia="宋体" w:hint="default"/>
        </w:rPr>
        <w:t>1998</w:t>
      </w:r>
      <w:r>
        <w:rPr/>
        <w:t>年</w:t>
      </w:r>
      <w:r>
        <w:rPr>
          <w:rFonts w:ascii="宋体" w:hAnsi="宋体" w:cs="宋体" w:eastAsia="宋体" w:hint="default"/>
        </w:rPr>
        <w:t>6</w:t>
      </w:r>
      <w:r>
        <w:rPr/>
        <w:t>月机械部北京自动化研究所软件</w:t>
      </w:r>
      <w:r>
        <w:rPr>
          <w:w w:val="100"/>
        </w:rPr>
        <w:t> </w:t>
      </w:r>
      <w:r>
        <w:rPr>
          <w:spacing w:val="-2"/>
        </w:rPr>
        <w:t>中心任课题组长，</w:t>
      </w:r>
      <w:r>
        <w:rPr>
          <w:rFonts w:ascii="宋体" w:hAnsi="宋体" w:cs="宋体" w:eastAsia="宋体" w:hint="default"/>
          <w:spacing w:val="-2"/>
        </w:rPr>
        <w:t>1998</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2005</w:t>
      </w:r>
      <w:r>
        <w:rPr>
          <w:spacing w:val="-2"/>
        </w:rPr>
        <w:t>年</w:t>
      </w:r>
      <w:r>
        <w:rPr>
          <w:rFonts w:ascii="宋体" w:hAnsi="宋体" w:cs="宋体" w:eastAsia="宋体" w:hint="default"/>
          <w:spacing w:val="-2"/>
        </w:rPr>
        <w:t>2</w:t>
      </w:r>
      <w:r>
        <w:rPr>
          <w:spacing w:val="-2"/>
        </w:rPr>
        <w:t>月微软中国研发中心移动设备任经理，</w:t>
      </w:r>
      <w:r>
        <w:rPr>
          <w:rFonts w:ascii="宋体" w:hAnsi="宋体" w:cs="宋体" w:eastAsia="宋体" w:hint="default"/>
          <w:spacing w:val="-2"/>
        </w:rPr>
        <w:t>2005</w:t>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2006</w:t>
      </w:r>
      <w:r>
        <w:rPr>
          <w:spacing w:val="-2"/>
        </w:rPr>
        <w:t>年</w:t>
      </w:r>
      <w:r>
        <w:rPr>
          <w:rFonts w:ascii="宋体" w:hAnsi="宋体" w:cs="宋体" w:eastAsia="宋体" w:hint="default"/>
          <w:spacing w:val="-2"/>
        </w:rPr>
        <w:t>9</w:t>
      </w:r>
      <w:r>
        <w:rPr>
          <w:spacing w:val="-2"/>
        </w:rPr>
        <w:t>月</w:t>
      </w:r>
      <w:r>
        <w:rPr>
          <w:spacing w:val="-48"/>
        </w:rPr>
        <w:t> </w:t>
      </w:r>
      <w:r>
        <w:rPr/>
        <w:t>北京衡准科技有限公司任运营总监，</w:t>
      </w:r>
      <w:r>
        <w:rPr>
          <w:rFonts w:ascii="宋体" w:hAnsi="宋体" w:cs="宋体" w:eastAsia="宋体" w:hint="default"/>
        </w:rPr>
        <w:t>2006</w:t>
      </w:r>
      <w:r>
        <w:rPr/>
        <w:t>年</w:t>
      </w:r>
      <w:r>
        <w:rPr>
          <w:rFonts w:ascii="宋体" w:hAnsi="宋体" w:cs="宋体" w:eastAsia="宋体" w:hint="default"/>
        </w:rPr>
        <w:t>10</w:t>
      </w:r>
      <w:r>
        <w:rPr/>
        <w:t>月至</w:t>
      </w:r>
      <w:r>
        <w:rPr>
          <w:rFonts w:ascii="宋体" w:hAnsi="宋体" w:cs="宋体" w:eastAsia="宋体" w:hint="default"/>
        </w:rPr>
        <w:t>2007</w:t>
      </w:r>
      <w:r>
        <w:rPr/>
        <w:t>年</w:t>
      </w:r>
      <w:r>
        <w:rPr>
          <w:rFonts w:ascii="宋体" w:hAnsi="宋体" w:cs="宋体" w:eastAsia="宋体" w:hint="default"/>
        </w:rPr>
        <w:t>12</w:t>
      </w:r>
      <w:r>
        <w:rPr/>
        <w:t>月晶世科技有限公司任</w:t>
      </w:r>
      <w:r>
        <w:rPr>
          <w:rFonts w:ascii="宋体" w:hAnsi="宋体" w:cs="宋体" w:eastAsia="宋体" w:hint="default"/>
        </w:rPr>
        <w:t>COO</w:t>
      </w:r>
      <w:r>
        <w:rPr/>
        <w:t>，</w:t>
      </w:r>
      <w:r>
        <w:rPr>
          <w:rFonts w:ascii="宋体" w:hAnsi="宋体" w:cs="宋体" w:eastAsia="宋体" w:hint="default"/>
        </w:rPr>
        <w:t>2007</w:t>
      </w:r>
      <w:r>
        <w:rPr/>
        <w:t>年任上</w:t>
      </w:r>
      <w:r>
        <w:rPr>
          <w:w w:val="100"/>
        </w:rPr>
        <w:t> </w:t>
      </w:r>
      <w:r>
        <w:rPr>
          <w:spacing w:val="-1"/>
        </w:rPr>
        <w:t>海微创软件有限公司总裁。现任上海微创软件有限公司总裁，中海网络科技股份有限公司独立董事。</w:t>
      </w:r>
    </w:p>
    <w:p>
      <w:pPr>
        <w:pStyle w:val="Heading4"/>
        <w:spacing w:line="391" w:lineRule="auto"/>
        <w:ind w:left="592" w:right="981"/>
        <w:jc w:val="left"/>
      </w:pPr>
      <w:r>
        <w:rPr/>
        <w:t>（二）监事会成员</w:t>
      </w:r>
      <w:r>
        <w:rPr>
          <w:w w:val="100"/>
        </w:rPr>
        <w:t> </w:t>
      </w:r>
      <w:r>
        <w:rPr>
          <w:rFonts w:ascii="宋体" w:hAnsi="宋体" w:cs="宋体" w:eastAsia="宋体" w:hint="default"/>
          <w:spacing w:val="-1"/>
        </w:rPr>
        <w:t>1</w:t>
      </w:r>
      <w:r>
        <w:rPr>
          <w:spacing w:val="-1"/>
        </w:rPr>
        <w:t>、戴静：女，</w:t>
      </w:r>
      <w:r>
        <w:rPr>
          <w:rFonts w:ascii="宋体" w:hAnsi="宋体" w:cs="宋体" w:eastAsia="宋体" w:hint="default"/>
          <w:spacing w:val="-1"/>
        </w:rPr>
        <w:t>1972</w:t>
      </w:r>
      <w:r>
        <w:rPr>
          <w:spacing w:val="-1"/>
        </w:rPr>
        <w:t>年生，武汉大学软件工程硕士（金融信息化方向），高级会计师，注册会计</w:t>
      </w:r>
    </w:p>
    <w:p>
      <w:pPr>
        <w:pStyle w:val="Heading4"/>
        <w:spacing w:line="391" w:lineRule="auto"/>
        <w:ind w:right="1127"/>
        <w:jc w:val="both"/>
      </w:pPr>
      <w:r>
        <w:rPr/>
        <w:t>师。</w:t>
      </w:r>
      <w:r>
        <w:rPr>
          <w:rFonts w:ascii="宋体" w:hAnsi="宋体" w:cs="宋体" w:eastAsia="宋体" w:hint="default"/>
        </w:rPr>
        <w:t>1994</w:t>
      </w:r>
      <w:r>
        <w:rPr/>
        <w:t>年</w:t>
      </w:r>
      <w:r>
        <w:rPr>
          <w:rFonts w:ascii="宋体" w:hAnsi="宋体" w:cs="宋体" w:eastAsia="宋体" w:hint="default"/>
        </w:rPr>
        <w:t>7</w:t>
      </w:r>
      <w:r>
        <w:rPr/>
        <w:t>月至今，历任上海船舶运输科学研究所（以下简称“上海船研所”）财务处会计员、处</w:t>
      </w:r>
      <w:r>
        <w:rPr>
          <w:w w:val="100"/>
        </w:rPr>
        <w:t> </w:t>
      </w:r>
      <w:r>
        <w:rPr>
          <w:spacing w:val="-2"/>
        </w:rPr>
        <w:t>长助理、副处长、资产财务部部长助理兼财务处处长、资产财务部副部长兼财务处处长，上海船研所</w:t>
      </w:r>
      <w:r>
        <w:rPr>
          <w:spacing w:val="-70"/>
        </w:rPr>
        <w:t> </w:t>
      </w:r>
      <w:r>
        <w:rPr>
          <w:spacing w:val="-70"/>
        </w:rPr>
      </w:r>
      <w:r>
        <w:rPr>
          <w:spacing w:val="-2"/>
        </w:rPr>
        <w:t>所长助理。现任上海船研所总会计师、资产财务部部长兼财务处处长、中海网络科技股份有限公司监</w:t>
      </w:r>
      <w:r>
        <w:rPr>
          <w:spacing w:val="-65"/>
        </w:rPr>
        <w:t> </w:t>
      </w:r>
      <w:r>
        <w:rPr>
          <w:spacing w:val="-65"/>
        </w:rPr>
      </w:r>
      <w:r>
        <w:rPr/>
        <w:t>事会主席、上海运昌商贸发展公司法定代表人。</w:t>
      </w:r>
    </w:p>
    <w:p>
      <w:pPr>
        <w:pStyle w:val="Heading4"/>
        <w:spacing w:line="391" w:lineRule="auto" w:before="42"/>
        <w:ind w:right="1127" w:firstLine="439"/>
        <w:jc w:val="both"/>
      </w:pPr>
      <w:r>
        <w:rPr>
          <w:rFonts w:ascii="宋体" w:hAnsi="宋体" w:cs="宋体" w:eastAsia="宋体" w:hint="default"/>
          <w:spacing w:val="-2"/>
        </w:rPr>
        <w:t>2</w:t>
      </w:r>
      <w:r>
        <w:rPr>
          <w:spacing w:val="-2"/>
        </w:rPr>
        <w:t>、范晓莹：女，</w:t>
      </w:r>
      <w:r>
        <w:rPr>
          <w:rFonts w:ascii="宋体" w:hAnsi="宋体" w:cs="宋体" w:eastAsia="宋体" w:hint="default"/>
          <w:spacing w:val="-2"/>
        </w:rPr>
        <w:t>1979</w:t>
      </w:r>
      <w:r>
        <w:rPr>
          <w:spacing w:val="-2"/>
        </w:rPr>
        <w:t>年生，复旦大学法学院经济法专业毕业，上海交通大学</w:t>
      </w:r>
      <w:r>
        <w:rPr>
          <w:rFonts w:ascii="宋体" w:hAnsi="宋体" w:cs="宋体" w:eastAsia="宋体" w:hint="default"/>
          <w:spacing w:val="-2"/>
        </w:rPr>
        <w:t>MBA</w:t>
      </w:r>
      <w:r>
        <w:rPr>
          <w:spacing w:val="-2"/>
        </w:rPr>
        <w:t>硕士学位。</w:t>
      </w:r>
      <w:r>
        <w:rPr>
          <w:rFonts w:ascii="宋体" w:hAnsi="宋体" w:cs="宋体" w:eastAsia="宋体" w:hint="default"/>
          <w:spacing w:val="-2"/>
        </w:rPr>
        <w:t>2001</w:t>
      </w:r>
      <w:r>
        <w:rPr>
          <w:rFonts w:ascii="宋体" w:hAnsi="宋体" w:cs="宋体" w:eastAsia="宋体" w:hint="default"/>
          <w:w w:val="100"/>
        </w:rPr>
        <w:t> </w:t>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2002</w:t>
      </w:r>
      <w:r>
        <w:rPr>
          <w:spacing w:val="-2"/>
        </w:rPr>
        <w:t>年</w:t>
      </w:r>
      <w:r>
        <w:rPr>
          <w:rFonts w:ascii="宋体" w:hAnsi="宋体" w:cs="宋体" w:eastAsia="宋体" w:hint="default"/>
          <w:spacing w:val="-2"/>
        </w:rPr>
        <w:t>2</w:t>
      </w:r>
      <w:r>
        <w:rPr>
          <w:spacing w:val="-2"/>
        </w:rPr>
        <w:t>月，任上海恒泰律师事务所律师助理。</w:t>
      </w:r>
      <w:r>
        <w:rPr>
          <w:rFonts w:ascii="宋体" w:hAnsi="宋体" w:cs="宋体" w:eastAsia="宋体" w:hint="default"/>
          <w:spacing w:val="-2"/>
        </w:rPr>
        <w:t>2002</w:t>
      </w:r>
      <w:r>
        <w:rPr>
          <w:spacing w:val="-2"/>
        </w:rPr>
        <w:t>年</w:t>
      </w:r>
      <w:r>
        <w:rPr>
          <w:rFonts w:ascii="宋体" w:hAnsi="宋体" w:cs="宋体" w:eastAsia="宋体" w:hint="default"/>
          <w:spacing w:val="-2"/>
        </w:rPr>
        <w:t>2</w:t>
      </w:r>
      <w:r>
        <w:rPr>
          <w:spacing w:val="-2"/>
        </w:rPr>
        <w:t>月至</w:t>
      </w:r>
      <w:r>
        <w:rPr>
          <w:rFonts w:ascii="宋体" w:hAnsi="宋体" w:cs="宋体" w:eastAsia="宋体" w:hint="default"/>
          <w:spacing w:val="-2"/>
        </w:rPr>
        <w:t>2004</w:t>
      </w:r>
      <w:r>
        <w:rPr>
          <w:spacing w:val="-2"/>
        </w:rPr>
        <w:t>年</w:t>
      </w:r>
      <w:r>
        <w:rPr>
          <w:rFonts w:ascii="宋体" w:hAnsi="宋体" w:cs="宋体" w:eastAsia="宋体" w:hint="default"/>
          <w:spacing w:val="-2"/>
        </w:rPr>
        <w:t>4</w:t>
      </w:r>
      <w:r>
        <w:rPr>
          <w:spacing w:val="-2"/>
        </w:rPr>
        <w:t>月，任上海黄浦实业发展</w:t>
      </w:r>
      <w:r>
        <w:rPr>
          <w:spacing w:val="-51"/>
        </w:rPr>
        <w:t> </w:t>
      </w:r>
      <w:r>
        <w:rPr>
          <w:spacing w:val="-51"/>
        </w:rPr>
      </w:r>
      <w:r>
        <w:rPr>
          <w:spacing w:val="-6"/>
        </w:rPr>
        <w:t>有限公司总经理室职员。</w:t>
      </w:r>
      <w:r>
        <w:rPr>
          <w:rFonts w:ascii="宋体" w:hAnsi="宋体" w:cs="宋体" w:eastAsia="宋体" w:hint="default"/>
          <w:spacing w:val="-6"/>
        </w:rPr>
        <w:t>2004</w:t>
      </w:r>
      <w:r>
        <w:rPr>
          <w:spacing w:val="-6"/>
        </w:rPr>
        <w:t>年</w:t>
      </w:r>
      <w:r>
        <w:rPr>
          <w:rFonts w:ascii="宋体" w:hAnsi="宋体" w:cs="宋体" w:eastAsia="宋体" w:hint="default"/>
          <w:spacing w:val="-6"/>
        </w:rPr>
        <w:t>4</w:t>
      </w:r>
      <w:r>
        <w:rPr>
          <w:spacing w:val="-6"/>
        </w:rPr>
        <w:t>月至</w:t>
      </w:r>
      <w:r>
        <w:rPr>
          <w:rFonts w:ascii="宋体" w:hAnsi="宋体" w:cs="宋体" w:eastAsia="宋体" w:hint="default"/>
          <w:spacing w:val="-6"/>
        </w:rPr>
        <w:t>2006</w:t>
      </w:r>
      <w:r>
        <w:rPr>
          <w:spacing w:val="-6"/>
        </w:rPr>
        <w:t>年</w:t>
      </w:r>
      <w:r>
        <w:rPr>
          <w:rFonts w:ascii="宋体" w:hAnsi="宋体" w:cs="宋体" w:eastAsia="宋体" w:hint="default"/>
          <w:spacing w:val="-6"/>
        </w:rPr>
        <w:t>8</w:t>
      </w:r>
      <w:r>
        <w:rPr>
          <w:spacing w:val="-6"/>
        </w:rPr>
        <w:t>月，任戴德梁行（上海）有限公司投资部项目经理。</w:t>
      </w:r>
      <w:r>
        <w:rPr>
          <w:rFonts w:ascii="宋体" w:hAnsi="宋体" w:cs="宋体" w:eastAsia="宋体" w:hint="default"/>
          <w:spacing w:val="-6"/>
        </w:rPr>
        <w:t>2008</w:t>
      </w:r>
      <w:r>
        <w:rPr>
          <w:rFonts w:ascii="宋体" w:hAnsi="宋体" w:cs="宋体" w:eastAsia="宋体" w:hint="default"/>
          <w:spacing w:val="-64"/>
        </w:rPr>
        <w:t> </w:t>
      </w:r>
      <w:r>
        <w:rPr>
          <w:rFonts w:ascii="宋体" w:hAnsi="宋体" w:cs="宋体" w:eastAsia="宋体" w:hint="default"/>
          <w:spacing w:val="-64"/>
        </w:rPr>
      </w:r>
      <w:r>
        <w:rPr/>
        <w:t>年</w:t>
      </w:r>
      <w:r>
        <w:rPr>
          <w:rFonts w:ascii="宋体" w:hAnsi="宋体" w:cs="宋体" w:eastAsia="宋体" w:hint="default"/>
        </w:rPr>
        <w:t>5</w:t>
      </w:r>
      <w:r>
        <w:rPr/>
        <w:t>月至今，任上海浦东科技投资有限公司投资管理部投资经理。现任上海浦东科技投资有限公司业</w:t>
      </w:r>
      <w:r>
        <w:rPr>
          <w:w w:val="100"/>
        </w:rPr>
        <w:t> </w:t>
      </w:r>
      <w:r>
        <w:rPr/>
        <w:t>务五部副总经理、中海网络科技股份有限公司监事。</w:t>
      </w:r>
    </w:p>
    <w:p>
      <w:pPr>
        <w:pStyle w:val="Heading4"/>
        <w:spacing w:line="240" w:lineRule="auto"/>
        <w:ind w:right="0" w:firstLine="439"/>
        <w:jc w:val="both"/>
      </w:pPr>
      <w:r>
        <w:rPr>
          <w:rFonts w:ascii="宋体" w:hAnsi="宋体" w:cs="宋体" w:eastAsia="宋体" w:hint="default"/>
        </w:rPr>
        <w:t>3</w:t>
      </w:r>
      <w:r>
        <w:rPr/>
        <w:t>、全江楚：男，</w:t>
      </w:r>
      <w:r>
        <w:rPr>
          <w:rFonts w:ascii="宋体" w:hAnsi="宋体" w:cs="宋体" w:eastAsia="宋体" w:hint="default"/>
        </w:rPr>
        <w:t>1964</w:t>
      </w:r>
      <w:r>
        <w:rPr/>
        <w:t>年生，硕士，研究员。</w:t>
      </w:r>
      <w:r>
        <w:rPr>
          <w:rFonts w:ascii="宋体" w:hAnsi="宋体" w:cs="宋体" w:eastAsia="宋体" w:hint="default"/>
        </w:rPr>
        <w:t>1987</w:t>
      </w:r>
      <w:r>
        <w:rPr/>
        <w:t>年</w:t>
      </w:r>
      <w:r>
        <w:rPr>
          <w:rFonts w:ascii="宋体" w:hAnsi="宋体" w:cs="宋体" w:eastAsia="宋体" w:hint="default"/>
        </w:rPr>
        <w:t>7</w:t>
      </w:r>
      <w:r>
        <w:rPr/>
        <w:t>月至</w:t>
      </w:r>
      <w:r>
        <w:rPr>
          <w:rFonts w:ascii="宋体" w:hAnsi="宋体" w:cs="宋体" w:eastAsia="宋体" w:hint="default"/>
        </w:rPr>
        <w:t>2000</w:t>
      </w:r>
      <w:r>
        <w:rPr/>
        <w:t>年</w:t>
      </w:r>
      <w:r>
        <w:rPr>
          <w:rFonts w:ascii="宋体" w:hAnsi="宋体" w:cs="宋体" w:eastAsia="宋体" w:hint="default"/>
        </w:rPr>
        <w:t>12</w:t>
      </w:r>
      <w:r>
        <w:rPr/>
        <w:t>月，就职于上海船舶运输科学</w:t>
      </w:r>
    </w:p>
    <w:p>
      <w:pPr>
        <w:pStyle w:val="Heading4"/>
        <w:spacing w:line="240" w:lineRule="auto" w:before="180"/>
        <w:ind w:right="0"/>
        <w:jc w:val="both"/>
      </w:pPr>
      <w:r>
        <w:rPr/>
        <w:t>研究所；</w:t>
      </w:r>
      <w:r>
        <w:rPr>
          <w:rFonts w:ascii="宋体" w:hAnsi="宋体" w:cs="宋体" w:eastAsia="宋体" w:hint="default"/>
        </w:rPr>
        <w:t>2001</w:t>
      </w:r>
      <w:r>
        <w:rPr/>
        <w:t>年至今就职于本公司，现任公司职工监事、工业自动化部总监、中海网络科技股份有限</w:t>
      </w:r>
    </w:p>
    <w:p>
      <w:pPr>
        <w:spacing w:after="0" w:line="240" w:lineRule="auto"/>
        <w:jc w:val="both"/>
        <w:sectPr>
          <w:footerReference w:type="default" r:id="rId25"/>
          <w:pgSz w:w="11910" w:h="16840"/>
          <w:pgMar w:footer="1261" w:header="877" w:top="1100" w:bottom="1460" w:left="980" w:right="0"/>
          <w:pgNumType w:start="44"/>
        </w:sectPr>
      </w:pPr>
    </w:p>
    <w:p>
      <w:pPr>
        <w:spacing w:line="240" w:lineRule="auto" w:before="4"/>
        <w:rPr>
          <w:rFonts w:ascii="宋体" w:hAnsi="宋体" w:cs="宋体" w:eastAsia="宋体" w:hint="default"/>
          <w:sz w:val="26"/>
          <w:szCs w:val="26"/>
        </w:rPr>
      </w:pPr>
    </w:p>
    <w:p>
      <w:pPr>
        <w:pStyle w:val="Heading4"/>
        <w:spacing w:line="240" w:lineRule="auto" w:before="32"/>
        <w:ind w:right="981"/>
        <w:jc w:val="left"/>
      </w:pPr>
      <w:r>
        <w:rPr/>
        <w:t>公司监事。</w:t>
      </w:r>
    </w:p>
    <w:p>
      <w:pPr>
        <w:pStyle w:val="Heading4"/>
        <w:spacing w:line="240" w:lineRule="auto" w:before="180"/>
        <w:ind w:left="592" w:right="981"/>
        <w:jc w:val="left"/>
      </w:pPr>
      <w:r>
        <w:rPr/>
        <w:t>（三）高级管理人员</w:t>
      </w:r>
    </w:p>
    <w:p>
      <w:pPr>
        <w:pStyle w:val="Heading4"/>
        <w:spacing w:line="240" w:lineRule="auto" w:before="180"/>
        <w:ind w:left="592" w:right="981"/>
        <w:jc w:val="left"/>
      </w:pPr>
      <w:r>
        <w:rPr>
          <w:rFonts w:ascii="宋体" w:hAnsi="宋体" w:cs="宋体" w:eastAsia="宋体" w:hint="default"/>
        </w:rPr>
        <w:t>1</w:t>
      </w:r>
      <w:r>
        <w:rPr/>
        <w:t>、周群：担任董事的周群总经理主要工作经历详见本节</w:t>
      </w:r>
      <w:r>
        <w:rPr>
          <w:spacing w:val="-4"/>
        </w:rPr>
        <w:t> </w:t>
      </w:r>
      <w:r>
        <w:rPr/>
        <w:t>“（一）董事会成员”相应内容。</w:t>
      </w:r>
    </w:p>
    <w:p>
      <w:pPr>
        <w:pStyle w:val="Heading4"/>
        <w:spacing w:line="391" w:lineRule="auto" w:before="180"/>
        <w:ind w:right="981" w:firstLine="439"/>
        <w:jc w:val="left"/>
      </w:pPr>
      <w:r>
        <w:rPr>
          <w:rFonts w:ascii="宋体" w:hAnsi="宋体" w:cs="宋体" w:eastAsia="宋体" w:hint="default"/>
        </w:rPr>
        <w:t>2</w:t>
      </w:r>
      <w:r>
        <w:rPr/>
        <w:t>、孙文彬：男，</w:t>
      </w:r>
      <w:r>
        <w:rPr>
          <w:rFonts w:ascii="宋体" w:hAnsi="宋体" w:cs="宋体" w:eastAsia="宋体" w:hint="default"/>
        </w:rPr>
        <w:t>1955</w:t>
      </w:r>
      <w:r>
        <w:rPr/>
        <w:t>年生，工商管理硕士，高级工程师。</w:t>
      </w:r>
      <w:r>
        <w:rPr>
          <w:rFonts w:ascii="宋体" w:hAnsi="宋体" w:cs="宋体" w:eastAsia="宋体" w:hint="default"/>
        </w:rPr>
        <w:t>1994</w:t>
      </w:r>
      <w:r>
        <w:rPr/>
        <w:t>年</w:t>
      </w:r>
      <w:r>
        <w:rPr>
          <w:rFonts w:ascii="宋体" w:hAnsi="宋体" w:cs="宋体" w:eastAsia="宋体" w:hint="default"/>
        </w:rPr>
        <w:t>10</w:t>
      </w:r>
      <w:r>
        <w:rPr/>
        <w:t>月至</w:t>
      </w:r>
      <w:r>
        <w:rPr>
          <w:rFonts w:ascii="宋体" w:hAnsi="宋体" w:cs="宋体" w:eastAsia="宋体" w:hint="default"/>
        </w:rPr>
        <w:t>2003</w:t>
      </w:r>
      <w:r>
        <w:rPr/>
        <w:t>年</w:t>
      </w:r>
      <w:r>
        <w:rPr>
          <w:rFonts w:ascii="宋体" w:hAnsi="宋体" w:cs="宋体" w:eastAsia="宋体" w:hint="default"/>
        </w:rPr>
        <w:t>5</w:t>
      </w:r>
      <w:r>
        <w:rPr/>
        <w:t>月，历任上海船</w:t>
      </w:r>
      <w:r>
        <w:rPr>
          <w:w w:val="100"/>
        </w:rPr>
        <w:t> </w:t>
      </w:r>
      <w:r>
        <w:rPr>
          <w:spacing w:val="-2"/>
        </w:rPr>
        <w:t>舶运输科学研究所工程师、实验工厂副厂长、厂长；</w:t>
      </w:r>
      <w:r>
        <w:rPr>
          <w:rFonts w:ascii="宋体" w:hAnsi="宋体" w:cs="宋体" w:eastAsia="宋体" w:hint="default"/>
          <w:spacing w:val="-2"/>
        </w:rPr>
        <w:t>2003</w:t>
      </w:r>
      <w:r>
        <w:rPr>
          <w:spacing w:val="-2"/>
        </w:rPr>
        <w:t>年</w:t>
      </w:r>
      <w:r>
        <w:rPr>
          <w:rFonts w:ascii="宋体" w:hAnsi="宋体" w:cs="宋体" w:eastAsia="宋体" w:hint="default"/>
          <w:spacing w:val="-2"/>
        </w:rPr>
        <w:t>6</w:t>
      </w:r>
      <w:r>
        <w:rPr>
          <w:spacing w:val="-2"/>
        </w:rPr>
        <w:t>月起就职于上海交技发展股份有限公司，</w:t>
      </w:r>
      <w:r>
        <w:rPr>
          <w:spacing w:val="-67"/>
        </w:rPr>
        <w:t> </w:t>
      </w:r>
      <w:r>
        <w:rPr>
          <w:spacing w:val="-67"/>
        </w:rPr>
      </w:r>
      <w:r>
        <w:rPr/>
        <w:t>历任公司副总经理、董事会秘书兼计划财务部总监。现任公司党委书记、副总经理、董事会秘书。</w:t>
      </w:r>
    </w:p>
    <w:p>
      <w:pPr>
        <w:pStyle w:val="Heading4"/>
        <w:spacing w:line="391" w:lineRule="auto"/>
        <w:ind w:right="981" w:firstLine="439"/>
        <w:jc w:val="left"/>
      </w:pPr>
      <w:r>
        <w:rPr>
          <w:rFonts w:ascii="宋体" w:hAnsi="宋体" w:cs="宋体" w:eastAsia="宋体" w:hint="default"/>
          <w:spacing w:val="-1"/>
        </w:rPr>
        <w:t>3</w:t>
      </w:r>
      <w:r>
        <w:rPr>
          <w:spacing w:val="-1"/>
        </w:rPr>
        <w:t>、高庆：男，</w:t>
      </w:r>
      <w:r>
        <w:rPr>
          <w:rFonts w:ascii="宋体" w:hAnsi="宋体" w:cs="宋体" w:eastAsia="宋体" w:hint="default"/>
          <w:spacing w:val="-1"/>
        </w:rPr>
        <w:t>1963</w:t>
      </w:r>
      <w:r>
        <w:rPr>
          <w:spacing w:val="-1"/>
        </w:rPr>
        <w:t>年生，硕士，高级工程师，国家一级注册建造师。</w:t>
      </w:r>
      <w:r>
        <w:rPr>
          <w:rFonts w:ascii="宋体" w:hAnsi="宋体" w:cs="宋体" w:eastAsia="宋体" w:hint="default"/>
          <w:spacing w:val="-1"/>
        </w:rPr>
        <w:t>1986</w:t>
      </w:r>
      <w:r>
        <w:rPr>
          <w:spacing w:val="-1"/>
        </w:rPr>
        <w:t>年</w:t>
      </w:r>
      <w:r>
        <w:rPr>
          <w:rFonts w:ascii="宋体" w:hAnsi="宋体" w:cs="宋体" w:eastAsia="宋体" w:hint="default"/>
          <w:spacing w:val="-1"/>
        </w:rPr>
        <w:t>7</w:t>
      </w:r>
      <w:r>
        <w:rPr>
          <w:spacing w:val="-1"/>
        </w:rPr>
        <w:t>月至</w:t>
      </w:r>
      <w:r>
        <w:rPr>
          <w:rFonts w:ascii="宋体" w:hAnsi="宋体" w:cs="宋体" w:eastAsia="宋体" w:hint="default"/>
          <w:spacing w:val="-1"/>
        </w:rPr>
        <w:t>2000</w:t>
      </w:r>
      <w:r>
        <w:rPr>
          <w:spacing w:val="-1"/>
        </w:rPr>
        <w:t>年</w:t>
      </w:r>
      <w:r>
        <w:rPr>
          <w:rFonts w:ascii="宋体" w:hAnsi="宋体" w:cs="宋体" w:eastAsia="宋体" w:hint="default"/>
          <w:spacing w:val="-1"/>
        </w:rPr>
        <w:t>12</w:t>
      </w:r>
      <w:r>
        <w:rPr>
          <w:spacing w:val="-1"/>
        </w:rPr>
        <w:t>月，</w:t>
      </w:r>
      <w:r>
        <w:rPr>
          <w:w w:val="100"/>
        </w:rPr>
        <w:t> </w:t>
      </w:r>
      <w:r>
        <w:rPr/>
        <w:t>历任上海船舶运输科学研究所工程师、高级工程师、交通工程事业部副主任；</w:t>
      </w:r>
      <w:r>
        <w:rPr>
          <w:rFonts w:ascii="宋体" w:hAnsi="宋体" w:cs="宋体" w:eastAsia="宋体" w:hint="default"/>
        </w:rPr>
        <w:t>2001</w:t>
      </w:r>
      <w:r>
        <w:rPr/>
        <w:t>年</w:t>
      </w:r>
      <w:r>
        <w:rPr>
          <w:rFonts w:ascii="宋体" w:hAnsi="宋体" w:cs="宋体" w:eastAsia="宋体" w:hint="default"/>
        </w:rPr>
        <w:t>1</w:t>
      </w:r>
      <w:r>
        <w:rPr/>
        <w:t>月起就职于上</w:t>
      </w:r>
      <w:r>
        <w:rPr>
          <w:w w:val="100"/>
        </w:rPr>
        <w:t> </w:t>
      </w:r>
      <w:r>
        <w:rPr>
          <w:spacing w:val="-2"/>
        </w:rPr>
        <w:t>海交技发展股份有限公司，历任交通工程事业部副主任、交通工程第二事业部主任。现任公司副总经</w:t>
      </w:r>
      <w:r>
        <w:rPr>
          <w:spacing w:val="-68"/>
        </w:rPr>
        <w:t> </w:t>
      </w:r>
      <w:r>
        <w:rPr>
          <w:spacing w:val="-68"/>
        </w:rPr>
      </w:r>
      <w:r>
        <w:rPr/>
        <w:t>理、工会主席、贵州新思维科技有限公司董事。</w:t>
      </w:r>
    </w:p>
    <w:p>
      <w:pPr>
        <w:pStyle w:val="Heading4"/>
        <w:spacing w:line="391" w:lineRule="auto"/>
        <w:ind w:right="981" w:firstLine="439"/>
        <w:jc w:val="left"/>
      </w:pPr>
      <w:r>
        <w:rPr>
          <w:rFonts w:ascii="宋体" w:hAnsi="宋体" w:cs="宋体" w:eastAsia="宋体" w:hint="default"/>
          <w:spacing w:val="-7"/>
        </w:rPr>
        <w:t>4</w:t>
      </w:r>
      <w:r>
        <w:rPr>
          <w:spacing w:val="-7"/>
        </w:rPr>
        <w:t>、瞿辉：男，</w:t>
      </w:r>
      <w:r>
        <w:rPr>
          <w:rFonts w:ascii="宋体" w:hAnsi="宋体" w:cs="宋体" w:eastAsia="宋体" w:hint="default"/>
          <w:spacing w:val="-7"/>
        </w:rPr>
        <w:t>1964</w:t>
      </w:r>
      <w:r>
        <w:rPr>
          <w:spacing w:val="-7"/>
        </w:rPr>
        <w:t>年生，硕士研究生，研究员，享受“国务院政府特殊津贴”。</w:t>
      </w:r>
      <w:r>
        <w:rPr>
          <w:rFonts w:ascii="宋体" w:hAnsi="宋体" w:cs="宋体" w:eastAsia="宋体" w:hint="default"/>
          <w:spacing w:val="-7"/>
        </w:rPr>
        <w:t>1989</w:t>
      </w:r>
      <w:r>
        <w:rPr>
          <w:spacing w:val="-7"/>
        </w:rPr>
        <w:t>年</w:t>
      </w:r>
      <w:r>
        <w:rPr>
          <w:rFonts w:ascii="宋体" w:hAnsi="宋体" w:cs="宋体" w:eastAsia="宋体" w:hint="default"/>
          <w:spacing w:val="-7"/>
        </w:rPr>
        <w:t>2</w:t>
      </w:r>
      <w:r>
        <w:rPr>
          <w:spacing w:val="-7"/>
        </w:rPr>
        <w:t>月至</w:t>
      </w:r>
      <w:r>
        <w:rPr>
          <w:rFonts w:ascii="宋体" w:hAnsi="宋体" w:cs="宋体" w:eastAsia="宋体" w:hint="default"/>
          <w:spacing w:val="-7"/>
        </w:rPr>
        <w:t>2000</w:t>
      </w:r>
      <w:r>
        <w:rPr>
          <w:rFonts w:ascii="宋体" w:hAnsi="宋体" w:cs="宋体" w:eastAsia="宋体" w:hint="default"/>
          <w:w w:val="100"/>
        </w:rPr>
        <w:t> </w:t>
      </w:r>
      <w:r>
        <w:rPr>
          <w:spacing w:val="-7"/>
        </w:rPr>
        <w:t>年</w:t>
      </w:r>
      <w:r>
        <w:rPr>
          <w:rFonts w:ascii="宋体" w:hAnsi="宋体" w:cs="宋体" w:eastAsia="宋体" w:hint="default"/>
          <w:spacing w:val="-7"/>
        </w:rPr>
        <w:t>12</w:t>
      </w:r>
      <w:r>
        <w:rPr>
          <w:spacing w:val="-7"/>
        </w:rPr>
        <w:t>月，历任上海船舶运输科学研究所助理研究员、副研究员、电子控制技术研究中心课题组长；</w:t>
      </w:r>
      <w:r>
        <w:rPr>
          <w:rFonts w:ascii="宋体" w:hAnsi="宋体" w:cs="宋体" w:eastAsia="宋体" w:hint="default"/>
          <w:spacing w:val="-7"/>
        </w:rPr>
        <w:t>2001</w:t>
      </w:r>
      <w:r>
        <w:rPr>
          <w:rFonts w:ascii="宋体" w:hAnsi="宋体" w:cs="宋体" w:eastAsia="宋体" w:hint="default"/>
          <w:spacing w:val="-45"/>
        </w:rPr>
        <w:t> </w:t>
      </w:r>
      <w:r>
        <w:rPr>
          <w:rFonts w:ascii="宋体" w:hAnsi="宋体" w:cs="宋体" w:eastAsia="宋体" w:hint="default"/>
          <w:spacing w:val="-45"/>
        </w:rPr>
      </w:r>
      <w:r>
        <w:rPr/>
        <w:t>年</w:t>
      </w:r>
      <w:r>
        <w:rPr>
          <w:rFonts w:ascii="宋体" w:hAnsi="宋体" w:cs="宋体" w:eastAsia="宋体" w:hint="default"/>
        </w:rPr>
        <w:t>1</w:t>
      </w:r>
      <w:r>
        <w:rPr/>
        <w:t>月起就职于上海交技发展股份有限公司，历任交通工程事业部副总工程师、贵州新思维科技有限</w:t>
      </w:r>
      <w:r>
        <w:rPr>
          <w:w w:val="100"/>
        </w:rPr>
        <w:t> </w:t>
      </w:r>
      <w:r>
        <w:rPr>
          <w:spacing w:val="-5"/>
        </w:rPr>
        <w:t>公司总经理。现任公司党委副书记、纪委书记、副总经理、总工程师、贵州新思维科技有限公司董事、</w:t>
      </w:r>
      <w:r>
        <w:rPr>
          <w:spacing w:val="-46"/>
        </w:rPr>
        <w:t> </w:t>
      </w:r>
      <w:r>
        <w:rPr>
          <w:spacing w:val="-46"/>
        </w:rPr>
      </w:r>
      <w:r>
        <w:rPr/>
        <w:t>全国智能运输系统标准化技术委员会委员。</w:t>
      </w:r>
    </w:p>
    <w:p>
      <w:pPr>
        <w:pStyle w:val="Heading4"/>
        <w:spacing w:line="391" w:lineRule="auto"/>
        <w:ind w:right="1129" w:firstLine="439"/>
        <w:jc w:val="both"/>
      </w:pPr>
      <w:r>
        <w:rPr>
          <w:rFonts w:ascii="宋体" w:hAnsi="宋体" w:cs="宋体" w:eastAsia="宋体" w:hint="default"/>
          <w:spacing w:val="-2"/>
        </w:rPr>
        <w:t>5</w:t>
      </w:r>
      <w:r>
        <w:rPr>
          <w:spacing w:val="-2"/>
        </w:rPr>
        <w:t>、杨忆明：男，</w:t>
      </w:r>
      <w:r>
        <w:rPr>
          <w:rFonts w:ascii="宋体" w:hAnsi="宋体" w:cs="宋体" w:eastAsia="宋体" w:hint="default"/>
          <w:spacing w:val="-2"/>
        </w:rPr>
        <w:t>1975</w:t>
      </w:r>
      <w:r>
        <w:rPr>
          <w:spacing w:val="-2"/>
        </w:rPr>
        <w:t>年生，硕士，高级工程师。</w:t>
      </w:r>
      <w:r>
        <w:rPr>
          <w:rFonts w:ascii="宋体" w:hAnsi="宋体" w:cs="宋体" w:eastAsia="宋体" w:hint="default"/>
          <w:spacing w:val="-2"/>
        </w:rPr>
        <w:t>1997</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2000</w:t>
      </w:r>
      <w:r>
        <w:rPr>
          <w:spacing w:val="-2"/>
        </w:rPr>
        <w:t>年</w:t>
      </w:r>
      <w:r>
        <w:rPr>
          <w:rFonts w:ascii="宋体" w:hAnsi="宋体" w:cs="宋体" w:eastAsia="宋体" w:hint="default"/>
          <w:spacing w:val="-2"/>
        </w:rPr>
        <w:t>12</w:t>
      </w:r>
      <w:r>
        <w:rPr>
          <w:spacing w:val="-2"/>
        </w:rPr>
        <w:t>月，历任上海船舶运输科</w:t>
      </w:r>
      <w:r>
        <w:rPr>
          <w:w w:val="100"/>
        </w:rPr>
        <w:t> </w:t>
      </w:r>
      <w:r>
        <w:rPr/>
        <w:t>学研究所交通工程事业部研究实习员、项目经理；</w:t>
      </w:r>
      <w:r>
        <w:rPr>
          <w:rFonts w:ascii="宋体" w:hAnsi="宋体" w:cs="宋体" w:eastAsia="宋体" w:hint="default"/>
        </w:rPr>
        <w:t>2001</w:t>
      </w:r>
      <w:r>
        <w:rPr/>
        <w:t>年</w:t>
      </w:r>
      <w:r>
        <w:rPr>
          <w:rFonts w:ascii="宋体" w:hAnsi="宋体" w:cs="宋体" w:eastAsia="宋体" w:hint="default"/>
        </w:rPr>
        <w:t>1</w:t>
      </w:r>
      <w:r>
        <w:rPr/>
        <w:t>月起就职于上海交技发展股份有限公司，</w:t>
      </w:r>
      <w:r>
        <w:rPr>
          <w:w w:val="100"/>
        </w:rPr>
        <w:t> </w:t>
      </w:r>
      <w:r>
        <w:rPr/>
        <w:t>历任交通工程第二事业部副主任、工程技术部副总监。现任公司副总经理。</w:t>
      </w:r>
    </w:p>
    <w:p>
      <w:pPr>
        <w:pStyle w:val="Heading4"/>
        <w:spacing w:line="391" w:lineRule="auto"/>
        <w:ind w:right="1131" w:firstLine="439"/>
        <w:jc w:val="both"/>
      </w:pPr>
      <w:r>
        <w:rPr>
          <w:rFonts w:ascii="宋体" w:hAnsi="宋体" w:cs="宋体" w:eastAsia="宋体" w:hint="default"/>
          <w:spacing w:val="-2"/>
        </w:rPr>
        <w:t>6</w:t>
      </w:r>
      <w:r>
        <w:rPr>
          <w:spacing w:val="-2"/>
        </w:rPr>
        <w:t>、周保国：男，</w:t>
      </w:r>
      <w:r>
        <w:rPr>
          <w:rFonts w:ascii="宋体" w:hAnsi="宋体" w:cs="宋体" w:eastAsia="宋体" w:hint="default"/>
          <w:spacing w:val="-2"/>
        </w:rPr>
        <w:t>1955</w:t>
      </w:r>
      <w:r>
        <w:rPr>
          <w:spacing w:val="-2"/>
        </w:rPr>
        <w:t>年生，大学本科学历，高级会计师。</w:t>
      </w:r>
      <w:r>
        <w:rPr>
          <w:rFonts w:ascii="宋体" w:hAnsi="宋体" w:cs="宋体" w:eastAsia="宋体" w:hint="default"/>
          <w:spacing w:val="-2"/>
        </w:rPr>
        <w:t>1983</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2000</w:t>
      </w:r>
      <w:r>
        <w:rPr>
          <w:spacing w:val="-2"/>
        </w:rPr>
        <w:t>年</w:t>
      </w:r>
      <w:r>
        <w:rPr>
          <w:rFonts w:ascii="宋体" w:hAnsi="宋体" w:cs="宋体" w:eastAsia="宋体" w:hint="default"/>
          <w:spacing w:val="-2"/>
        </w:rPr>
        <w:t>12</w:t>
      </w:r>
      <w:r>
        <w:rPr>
          <w:spacing w:val="-2"/>
        </w:rPr>
        <w:t>月，历任上海船</w:t>
      </w:r>
      <w:r>
        <w:rPr>
          <w:w w:val="100"/>
        </w:rPr>
        <w:t> </w:t>
      </w:r>
      <w:r>
        <w:rPr>
          <w:spacing w:val="-2"/>
        </w:rPr>
        <w:t>舶运输科学研究所会计师、财务处副处长；</w:t>
      </w:r>
      <w:r>
        <w:rPr>
          <w:rFonts w:ascii="宋体" w:hAnsi="宋体" w:cs="宋体" w:eastAsia="宋体" w:hint="default"/>
          <w:spacing w:val="-2"/>
        </w:rPr>
        <w:t>2001</w:t>
      </w:r>
      <w:r>
        <w:rPr>
          <w:spacing w:val="-2"/>
        </w:rPr>
        <w:t>年起就职于上海交技发展股份有限公司，历任财务部</w:t>
      </w:r>
      <w:r>
        <w:rPr>
          <w:spacing w:val="-66"/>
        </w:rPr>
        <w:t> </w:t>
      </w:r>
      <w:r>
        <w:rPr>
          <w:spacing w:val="-66"/>
        </w:rPr>
      </w:r>
      <w:r>
        <w:rPr/>
        <w:t>主任、计划财务部副总监。现任公司总会计师兼财务部总监、贵州新思维科技有限公司监事。</w:t>
      </w:r>
    </w:p>
    <w:p>
      <w:pPr>
        <w:spacing w:line="240" w:lineRule="auto" w:before="7"/>
        <w:rPr>
          <w:rFonts w:ascii="宋体" w:hAnsi="宋体" w:cs="宋体" w:eastAsia="宋体" w:hint="default"/>
          <w:sz w:val="26"/>
          <w:szCs w:val="26"/>
        </w:rPr>
      </w:pPr>
    </w:p>
    <w:p>
      <w:pPr>
        <w:pStyle w:val="BodyText"/>
        <w:spacing w:line="240" w:lineRule="auto"/>
        <w:ind w:right="981"/>
        <w:jc w:val="left"/>
      </w:pPr>
      <w:r>
        <w:rPr/>
        <w:t>在股东单位任职情况</w:t>
      </w:r>
    </w:p>
    <w:p>
      <w:pPr>
        <w:pStyle w:val="BodyText"/>
        <w:spacing w:line="240" w:lineRule="auto" w:before="115"/>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沈以华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副总工程师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马浔</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12"/>
                <w:sz w:val="18"/>
                <w:szCs w:val="18"/>
              </w:rPr>
              <w:t>所长、党委书</w:t>
            </w:r>
            <w:r>
              <w:rPr>
                <w:rFonts w:ascii="宋体" w:hAnsi="宋体" w:cs="宋体" w:eastAsia="宋体" w:hint="default"/>
                <w:sz w:val="18"/>
                <w:szCs w:val="18"/>
              </w:rPr>
              <w:t> 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蔡惠星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pacing w:val="-12"/>
                <w:sz w:val="18"/>
                <w:szCs w:val="18"/>
              </w:rPr>
              <w:t>所长、党委副</w:t>
            </w:r>
            <w:r>
              <w:rPr>
                <w:rFonts w:ascii="宋体" w:hAnsi="宋体" w:cs="宋体" w:eastAsia="宋体" w:hint="default"/>
                <w:sz w:val="18"/>
                <w:szCs w:val="18"/>
              </w:rPr>
              <w:t> 书记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1261" w:top="1100" w:bottom="14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蔡惠星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上海交通设计所有限公司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蔡惠星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中海船研科技股份有限公司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党委副书记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上海运昌商贸发展公司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范晓莹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上海浦东科技投资有限公司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0"/>
              <w:jc w:val="left"/>
              <w:rPr>
                <w:rFonts w:ascii="宋体" w:hAnsi="宋体" w:cs="宋体" w:eastAsia="宋体" w:hint="default"/>
                <w:sz w:val="18"/>
                <w:szCs w:val="18"/>
              </w:rPr>
            </w:pPr>
            <w:r>
              <w:rPr>
                <w:rFonts w:ascii="宋体" w:hAnsi="宋体" w:cs="宋体" w:eastAsia="宋体" w:hint="default"/>
                <w:sz w:val="18"/>
                <w:szCs w:val="18"/>
              </w:rPr>
              <w:t>业务五部副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981"/>
        <w:jc w:val="left"/>
      </w:pPr>
      <w:r>
        <w:rPr/>
        <w:t>在其他单位任职情况</w:t>
      </w:r>
    </w:p>
    <w:p>
      <w:pPr>
        <w:pStyle w:val="BodyText"/>
        <w:spacing w:line="240" w:lineRule="auto" w:before="115"/>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贵州新思维科技有限公司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贵州新思维科技有限公司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瞿辉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贵州新思维科技有限公司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周保国</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贵州新思维科技有限公司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3"/>
        <w:spacing w:line="240" w:lineRule="auto" w:before="26"/>
        <w:ind w:right="981"/>
        <w:jc w:val="left"/>
        <w:rPr>
          <w:b w:val="0"/>
          <w:bCs w:val="0"/>
        </w:rPr>
      </w:pPr>
      <w:r>
        <w:rPr/>
        <w:t>三、董事、监事、高级管理人员报酬情况</w:t>
      </w:r>
      <w:r>
        <w:rPr>
          <w:b w:val="0"/>
          <w:bCs w:val="0"/>
        </w:rPr>
      </w:r>
    </w:p>
    <w:p>
      <w:pPr>
        <w:spacing w:line="240" w:lineRule="auto" w:before="1"/>
        <w:rPr>
          <w:rFonts w:ascii="宋体" w:hAnsi="宋体" w:cs="宋体" w:eastAsia="宋体" w:hint="default"/>
          <w:b/>
          <w:bCs/>
          <w:sz w:val="30"/>
          <w:szCs w:val="30"/>
        </w:rPr>
      </w:pPr>
    </w:p>
    <w:p>
      <w:pPr>
        <w:pStyle w:val="Heading4"/>
        <w:spacing w:line="391" w:lineRule="auto" w:before="0"/>
        <w:ind w:left="592" w:right="981"/>
        <w:jc w:val="left"/>
      </w:pPr>
      <w:r>
        <w:rPr/>
        <w:t>董事、监事、高级管理人员报酬的决策程序、确定依据、实际支付情况</w:t>
      </w:r>
      <w:r>
        <w:rPr>
          <w:w w:val="100"/>
        </w:rPr>
        <w:t> </w:t>
      </w:r>
      <w:r>
        <w:rPr>
          <w:rFonts w:ascii="宋体" w:hAnsi="宋体" w:cs="宋体" w:eastAsia="宋体" w:hint="default"/>
          <w:spacing w:val="-1"/>
        </w:rPr>
        <w:t>1</w:t>
      </w:r>
      <w:r>
        <w:rPr>
          <w:spacing w:val="-1"/>
        </w:rPr>
        <w:t>、在公司担任经营管理职务的董事、监事和高级管理人员按其行政岗位及职务，根据公司董事</w:t>
      </w:r>
    </w:p>
    <w:p>
      <w:pPr>
        <w:pStyle w:val="Heading4"/>
        <w:spacing w:line="391" w:lineRule="auto" w:before="42"/>
        <w:ind w:right="981"/>
        <w:jc w:val="left"/>
      </w:pPr>
      <w:r>
        <w:rPr>
          <w:spacing w:val="-2"/>
        </w:rPr>
        <w:t>会与其签订的</w:t>
      </w:r>
      <w:r>
        <w:rPr>
          <w:rFonts w:ascii="宋体" w:hAnsi="宋体" w:cs="宋体" w:eastAsia="宋体" w:hint="default"/>
          <w:spacing w:val="-2"/>
        </w:rPr>
        <w:t>2012</w:t>
      </w:r>
      <w:r>
        <w:rPr>
          <w:spacing w:val="-2"/>
        </w:rPr>
        <w:t>年度经营业绩责任书，由薪酬与考核委员会绩效考核小组结合公司</w:t>
      </w:r>
      <w:r>
        <w:rPr>
          <w:rFonts w:ascii="宋体" w:hAnsi="宋体" w:cs="宋体" w:eastAsia="宋体" w:hint="default"/>
          <w:spacing w:val="-2"/>
        </w:rPr>
        <w:t>2012</w:t>
      </w:r>
      <w:r>
        <w:rPr>
          <w:spacing w:val="-2"/>
        </w:rPr>
        <w:t>年度经营业</w:t>
      </w:r>
      <w:r>
        <w:rPr>
          <w:spacing w:val="-64"/>
        </w:rPr>
        <w:t> </w:t>
      </w:r>
      <w:r>
        <w:rPr>
          <w:spacing w:val="-64"/>
        </w:rPr>
      </w:r>
      <w:r>
        <w:rPr/>
        <w:t>绩预计完成情况，对其进行考核，年薪与年度经营指标完成情况挂钩；</w:t>
      </w:r>
    </w:p>
    <w:p>
      <w:pPr>
        <w:pStyle w:val="Heading4"/>
        <w:spacing w:line="391" w:lineRule="auto"/>
        <w:ind w:right="981" w:firstLine="439"/>
        <w:jc w:val="left"/>
      </w:pPr>
      <w:r>
        <w:rPr>
          <w:rFonts w:ascii="宋体" w:hAnsi="宋体" w:cs="宋体" w:eastAsia="宋体" w:hint="default"/>
          <w:spacing w:val="-2"/>
        </w:rPr>
        <w:t>2</w:t>
      </w:r>
      <w:r>
        <w:rPr>
          <w:spacing w:val="-2"/>
        </w:rPr>
        <w:t>、公司独立董事津贴每人每年</w:t>
      </w:r>
      <w:r>
        <w:rPr>
          <w:rFonts w:ascii="宋体" w:hAnsi="宋体" w:cs="宋体" w:eastAsia="宋体" w:hint="default"/>
          <w:spacing w:val="-2"/>
        </w:rPr>
        <w:t>6</w:t>
      </w:r>
      <w:r>
        <w:rPr>
          <w:spacing w:val="-2"/>
        </w:rPr>
        <w:t>万元（含税），由公司</w:t>
      </w:r>
      <w:r>
        <w:rPr>
          <w:rFonts w:ascii="宋体" w:hAnsi="宋体" w:cs="宋体" w:eastAsia="宋体" w:hint="default"/>
          <w:spacing w:val="-2"/>
        </w:rPr>
        <w:t>2011</w:t>
      </w:r>
      <w:r>
        <w:rPr>
          <w:spacing w:val="-2"/>
        </w:rPr>
        <w:t>年度股东大会审议通过，独立董事为</w:t>
      </w:r>
      <w:r>
        <w:rPr>
          <w:w w:val="100"/>
        </w:rPr>
        <w:t> </w:t>
      </w:r>
      <w:r>
        <w:rPr/>
        <w:t>履行职责所发生的费用由公司据实报销；</w:t>
      </w:r>
    </w:p>
    <w:p>
      <w:pPr>
        <w:pStyle w:val="Heading4"/>
        <w:spacing w:line="240" w:lineRule="auto"/>
        <w:ind w:left="592" w:right="981"/>
        <w:jc w:val="left"/>
      </w:pPr>
      <w:r>
        <w:rPr>
          <w:rFonts w:ascii="宋体" w:hAnsi="宋体" w:cs="宋体" w:eastAsia="宋体" w:hint="default"/>
        </w:rPr>
        <w:t>3</w:t>
      </w:r>
      <w:r>
        <w:rPr/>
        <w:t>、监事（非大股东及公司所属员工，下同）的津贴每人每年 </w:t>
      </w:r>
      <w:r>
        <w:rPr>
          <w:rFonts w:ascii="宋体" w:hAnsi="宋体" w:cs="宋体" w:eastAsia="宋体" w:hint="default"/>
        </w:rPr>
        <w:t>5.1</w:t>
      </w:r>
      <w:r>
        <w:rPr>
          <w:rFonts w:ascii="宋体" w:hAnsi="宋体" w:cs="宋体" w:eastAsia="宋体" w:hint="default"/>
          <w:spacing w:val="-9"/>
        </w:rPr>
        <w:t> </w:t>
      </w:r>
      <w:r>
        <w:rPr>
          <w:spacing w:val="-3"/>
        </w:rPr>
        <w:t>万元人民币（含税），由公司</w:t>
      </w:r>
    </w:p>
    <w:p>
      <w:pPr>
        <w:pStyle w:val="Heading4"/>
        <w:spacing w:line="240" w:lineRule="auto" w:before="180"/>
        <w:ind w:right="981"/>
        <w:jc w:val="left"/>
      </w:pPr>
      <w:r>
        <w:rPr>
          <w:rFonts w:ascii="宋体" w:hAnsi="宋体" w:cs="宋体" w:eastAsia="宋体" w:hint="default"/>
        </w:rPr>
        <w:t>2011</w:t>
      </w:r>
      <w:r>
        <w:rPr/>
        <w:t>年度股东大会审议通过，监事为履行职责所发生的费用由公司据实报销；其他监事均不领取公司</w:t>
      </w:r>
    </w:p>
    <w:p>
      <w:pPr>
        <w:spacing w:after="0" w:line="240" w:lineRule="auto"/>
        <w:jc w:val="left"/>
        <w:sectPr>
          <w:pgSz w:w="11910" w:h="16840"/>
          <w:pgMar w:header="877" w:footer="1261" w:top="1100" w:bottom="1460" w:left="980" w:right="0"/>
        </w:sectPr>
      </w:pPr>
    </w:p>
    <w:p>
      <w:pPr>
        <w:spacing w:line="240" w:lineRule="auto" w:before="4"/>
        <w:rPr>
          <w:rFonts w:ascii="宋体" w:hAnsi="宋体" w:cs="宋体" w:eastAsia="宋体" w:hint="default"/>
          <w:sz w:val="26"/>
          <w:szCs w:val="26"/>
        </w:rPr>
      </w:pPr>
    </w:p>
    <w:p>
      <w:pPr>
        <w:pStyle w:val="Heading4"/>
        <w:spacing w:line="240" w:lineRule="auto" w:before="32"/>
        <w:ind w:right="981"/>
        <w:jc w:val="left"/>
      </w:pPr>
      <w:r>
        <w:rPr/>
        <w:t>薪酬；</w:t>
      </w:r>
    </w:p>
    <w:p>
      <w:pPr>
        <w:pStyle w:val="Heading4"/>
        <w:spacing w:line="240" w:lineRule="auto" w:before="180"/>
        <w:ind w:left="592" w:right="981"/>
        <w:jc w:val="left"/>
      </w:pPr>
      <w:r>
        <w:rPr>
          <w:rFonts w:ascii="宋体" w:hAnsi="宋体" w:cs="宋体" w:eastAsia="宋体" w:hint="default"/>
        </w:rPr>
        <w:t>4</w:t>
      </w:r>
      <w:r>
        <w:rPr/>
        <w:t>、不在公司担任经营管理职务的董事（独立董事除外），均不领取公司薪酬。</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5"/>
          <w:szCs w:val="15"/>
        </w:rPr>
      </w:pPr>
    </w:p>
    <w:p>
      <w:pPr>
        <w:pStyle w:val="BodyText"/>
        <w:spacing w:line="240" w:lineRule="auto"/>
        <w:ind w:right="981"/>
        <w:jc w:val="left"/>
      </w:pPr>
      <w:r>
        <w:rPr/>
        <w:t>公司报告期内董事、监事和高级管理人员报酬情况</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0"/>
              <w:jc w:val="right"/>
              <w:rPr>
                <w:rFonts w:ascii="宋体" w:hAnsi="宋体" w:cs="宋体" w:eastAsia="宋体" w:hint="default"/>
                <w:sz w:val="18"/>
                <w:szCs w:val="18"/>
              </w:rPr>
            </w:pPr>
            <w:r>
              <w:rPr>
                <w:rFonts w:ascii="宋体" w:hAnsi="宋体" w:cs="宋体" w:eastAsia="宋体" w:hint="default"/>
                <w:sz w:val="18"/>
                <w:szCs w:val="18"/>
              </w:rPr>
              <w:t>姓名</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沈以华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321,125.00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321,125.00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马浔</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444,000.00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444,000.00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蔡惠星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399,600.00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399,600.00</w:t>
            </w: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609,800.00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609,800.00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张人骥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高勇</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张河涛</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莫启欣</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91,834.00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91,834.00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戴静</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316,000.000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范晓莹</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281,000.00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全江楚</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353,061.00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353,061.00</w:t>
            </w:r>
          </w:p>
        </w:tc>
      </w:tr>
      <w:tr>
        <w:trPr>
          <w:trHeight w:val="1028"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孙文彬</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党委书记、董 事会秘书、副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548,936.00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548,936.00</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副总经理、工 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549,200.00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549,200.00</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瞿辉</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纪委书记、副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549,200.00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549,200.00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杨忆明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518,400.00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518,400.00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周保国</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503,000.00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0"/>
              <w:jc w:val="right"/>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3,862,597.00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1,802,559.00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5,665,156.00</w:t>
            </w:r>
          </w:p>
        </w:tc>
      </w:tr>
    </w:tbl>
    <w:p>
      <w:pPr>
        <w:pStyle w:val="BodyText"/>
        <w:spacing w:line="240" w:lineRule="auto" w:before="49"/>
        <w:ind w:right="981"/>
        <w:jc w:val="left"/>
      </w:pPr>
      <w:r>
        <w:rPr/>
        <w:t>公司董事、监事、高级管理人员报告期内被授予的股权激励情况</w:t>
      </w:r>
    </w:p>
    <w:p>
      <w:pPr>
        <w:pStyle w:val="BodyText"/>
        <w:spacing w:line="240" w:lineRule="auto" w:before="118"/>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981"/>
        <w:jc w:val="left"/>
        <w:rPr>
          <w:b w:val="0"/>
          <w:bCs w:val="0"/>
        </w:rPr>
      </w:pPr>
      <w:r>
        <w:rPr/>
        <w:t>四、公司董事、监事、高级管理人员离职和解聘情况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683"/>
        <w:gridCol w:w="3896"/>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莫启欣</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离职</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退休</w:t>
            </w:r>
          </w:p>
        </w:tc>
      </w:tr>
    </w:tbl>
    <w:p>
      <w:pPr>
        <w:spacing w:after="0" w:line="240" w:lineRule="auto"/>
        <w:jc w:val="left"/>
        <w:rPr>
          <w:rFonts w:ascii="宋体" w:hAnsi="宋体" w:cs="宋体" w:eastAsia="宋体" w:hint="default"/>
          <w:sz w:val="18"/>
          <w:szCs w:val="18"/>
        </w:rPr>
        <w:sectPr>
          <w:pgSz w:w="11910" w:h="16840"/>
          <w:pgMar w:header="877" w:footer="1261" w:top="1100" w:bottom="1460" w:left="980" w:right="0"/>
        </w:sectPr>
      </w:pPr>
    </w:p>
    <w:p>
      <w:pPr>
        <w:spacing w:line="240" w:lineRule="auto" w:before="9"/>
        <w:rPr>
          <w:rFonts w:ascii="宋体" w:hAnsi="宋体" w:cs="宋体" w:eastAsia="宋体" w:hint="default"/>
          <w:b/>
          <w:bCs/>
          <w:sz w:val="19"/>
          <w:szCs w:val="19"/>
        </w:rPr>
      </w:pPr>
    </w:p>
    <w:p>
      <w:pPr>
        <w:pStyle w:val="Heading3"/>
        <w:spacing w:line="240" w:lineRule="auto" w:before="26"/>
        <w:ind w:right="981"/>
        <w:jc w:val="left"/>
        <w:rPr>
          <w:b w:val="0"/>
          <w:bCs w:val="0"/>
        </w:rPr>
      </w:pPr>
      <w:r>
        <w:rPr/>
        <w:t>五、报告期核心技术团队或关键技术人员变动情况（非董事、监事、高级管理人员）</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1"/>
        <w:jc w:val="left"/>
      </w:pPr>
      <w:r>
        <w:rPr/>
        <w:t>无变动。</w:t>
      </w:r>
    </w:p>
    <w:p>
      <w:pPr>
        <w:spacing w:line="240" w:lineRule="auto" w:before="3"/>
        <w:rPr>
          <w:rFonts w:ascii="宋体" w:hAnsi="宋体" w:cs="宋体" w:eastAsia="宋体" w:hint="default"/>
          <w:sz w:val="25"/>
          <w:szCs w:val="25"/>
        </w:rPr>
      </w:pPr>
    </w:p>
    <w:p>
      <w:pPr>
        <w:pStyle w:val="Heading3"/>
        <w:spacing w:line="240" w:lineRule="auto"/>
        <w:ind w:right="981"/>
        <w:jc w:val="left"/>
        <w:rPr>
          <w:b w:val="0"/>
          <w:bCs w:val="0"/>
        </w:rPr>
      </w:pPr>
      <w:r>
        <w:rPr/>
        <w:t>六、公司员工情况</w:t>
      </w:r>
      <w:r>
        <w:rPr>
          <w:b w:val="0"/>
          <w:bCs w:val="0"/>
        </w:rPr>
      </w:r>
    </w:p>
    <w:p>
      <w:pPr>
        <w:spacing w:line="240" w:lineRule="auto" w:before="11"/>
        <w:rPr>
          <w:rFonts w:ascii="宋体" w:hAnsi="宋体" w:cs="宋体" w:eastAsia="宋体" w:hint="default"/>
          <w:b/>
          <w:bCs/>
          <w:sz w:val="29"/>
          <w:szCs w:val="29"/>
        </w:rPr>
      </w:pPr>
    </w:p>
    <w:p>
      <w:pPr>
        <w:pStyle w:val="Heading4"/>
        <w:spacing w:line="391" w:lineRule="auto" w:before="0"/>
        <w:ind w:right="1129" w:firstLine="439"/>
        <w:jc w:val="both"/>
      </w:pPr>
      <w:r>
        <w:rPr/>
        <w:t>截止</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日，公司员工总数为</w:t>
      </w:r>
      <w:r>
        <w:rPr>
          <w:rFonts w:ascii="宋体" w:hAnsi="宋体" w:cs="宋体" w:eastAsia="宋体" w:hint="default"/>
        </w:rPr>
        <w:t>264</w:t>
      </w:r>
      <w:r>
        <w:rPr/>
        <w:t>人。公司实行劳动合同制度，依据《中华人民共和国</w:t>
      </w:r>
      <w:r>
        <w:rPr>
          <w:w w:val="100"/>
        </w:rPr>
        <w:t> </w:t>
      </w:r>
      <w:r>
        <w:rPr>
          <w:spacing w:val="-2"/>
        </w:rPr>
        <w:t>劳动合同法》及上海市、公司驻外地分公司、办事处驻地的有关规定与员工签订《劳动合同书》，确</w:t>
      </w:r>
      <w:r>
        <w:rPr>
          <w:spacing w:val="-73"/>
        </w:rPr>
        <w:t> </w:t>
      </w:r>
      <w:r>
        <w:rPr>
          <w:spacing w:val="-73"/>
        </w:rPr>
      </w:r>
      <w:r>
        <w:rPr>
          <w:spacing w:val="-2"/>
        </w:rPr>
        <w:t>定劳动关系，明确双方权利和义务。公司按照国家、上海市、公司驻外地分公司、办事处驻地的有关</w:t>
      </w:r>
      <w:r>
        <w:rPr>
          <w:spacing w:val="-70"/>
        </w:rPr>
        <w:t> </w:t>
      </w:r>
      <w:r>
        <w:rPr>
          <w:spacing w:val="-70"/>
        </w:rPr>
      </w:r>
      <w:r>
        <w:rPr>
          <w:spacing w:val="-2"/>
        </w:rPr>
        <w:t>法律法规和相关政策，为公司全体员工分别办理了养老、医疗、失业、工伤、生育五种社会保险和住</w:t>
      </w:r>
      <w:r>
        <w:rPr>
          <w:spacing w:val="-72"/>
        </w:rPr>
        <w:t> </w:t>
      </w:r>
      <w:r>
        <w:rPr>
          <w:spacing w:val="-72"/>
        </w:rPr>
      </w:r>
      <w:r>
        <w:rPr/>
        <w:t>房公积金。公司没有需要承担费用的离退休职工。</w:t>
      </w:r>
    </w:p>
    <w:p>
      <w:pPr>
        <w:pStyle w:val="Heading4"/>
        <w:spacing w:line="391" w:lineRule="auto"/>
        <w:ind w:right="981" w:firstLine="439"/>
        <w:jc w:val="left"/>
      </w:pPr>
      <w:r>
        <w:rPr/>
        <w:t>公司积极开展各类员工教育培训活动，创造平等的发展机会。公司年初制定详细的培训计划，各</w:t>
      </w:r>
      <w:r>
        <w:rPr>
          <w:w w:val="100"/>
        </w:rPr>
        <w:t> </w:t>
      </w:r>
      <w:r>
        <w:rPr>
          <w:spacing w:val="-2"/>
        </w:rPr>
        <w:t>季度对计划执行与落实进行检查。</w:t>
      </w:r>
      <w:r>
        <w:rPr>
          <w:rFonts w:ascii="宋体" w:hAnsi="宋体" w:cs="宋体" w:eastAsia="宋体" w:hint="default"/>
          <w:spacing w:val="-2"/>
        </w:rPr>
        <w:t>2012</w:t>
      </w:r>
      <w:r>
        <w:rPr>
          <w:spacing w:val="-2"/>
        </w:rPr>
        <w:t>全年共</w:t>
      </w:r>
      <w:r>
        <w:rPr>
          <w:rFonts w:ascii="宋体" w:hAnsi="宋体" w:cs="宋体" w:eastAsia="宋体" w:hint="default"/>
          <w:spacing w:val="-2"/>
        </w:rPr>
        <w:t>626</w:t>
      </w:r>
      <w:r>
        <w:rPr>
          <w:spacing w:val="-2"/>
        </w:rPr>
        <w:t>人次参加培训，保证了员工在业务知识、岗位资质、</w:t>
      </w:r>
      <w:r>
        <w:rPr>
          <w:spacing w:val="-62"/>
        </w:rPr>
        <w:t> </w:t>
      </w:r>
      <w:r>
        <w:rPr>
          <w:spacing w:val="-62"/>
        </w:rPr>
      </w:r>
      <w:r>
        <w:rPr/>
        <w:t>学历学位、特殊工种等方面的学习与发展，通过有计划、有目标的员工培养机制，促进员工能力的提</w:t>
      </w:r>
      <w:r>
        <w:rPr>
          <w:w w:val="100"/>
        </w:rPr>
        <w:t> </w:t>
      </w:r>
      <w:r>
        <w:rPr/>
        <w:t>高，提高员工队伍素质。</w:t>
      </w:r>
    </w:p>
    <w:p>
      <w:pPr>
        <w:pStyle w:val="Heading4"/>
        <w:spacing w:line="391" w:lineRule="auto"/>
        <w:ind w:right="981" w:firstLine="439"/>
        <w:jc w:val="left"/>
      </w:pPr>
      <w:r>
        <w:rPr>
          <w:spacing w:val="-2"/>
        </w:rPr>
        <w:t>公司制订了岗位管理、薪酬、绩效考核管理办法。在岗位体系设置中，通过建立技术管理双通道</w:t>
      </w:r>
      <w:r>
        <w:rPr>
          <w:w w:val="100"/>
        </w:rPr>
        <w:t> </w:t>
      </w:r>
      <w:r>
        <w:rPr/>
        <w:t>的岗位职级构架，为各类人才提供发展空间。公司员工的薪酬根据考核结果发放。</w:t>
      </w:r>
    </w:p>
    <w:p>
      <w:pPr>
        <w:pStyle w:val="Heading4"/>
        <w:spacing w:line="240" w:lineRule="auto"/>
        <w:ind w:left="592" w:right="981"/>
        <w:jc w:val="left"/>
      </w:pPr>
      <w:r>
        <w:rPr/>
        <w:t>截止</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日，公司员工专业结构如下：</w:t>
      </w:r>
    </w:p>
    <w:p>
      <w:pPr>
        <w:spacing w:line="240" w:lineRule="auto" w:before="7"/>
        <w:rPr>
          <w:rFonts w:ascii="宋体" w:hAnsi="宋体" w:cs="宋体" w:eastAsia="宋体" w:hint="default"/>
          <w:sz w:val="9"/>
          <w:szCs w:val="9"/>
        </w:rPr>
      </w:pPr>
    </w:p>
    <w:tbl>
      <w:tblPr>
        <w:tblW w:w="0" w:type="auto"/>
        <w:jc w:val="left"/>
        <w:tblInd w:w="981" w:type="dxa"/>
        <w:tblLayout w:type="fixed"/>
        <w:tblCellMar>
          <w:top w:w="0" w:type="dxa"/>
          <w:left w:w="0" w:type="dxa"/>
          <w:bottom w:w="0" w:type="dxa"/>
          <w:right w:w="0" w:type="dxa"/>
        </w:tblCellMar>
        <w:tblLook w:val="01E0"/>
      </w:tblPr>
      <w:tblGrid>
        <w:gridCol w:w="1832"/>
        <w:gridCol w:w="2009"/>
        <w:gridCol w:w="1596"/>
        <w:gridCol w:w="2533"/>
      </w:tblGrid>
      <w:tr>
        <w:trPr>
          <w:trHeight w:val="350" w:hRule="exact"/>
        </w:trPr>
        <w:tc>
          <w:tcPr>
            <w:tcW w:w="1832" w:type="dxa"/>
            <w:tcBorders>
              <w:top w:val="single" w:sz="6" w:space="0" w:color="000000"/>
              <w:left w:val="single" w:sz="6" w:space="0" w:color="000000"/>
              <w:bottom w:val="single" w:sz="8" w:space="0" w:color="000000"/>
              <w:right w:val="single" w:sz="8" w:space="0" w:color="000000"/>
            </w:tcBorders>
            <w:shd w:val="clear" w:color="auto" w:fill="DAEDF3"/>
          </w:tcPr>
          <w:p>
            <w:pPr>
              <w:pStyle w:val="TableParagraph"/>
              <w:spacing w:line="272" w:lineRule="exact"/>
              <w:ind w:left="489" w:right="0"/>
              <w:jc w:val="left"/>
              <w:rPr>
                <w:rFonts w:ascii="宋体" w:hAnsi="宋体" w:cs="宋体" w:eastAsia="宋体" w:hint="default"/>
                <w:sz w:val="21"/>
                <w:szCs w:val="21"/>
              </w:rPr>
            </w:pPr>
            <w:r>
              <w:rPr>
                <w:rFonts w:ascii="宋体" w:hAnsi="宋体" w:cs="宋体" w:eastAsia="宋体" w:hint="default"/>
                <w:b/>
                <w:bCs/>
                <w:sz w:val="21"/>
                <w:szCs w:val="21"/>
              </w:rPr>
              <w:t>分类类别</w:t>
            </w:r>
            <w:r>
              <w:rPr>
                <w:rFonts w:ascii="宋体" w:hAnsi="宋体" w:cs="宋体" w:eastAsia="宋体" w:hint="default"/>
                <w:sz w:val="21"/>
                <w:szCs w:val="21"/>
              </w:rPr>
            </w:r>
          </w:p>
        </w:tc>
        <w:tc>
          <w:tcPr>
            <w:tcW w:w="2009" w:type="dxa"/>
            <w:tcBorders>
              <w:top w:val="single" w:sz="6" w:space="0" w:color="000000"/>
              <w:left w:val="single" w:sz="8" w:space="0" w:color="000000"/>
              <w:bottom w:val="single" w:sz="8" w:space="0" w:color="000000"/>
              <w:right w:val="single" w:sz="8" w:space="0" w:color="000000"/>
            </w:tcBorders>
            <w:shd w:val="clear" w:color="auto" w:fill="DAEDF3"/>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类别项目</w:t>
            </w:r>
            <w:r>
              <w:rPr>
                <w:rFonts w:ascii="宋体" w:hAnsi="宋体" w:cs="宋体" w:eastAsia="宋体" w:hint="default"/>
                <w:sz w:val="21"/>
                <w:szCs w:val="21"/>
              </w:rPr>
            </w:r>
          </w:p>
        </w:tc>
        <w:tc>
          <w:tcPr>
            <w:tcW w:w="1596" w:type="dxa"/>
            <w:tcBorders>
              <w:top w:val="single" w:sz="6" w:space="0" w:color="000000"/>
              <w:left w:val="single" w:sz="8" w:space="0" w:color="000000"/>
              <w:bottom w:val="single" w:sz="8" w:space="0" w:color="000000"/>
              <w:right w:val="single" w:sz="8" w:space="0" w:color="000000"/>
            </w:tcBorders>
            <w:shd w:val="clear" w:color="auto" w:fill="DAEDF3"/>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2533" w:type="dxa"/>
            <w:tcBorders>
              <w:top w:val="single" w:sz="6" w:space="0" w:color="000000"/>
              <w:left w:val="single" w:sz="8" w:space="0" w:color="000000"/>
              <w:bottom w:val="single" w:sz="8" w:space="0" w:color="000000"/>
              <w:right w:val="single" w:sz="8" w:space="0" w:color="000000"/>
            </w:tcBorders>
            <w:shd w:val="clear" w:color="auto" w:fill="DAEDF3"/>
          </w:tcPr>
          <w:p>
            <w:pPr>
              <w:pStyle w:val="TableParagraph"/>
              <w:spacing w:line="288"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占总人数的比例（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47" w:hRule="exact"/>
        </w:trPr>
        <w:tc>
          <w:tcPr>
            <w:tcW w:w="1832" w:type="dxa"/>
            <w:vMerge w:val="restart"/>
            <w:tcBorders>
              <w:top w:val="single" w:sz="8" w:space="0" w:color="000000"/>
              <w:left w:val="single" w:sz="6"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left="489" w:right="0"/>
              <w:jc w:val="left"/>
              <w:rPr>
                <w:rFonts w:ascii="宋体" w:hAnsi="宋体" w:cs="宋体" w:eastAsia="宋体" w:hint="default"/>
                <w:sz w:val="21"/>
                <w:szCs w:val="21"/>
              </w:rPr>
            </w:pPr>
            <w:r>
              <w:rPr>
                <w:rFonts w:ascii="宋体" w:hAnsi="宋体" w:cs="宋体" w:eastAsia="宋体" w:hint="default"/>
                <w:sz w:val="21"/>
                <w:szCs w:val="21"/>
              </w:rPr>
              <w:t>专业构成</w:t>
            </w:r>
          </w:p>
        </w:tc>
        <w:tc>
          <w:tcPr>
            <w:tcW w:w="2009" w:type="dxa"/>
            <w:tcBorders>
              <w:top w:val="single" w:sz="8" w:space="0" w:color="000000"/>
              <w:left w:val="single" w:sz="8" w:space="0" w:color="000000"/>
              <w:bottom w:val="single" w:sz="8" w:space="0" w:color="000000"/>
              <w:right w:val="single" w:sz="8" w:space="0" w:color="000000"/>
            </w:tcBorders>
          </w:tcPr>
          <w:p>
            <w:pPr>
              <w:pStyle w:val="TableParagraph"/>
              <w:spacing w:line="268" w:lineRule="exact"/>
              <w:ind w:left="4"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right="1"/>
              <w:jc w:val="center"/>
              <w:rPr>
                <w:rFonts w:ascii="Times New Roman" w:hAnsi="Times New Roman" w:cs="Times New Roman" w:eastAsia="Times New Roman" w:hint="default"/>
                <w:sz w:val="21"/>
                <w:szCs w:val="21"/>
              </w:rPr>
            </w:pPr>
            <w:r>
              <w:rPr>
                <w:rFonts w:ascii="Times New Roman"/>
                <w:sz w:val="21"/>
              </w:rPr>
              <w:t>27</w:t>
            </w:r>
          </w:p>
        </w:tc>
        <w:tc>
          <w:tcPr>
            <w:tcW w:w="25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0"/>
              <w:ind w:left="1" w:right="0"/>
              <w:jc w:val="center"/>
              <w:rPr>
                <w:rFonts w:ascii="Times New Roman" w:hAnsi="Times New Roman" w:cs="Times New Roman" w:eastAsia="Times New Roman" w:hint="default"/>
                <w:sz w:val="21"/>
                <w:szCs w:val="21"/>
              </w:rPr>
            </w:pPr>
            <w:r>
              <w:rPr>
                <w:rFonts w:ascii="Times New Roman"/>
                <w:sz w:val="21"/>
              </w:rPr>
              <w:t>10</w:t>
            </w:r>
          </w:p>
        </w:tc>
      </w:tr>
      <w:tr>
        <w:trPr>
          <w:trHeight w:val="348" w:hRule="exact"/>
        </w:trPr>
        <w:tc>
          <w:tcPr>
            <w:tcW w:w="1832" w:type="dxa"/>
            <w:vMerge/>
            <w:tcBorders>
              <w:left w:val="single" w:sz="6" w:space="0" w:color="000000"/>
              <w:right w:val="single" w:sz="8" w:space="0" w:color="000000"/>
            </w:tcBorders>
          </w:tcPr>
          <w:p>
            <w:pPr/>
          </w:p>
        </w:tc>
        <w:tc>
          <w:tcPr>
            <w:tcW w:w="2009"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18</w:t>
            </w:r>
          </w:p>
        </w:tc>
        <w:tc>
          <w:tcPr>
            <w:tcW w:w="25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1" w:right="0"/>
              <w:jc w:val="center"/>
              <w:rPr>
                <w:rFonts w:ascii="Times New Roman" w:hAnsi="Times New Roman" w:cs="Times New Roman" w:eastAsia="Times New Roman" w:hint="default"/>
                <w:sz w:val="21"/>
                <w:szCs w:val="21"/>
              </w:rPr>
            </w:pPr>
            <w:r>
              <w:rPr>
                <w:rFonts w:ascii="Times New Roman"/>
                <w:w w:val="100"/>
                <w:sz w:val="21"/>
              </w:rPr>
              <w:t>7</w:t>
            </w:r>
          </w:p>
        </w:tc>
      </w:tr>
      <w:tr>
        <w:trPr>
          <w:trHeight w:val="346" w:hRule="exact"/>
        </w:trPr>
        <w:tc>
          <w:tcPr>
            <w:tcW w:w="1832" w:type="dxa"/>
            <w:vMerge/>
            <w:tcBorders>
              <w:left w:val="single" w:sz="6" w:space="0" w:color="000000"/>
              <w:right w:val="single" w:sz="8" w:space="0" w:color="000000"/>
            </w:tcBorders>
          </w:tcPr>
          <w:p>
            <w:pPr/>
          </w:p>
        </w:tc>
        <w:tc>
          <w:tcPr>
            <w:tcW w:w="2009"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2" w:right="0"/>
              <w:jc w:val="center"/>
              <w:rPr>
                <w:rFonts w:ascii="Times New Roman" w:hAnsi="Times New Roman" w:cs="Times New Roman" w:eastAsia="Times New Roman" w:hint="default"/>
                <w:sz w:val="21"/>
                <w:szCs w:val="21"/>
              </w:rPr>
            </w:pPr>
            <w:r>
              <w:rPr>
                <w:rFonts w:ascii="Times New Roman"/>
                <w:sz w:val="21"/>
              </w:rPr>
              <w:t>186</w:t>
            </w:r>
          </w:p>
        </w:tc>
        <w:tc>
          <w:tcPr>
            <w:tcW w:w="25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1" w:right="0"/>
              <w:jc w:val="center"/>
              <w:rPr>
                <w:rFonts w:ascii="Times New Roman" w:hAnsi="Times New Roman" w:cs="Times New Roman" w:eastAsia="Times New Roman" w:hint="default"/>
                <w:sz w:val="21"/>
                <w:szCs w:val="21"/>
              </w:rPr>
            </w:pPr>
            <w:r>
              <w:rPr>
                <w:rFonts w:ascii="Times New Roman"/>
                <w:sz w:val="21"/>
              </w:rPr>
              <w:t>71</w:t>
            </w:r>
          </w:p>
        </w:tc>
      </w:tr>
      <w:tr>
        <w:trPr>
          <w:trHeight w:val="348" w:hRule="exact"/>
        </w:trPr>
        <w:tc>
          <w:tcPr>
            <w:tcW w:w="1832" w:type="dxa"/>
            <w:vMerge/>
            <w:tcBorders>
              <w:left w:val="single" w:sz="6" w:space="0" w:color="000000"/>
              <w:right w:val="single" w:sz="8" w:space="0" w:color="000000"/>
            </w:tcBorders>
          </w:tcPr>
          <w:p>
            <w:pPr/>
          </w:p>
        </w:tc>
        <w:tc>
          <w:tcPr>
            <w:tcW w:w="2009"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w w:val="100"/>
                <w:sz w:val="21"/>
              </w:rPr>
              <w:t>7</w:t>
            </w:r>
          </w:p>
        </w:tc>
        <w:tc>
          <w:tcPr>
            <w:tcW w:w="25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1" w:right="0"/>
              <w:jc w:val="center"/>
              <w:rPr>
                <w:rFonts w:ascii="Times New Roman" w:hAnsi="Times New Roman" w:cs="Times New Roman" w:eastAsia="Times New Roman" w:hint="default"/>
                <w:sz w:val="21"/>
                <w:szCs w:val="21"/>
              </w:rPr>
            </w:pPr>
            <w:r>
              <w:rPr>
                <w:rFonts w:ascii="Times New Roman"/>
                <w:w w:val="100"/>
                <w:sz w:val="21"/>
              </w:rPr>
              <w:t>3</w:t>
            </w:r>
          </w:p>
        </w:tc>
      </w:tr>
      <w:tr>
        <w:trPr>
          <w:trHeight w:val="348" w:hRule="exact"/>
        </w:trPr>
        <w:tc>
          <w:tcPr>
            <w:tcW w:w="1832" w:type="dxa"/>
            <w:vMerge/>
            <w:tcBorders>
              <w:left w:val="single" w:sz="6" w:space="0" w:color="000000"/>
              <w:bottom w:val="single" w:sz="8" w:space="0" w:color="000000"/>
              <w:right w:val="single" w:sz="8" w:space="0" w:color="000000"/>
            </w:tcBorders>
          </w:tcPr>
          <w:p>
            <w:pPr/>
          </w:p>
        </w:tc>
        <w:tc>
          <w:tcPr>
            <w:tcW w:w="2009"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
              <w:jc w:val="center"/>
              <w:rPr>
                <w:rFonts w:ascii="Times New Roman" w:hAnsi="Times New Roman" w:cs="Times New Roman" w:eastAsia="Times New Roman" w:hint="default"/>
                <w:sz w:val="21"/>
                <w:szCs w:val="21"/>
              </w:rPr>
            </w:pPr>
            <w:r>
              <w:rPr>
                <w:rFonts w:ascii="Times New Roman"/>
                <w:sz w:val="21"/>
              </w:rPr>
              <w:t>26</w:t>
            </w:r>
          </w:p>
        </w:tc>
        <w:tc>
          <w:tcPr>
            <w:tcW w:w="25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1" w:right="0"/>
              <w:jc w:val="center"/>
              <w:rPr>
                <w:rFonts w:ascii="Times New Roman" w:hAnsi="Times New Roman" w:cs="Times New Roman" w:eastAsia="Times New Roman" w:hint="default"/>
                <w:sz w:val="21"/>
                <w:szCs w:val="21"/>
              </w:rPr>
            </w:pPr>
            <w:r>
              <w:rPr>
                <w:rFonts w:ascii="Times New Roman"/>
                <w:sz w:val="21"/>
              </w:rPr>
              <w:t>10</w:t>
            </w:r>
          </w:p>
        </w:tc>
      </w:tr>
      <w:tr>
        <w:trPr>
          <w:trHeight w:val="346" w:hRule="exact"/>
        </w:trPr>
        <w:tc>
          <w:tcPr>
            <w:tcW w:w="3841" w:type="dxa"/>
            <w:gridSpan w:val="2"/>
            <w:tcBorders>
              <w:top w:val="single" w:sz="8" w:space="0" w:color="000000"/>
              <w:left w:val="single" w:sz="6" w:space="0" w:color="000000"/>
              <w:bottom w:val="single" w:sz="8" w:space="0" w:color="000000"/>
              <w:right w:val="single" w:sz="8"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72"/>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b/>
                <w:sz w:val="21"/>
              </w:rPr>
              <w:t>264</w:t>
            </w:r>
            <w:r>
              <w:rPr>
                <w:rFonts w:ascii="Times New Roman"/>
                <w:sz w:val="21"/>
              </w:rPr>
            </w:r>
          </w:p>
        </w:tc>
        <w:tc>
          <w:tcPr>
            <w:tcW w:w="25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1" w:right="0"/>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r>
        <w:trPr>
          <w:trHeight w:val="348" w:hRule="exact"/>
        </w:trPr>
        <w:tc>
          <w:tcPr>
            <w:tcW w:w="1832" w:type="dxa"/>
            <w:vMerge w:val="restart"/>
            <w:tcBorders>
              <w:top w:val="single" w:sz="8" w:space="0" w:color="000000"/>
              <w:left w:val="single" w:sz="6" w:space="0" w:color="000000"/>
              <w:right w:val="single" w:sz="8"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89" w:right="0"/>
              <w:jc w:val="left"/>
              <w:rPr>
                <w:rFonts w:ascii="宋体" w:hAnsi="宋体" w:cs="宋体" w:eastAsia="宋体" w:hint="default"/>
                <w:sz w:val="21"/>
                <w:szCs w:val="21"/>
              </w:rPr>
            </w:pPr>
            <w:r>
              <w:rPr>
                <w:rFonts w:ascii="宋体" w:hAnsi="宋体" w:cs="宋体" w:eastAsia="宋体" w:hint="default"/>
                <w:sz w:val="21"/>
                <w:szCs w:val="21"/>
              </w:rPr>
              <w:t>教育程度</w:t>
            </w:r>
          </w:p>
        </w:tc>
        <w:tc>
          <w:tcPr>
            <w:tcW w:w="2009"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硕士研究生</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34</w:t>
            </w:r>
          </w:p>
        </w:tc>
        <w:tc>
          <w:tcPr>
            <w:tcW w:w="25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1" w:right="0"/>
              <w:jc w:val="center"/>
              <w:rPr>
                <w:rFonts w:ascii="Times New Roman" w:hAnsi="Times New Roman" w:cs="Times New Roman" w:eastAsia="Times New Roman" w:hint="default"/>
                <w:sz w:val="21"/>
                <w:szCs w:val="21"/>
              </w:rPr>
            </w:pPr>
            <w:r>
              <w:rPr>
                <w:rFonts w:ascii="Times New Roman"/>
                <w:sz w:val="21"/>
              </w:rPr>
              <w:t>13</w:t>
            </w:r>
          </w:p>
        </w:tc>
      </w:tr>
      <w:tr>
        <w:trPr>
          <w:trHeight w:val="346" w:hRule="exact"/>
        </w:trPr>
        <w:tc>
          <w:tcPr>
            <w:tcW w:w="1832" w:type="dxa"/>
            <w:vMerge/>
            <w:tcBorders>
              <w:left w:val="single" w:sz="6" w:space="0" w:color="000000"/>
              <w:right w:val="single" w:sz="8" w:space="0" w:color="000000"/>
            </w:tcBorders>
          </w:tcPr>
          <w:p>
            <w:pPr/>
          </w:p>
        </w:tc>
        <w:tc>
          <w:tcPr>
            <w:tcW w:w="2009"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大学本科</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2" w:right="0"/>
              <w:jc w:val="center"/>
              <w:rPr>
                <w:rFonts w:ascii="Times New Roman" w:hAnsi="Times New Roman" w:cs="Times New Roman" w:eastAsia="Times New Roman" w:hint="default"/>
                <w:sz w:val="21"/>
                <w:szCs w:val="21"/>
              </w:rPr>
            </w:pPr>
            <w:r>
              <w:rPr>
                <w:rFonts w:ascii="Times New Roman"/>
                <w:sz w:val="21"/>
              </w:rPr>
              <w:t>172</w:t>
            </w:r>
          </w:p>
        </w:tc>
        <w:tc>
          <w:tcPr>
            <w:tcW w:w="25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1" w:right="0"/>
              <w:jc w:val="center"/>
              <w:rPr>
                <w:rFonts w:ascii="Times New Roman" w:hAnsi="Times New Roman" w:cs="Times New Roman" w:eastAsia="Times New Roman" w:hint="default"/>
                <w:sz w:val="21"/>
                <w:szCs w:val="21"/>
              </w:rPr>
            </w:pPr>
            <w:r>
              <w:rPr>
                <w:rFonts w:ascii="Times New Roman"/>
                <w:sz w:val="21"/>
              </w:rPr>
              <w:t>65</w:t>
            </w:r>
          </w:p>
        </w:tc>
      </w:tr>
      <w:tr>
        <w:trPr>
          <w:trHeight w:val="348" w:hRule="exact"/>
        </w:trPr>
        <w:tc>
          <w:tcPr>
            <w:tcW w:w="1832" w:type="dxa"/>
            <w:vMerge/>
            <w:tcBorders>
              <w:left w:val="single" w:sz="6" w:space="0" w:color="000000"/>
              <w:bottom w:val="single" w:sz="8" w:space="0" w:color="000000"/>
              <w:right w:val="single" w:sz="8" w:space="0" w:color="000000"/>
            </w:tcBorders>
          </w:tcPr>
          <w:p>
            <w:pPr/>
          </w:p>
        </w:tc>
        <w:tc>
          <w:tcPr>
            <w:tcW w:w="2009" w:type="dxa"/>
            <w:tcBorders>
              <w:top w:val="single" w:sz="8" w:space="0" w:color="000000"/>
              <w:left w:val="single" w:sz="8" w:space="0" w:color="000000"/>
              <w:bottom w:val="single" w:sz="8" w:space="0" w:color="000000"/>
              <w:right w:val="single" w:sz="8"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大专及以下</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58</w:t>
            </w:r>
          </w:p>
        </w:tc>
        <w:tc>
          <w:tcPr>
            <w:tcW w:w="25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1" w:right="0"/>
              <w:jc w:val="center"/>
              <w:rPr>
                <w:rFonts w:ascii="Times New Roman" w:hAnsi="Times New Roman" w:cs="Times New Roman" w:eastAsia="Times New Roman" w:hint="default"/>
                <w:sz w:val="21"/>
                <w:szCs w:val="21"/>
              </w:rPr>
            </w:pPr>
            <w:r>
              <w:rPr>
                <w:rFonts w:ascii="Times New Roman"/>
                <w:sz w:val="21"/>
              </w:rPr>
              <w:t>22</w:t>
            </w:r>
          </w:p>
        </w:tc>
      </w:tr>
      <w:tr>
        <w:trPr>
          <w:trHeight w:val="346" w:hRule="exact"/>
        </w:trPr>
        <w:tc>
          <w:tcPr>
            <w:tcW w:w="3841" w:type="dxa"/>
            <w:gridSpan w:val="2"/>
            <w:tcBorders>
              <w:top w:val="single" w:sz="8" w:space="0" w:color="000000"/>
              <w:left w:val="single" w:sz="6" w:space="0" w:color="000000"/>
              <w:bottom w:val="single" w:sz="8" w:space="0" w:color="000000"/>
              <w:right w:val="single" w:sz="8" w:space="0" w:color="000000"/>
            </w:tcBorders>
          </w:tcPr>
          <w:p>
            <w:pPr>
              <w:pStyle w:val="TableParagraph"/>
              <w:spacing w:line="268"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72"/>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2" w:right="0"/>
              <w:jc w:val="center"/>
              <w:rPr>
                <w:rFonts w:ascii="Times New Roman" w:hAnsi="Times New Roman" w:cs="Times New Roman" w:eastAsia="Times New Roman" w:hint="default"/>
                <w:sz w:val="21"/>
                <w:szCs w:val="21"/>
              </w:rPr>
            </w:pPr>
            <w:r>
              <w:rPr>
                <w:rFonts w:ascii="Times New Roman"/>
                <w:b/>
                <w:sz w:val="21"/>
              </w:rPr>
              <w:t>264</w:t>
            </w:r>
            <w:r>
              <w:rPr>
                <w:rFonts w:ascii="Times New Roman"/>
                <w:sz w:val="21"/>
              </w:rPr>
            </w:r>
          </w:p>
        </w:tc>
        <w:tc>
          <w:tcPr>
            <w:tcW w:w="25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1" w:right="0"/>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r>
        <w:trPr>
          <w:trHeight w:val="348" w:hRule="exact"/>
        </w:trPr>
        <w:tc>
          <w:tcPr>
            <w:tcW w:w="1832" w:type="dxa"/>
            <w:vMerge w:val="restart"/>
            <w:tcBorders>
              <w:top w:val="single" w:sz="8" w:space="0" w:color="000000"/>
              <w:left w:val="single" w:sz="6"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89" w:right="0"/>
              <w:jc w:val="left"/>
              <w:rPr>
                <w:rFonts w:ascii="宋体" w:hAnsi="宋体" w:cs="宋体" w:eastAsia="宋体" w:hint="default"/>
                <w:sz w:val="21"/>
                <w:szCs w:val="21"/>
              </w:rPr>
            </w:pPr>
            <w:r>
              <w:rPr>
                <w:rFonts w:ascii="宋体" w:hAnsi="宋体" w:cs="宋体" w:eastAsia="宋体" w:hint="default"/>
                <w:sz w:val="21"/>
                <w:szCs w:val="21"/>
              </w:rPr>
              <w:t>年龄分布</w:t>
            </w:r>
          </w:p>
        </w:tc>
        <w:tc>
          <w:tcPr>
            <w:tcW w:w="2009" w:type="dxa"/>
            <w:tcBorders>
              <w:top w:val="single" w:sz="8" w:space="0" w:color="000000"/>
              <w:left w:val="single" w:sz="8" w:space="0" w:color="000000"/>
              <w:bottom w:val="single" w:sz="8" w:space="0" w:color="000000"/>
              <w:right w:val="single" w:sz="8" w:space="0" w:color="000000"/>
            </w:tcBorders>
          </w:tcPr>
          <w:p>
            <w:pPr>
              <w:pStyle w:val="TableParagraph"/>
              <w:spacing w:line="285"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51</w:t>
            </w:r>
            <w:r>
              <w:rPr>
                <w:rFonts w:ascii="宋体" w:hAnsi="宋体" w:cs="宋体" w:eastAsia="宋体" w:hint="default"/>
                <w:sz w:val="21"/>
                <w:szCs w:val="21"/>
              </w:rPr>
              <w:t>岁以上</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right="1"/>
              <w:jc w:val="center"/>
              <w:rPr>
                <w:rFonts w:ascii="Times New Roman" w:hAnsi="Times New Roman" w:cs="Times New Roman" w:eastAsia="Times New Roman" w:hint="default"/>
                <w:sz w:val="21"/>
                <w:szCs w:val="21"/>
              </w:rPr>
            </w:pPr>
            <w:r>
              <w:rPr>
                <w:rFonts w:ascii="Times New Roman"/>
                <w:sz w:val="21"/>
              </w:rPr>
              <w:t>27</w:t>
            </w:r>
          </w:p>
        </w:tc>
        <w:tc>
          <w:tcPr>
            <w:tcW w:w="25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1" w:right="0"/>
              <w:jc w:val="center"/>
              <w:rPr>
                <w:rFonts w:ascii="Times New Roman" w:hAnsi="Times New Roman" w:cs="Times New Roman" w:eastAsia="Times New Roman" w:hint="default"/>
                <w:sz w:val="21"/>
                <w:szCs w:val="21"/>
              </w:rPr>
            </w:pPr>
            <w:r>
              <w:rPr>
                <w:rFonts w:ascii="Times New Roman"/>
                <w:sz w:val="21"/>
              </w:rPr>
              <w:t>10</w:t>
            </w:r>
          </w:p>
        </w:tc>
      </w:tr>
      <w:tr>
        <w:trPr>
          <w:trHeight w:val="348" w:hRule="exact"/>
        </w:trPr>
        <w:tc>
          <w:tcPr>
            <w:tcW w:w="1832" w:type="dxa"/>
            <w:vMerge/>
            <w:tcBorders>
              <w:left w:val="single" w:sz="6" w:space="0" w:color="000000"/>
              <w:right w:val="single" w:sz="8" w:space="0" w:color="000000"/>
            </w:tcBorders>
          </w:tcPr>
          <w:p>
            <w:pPr/>
          </w:p>
        </w:tc>
        <w:tc>
          <w:tcPr>
            <w:tcW w:w="2009" w:type="dxa"/>
            <w:tcBorders>
              <w:top w:val="single" w:sz="8" w:space="0" w:color="000000"/>
              <w:left w:val="single" w:sz="8" w:space="0" w:color="000000"/>
              <w:bottom w:val="single" w:sz="8" w:space="0" w:color="000000"/>
              <w:right w:val="single" w:sz="8" w:space="0" w:color="000000"/>
            </w:tcBorders>
          </w:tcPr>
          <w:p>
            <w:pPr>
              <w:pStyle w:val="TableParagraph"/>
              <w:spacing w:line="283"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41-50</w:t>
            </w:r>
            <w:r>
              <w:rPr>
                <w:rFonts w:ascii="宋体" w:hAnsi="宋体" w:cs="宋体" w:eastAsia="宋体" w:hint="default"/>
                <w:sz w:val="21"/>
                <w:szCs w:val="21"/>
              </w:rPr>
              <w:t>岁</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
              <w:jc w:val="center"/>
              <w:rPr>
                <w:rFonts w:ascii="Times New Roman" w:hAnsi="Times New Roman" w:cs="Times New Roman" w:eastAsia="Times New Roman" w:hint="default"/>
                <w:sz w:val="21"/>
                <w:szCs w:val="21"/>
              </w:rPr>
            </w:pPr>
            <w:r>
              <w:rPr>
                <w:rFonts w:ascii="Times New Roman"/>
                <w:sz w:val="21"/>
              </w:rPr>
              <w:t>34</w:t>
            </w:r>
          </w:p>
        </w:tc>
        <w:tc>
          <w:tcPr>
            <w:tcW w:w="25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1" w:right="0"/>
              <w:jc w:val="center"/>
              <w:rPr>
                <w:rFonts w:ascii="Times New Roman" w:hAnsi="Times New Roman" w:cs="Times New Roman" w:eastAsia="Times New Roman" w:hint="default"/>
                <w:sz w:val="21"/>
                <w:szCs w:val="21"/>
              </w:rPr>
            </w:pPr>
            <w:r>
              <w:rPr>
                <w:rFonts w:ascii="Times New Roman"/>
                <w:sz w:val="21"/>
              </w:rPr>
              <w:t>13</w:t>
            </w:r>
          </w:p>
        </w:tc>
      </w:tr>
      <w:tr>
        <w:trPr>
          <w:trHeight w:val="346" w:hRule="exact"/>
        </w:trPr>
        <w:tc>
          <w:tcPr>
            <w:tcW w:w="1832" w:type="dxa"/>
            <w:vMerge/>
            <w:tcBorders>
              <w:left w:val="single" w:sz="6" w:space="0" w:color="000000"/>
              <w:right w:val="single" w:sz="8" w:space="0" w:color="000000"/>
            </w:tcBorders>
          </w:tcPr>
          <w:p>
            <w:pPr/>
          </w:p>
        </w:tc>
        <w:tc>
          <w:tcPr>
            <w:tcW w:w="2009" w:type="dxa"/>
            <w:tcBorders>
              <w:top w:val="single" w:sz="8" w:space="0" w:color="000000"/>
              <w:left w:val="single" w:sz="8" w:space="0" w:color="000000"/>
              <w:bottom w:val="single" w:sz="8" w:space="0" w:color="000000"/>
              <w:right w:val="single" w:sz="8" w:space="0" w:color="000000"/>
            </w:tcBorders>
          </w:tcPr>
          <w:p>
            <w:pPr>
              <w:pStyle w:val="TableParagraph"/>
              <w:spacing w:line="283"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31-40</w:t>
            </w:r>
            <w:r>
              <w:rPr>
                <w:rFonts w:ascii="宋体" w:hAnsi="宋体" w:cs="宋体" w:eastAsia="宋体" w:hint="default"/>
                <w:sz w:val="21"/>
                <w:szCs w:val="21"/>
              </w:rPr>
              <w:t>岁</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right="1"/>
              <w:jc w:val="center"/>
              <w:rPr>
                <w:rFonts w:ascii="Times New Roman" w:hAnsi="Times New Roman" w:cs="Times New Roman" w:eastAsia="Times New Roman" w:hint="default"/>
                <w:sz w:val="21"/>
                <w:szCs w:val="21"/>
              </w:rPr>
            </w:pPr>
            <w:r>
              <w:rPr>
                <w:rFonts w:ascii="Times New Roman"/>
                <w:sz w:val="21"/>
              </w:rPr>
              <w:t>84</w:t>
            </w:r>
          </w:p>
        </w:tc>
        <w:tc>
          <w:tcPr>
            <w:tcW w:w="25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9"/>
              <w:ind w:left="1" w:right="0"/>
              <w:jc w:val="center"/>
              <w:rPr>
                <w:rFonts w:ascii="Times New Roman" w:hAnsi="Times New Roman" w:cs="Times New Roman" w:eastAsia="Times New Roman" w:hint="default"/>
                <w:sz w:val="21"/>
                <w:szCs w:val="21"/>
              </w:rPr>
            </w:pPr>
            <w:r>
              <w:rPr>
                <w:rFonts w:ascii="Times New Roman"/>
                <w:sz w:val="21"/>
              </w:rPr>
              <w:t>32</w:t>
            </w:r>
          </w:p>
        </w:tc>
      </w:tr>
      <w:tr>
        <w:trPr>
          <w:trHeight w:val="348" w:hRule="exact"/>
        </w:trPr>
        <w:tc>
          <w:tcPr>
            <w:tcW w:w="1832" w:type="dxa"/>
            <w:vMerge/>
            <w:tcBorders>
              <w:left w:val="single" w:sz="6" w:space="0" w:color="000000"/>
              <w:bottom w:val="single" w:sz="8" w:space="0" w:color="000000"/>
              <w:right w:val="single" w:sz="8" w:space="0" w:color="000000"/>
            </w:tcBorders>
          </w:tcPr>
          <w:p>
            <w:pPr/>
          </w:p>
        </w:tc>
        <w:tc>
          <w:tcPr>
            <w:tcW w:w="2009" w:type="dxa"/>
            <w:tcBorders>
              <w:top w:val="single" w:sz="8" w:space="0" w:color="000000"/>
              <w:left w:val="single" w:sz="8" w:space="0" w:color="000000"/>
              <w:bottom w:val="single" w:sz="8" w:space="0" w:color="000000"/>
              <w:right w:val="single" w:sz="8" w:space="0" w:color="000000"/>
            </w:tcBorders>
          </w:tcPr>
          <w:p>
            <w:pPr>
              <w:pStyle w:val="TableParagraph"/>
              <w:spacing w:line="285"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21-30</w:t>
            </w:r>
            <w:r>
              <w:rPr>
                <w:rFonts w:ascii="宋体" w:hAnsi="宋体" w:cs="宋体" w:eastAsia="宋体" w:hint="default"/>
                <w:sz w:val="21"/>
                <w:szCs w:val="21"/>
              </w:rPr>
              <w:t>岁</w:t>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sz w:val="21"/>
              </w:rPr>
              <w:t>119</w:t>
            </w:r>
          </w:p>
        </w:tc>
        <w:tc>
          <w:tcPr>
            <w:tcW w:w="25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1" w:right="0"/>
              <w:jc w:val="center"/>
              <w:rPr>
                <w:rFonts w:ascii="Times New Roman" w:hAnsi="Times New Roman" w:cs="Times New Roman" w:eastAsia="Times New Roman" w:hint="default"/>
                <w:sz w:val="21"/>
                <w:szCs w:val="21"/>
              </w:rPr>
            </w:pPr>
            <w:r>
              <w:rPr>
                <w:rFonts w:ascii="Times New Roman"/>
                <w:sz w:val="21"/>
              </w:rPr>
              <w:t>45</w:t>
            </w:r>
          </w:p>
        </w:tc>
      </w:tr>
      <w:tr>
        <w:trPr>
          <w:trHeight w:val="348" w:hRule="exact"/>
        </w:trPr>
        <w:tc>
          <w:tcPr>
            <w:tcW w:w="3841" w:type="dxa"/>
            <w:gridSpan w:val="2"/>
            <w:tcBorders>
              <w:top w:val="single" w:sz="8" w:space="0" w:color="000000"/>
              <w:left w:val="single" w:sz="6" w:space="0" w:color="000000"/>
              <w:bottom w:val="single" w:sz="8" w:space="0" w:color="000000"/>
              <w:right w:val="single" w:sz="8"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72"/>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15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2" w:right="0"/>
              <w:jc w:val="center"/>
              <w:rPr>
                <w:rFonts w:ascii="Times New Roman" w:hAnsi="Times New Roman" w:cs="Times New Roman" w:eastAsia="Times New Roman" w:hint="default"/>
                <w:sz w:val="21"/>
                <w:szCs w:val="21"/>
              </w:rPr>
            </w:pPr>
            <w:r>
              <w:rPr>
                <w:rFonts w:ascii="Times New Roman"/>
                <w:b/>
                <w:sz w:val="21"/>
              </w:rPr>
              <w:t>264</w:t>
            </w:r>
            <w:r>
              <w:rPr>
                <w:rFonts w:ascii="Times New Roman"/>
                <w:sz w:val="21"/>
              </w:rPr>
            </w:r>
          </w:p>
        </w:tc>
        <w:tc>
          <w:tcPr>
            <w:tcW w:w="25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1"/>
              <w:ind w:left="1" w:right="0"/>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1261" w:top="1100" w:bottom="1460" w:left="980" w:right="0"/>
        </w:sectPr>
      </w:pPr>
    </w:p>
    <w:p>
      <w:pPr>
        <w:spacing w:line="240" w:lineRule="auto" w:before="6"/>
        <w:rPr>
          <w:rFonts w:ascii="宋体" w:hAnsi="宋体" w:cs="宋体" w:eastAsia="宋体" w:hint="default"/>
          <w:sz w:val="28"/>
          <w:szCs w:val="28"/>
        </w:rPr>
      </w:pPr>
    </w:p>
    <w:p>
      <w:pPr>
        <w:spacing w:before="0"/>
        <w:ind w:left="3364" w:right="981" w:firstLine="0"/>
        <w:jc w:val="left"/>
        <w:rPr>
          <w:rFonts w:ascii="黑体" w:hAnsi="黑体" w:cs="黑体" w:eastAsia="黑体" w:hint="default"/>
          <w:sz w:val="32"/>
          <w:szCs w:val="32"/>
        </w:rPr>
      </w:pPr>
      <w:r>
        <w:rPr>
          <w:rFonts w:ascii="黑体" w:hAnsi="黑体" w:cs="黑体" w:eastAsia="黑体" w:hint="default"/>
          <w:b/>
          <w:bCs/>
          <w:sz w:val="32"/>
          <w:szCs w:val="32"/>
        </w:rPr>
        <w:t>公司人员专业构成情况</w:t>
      </w:r>
      <w:r>
        <w:rPr>
          <w:rFonts w:ascii="黑体" w:hAnsi="黑体" w:cs="黑体" w:eastAsia="黑体" w:hint="default"/>
          <w:sz w:val="32"/>
          <w:szCs w:val="32"/>
        </w:rPr>
      </w: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17"/>
          <w:szCs w:val="17"/>
        </w:rPr>
      </w:pPr>
    </w:p>
    <w:p>
      <w:pPr>
        <w:spacing w:line="3070" w:lineRule="exact"/>
        <w:ind w:left="2339" w:right="0" w:firstLine="0"/>
        <w:rPr>
          <w:rFonts w:ascii="黑体" w:hAnsi="黑体" w:cs="黑体" w:eastAsia="黑体" w:hint="default"/>
          <w:sz w:val="20"/>
          <w:szCs w:val="20"/>
        </w:rPr>
      </w:pPr>
      <w:r>
        <w:rPr>
          <w:rFonts w:ascii="黑体" w:hAnsi="黑体" w:cs="黑体" w:eastAsia="黑体" w:hint="default"/>
          <w:position w:val="-60"/>
          <w:sz w:val="20"/>
          <w:szCs w:val="20"/>
        </w:rPr>
        <w:drawing>
          <wp:inline distT="0" distB="0" distL="0" distR="0">
            <wp:extent cx="3336029" cy="1949767"/>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26" cstate="print"/>
                    <a:stretch>
                      <a:fillRect/>
                    </a:stretch>
                  </pic:blipFill>
                  <pic:spPr>
                    <a:xfrm>
                      <a:off x="0" y="0"/>
                      <a:ext cx="3336029" cy="1949767"/>
                    </a:xfrm>
                    <a:prstGeom prst="rect">
                      <a:avLst/>
                    </a:prstGeom>
                  </pic:spPr>
                </pic:pic>
              </a:graphicData>
            </a:graphic>
          </wp:inline>
        </w:drawing>
      </w:r>
      <w:r>
        <w:rPr>
          <w:rFonts w:ascii="黑体" w:hAnsi="黑体" w:cs="黑体" w:eastAsia="黑体" w:hint="default"/>
          <w:position w:val="-60"/>
          <w:sz w:val="20"/>
          <w:szCs w:val="20"/>
        </w:rPr>
      </w:r>
    </w:p>
    <w:p>
      <w:pPr>
        <w:spacing w:line="240" w:lineRule="auto" w:before="12"/>
        <w:rPr>
          <w:rFonts w:ascii="黑体" w:hAnsi="黑体" w:cs="黑体" w:eastAsia="黑体" w:hint="default"/>
          <w:b/>
          <w:bCs/>
          <w:sz w:val="29"/>
          <w:szCs w:val="29"/>
        </w:rPr>
      </w:pPr>
    </w:p>
    <w:p>
      <w:pPr>
        <w:spacing w:before="0"/>
        <w:ind w:left="3365" w:right="981" w:firstLine="0"/>
        <w:jc w:val="left"/>
        <w:rPr>
          <w:rFonts w:ascii="黑体" w:hAnsi="黑体" w:cs="黑体" w:eastAsia="黑体" w:hint="default"/>
          <w:sz w:val="32"/>
          <w:szCs w:val="32"/>
        </w:rPr>
      </w:pPr>
      <w:r>
        <w:rPr>
          <w:rFonts w:ascii="黑体" w:hAnsi="黑体" w:cs="黑体" w:eastAsia="黑体" w:hint="default"/>
          <w:b/>
          <w:bCs/>
          <w:sz w:val="32"/>
          <w:szCs w:val="32"/>
        </w:rPr>
        <w:t>公司人员教育程度情况</w:t>
      </w:r>
      <w:r>
        <w:rPr>
          <w:rFonts w:ascii="黑体" w:hAnsi="黑体" w:cs="黑体" w:eastAsia="黑体" w:hint="default"/>
          <w:sz w:val="32"/>
          <w:szCs w:val="32"/>
        </w:rPr>
      </w: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26"/>
          <w:szCs w:val="26"/>
        </w:rPr>
      </w:pPr>
    </w:p>
    <w:p>
      <w:pPr>
        <w:spacing w:line="3488" w:lineRule="exact"/>
        <w:ind w:left="2358" w:right="0" w:firstLine="0"/>
        <w:rPr>
          <w:rFonts w:ascii="黑体" w:hAnsi="黑体" w:cs="黑体" w:eastAsia="黑体" w:hint="default"/>
          <w:sz w:val="20"/>
          <w:szCs w:val="20"/>
        </w:rPr>
      </w:pPr>
      <w:r>
        <w:rPr>
          <w:rFonts w:ascii="黑体" w:hAnsi="黑体" w:cs="黑体" w:eastAsia="黑体" w:hint="default"/>
          <w:position w:val="-69"/>
          <w:sz w:val="20"/>
          <w:szCs w:val="20"/>
        </w:rPr>
        <w:drawing>
          <wp:inline distT="0" distB="0" distL="0" distR="0">
            <wp:extent cx="3348964" cy="2215133"/>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27" cstate="print"/>
                    <a:stretch>
                      <a:fillRect/>
                    </a:stretch>
                  </pic:blipFill>
                  <pic:spPr>
                    <a:xfrm>
                      <a:off x="0" y="0"/>
                      <a:ext cx="3348964" cy="2215133"/>
                    </a:xfrm>
                    <a:prstGeom prst="rect">
                      <a:avLst/>
                    </a:prstGeom>
                  </pic:spPr>
                </pic:pic>
              </a:graphicData>
            </a:graphic>
          </wp:inline>
        </w:drawing>
      </w:r>
      <w:r>
        <w:rPr>
          <w:rFonts w:ascii="黑体" w:hAnsi="黑体" w:cs="黑体" w:eastAsia="黑体" w:hint="default"/>
          <w:position w:val="-69"/>
          <w:sz w:val="20"/>
          <w:szCs w:val="20"/>
        </w:rPr>
      </w: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16"/>
          <w:szCs w:val="16"/>
        </w:rPr>
      </w:pPr>
    </w:p>
    <w:p>
      <w:pPr>
        <w:spacing w:before="0"/>
        <w:ind w:left="3365" w:right="981" w:firstLine="0"/>
        <w:jc w:val="left"/>
        <w:rPr>
          <w:rFonts w:ascii="黑体" w:hAnsi="黑体" w:cs="黑体" w:eastAsia="黑体" w:hint="default"/>
          <w:sz w:val="32"/>
          <w:szCs w:val="32"/>
        </w:rPr>
      </w:pPr>
      <w:r>
        <w:rPr>
          <w:rFonts w:ascii="黑体" w:hAnsi="黑体" w:cs="黑体" w:eastAsia="黑体" w:hint="default"/>
          <w:b/>
          <w:bCs/>
          <w:sz w:val="32"/>
          <w:szCs w:val="32"/>
        </w:rPr>
        <w:t>公司人员年龄分布情况</w:t>
      </w:r>
      <w:r>
        <w:rPr>
          <w:rFonts w:ascii="黑体" w:hAnsi="黑体" w:cs="黑体" w:eastAsia="黑体" w:hint="default"/>
          <w:sz w:val="32"/>
          <w:szCs w:val="32"/>
        </w:rPr>
      </w:r>
    </w:p>
    <w:p>
      <w:pPr>
        <w:spacing w:line="240" w:lineRule="auto" w:before="10"/>
        <w:rPr>
          <w:rFonts w:ascii="黑体" w:hAnsi="黑体" w:cs="黑体" w:eastAsia="黑体" w:hint="default"/>
          <w:b/>
          <w:bCs/>
          <w:sz w:val="15"/>
          <w:szCs w:val="15"/>
        </w:rPr>
      </w:pPr>
    </w:p>
    <w:p>
      <w:pPr>
        <w:spacing w:line="3362" w:lineRule="exact"/>
        <w:ind w:left="2224" w:right="0" w:firstLine="0"/>
        <w:rPr>
          <w:rFonts w:ascii="黑体" w:hAnsi="黑体" w:cs="黑体" w:eastAsia="黑体" w:hint="default"/>
          <w:sz w:val="20"/>
          <w:szCs w:val="20"/>
        </w:rPr>
      </w:pPr>
      <w:r>
        <w:rPr>
          <w:rFonts w:ascii="黑体" w:hAnsi="黑体" w:cs="黑体" w:eastAsia="黑体" w:hint="default"/>
          <w:position w:val="-66"/>
          <w:sz w:val="20"/>
          <w:szCs w:val="20"/>
        </w:rPr>
        <w:drawing>
          <wp:inline distT="0" distB="0" distL="0" distR="0">
            <wp:extent cx="3442010" cy="2135124"/>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28" cstate="print"/>
                    <a:stretch>
                      <a:fillRect/>
                    </a:stretch>
                  </pic:blipFill>
                  <pic:spPr>
                    <a:xfrm>
                      <a:off x="0" y="0"/>
                      <a:ext cx="3442010" cy="2135124"/>
                    </a:xfrm>
                    <a:prstGeom prst="rect">
                      <a:avLst/>
                    </a:prstGeom>
                  </pic:spPr>
                </pic:pic>
              </a:graphicData>
            </a:graphic>
          </wp:inline>
        </w:drawing>
      </w:r>
      <w:r>
        <w:rPr>
          <w:rFonts w:ascii="黑体" w:hAnsi="黑体" w:cs="黑体" w:eastAsia="黑体" w:hint="default"/>
          <w:position w:val="-66"/>
          <w:sz w:val="20"/>
          <w:szCs w:val="20"/>
        </w:rPr>
      </w:r>
    </w:p>
    <w:p>
      <w:pPr>
        <w:spacing w:after="0" w:line="3362" w:lineRule="exact"/>
        <w:rPr>
          <w:rFonts w:ascii="黑体" w:hAnsi="黑体" w:cs="黑体" w:eastAsia="黑体" w:hint="default"/>
          <w:sz w:val="20"/>
          <w:szCs w:val="20"/>
        </w:rPr>
        <w:sectPr>
          <w:pgSz w:w="11910" w:h="16840"/>
          <w:pgMar w:header="877" w:footer="1261" w:top="1100" w:bottom="1460" w:left="980" w:right="0"/>
        </w:sectPr>
      </w:pPr>
    </w:p>
    <w:p>
      <w:pPr>
        <w:spacing w:line="240" w:lineRule="auto" w:before="0"/>
        <w:rPr>
          <w:rFonts w:ascii="黑体" w:hAnsi="黑体" w:cs="黑体" w:eastAsia="黑体" w:hint="default"/>
          <w:b/>
          <w:bCs/>
          <w:sz w:val="20"/>
          <w:szCs w:val="20"/>
        </w:rPr>
      </w:pPr>
    </w:p>
    <w:p>
      <w:pPr>
        <w:pStyle w:val="Heading1"/>
        <w:spacing w:line="240" w:lineRule="auto" w:before="173"/>
        <w:ind w:right="976"/>
        <w:jc w:val="center"/>
        <w:rPr>
          <w:b w:val="0"/>
          <w:bCs w:val="0"/>
        </w:rPr>
      </w:pPr>
      <w:bookmarkStart w:name="_TOC_250003"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both"/>
        <w:rPr>
          <w:b w:val="0"/>
          <w:bCs w:val="0"/>
        </w:rPr>
      </w:pPr>
      <w:r>
        <w:rPr/>
        <w:t>一、公司治理的基本状况</w:t>
      </w:r>
      <w:r>
        <w:rPr>
          <w:b w:val="0"/>
          <w:bCs w:val="0"/>
        </w:rPr>
      </w:r>
    </w:p>
    <w:p>
      <w:pPr>
        <w:spacing w:line="240" w:lineRule="auto" w:before="11"/>
        <w:rPr>
          <w:rFonts w:ascii="宋体" w:hAnsi="宋体" w:cs="宋体" w:eastAsia="宋体" w:hint="default"/>
          <w:b/>
          <w:bCs/>
          <w:sz w:val="29"/>
          <w:szCs w:val="29"/>
        </w:rPr>
      </w:pPr>
    </w:p>
    <w:p>
      <w:pPr>
        <w:pStyle w:val="Heading4"/>
        <w:spacing w:line="388" w:lineRule="auto" w:before="0"/>
        <w:ind w:right="981" w:firstLine="439"/>
        <w:jc w:val="left"/>
        <w:rPr>
          <w:sz w:val="18"/>
          <w:szCs w:val="18"/>
        </w:rPr>
      </w:pPr>
      <w:r>
        <w:rPr>
          <w:spacing w:val="-2"/>
        </w:rPr>
        <w:t>报告期内，公司严格按照《公司法》、《证券法》和《上市公司治理准则》等法律、法规和规章</w:t>
      </w:r>
      <w:r>
        <w:rPr>
          <w:w w:val="100"/>
        </w:rPr>
        <w:t> </w:t>
      </w:r>
      <w:r>
        <w:rPr>
          <w:spacing w:val="-2"/>
        </w:rPr>
        <w:t>的要求，不断完善治理结构，健全内部控制体系，规范公司运作。截至报告期末，公司治理的实际情</w:t>
      </w:r>
      <w:r>
        <w:rPr>
          <w:spacing w:val="-70"/>
        </w:rPr>
        <w:t> </w:t>
      </w:r>
      <w:r>
        <w:rPr>
          <w:spacing w:val="-70"/>
        </w:rPr>
      </w:r>
      <w:r>
        <w:rPr>
          <w:spacing w:val="-2"/>
        </w:rPr>
        <w:t>况符合《公司法》、《上市公司治理准则》等有关上市公司治理的规范性文件要求。</w:t>
      </w:r>
      <w:r>
        <w:rPr>
          <w:rFonts w:ascii="宋体" w:hAnsi="宋体" w:cs="宋体" w:eastAsia="宋体" w:hint="default"/>
          <w:spacing w:val="-2"/>
        </w:rPr>
        <w:t>2012</w:t>
      </w:r>
      <w:r>
        <w:rPr>
          <w:spacing w:val="-2"/>
        </w:rPr>
        <w:t>年度，公司</w:t>
      </w:r>
      <w:r>
        <w:rPr>
          <w:spacing w:val="-68"/>
        </w:rPr>
        <w:t> </w:t>
      </w:r>
      <w:r>
        <w:rPr>
          <w:spacing w:val="-68"/>
        </w:rPr>
      </w:r>
      <w:r>
        <w:rPr>
          <w:spacing w:val="-2"/>
        </w:rPr>
        <w:t>根据中国证监会、深圳证券交易所的有关规定及实际情况需要，对《公司章程》、《股东大会议事规</w:t>
      </w:r>
      <w:r>
        <w:rPr>
          <w:spacing w:val="-73"/>
        </w:rPr>
        <w:t> </w:t>
      </w:r>
      <w:r>
        <w:rPr>
          <w:spacing w:val="-73"/>
        </w:rPr>
      </w:r>
      <w:r>
        <w:rPr>
          <w:spacing w:val="-2"/>
        </w:rPr>
        <w:t>则》、《内幕信息知情人登记管理制度》等进行了修订，新制定了《控股子公司管理制度》、《公司</w:t>
      </w:r>
      <w:r>
        <w:rPr>
          <w:spacing w:val="-67"/>
        </w:rPr>
        <w:t> </w:t>
      </w:r>
      <w:r>
        <w:rPr>
          <w:spacing w:val="-67"/>
        </w:rPr>
      </w:r>
      <w:r>
        <w:rPr/>
        <w:t>与集团财务有限责任公司关联交易的风险控制制度》。</w:t>
      </w:r>
      <w:r>
        <w:rPr>
          <w:w w:val="100"/>
        </w:rPr>
        <w:t> </w:t>
      </w:r>
      <w:r>
        <w:rPr>
          <w:sz w:val="18"/>
          <w:szCs w:val="18"/>
        </w:rPr>
        <w:t>公司治理与《公司法》和中国证监会相关规定的要求是否存在差异</w:t>
      </w:r>
    </w:p>
    <w:p>
      <w:pPr>
        <w:pStyle w:val="BodyText"/>
        <w:spacing w:line="340" w:lineRule="auto" w:before="3"/>
        <w:ind w:right="55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公司治理与《公司法》和中国证监会相关规定的要求不存在差异。</w:t>
      </w:r>
    </w:p>
    <w:p>
      <w:pPr>
        <w:pStyle w:val="BodyText"/>
        <w:spacing w:line="240" w:lineRule="auto" w:before="41"/>
        <w:ind w:right="0"/>
        <w:jc w:val="both"/>
      </w:pPr>
      <w:r>
        <w:rPr/>
        <w:t>公司治理专项活动开展情况以及内幕信息知情人登记管理制度的制定、实施情况</w:t>
      </w:r>
    </w:p>
    <w:p>
      <w:pPr>
        <w:pStyle w:val="Heading4"/>
        <w:spacing w:line="391" w:lineRule="auto" w:before="161"/>
        <w:ind w:left="592" w:right="981"/>
        <w:jc w:val="left"/>
      </w:pPr>
      <w:r>
        <w:rPr/>
        <w:t>（一）</w:t>
      </w:r>
      <w:r>
        <w:rPr>
          <w:spacing w:val="48"/>
        </w:rPr>
        <w:t> </w:t>
      </w:r>
      <w:r>
        <w:rPr/>
        <w:t>公司治理专项活动开展情况</w:t>
      </w:r>
      <w:r>
        <w:rPr>
          <w:w w:val="100"/>
        </w:rPr>
        <w:t> </w:t>
      </w:r>
      <w:r>
        <w:rPr>
          <w:spacing w:val="-1"/>
        </w:rPr>
        <w:t>按照深圳证券交易所《关于开展加强中小企业板上市公司内控规则落实专项活动的通知》要求，</w:t>
      </w:r>
    </w:p>
    <w:p>
      <w:pPr>
        <w:pStyle w:val="Heading4"/>
        <w:spacing w:line="391" w:lineRule="auto"/>
        <w:ind w:right="1128"/>
        <w:jc w:val="both"/>
      </w:pPr>
      <w:r>
        <w:rPr/>
        <w:t>公司对</w:t>
      </w:r>
      <w:r>
        <w:rPr>
          <w:rFonts w:ascii="宋体" w:hAnsi="宋体" w:cs="宋体" w:eastAsia="宋体" w:hint="default"/>
        </w:rPr>
        <w:t>2011</w:t>
      </w:r>
      <w:r>
        <w:rPr/>
        <w:t>年</w:t>
      </w:r>
      <w:r>
        <w:rPr>
          <w:rFonts w:ascii="宋体" w:hAnsi="宋体" w:cs="宋体" w:eastAsia="宋体" w:hint="default"/>
        </w:rPr>
        <w:t>1-8</w:t>
      </w:r>
      <w:r>
        <w:rPr/>
        <w:t>月公司治理情况进行了认真自查，针对存在的问题制定了整改计划。该整改计划经</w:t>
      </w:r>
      <w:r>
        <w:rPr>
          <w:w w:val="100"/>
        </w:rPr>
        <w:t> </w:t>
      </w:r>
      <w:r>
        <w:rPr>
          <w:rFonts w:ascii="宋体" w:hAnsi="宋体" w:cs="宋体" w:eastAsia="宋体" w:hint="default"/>
          <w:spacing w:val="-2"/>
        </w:rPr>
        <w:t>2011</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23</w:t>
      </w:r>
      <w:r>
        <w:rPr>
          <w:spacing w:val="-2"/>
        </w:rPr>
        <w:t>日召开的第四届董事会第九次（临时）会议审议通过，详细内容本公司于</w:t>
      </w:r>
      <w:r>
        <w:rPr>
          <w:rFonts w:ascii="宋体" w:hAnsi="宋体" w:cs="宋体" w:eastAsia="宋体" w:hint="default"/>
          <w:spacing w:val="-2"/>
        </w:rPr>
        <w:t>2011</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24</w:t>
      </w:r>
      <w:r>
        <w:rPr>
          <w:spacing w:val="-2"/>
        </w:rPr>
        <w:t>日</w:t>
      </w:r>
      <w:r>
        <w:rPr>
          <w:spacing w:val="-55"/>
        </w:rPr>
        <w:t> </w:t>
      </w:r>
      <w:r>
        <w:rPr/>
        <w:t>在巨潮资讯网（</w:t>
      </w:r>
      <w:hyperlink r:id="rId13">
        <w:r>
          <w:rPr>
            <w:rFonts w:ascii="宋体" w:hAnsi="宋体" w:cs="宋体" w:eastAsia="宋体" w:hint="default"/>
          </w:rPr>
          <w:t>www.cninfo.com.cn</w:t>
        </w:r>
      </w:hyperlink>
      <w:r>
        <w:rPr/>
        <w:t>）刊登的《内部控制规则落实情况自查表》及《关于加强中小企</w:t>
      </w:r>
      <w:r>
        <w:rPr>
          <w:w w:val="100"/>
        </w:rPr>
        <w:t> </w:t>
      </w:r>
      <w:r>
        <w:rPr>
          <w:spacing w:val="-2"/>
        </w:rPr>
        <w:t>业板上市公司内控规则落实专项活动的整改计划》。目前公司相关整改工作已经完成。</w:t>
      </w:r>
      <w:r>
        <w:rPr>
          <w:rFonts w:ascii="宋体" w:hAnsi="宋体" w:cs="宋体" w:eastAsia="宋体" w:hint="default"/>
          <w:spacing w:val="-2"/>
        </w:rPr>
        <w:t>2012</w:t>
      </w:r>
      <w:r>
        <w:rPr>
          <w:spacing w:val="-2"/>
        </w:rPr>
        <w:t>年度，公</w:t>
      </w:r>
      <w:r>
        <w:rPr>
          <w:spacing w:val="-64"/>
        </w:rPr>
        <w:t> </w:t>
      </w:r>
      <w:r>
        <w:rPr>
          <w:spacing w:val="-64"/>
        </w:rPr>
      </w:r>
      <w:r>
        <w:rPr/>
        <w:t>司严格落实各项内部控制规则，根据公司自查，未发现需要进一步整改的问题。</w:t>
      </w:r>
    </w:p>
    <w:p>
      <w:pPr>
        <w:pStyle w:val="Heading4"/>
        <w:spacing w:line="391" w:lineRule="auto"/>
        <w:ind w:left="592" w:right="981"/>
        <w:jc w:val="left"/>
      </w:pPr>
      <w:r>
        <w:rPr/>
        <w:t>（二）内幕信息知情人登记管理制度的制定、实施情况</w:t>
      </w:r>
      <w:r>
        <w:rPr>
          <w:w w:val="100"/>
        </w:rPr>
        <w:t> </w:t>
      </w:r>
      <w:r>
        <w:rPr>
          <w:rFonts w:ascii="宋体" w:hAnsi="宋体" w:cs="宋体" w:eastAsia="宋体" w:hint="default"/>
          <w:spacing w:val="-1"/>
        </w:rPr>
        <w:t>2010</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17</w:t>
      </w:r>
      <w:r>
        <w:rPr>
          <w:spacing w:val="-1"/>
        </w:rPr>
        <w:t>日召开的公司第三届董事会第二十二次会议审议通过了《内幕信息知情人登记和报</w:t>
      </w:r>
    </w:p>
    <w:p>
      <w:pPr>
        <w:pStyle w:val="Heading4"/>
        <w:spacing w:line="391" w:lineRule="auto"/>
        <w:ind w:right="1126"/>
        <w:jc w:val="both"/>
      </w:pPr>
      <w:r>
        <w:rPr/>
        <w:t>备制度》，</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16</w:t>
      </w:r>
      <w:r>
        <w:rPr/>
        <w:t>日召开的公司第四届董事会第十三次临时会议对该制度进行修订。该制度就</w:t>
      </w:r>
      <w:r>
        <w:rPr>
          <w:w w:val="100"/>
        </w:rPr>
        <w:t> </w:t>
      </w:r>
      <w:r>
        <w:rPr>
          <w:spacing w:val="-2"/>
        </w:rPr>
        <w:t>内幕信息的范围、登记备案、报备、保密、责任追究等方面进行了具体规定。报告期内，公司严格按</w:t>
      </w:r>
      <w:r>
        <w:rPr>
          <w:spacing w:val="-72"/>
        </w:rPr>
        <w:t> </w:t>
      </w:r>
      <w:r>
        <w:rPr>
          <w:spacing w:val="-72"/>
        </w:rPr>
      </w:r>
      <w:r>
        <w:rPr>
          <w:spacing w:val="-2"/>
        </w:rPr>
        <w:t>照该制度的规定，对内幕信息知情人及相关情况及时、完整地进行登记备案，并按规定及时向上海证</w:t>
      </w:r>
      <w:r>
        <w:rPr>
          <w:spacing w:val="-64"/>
        </w:rPr>
        <w:t> </w:t>
      </w:r>
      <w:r>
        <w:rPr>
          <w:spacing w:val="-64"/>
        </w:rPr>
      </w:r>
      <w:r>
        <w:rPr/>
        <w:t>监局、深圳证券交易所报备《内幕信息知情人登记表》。</w:t>
      </w:r>
    </w:p>
    <w:p>
      <w:pPr>
        <w:pStyle w:val="Heading4"/>
        <w:spacing w:line="240" w:lineRule="auto"/>
        <w:ind w:left="592" w:right="981"/>
        <w:jc w:val="left"/>
      </w:pPr>
      <w:r>
        <w:rPr/>
        <w:t>报告期内，未发现内幕信息知情人利用内幕信息买卖公司股票的情况。</w:t>
      </w:r>
    </w:p>
    <w:p>
      <w:pPr>
        <w:spacing w:after="0" w:line="240" w:lineRule="auto"/>
        <w:jc w:val="left"/>
        <w:sectPr>
          <w:pgSz w:w="11910" w:h="16840"/>
          <w:pgMar w:header="877" w:footer="1261" w:top="1100" w:bottom="1460" w:left="980" w:right="0"/>
        </w:sectPr>
      </w:pPr>
    </w:p>
    <w:p>
      <w:pPr>
        <w:spacing w:line="240" w:lineRule="auto" w:before="9"/>
        <w:rPr>
          <w:rFonts w:ascii="宋体" w:hAnsi="宋体" w:cs="宋体" w:eastAsia="宋体" w:hint="default"/>
          <w:sz w:val="19"/>
          <w:szCs w:val="19"/>
        </w:rPr>
      </w:pPr>
    </w:p>
    <w:p>
      <w:pPr>
        <w:pStyle w:val="Heading3"/>
        <w:spacing w:line="240" w:lineRule="auto" w:before="26"/>
        <w:ind w:right="981"/>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981"/>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4"/>
          <w:szCs w:val="24"/>
        </w:rPr>
      </w:pPr>
    </w:p>
    <w:p>
      <w:pPr>
        <w:pStyle w:val="BodyText"/>
        <w:spacing w:line="240" w:lineRule="auto" w:before="44"/>
        <w:ind w:left="0" w:right="922"/>
        <w:jc w:val="right"/>
      </w:pPr>
      <w:r>
        <w:rPr/>
        <w:pict>
          <v:shape style="position:absolute;margin-left:56.400002pt;margin-top:-65.048271pt;width:489.85pt;height:244.3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6"/>
                    <w:gridCol w:w="1097"/>
                    <w:gridCol w:w="3157"/>
                    <w:gridCol w:w="1594"/>
                    <w:gridCol w:w="1100"/>
                    <w:gridCol w:w="1699"/>
                  </w:tblGrid>
                  <w:tr>
                    <w:trPr>
                      <w:trHeight w:val="40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2"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决议情况</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47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338" w:lineRule="auto"/>
                          <w:ind w:left="24" w:right="338"/>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 股东大会</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10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年度董事会工作</w:t>
                        </w:r>
                        <w:r>
                          <w:rPr>
                            <w:rFonts w:ascii="宋体" w:hAnsi="宋体" w:cs="宋体" w:eastAsia="宋体" w:hint="default"/>
                            <w:spacing w:val="-3"/>
                            <w:sz w:val="18"/>
                            <w:szCs w:val="18"/>
                          </w:rPr>
                          <w:t>报</w:t>
                        </w:r>
                        <w:r>
                          <w:rPr>
                            <w:rFonts w:ascii="宋体" w:hAnsi="宋体" w:cs="宋体" w:eastAsia="宋体" w:hint="default"/>
                            <w:sz w:val="18"/>
                            <w:szCs w:val="18"/>
                          </w:rPr>
                          <w:t>告</w:t>
                        </w:r>
                        <w:r>
                          <w:rPr>
                            <w:rFonts w:ascii="宋体" w:hAnsi="宋体" w:cs="宋体" w:eastAsia="宋体" w:hint="default"/>
                            <w:spacing w:val="-92"/>
                            <w:sz w:val="18"/>
                            <w:szCs w:val="18"/>
                          </w:rPr>
                          <w:t>》</w:t>
                        </w:r>
                        <w:r>
                          <w:rPr>
                            <w:rFonts w:ascii="宋体" w:hAnsi="宋体" w:cs="宋体" w:eastAsia="宋体" w:hint="default"/>
                            <w:spacing w:val="-135"/>
                            <w:sz w:val="18"/>
                            <w:szCs w:val="18"/>
                          </w:rPr>
                          <w:t>、</w:t>
                        </w:r>
                        <w:r>
                          <w:rPr>
                            <w:rFonts w:ascii="宋体" w:hAnsi="宋体" w:cs="宋体" w:eastAsia="宋体" w:hint="default"/>
                            <w:sz w:val="18"/>
                            <w:szCs w:val="18"/>
                          </w:rPr>
                          <w:t>《公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年度监事会工作报告</w:t>
                        </w:r>
                        <w:r>
                          <w:rPr>
                            <w:rFonts w:ascii="宋体" w:hAnsi="宋体" w:cs="宋体" w:eastAsia="宋体" w:hint="default"/>
                            <w:spacing w:val="-92"/>
                            <w:sz w:val="18"/>
                            <w:szCs w:val="18"/>
                          </w:rPr>
                          <w:t>》、</w:t>
                        </w:r>
                        <w:r>
                          <w:rPr>
                            <w:rFonts w:ascii="宋体" w:hAnsi="宋体" w:cs="宋体" w:eastAsia="宋体" w:hint="default"/>
                            <w:sz w:val="18"/>
                            <w:szCs w:val="18"/>
                          </w:rPr>
                          <w:t>《公司</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年度财务决算和</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年度财务预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算报告</w:t>
                        </w:r>
                        <w:r>
                          <w:rPr>
                            <w:rFonts w:ascii="宋体" w:hAnsi="宋体" w:cs="宋体" w:eastAsia="宋体" w:hint="default"/>
                            <w:spacing w:val="-92"/>
                            <w:sz w:val="18"/>
                            <w:szCs w:val="18"/>
                          </w:rPr>
                          <w:t>》</w:t>
                        </w:r>
                        <w:r>
                          <w:rPr>
                            <w:rFonts w:ascii="宋体" w:hAnsi="宋体" w:cs="宋体" w:eastAsia="宋体" w:hint="default"/>
                            <w:spacing w:val="-106"/>
                            <w:sz w:val="18"/>
                            <w:szCs w:val="18"/>
                          </w:rPr>
                          <w:t>、</w:t>
                        </w: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w:t>
                        </w:r>
                        <w:r>
                          <w:rPr>
                            <w:rFonts w:ascii="宋体" w:hAnsi="宋体" w:cs="宋体" w:eastAsia="宋体" w:hint="default"/>
                            <w:spacing w:val="-3"/>
                            <w:sz w:val="18"/>
                            <w:szCs w:val="18"/>
                          </w:rPr>
                          <w:t>告</w:t>
                        </w:r>
                        <w:r>
                          <w:rPr>
                            <w:rFonts w:ascii="宋体" w:hAnsi="宋体" w:cs="宋体" w:eastAsia="宋体" w:hint="default"/>
                            <w:spacing w:val="-15"/>
                            <w:sz w:val="18"/>
                            <w:szCs w:val="18"/>
                          </w:rPr>
                          <w:t>》及</w:t>
                        </w:r>
                        <w:r>
                          <w:rPr>
                            <w:rFonts w:ascii="宋体" w:hAnsi="宋体" w:cs="宋体" w:eastAsia="宋体" w:hint="default"/>
                            <w:sz w:val="18"/>
                            <w:szCs w:val="18"/>
                          </w:rPr>
                          <w:t>《公</w:t>
                        </w:r>
                      </w:p>
                      <w:p>
                        <w:pPr>
                          <w:pStyle w:val="TableParagraph"/>
                          <w:spacing w:line="307"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pacing w:val="-17"/>
                            <w:sz w:val="18"/>
                            <w:szCs w:val="18"/>
                          </w:rPr>
                          <w:t>年度报告摘要》、《公司</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11"/>
                            <w:sz w:val="18"/>
                            <w:szCs w:val="18"/>
                          </w:rPr>
                          <w:t>度利润分配预案》、《关于聘请会计师事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3"/>
                            <w:sz w:val="18"/>
                            <w:szCs w:val="18"/>
                          </w:rPr>
                          <w:t>务所的议案》、《关于修改</w:t>
                        </w:r>
                        <w:r>
                          <w:rPr>
                            <w:rFonts w:ascii="Times New Roman" w:hAnsi="Times New Roman" w:cs="Times New Roman" w:eastAsia="Times New Roman" w:hint="default"/>
                            <w:spacing w:val="-13"/>
                            <w:sz w:val="18"/>
                            <w:szCs w:val="18"/>
                          </w:rPr>
                          <w:t>&lt;</w:t>
                        </w:r>
                        <w:r>
                          <w:rPr>
                            <w:rFonts w:ascii="宋体" w:hAnsi="宋体" w:cs="宋体" w:eastAsia="宋体" w:hint="default"/>
                            <w:spacing w:val="-13"/>
                            <w:sz w:val="18"/>
                            <w:szCs w:val="18"/>
                          </w:rPr>
                          <w:t>股东大会议事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规则</w:t>
                        </w:r>
                        <w:r>
                          <w:rPr>
                            <w:rFonts w:ascii="Times New Roman" w:hAnsi="Times New Roman" w:cs="Times New Roman" w:eastAsia="Times New Roman" w:hint="default"/>
                            <w:spacing w:val="-10"/>
                            <w:sz w:val="18"/>
                            <w:szCs w:val="18"/>
                          </w:rPr>
                          <w:t>&gt;</w:t>
                        </w:r>
                        <w:r>
                          <w:rPr>
                            <w:rFonts w:ascii="宋体" w:hAnsi="宋体" w:cs="宋体" w:eastAsia="宋体" w:hint="default"/>
                            <w:spacing w:val="-10"/>
                            <w:sz w:val="18"/>
                            <w:szCs w:val="18"/>
                          </w:rPr>
                          <w:t>的议案》、《关于修改</w:t>
                        </w:r>
                        <w:r>
                          <w:rPr>
                            <w:rFonts w:ascii="Times New Roman" w:hAnsi="Times New Roman" w:cs="Times New Roman" w:eastAsia="Times New Roman" w:hint="default"/>
                            <w:spacing w:val="-10"/>
                            <w:sz w:val="18"/>
                            <w:szCs w:val="18"/>
                          </w:rPr>
                          <w:t>&lt;</w:t>
                        </w:r>
                        <w:r>
                          <w:rPr>
                            <w:rFonts w:ascii="宋体" w:hAnsi="宋体" w:cs="宋体" w:eastAsia="宋体" w:hint="default"/>
                            <w:spacing w:val="-10"/>
                            <w:sz w:val="18"/>
                            <w:szCs w:val="18"/>
                          </w:rPr>
                          <w:t>公司章程</w:t>
                        </w:r>
                        <w:r>
                          <w:rPr>
                            <w:rFonts w:ascii="Times New Roman" w:hAnsi="Times New Roman" w:cs="Times New Roman" w:eastAsia="Times New Roman" w:hint="default"/>
                            <w:spacing w:val="-10"/>
                            <w:sz w:val="18"/>
                            <w:szCs w:val="18"/>
                          </w:rPr>
                          <w:t>&gt;</w:t>
                        </w:r>
                        <w:r>
                          <w:rPr>
                            <w:rFonts w:ascii="Times New Roman" w:hAnsi="Times New Roman" w:cs="Times New Roman" w:eastAsia="Times New Roman" w:hint="default"/>
                            <w:spacing w:val="-37"/>
                            <w:sz w:val="18"/>
                            <w:szCs w:val="18"/>
                          </w:rPr>
                          <w:t> </w:t>
                        </w:r>
                        <w:r>
                          <w:rPr>
                            <w:rFonts w:ascii="宋体" w:hAnsi="宋体" w:cs="宋体" w:eastAsia="宋体" w:hint="default"/>
                            <w:spacing w:val="-11"/>
                            <w:sz w:val="18"/>
                            <w:szCs w:val="18"/>
                          </w:rPr>
                          <w:t>的议案》、《关于与中海集团财务有限责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任公司签订</w:t>
                        </w:r>
                        <w:r>
                          <w:rPr>
                            <w:rFonts w:ascii="Times New Roman" w:hAnsi="Times New Roman" w:cs="Times New Roman" w:eastAsia="Times New Roman" w:hint="default"/>
                            <w:sz w:val="18"/>
                            <w:szCs w:val="18"/>
                          </w:rPr>
                          <w:t>&lt;</w:t>
                        </w:r>
                        <w:r>
                          <w:rPr>
                            <w:rFonts w:ascii="宋体" w:hAnsi="宋体" w:cs="宋体" w:eastAsia="宋体" w:hint="default"/>
                            <w:sz w:val="18"/>
                            <w:szCs w:val="18"/>
                          </w:rPr>
                          <w:t>金融服务框架协议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及申请 </w:t>
                        </w:r>
                        <w:r>
                          <w:rPr>
                            <w:rFonts w:ascii="宋体" w:hAnsi="宋体" w:cs="宋体" w:eastAsia="宋体" w:hint="default"/>
                            <w:spacing w:val="-11"/>
                            <w:sz w:val="18"/>
                            <w:szCs w:val="18"/>
                          </w:rPr>
                          <w:t>首三个年度交易额上限的议案》、《公司</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年度持续性关联交易预计的 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各议案均审议通过</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10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7"/>
                            <w:szCs w:val="17"/>
                          </w:rPr>
                        </w:pPr>
                      </w:p>
                      <w:p>
                        <w:pPr>
                          <w:pStyle w:val="TableParagraph"/>
                          <w:spacing w:line="319" w:lineRule="auto"/>
                          <w:ind w:left="23" w:right="18"/>
                          <w:jc w:val="left"/>
                          <w:rPr>
                            <w:rFonts w:ascii="宋体" w:hAnsi="宋体" w:cs="宋体" w:eastAsia="宋体" w:hint="default"/>
                            <w:sz w:val="18"/>
                            <w:szCs w:val="18"/>
                          </w:rPr>
                        </w:pPr>
                        <w:r>
                          <w:rPr>
                            <w:rFonts w:ascii="宋体" w:hAnsi="宋体" w:cs="宋体" w:eastAsia="宋体" w:hint="default"/>
                            <w:spacing w:val="-3"/>
                            <w:sz w:val="18"/>
                            <w:szCs w:val="18"/>
                          </w:rPr>
                          <w:t>公告编号：</w:t>
                        </w:r>
                        <w:r>
                          <w:rPr>
                            <w:rFonts w:ascii="Times New Roman" w:hAnsi="Times New Roman" w:cs="Times New Roman" w:eastAsia="Times New Roman" w:hint="default"/>
                            <w:spacing w:val="-3"/>
                            <w:sz w:val="18"/>
                            <w:szCs w:val="18"/>
                          </w:rPr>
                          <w:t>2012-015</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pacing w:val="-23"/>
                            <w:sz w:val="18"/>
                            <w:szCs w:val="18"/>
                          </w:rPr>
                          <w:t>公告名称《：公司</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年度股东大会决议公 </w:t>
                        </w:r>
                        <w:r>
                          <w:rPr>
                            <w:rFonts w:ascii="宋体" w:hAnsi="宋体" w:cs="宋体" w:eastAsia="宋体" w:hint="default"/>
                            <w:spacing w:val="-31"/>
                            <w:sz w:val="18"/>
                            <w:szCs w:val="18"/>
                          </w:rPr>
                          <w:t>告》；</w:t>
                        </w:r>
                      </w:p>
                      <w:p>
                        <w:pPr>
                          <w:pStyle w:val="TableParagraph"/>
                          <w:spacing w:line="338" w:lineRule="auto" w:before="58"/>
                          <w:ind w:left="23" w:right="43"/>
                          <w:jc w:val="left"/>
                          <w:rPr>
                            <w:rFonts w:ascii="宋体" w:hAnsi="宋体" w:cs="宋体" w:eastAsia="宋体" w:hint="default"/>
                            <w:sz w:val="18"/>
                            <w:szCs w:val="18"/>
                          </w:rPr>
                        </w:pPr>
                        <w:r>
                          <w:rPr>
                            <w:rFonts w:ascii="宋体" w:hAnsi="宋体" w:cs="宋体" w:eastAsia="宋体" w:hint="default"/>
                            <w:sz w:val="18"/>
                            <w:szCs w:val="18"/>
                          </w:rPr>
                          <w:t>公告网站名称：巨潮 资讯网； 公告网站网址：</w:t>
                        </w:r>
                      </w:p>
                      <w:p>
                        <w:pPr>
                          <w:pStyle w:val="TableParagraph"/>
                          <w:spacing w:line="240" w:lineRule="auto" w:before="45"/>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91"/>
        <w:ind w:right="981"/>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807"/>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70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0"/>
                <w:szCs w:val="20"/>
              </w:rPr>
            </w:pPr>
          </w:p>
          <w:p>
            <w:pPr>
              <w:pStyle w:val="TableParagraph"/>
              <w:spacing w:line="307" w:lineRule="auto"/>
              <w:ind w:left="23" w:right="22"/>
              <w:jc w:val="left"/>
              <w:rPr>
                <w:rFonts w:ascii="宋体" w:hAnsi="宋体" w:cs="宋体" w:eastAsia="宋体" w:hint="default"/>
                <w:sz w:val="18"/>
                <w:szCs w:val="18"/>
              </w:rPr>
            </w:pPr>
            <w:r>
              <w:rPr>
                <w:rFonts w:ascii="宋体" w:hAnsi="宋体" w:cs="宋体" w:eastAsia="宋体" w:hint="default"/>
                <w:sz w:val="18"/>
                <w:szCs w:val="18"/>
              </w:rPr>
              <w:t>《关于修改</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 </w:t>
            </w:r>
            <w:r>
              <w:rPr>
                <w:rFonts w:ascii="宋体" w:hAnsi="宋体" w:cs="宋体" w:eastAsia="宋体" w:hint="default"/>
                <w:spacing w:val="-19"/>
                <w:sz w:val="18"/>
                <w:szCs w:val="18"/>
              </w:rPr>
              <w:t>章程</w:t>
            </w:r>
            <w:r>
              <w:rPr>
                <w:rFonts w:ascii="Times New Roman" w:hAnsi="Times New Roman" w:cs="Times New Roman" w:eastAsia="Times New Roman" w:hint="default"/>
                <w:spacing w:val="-19"/>
                <w:sz w:val="18"/>
                <w:szCs w:val="18"/>
              </w:rPr>
              <w:t>&gt;</w:t>
            </w:r>
            <w:r>
              <w:rPr>
                <w:rFonts w:ascii="宋体" w:hAnsi="宋体" w:cs="宋体" w:eastAsia="宋体" w:hint="default"/>
                <w:spacing w:val="-19"/>
                <w:sz w:val="18"/>
                <w:szCs w:val="18"/>
              </w:rPr>
              <w:t>的议案》、《关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于推选戴静女士为 公司监事的议案》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各议案均审议通过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2012-022</w:t>
            </w:r>
            <w:r>
              <w:rPr>
                <w:rFonts w:ascii="宋体" w:hAnsi="宋体" w:cs="宋体" w:eastAsia="宋体" w:hint="default"/>
                <w:sz w:val="18"/>
                <w:szCs w:val="18"/>
              </w:rPr>
              <w:t>； </w:t>
            </w:r>
            <w:r>
              <w:rPr>
                <w:rFonts w:ascii="宋体" w:hAnsi="宋体" w:cs="宋体" w:eastAsia="宋体" w:hint="default"/>
                <w:spacing w:val="-12"/>
                <w:sz w:val="18"/>
                <w:szCs w:val="18"/>
              </w:rPr>
              <w:t>公告名称：《公司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年第一次临时股东大 </w:t>
            </w:r>
            <w:r>
              <w:rPr>
                <w:rFonts w:ascii="宋体" w:hAnsi="宋体" w:cs="宋体" w:eastAsia="宋体" w:hint="default"/>
                <w:spacing w:val="-14"/>
                <w:sz w:val="18"/>
                <w:szCs w:val="18"/>
              </w:rPr>
              <w:t>会决议公告》；</w:t>
            </w:r>
          </w:p>
          <w:p>
            <w:pPr>
              <w:pStyle w:val="TableParagraph"/>
              <w:spacing w:line="338" w:lineRule="auto" w:before="58"/>
              <w:ind w:left="23" w:right="19"/>
              <w:jc w:val="left"/>
              <w:rPr>
                <w:rFonts w:ascii="宋体" w:hAnsi="宋体" w:cs="宋体" w:eastAsia="宋体" w:hint="default"/>
                <w:sz w:val="18"/>
                <w:szCs w:val="18"/>
              </w:rPr>
            </w:pPr>
            <w:r>
              <w:rPr>
                <w:rFonts w:ascii="宋体" w:hAnsi="宋体" w:cs="宋体" w:eastAsia="宋体" w:hint="default"/>
                <w:spacing w:val="-5"/>
                <w:sz w:val="18"/>
                <w:szCs w:val="18"/>
              </w:rPr>
              <w:t>公告网站名称：巨潮资</w:t>
            </w:r>
            <w:r>
              <w:rPr>
                <w:rFonts w:ascii="宋体" w:hAnsi="宋体" w:cs="宋体" w:eastAsia="宋体" w:hint="default"/>
                <w:sz w:val="18"/>
                <w:szCs w:val="18"/>
              </w:rPr>
              <w:t> 讯网； 公告网站网址：</w:t>
            </w:r>
          </w:p>
          <w:p>
            <w:pPr>
              <w:pStyle w:val="TableParagraph"/>
              <w:spacing w:line="240" w:lineRule="auto" w:before="45"/>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981"/>
        <w:jc w:val="left"/>
        <w:rPr>
          <w:b w:val="0"/>
          <w:bCs w:val="0"/>
        </w:rPr>
      </w:pPr>
      <w:r>
        <w:rPr/>
        <w:t>三、报告期内独立董事履行职责的情况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81"/>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张人骥</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高勇</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1261" w:top="1100" w:bottom="14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z w:val="18"/>
                <w:szCs w:val="18"/>
              </w:rPr>
              <w:t>张河涛</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357" w:lineRule="auto" w:before="49"/>
        <w:ind w:right="8054"/>
        <w:jc w:val="left"/>
      </w:pPr>
      <w:r>
        <w:rPr/>
        <w:t>连续两次未亲自出席董事会的说明 无</w:t>
      </w:r>
    </w:p>
    <w:p>
      <w:pPr>
        <w:spacing w:line="240" w:lineRule="auto" w:before="6"/>
        <w:rPr>
          <w:rFonts w:ascii="宋体" w:hAnsi="宋体" w:cs="宋体" w:eastAsia="宋体" w:hint="default"/>
          <w:sz w:val="20"/>
          <w:szCs w:val="20"/>
        </w:rPr>
      </w:pPr>
    </w:p>
    <w:p>
      <w:pPr>
        <w:pStyle w:val="Heading5"/>
        <w:spacing w:line="240" w:lineRule="auto"/>
        <w:ind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独立董事对公司有关事项是否提出异议</w:t>
      </w:r>
    </w:p>
    <w:p>
      <w:pPr>
        <w:pStyle w:val="BodyText"/>
        <w:spacing w:line="338"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8"/>
        <w:rPr>
          <w:rFonts w:ascii="宋体" w:hAnsi="宋体" w:cs="宋体" w:eastAsia="宋体" w:hint="default"/>
          <w:sz w:val="21"/>
          <w:szCs w:val="21"/>
        </w:rPr>
      </w:pPr>
    </w:p>
    <w:p>
      <w:pPr>
        <w:pStyle w:val="Heading5"/>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独立董事对公司有关建议是否被采纳</w:t>
      </w:r>
    </w:p>
    <w:p>
      <w:pPr>
        <w:pStyle w:val="BodyText"/>
        <w:spacing w:line="338"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Heading4"/>
        <w:spacing w:line="391" w:lineRule="auto" w:before="90"/>
        <w:ind w:right="981" w:firstLine="439"/>
        <w:jc w:val="left"/>
      </w:pPr>
      <w:r>
        <w:rPr/>
        <w:t>独立董事利用自己的专业优势，密切关注公司的经营情况，并利用召开董事会、股东大会的机会</w:t>
      </w:r>
      <w:r>
        <w:rPr>
          <w:w w:val="100"/>
        </w:rPr>
        <w:t> </w:t>
      </w:r>
      <w:r>
        <w:rPr>
          <w:spacing w:val="-5"/>
        </w:rPr>
        <w:t>及其他时间，多次到公司现场工作，通过现场工作深入了解公司的经营情况，积极与其他董事、监事、</w:t>
      </w:r>
      <w:r>
        <w:rPr>
          <w:spacing w:val="-40"/>
        </w:rPr>
        <w:t> </w:t>
      </w:r>
      <w:r>
        <w:rPr>
          <w:spacing w:val="-40"/>
        </w:rPr>
      </w:r>
      <w:r>
        <w:rPr/>
        <w:t>管理层沟通交流，及时掌握公司的经营动态，对公司总体发展战略以及面临的市场形势提出建设性意</w:t>
      </w:r>
      <w:r>
        <w:rPr>
          <w:w w:val="100"/>
        </w:rPr>
        <w:t> </w:t>
      </w:r>
      <w:r>
        <w:rPr/>
        <w:t>见。</w:t>
      </w:r>
    </w:p>
    <w:p>
      <w:pPr>
        <w:spacing w:line="240" w:lineRule="auto" w:before="0"/>
        <w:rPr>
          <w:rFonts w:ascii="宋体" w:hAnsi="宋体" w:cs="宋体" w:eastAsia="宋体" w:hint="default"/>
          <w:sz w:val="19"/>
          <w:szCs w:val="19"/>
        </w:rPr>
      </w:pPr>
    </w:p>
    <w:p>
      <w:pPr>
        <w:pStyle w:val="Heading3"/>
        <w:spacing w:line="240" w:lineRule="auto"/>
        <w:ind w:right="0"/>
        <w:jc w:val="both"/>
        <w:rPr>
          <w:b w:val="0"/>
          <w:bCs w:val="0"/>
        </w:rPr>
      </w:pPr>
      <w:r>
        <w:rPr/>
        <w:t>四、董事会下设专门委员会在报告期内履行职责情况</w:t>
      </w:r>
      <w:r>
        <w:rPr>
          <w:b w:val="0"/>
          <w:bCs w:val="0"/>
        </w:rPr>
      </w:r>
    </w:p>
    <w:p>
      <w:pPr>
        <w:spacing w:line="240" w:lineRule="auto" w:before="11"/>
        <w:rPr>
          <w:rFonts w:ascii="宋体" w:hAnsi="宋体" w:cs="宋体" w:eastAsia="宋体" w:hint="default"/>
          <w:b/>
          <w:bCs/>
          <w:sz w:val="29"/>
          <w:szCs w:val="29"/>
        </w:rPr>
      </w:pPr>
    </w:p>
    <w:p>
      <w:pPr>
        <w:pStyle w:val="Heading4"/>
        <w:spacing w:line="391" w:lineRule="auto" w:before="0"/>
        <w:ind w:left="592" w:right="981"/>
        <w:jc w:val="left"/>
      </w:pPr>
      <w:r>
        <w:rPr>
          <w:rFonts w:ascii="宋体" w:hAnsi="宋体" w:cs="宋体" w:eastAsia="宋体" w:hint="default"/>
        </w:rPr>
        <w:t>1</w:t>
      </w:r>
      <w:r>
        <w:rPr/>
        <w:t>、审计委员会</w:t>
      </w:r>
      <w:r>
        <w:rPr>
          <w:spacing w:val="-108"/>
        </w:rPr>
        <w:t> </w:t>
      </w:r>
      <w:r>
        <w:rPr>
          <w:spacing w:val="-108"/>
        </w:rPr>
      </w:r>
      <w:r>
        <w:rPr>
          <w:spacing w:val="-1"/>
        </w:rPr>
        <w:t>报告期内，公司召开了</w:t>
      </w:r>
      <w:r>
        <w:rPr>
          <w:rFonts w:ascii="宋体" w:hAnsi="宋体" w:cs="宋体" w:eastAsia="宋体" w:hint="default"/>
          <w:spacing w:val="-1"/>
        </w:rPr>
        <w:t>4</w:t>
      </w:r>
      <w:r>
        <w:rPr>
          <w:spacing w:val="-1"/>
        </w:rPr>
        <w:t>次审计委员会，听取了内审负责人每季度所作的内部审计报告。同时，</w:t>
      </w:r>
    </w:p>
    <w:p>
      <w:pPr>
        <w:pStyle w:val="Heading4"/>
        <w:spacing w:line="391" w:lineRule="auto"/>
        <w:ind w:right="1128"/>
        <w:jc w:val="both"/>
      </w:pPr>
      <w:r>
        <w:rPr>
          <w:spacing w:val="-2"/>
        </w:rPr>
        <w:t>按照《审计委员会年报工作规程》的要求，与审计机构协商确定年度财务报告审计工作时间安排，对</w:t>
      </w:r>
      <w:r>
        <w:rPr>
          <w:spacing w:val="-71"/>
        </w:rPr>
        <w:t> </w:t>
      </w:r>
      <w:r>
        <w:rPr>
          <w:spacing w:val="-71"/>
        </w:rPr>
      </w:r>
      <w:r>
        <w:rPr>
          <w:spacing w:val="-2"/>
        </w:rPr>
        <w:t>公司财务报表进行审阅并形成书面意见；督促审计工作进展，保持与审计会计师的联系和沟通，就审</w:t>
      </w:r>
      <w:r>
        <w:rPr>
          <w:spacing w:val="-67"/>
        </w:rPr>
        <w:t> </w:t>
      </w:r>
      <w:r>
        <w:rPr>
          <w:spacing w:val="-67"/>
        </w:rPr>
      </w:r>
      <w:r>
        <w:rPr>
          <w:spacing w:val="-2"/>
        </w:rPr>
        <w:t>计过程中发现的问题及时交换意见，确保审计的独立性和审计工作的如期完成，并对董事会年度续聘</w:t>
      </w:r>
      <w:r>
        <w:rPr>
          <w:spacing w:val="-68"/>
        </w:rPr>
        <w:t> </w:t>
      </w:r>
      <w:r>
        <w:rPr>
          <w:spacing w:val="-68"/>
        </w:rPr>
      </w:r>
      <w:r>
        <w:rPr/>
        <w:t>会计师事务所等事项进行商议。</w:t>
      </w:r>
    </w:p>
    <w:p>
      <w:pPr>
        <w:pStyle w:val="Heading4"/>
        <w:spacing w:line="391" w:lineRule="auto" w:before="42"/>
        <w:ind w:left="592" w:right="981"/>
        <w:jc w:val="left"/>
      </w:pPr>
      <w:r>
        <w:rPr>
          <w:rFonts w:ascii="宋体" w:hAnsi="宋体" w:cs="宋体" w:eastAsia="宋体" w:hint="default"/>
        </w:rPr>
        <w:t>2</w:t>
      </w:r>
      <w:r>
        <w:rPr/>
        <w:t>、战略委员会</w:t>
      </w:r>
      <w:r>
        <w:rPr>
          <w:spacing w:val="-108"/>
        </w:rPr>
        <w:t> </w:t>
      </w:r>
      <w:r>
        <w:rPr>
          <w:spacing w:val="-108"/>
        </w:rPr>
      </w:r>
      <w:r>
        <w:rPr>
          <w:spacing w:val="-2"/>
        </w:rPr>
        <w:t>报告期内，公司召开了</w:t>
      </w:r>
      <w:r>
        <w:rPr>
          <w:rFonts w:ascii="宋体" w:hAnsi="宋体" w:cs="宋体" w:eastAsia="宋体" w:hint="default"/>
          <w:spacing w:val="-2"/>
        </w:rPr>
        <w:t>2</w:t>
      </w:r>
      <w:r>
        <w:rPr>
          <w:spacing w:val="-2"/>
        </w:rPr>
        <w:t>次战略委员会，就公司收购贵州新思维科技有限公司</w:t>
      </w:r>
      <w:r>
        <w:rPr>
          <w:rFonts w:ascii="宋体" w:hAnsi="宋体" w:cs="宋体" w:eastAsia="宋体" w:hint="default"/>
          <w:spacing w:val="-2"/>
        </w:rPr>
        <w:t>20%</w:t>
      </w:r>
      <w:r>
        <w:rPr>
          <w:spacing w:val="-2"/>
        </w:rPr>
        <w:t>股权等事项进行</w:t>
      </w:r>
    </w:p>
    <w:p>
      <w:pPr>
        <w:pStyle w:val="Heading4"/>
        <w:spacing w:line="240" w:lineRule="auto"/>
        <w:ind w:right="0"/>
        <w:jc w:val="both"/>
      </w:pPr>
      <w:r>
        <w:rPr/>
        <w:t>讨论和审议。</w:t>
      </w:r>
    </w:p>
    <w:p>
      <w:pPr>
        <w:pStyle w:val="Heading4"/>
        <w:spacing w:line="391" w:lineRule="auto" w:before="180"/>
        <w:ind w:left="592" w:right="981"/>
        <w:jc w:val="left"/>
      </w:pPr>
      <w:r>
        <w:rPr>
          <w:rFonts w:ascii="宋体" w:hAnsi="宋体" w:cs="宋体" w:eastAsia="宋体" w:hint="default"/>
        </w:rPr>
        <w:t>3</w:t>
      </w:r>
      <w:r>
        <w:rPr/>
        <w:t>、薪酬与考核委员会</w:t>
      </w:r>
      <w:r>
        <w:rPr>
          <w:w w:val="100"/>
        </w:rPr>
        <w:t> </w:t>
      </w:r>
      <w:r>
        <w:rPr>
          <w:spacing w:val="-2"/>
        </w:rPr>
        <w:t>报告期内，公司召开了</w:t>
      </w:r>
      <w:r>
        <w:rPr>
          <w:rFonts w:ascii="宋体" w:hAnsi="宋体" w:cs="宋体" w:eastAsia="宋体" w:hint="default"/>
          <w:spacing w:val="-2"/>
        </w:rPr>
        <w:t>2</w:t>
      </w:r>
      <w:r>
        <w:rPr>
          <w:spacing w:val="-2"/>
        </w:rPr>
        <w:t>次薪酬与考核委员会，就公司高管的薪酬和绩效考核相关事项进行审议。</w:t>
      </w:r>
      <w:r>
        <w:rPr>
          <w:spacing w:val="-69"/>
        </w:rPr>
        <w:t> </w:t>
      </w:r>
      <w:r>
        <w:rPr>
          <w:spacing w:val="-69"/>
        </w:rPr>
      </w:r>
      <w:r>
        <w:rPr>
          <w:rFonts w:ascii="宋体" w:hAnsi="宋体" w:cs="宋体" w:eastAsia="宋体" w:hint="default"/>
        </w:rPr>
        <w:t>4</w:t>
      </w:r>
      <w:r>
        <w:rPr/>
        <w:t>、提名委员会</w:t>
      </w:r>
    </w:p>
    <w:p>
      <w:pPr>
        <w:spacing w:after="0" w:line="391" w:lineRule="auto"/>
        <w:jc w:val="left"/>
        <w:sectPr>
          <w:pgSz w:w="11910" w:h="16840"/>
          <w:pgMar w:header="877" w:footer="1261" w:top="1100" w:bottom="1460" w:left="980" w:right="0"/>
        </w:sectPr>
      </w:pPr>
    </w:p>
    <w:p>
      <w:pPr>
        <w:spacing w:line="240" w:lineRule="auto" w:before="4"/>
        <w:rPr>
          <w:rFonts w:ascii="宋体" w:hAnsi="宋体" w:cs="宋体" w:eastAsia="宋体" w:hint="default"/>
          <w:sz w:val="26"/>
          <w:szCs w:val="26"/>
        </w:rPr>
      </w:pPr>
    </w:p>
    <w:p>
      <w:pPr>
        <w:pStyle w:val="Heading4"/>
        <w:spacing w:line="240" w:lineRule="auto" w:before="32"/>
        <w:ind w:left="592" w:right="981"/>
        <w:jc w:val="left"/>
      </w:pPr>
      <w:r>
        <w:rPr/>
        <w:t>报告期内，公司董事、公司高管人员均未发生变动。</w:t>
      </w:r>
    </w:p>
    <w:p>
      <w:pPr>
        <w:spacing w:line="240" w:lineRule="auto" w:before="8"/>
        <w:rPr>
          <w:rFonts w:ascii="宋体" w:hAnsi="宋体" w:cs="宋体" w:eastAsia="宋体" w:hint="default"/>
          <w:sz w:val="29"/>
          <w:szCs w:val="29"/>
        </w:rPr>
      </w:pPr>
    </w:p>
    <w:p>
      <w:pPr>
        <w:pStyle w:val="Heading3"/>
        <w:spacing w:line="240" w:lineRule="auto"/>
        <w:ind w:right="981"/>
        <w:jc w:val="left"/>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81"/>
        <w:jc w:val="left"/>
      </w:pPr>
      <w:r>
        <w:rPr/>
        <w:t>监事会在报告期内的监督活动中发现公司是否存在风险</w:t>
      </w:r>
    </w:p>
    <w:p>
      <w:pPr>
        <w:pStyle w:val="BodyText"/>
        <w:spacing w:line="340" w:lineRule="auto" w:before="115"/>
        <w:ind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6"/>
        <w:rPr>
          <w:rFonts w:ascii="宋体" w:hAnsi="宋体" w:cs="宋体" w:eastAsia="宋体" w:hint="default"/>
          <w:sz w:val="19"/>
          <w:szCs w:val="19"/>
        </w:rPr>
      </w:pPr>
    </w:p>
    <w:p>
      <w:pPr>
        <w:pStyle w:val="Heading3"/>
        <w:spacing w:line="240" w:lineRule="auto"/>
        <w:ind w:right="981"/>
        <w:jc w:val="left"/>
        <w:rPr>
          <w:b w:val="0"/>
          <w:bCs w:val="0"/>
        </w:rPr>
      </w:pPr>
      <w:r>
        <w:rPr/>
        <w:t>六、公司相对于控股股东在业务、人员、资产、机构、财务等方面的独立完整情况</w:t>
      </w:r>
      <w:r>
        <w:rPr>
          <w:b w:val="0"/>
          <w:bCs w:val="0"/>
        </w:rPr>
      </w:r>
    </w:p>
    <w:p>
      <w:pPr>
        <w:spacing w:line="240" w:lineRule="auto" w:before="11"/>
        <w:rPr>
          <w:rFonts w:ascii="宋体" w:hAnsi="宋体" w:cs="宋体" w:eastAsia="宋体" w:hint="default"/>
          <w:b/>
          <w:bCs/>
          <w:sz w:val="29"/>
          <w:szCs w:val="29"/>
        </w:rPr>
      </w:pPr>
    </w:p>
    <w:p>
      <w:pPr>
        <w:pStyle w:val="Heading4"/>
        <w:spacing w:line="391" w:lineRule="auto" w:before="0"/>
        <w:ind w:right="981" w:firstLine="439"/>
        <w:jc w:val="left"/>
      </w:pPr>
      <w:r>
        <w:rPr/>
        <w:t>报告期内，公司严格按照《公司法》、《证券法》等有关法律、法规和《公司章程》的要求规范</w:t>
      </w:r>
      <w:r>
        <w:rPr>
          <w:w w:val="100"/>
        </w:rPr>
        <w:t> </w:t>
      </w:r>
      <w:r>
        <w:rPr>
          <w:spacing w:val="-5"/>
        </w:rPr>
        <w:t>运作，在业务、资产、人员、机构、财务等方面与现有股东完全分开，具有独立、完整的资产和业务，</w:t>
      </w:r>
      <w:r>
        <w:rPr>
          <w:spacing w:val="-51"/>
        </w:rPr>
        <w:t> </w:t>
      </w:r>
      <w:r>
        <w:rPr>
          <w:spacing w:val="-51"/>
        </w:rPr>
      </w:r>
      <w:r>
        <w:rPr/>
        <w:t>具备独立面向市场、自主经营的能力。</w:t>
      </w:r>
    </w:p>
    <w:p>
      <w:pPr>
        <w:pStyle w:val="Heading4"/>
        <w:spacing w:line="391" w:lineRule="auto"/>
        <w:ind w:left="592" w:right="981"/>
        <w:jc w:val="left"/>
      </w:pPr>
      <w:r>
        <w:rPr>
          <w:rFonts w:ascii="宋体" w:hAnsi="宋体" w:cs="宋体" w:eastAsia="宋体" w:hint="default"/>
        </w:rPr>
        <w:t>1</w:t>
      </w:r>
      <w:r>
        <w:rPr/>
        <w:t>、业务独立情况</w:t>
      </w:r>
      <w:r>
        <w:rPr>
          <w:spacing w:val="-107"/>
        </w:rPr>
        <w:t> </w:t>
      </w:r>
      <w:r>
        <w:rPr>
          <w:spacing w:val="-107"/>
        </w:rPr>
      </w:r>
      <w:r>
        <w:rPr>
          <w:spacing w:val="-2"/>
        </w:rPr>
        <w:t>公司主要开展智能交通系统集成、工业自动化和交通信息化业务。公司所有的业务均独立于各股</w:t>
      </w:r>
    </w:p>
    <w:p>
      <w:pPr>
        <w:pStyle w:val="Heading4"/>
        <w:spacing w:line="391" w:lineRule="auto"/>
        <w:ind w:right="981"/>
        <w:jc w:val="left"/>
      </w:pPr>
      <w:r>
        <w:rPr>
          <w:spacing w:val="-2"/>
        </w:rPr>
        <w:t>东。公司拥有独立的销售、采购体系，不存在原材料供应或产品销售依赖股东单位及其下属企业的情</w:t>
      </w:r>
      <w:r>
        <w:rPr>
          <w:spacing w:val="-71"/>
        </w:rPr>
        <w:t> </w:t>
      </w:r>
      <w:r>
        <w:rPr>
          <w:spacing w:val="-71"/>
        </w:rPr>
      </w:r>
      <w:r>
        <w:rPr/>
        <w:t>况，独立面向市场开展业务。</w:t>
      </w:r>
    </w:p>
    <w:p>
      <w:pPr>
        <w:pStyle w:val="Heading4"/>
        <w:spacing w:line="391" w:lineRule="auto"/>
        <w:ind w:left="592" w:right="981"/>
        <w:jc w:val="left"/>
      </w:pPr>
      <w:r>
        <w:rPr>
          <w:rFonts w:ascii="宋体" w:hAnsi="宋体" w:cs="宋体" w:eastAsia="宋体" w:hint="default"/>
        </w:rPr>
        <w:t>2</w:t>
      </w:r>
      <w:r>
        <w:rPr/>
        <w:t>、资产独立情况</w:t>
      </w:r>
      <w:r>
        <w:rPr>
          <w:spacing w:val="-107"/>
        </w:rPr>
        <w:t> </w:t>
      </w:r>
      <w:r>
        <w:rPr>
          <w:spacing w:val="-107"/>
        </w:rPr>
      </w:r>
      <w:r>
        <w:rPr>
          <w:spacing w:val="-2"/>
        </w:rPr>
        <w:t>公司目前拥有的资产产权清晰，均由公司独立拥有、使用，不存在股东违规占用本公司资金、资</w:t>
      </w:r>
    </w:p>
    <w:p>
      <w:pPr>
        <w:pStyle w:val="Heading4"/>
        <w:spacing w:line="240" w:lineRule="auto" w:before="42"/>
        <w:ind w:right="981"/>
        <w:jc w:val="left"/>
      </w:pPr>
      <w:r>
        <w:rPr/>
        <w:t>产的行为。</w:t>
      </w:r>
    </w:p>
    <w:p>
      <w:pPr>
        <w:pStyle w:val="Heading4"/>
        <w:spacing w:line="391" w:lineRule="auto" w:before="180"/>
        <w:ind w:left="592" w:right="981"/>
        <w:jc w:val="left"/>
      </w:pPr>
      <w:r>
        <w:rPr>
          <w:rFonts w:ascii="宋体" w:hAnsi="宋体" w:cs="宋体" w:eastAsia="宋体" w:hint="default"/>
        </w:rPr>
        <w:t>3</w:t>
      </w:r>
      <w:r>
        <w:rPr/>
        <w:t>、人员独立情况</w:t>
      </w:r>
      <w:r>
        <w:rPr>
          <w:spacing w:val="-107"/>
        </w:rPr>
        <w:t> </w:t>
      </w:r>
      <w:r>
        <w:rPr>
          <w:spacing w:val="-107"/>
        </w:rPr>
      </w:r>
      <w:r>
        <w:rPr>
          <w:spacing w:val="-3"/>
        </w:rPr>
        <w:t>公司董事、监事及高级管理人员均严格按照《公司法》和《公司章程》的有关规定产生，公司高</w:t>
      </w:r>
    </w:p>
    <w:p>
      <w:pPr>
        <w:pStyle w:val="Heading4"/>
        <w:spacing w:line="391" w:lineRule="auto"/>
        <w:ind w:right="981"/>
        <w:jc w:val="left"/>
      </w:pPr>
      <w:r>
        <w:rPr/>
        <w:t>级管理人员均专职在公司工作并领取薪酬，公司拥有独立的劳动、人事及工资管理体系，公司员工均</w:t>
      </w:r>
      <w:r>
        <w:rPr>
          <w:w w:val="100"/>
        </w:rPr>
        <w:t> </w:t>
      </w:r>
      <w:r>
        <w:rPr>
          <w:spacing w:val="-5"/>
        </w:rPr>
        <w:t>与本公司（公司驻外分公司）签订了劳动聘用合同，工资发放、福利支出与股东及其关联人严格分离。</w:t>
      </w:r>
    </w:p>
    <w:p>
      <w:pPr>
        <w:pStyle w:val="Heading4"/>
        <w:spacing w:line="391" w:lineRule="auto"/>
        <w:ind w:left="592" w:right="981"/>
        <w:jc w:val="left"/>
      </w:pPr>
      <w:r>
        <w:rPr>
          <w:rFonts w:ascii="宋体" w:hAnsi="宋体" w:cs="宋体" w:eastAsia="宋体" w:hint="default"/>
        </w:rPr>
        <w:t>4</w:t>
      </w:r>
      <w:r>
        <w:rPr/>
        <w:t>、机构独立情况</w:t>
      </w:r>
      <w:r>
        <w:rPr>
          <w:spacing w:val="-107"/>
        </w:rPr>
        <w:t> </w:t>
      </w:r>
      <w:r>
        <w:rPr>
          <w:spacing w:val="-107"/>
        </w:rPr>
      </w:r>
      <w:r>
        <w:rPr>
          <w:spacing w:val="-2"/>
        </w:rPr>
        <w:t>公司拥有独立完整的组织结构，建立了股东大会、董事会、监事会和总经理等相互约束的法人治</w:t>
      </w:r>
    </w:p>
    <w:p>
      <w:pPr>
        <w:pStyle w:val="Heading4"/>
        <w:spacing w:line="391" w:lineRule="auto" w:before="42"/>
        <w:ind w:right="981"/>
        <w:jc w:val="left"/>
      </w:pPr>
      <w:r>
        <w:rPr>
          <w:spacing w:val="-2"/>
        </w:rPr>
        <w:t>理结构。公司的生产经营和办公机构与股东单位完全分开，不存在混合经营、合署办公的情形，不存</w:t>
      </w:r>
      <w:r>
        <w:rPr>
          <w:spacing w:val="-72"/>
        </w:rPr>
        <w:t> </w:t>
      </w:r>
      <w:r>
        <w:rPr>
          <w:spacing w:val="-72"/>
        </w:rPr>
      </w:r>
      <w:r>
        <w:rPr/>
        <w:t>在股东单位及其它关联单位干预公司机构设置的情况。</w:t>
      </w:r>
    </w:p>
    <w:p>
      <w:pPr>
        <w:pStyle w:val="Heading4"/>
        <w:spacing w:line="391" w:lineRule="auto"/>
        <w:ind w:left="592" w:right="981"/>
        <w:jc w:val="left"/>
      </w:pPr>
      <w:r>
        <w:rPr>
          <w:rFonts w:ascii="宋体" w:hAnsi="宋体" w:cs="宋体" w:eastAsia="宋体" w:hint="default"/>
        </w:rPr>
        <w:t>5</w:t>
      </w:r>
      <w:r>
        <w:rPr/>
        <w:t>、财务独立情况</w:t>
      </w:r>
      <w:r>
        <w:rPr>
          <w:spacing w:val="-107"/>
        </w:rPr>
        <w:t> </w:t>
      </w:r>
      <w:r>
        <w:rPr>
          <w:spacing w:val="-107"/>
        </w:rPr>
      </w:r>
      <w:r>
        <w:rPr>
          <w:spacing w:val="-5"/>
        </w:rPr>
        <w:t>公司设有独立的财务会计部门，建立了独立的会计核算体系和财务管理制度，并根据《会计法》、</w:t>
      </w:r>
    </w:p>
    <w:p>
      <w:pPr>
        <w:pStyle w:val="Heading4"/>
        <w:spacing w:line="391" w:lineRule="auto"/>
        <w:ind w:right="981"/>
        <w:jc w:val="left"/>
      </w:pPr>
      <w:r>
        <w:rPr>
          <w:spacing w:val="-5"/>
        </w:rPr>
        <w:t>《企业会计制度》等有关会计法规的规定及上市公司的相关要求，独立进行财务决策；依法独立纳税。</w:t>
      </w:r>
      <w:r>
        <w:rPr>
          <w:spacing w:val="-49"/>
        </w:rPr>
        <w:t> </w:t>
      </w:r>
      <w:r>
        <w:rPr>
          <w:spacing w:val="-49"/>
        </w:rPr>
      </w:r>
      <w:r>
        <w:rPr/>
        <w:t>公司不存在公司股东或关联企业干预本公司资金使用的情况。</w:t>
      </w:r>
    </w:p>
    <w:p>
      <w:pPr>
        <w:spacing w:after="0" w:line="391" w:lineRule="auto"/>
        <w:jc w:val="left"/>
        <w:sectPr>
          <w:pgSz w:w="11910" w:h="16840"/>
          <w:pgMar w:header="877" w:footer="1261" w:top="1100" w:bottom="1460" w:left="980" w:right="0"/>
        </w:sectPr>
      </w:pPr>
    </w:p>
    <w:p>
      <w:pPr>
        <w:spacing w:line="240" w:lineRule="auto" w:before="9"/>
        <w:rPr>
          <w:rFonts w:ascii="宋体" w:hAnsi="宋体" w:cs="宋体" w:eastAsia="宋体" w:hint="default"/>
          <w:sz w:val="19"/>
          <w:szCs w:val="19"/>
        </w:rPr>
      </w:pPr>
    </w:p>
    <w:p>
      <w:pPr>
        <w:pStyle w:val="Heading3"/>
        <w:spacing w:line="240" w:lineRule="auto" w:before="26"/>
        <w:ind w:right="981"/>
        <w:jc w:val="left"/>
        <w:rPr>
          <w:b w:val="0"/>
          <w:bCs w:val="0"/>
        </w:rPr>
      </w:pPr>
      <w:r>
        <w:rPr/>
        <w:t>七、同业竞争情况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1"/>
        <w:jc w:val="left"/>
      </w:pPr>
      <w:r>
        <w:rPr/>
        <w:t>公司不存在同业竞争情况。</w:t>
      </w:r>
    </w:p>
    <w:p>
      <w:pPr>
        <w:spacing w:line="240" w:lineRule="auto" w:before="3"/>
        <w:rPr>
          <w:rFonts w:ascii="宋体" w:hAnsi="宋体" w:cs="宋体" w:eastAsia="宋体" w:hint="default"/>
          <w:sz w:val="25"/>
          <w:szCs w:val="25"/>
        </w:rPr>
      </w:pPr>
    </w:p>
    <w:p>
      <w:pPr>
        <w:pStyle w:val="Heading3"/>
        <w:spacing w:line="240" w:lineRule="auto"/>
        <w:ind w:right="981"/>
        <w:jc w:val="left"/>
        <w:rPr>
          <w:b w:val="0"/>
          <w:bCs w:val="0"/>
        </w:rPr>
      </w:pPr>
      <w:r>
        <w:rPr/>
        <w:t>八、高级管理人员的考评及激励情况</w:t>
      </w:r>
      <w:r>
        <w:rPr>
          <w:b w:val="0"/>
          <w:bCs w:val="0"/>
        </w:rPr>
      </w:r>
    </w:p>
    <w:p>
      <w:pPr>
        <w:spacing w:line="240" w:lineRule="auto" w:before="11"/>
        <w:rPr>
          <w:rFonts w:ascii="宋体" w:hAnsi="宋体" w:cs="宋体" w:eastAsia="宋体" w:hint="default"/>
          <w:b/>
          <w:bCs/>
          <w:sz w:val="29"/>
          <w:szCs w:val="29"/>
        </w:rPr>
      </w:pPr>
    </w:p>
    <w:p>
      <w:pPr>
        <w:pStyle w:val="Heading4"/>
        <w:spacing w:line="391" w:lineRule="auto" w:before="0"/>
        <w:ind w:right="1091" w:firstLine="439"/>
        <w:jc w:val="both"/>
      </w:pPr>
      <w:r>
        <w:rPr>
          <w:spacing w:val="-1"/>
        </w:rPr>
        <w:t>公司高级管理人员按其行政岗位及职务，根据公司董事会与其签订的</w:t>
      </w:r>
      <w:r>
        <w:rPr>
          <w:rFonts w:ascii="宋体" w:hAnsi="宋体" w:cs="宋体" w:eastAsia="宋体" w:hint="default"/>
          <w:spacing w:val="-1"/>
        </w:rPr>
        <w:t>2012</w:t>
      </w:r>
      <w:r>
        <w:rPr>
          <w:spacing w:val="-1"/>
        </w:rPr>
        <w:t>年度经营业绩责任书，</w:t>
      </w:r>
      <w:r>
        <w:rPr>
          <w:w w:val="100"/>
        </w:rPr>
        <w:t> </w:t>
      </w:r>
      <w:r>
        <w:rPr>
          <w:spacing w:val="-2"/>
        </w:rPr>
        <w:t>由薪酬与考核委员会绩效考核小组结合公司</w:t>
      </w:r>
      <w:r>
        <w:rPr>
          <w:rFonts w:ascii="宋体" w:hAnsi="宋体" w:cs="宋体" w:eastAsia="宋体" w:hint="default"/>
          <w:spacing w:val="-2"/>
        </w:rPr>
        <w:t>2012</w:t>
      </w:r>
      <w:r>
        <w:rPr>
          <w:spacing w:val="-2"/>
        </w:rPr>
        <w:t>年度经营业绩预计完成情况，对其进行考核，年薪与</w:t>
      </w:r>
      <w:r>
        <w:rPr>
          <w:spacing w:val="-68"/>
        </w:rPr>
        <w:t> </w:t>
      </w:r>
      <w:r>
        <w:rPr>
          <w:spacing w:val="-68"/>
        </w:rPr>
      </w:r>
      <w:r>
        <w:rPr/>
        <w:t>年度经营指标完成情况挂钩。</w:t>
      </w:r>
    </w:p>
    <w:p>
      <w:pPr>
        <w:spacing w:after="0" w:line="391" w:lineRule="auto"/>
        <w:jc w:val="both"/>
        <w:sectPr>
          <w:pgSz w:w="11910" w:h="16840"/>
          <w:pgMar w:header="877" w:footer="1261" w:top="1100" w:bottom="14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976"/>
        <w:jc w:val="center"/>
        <w:rPr>
          <w:b w:val="0"/>
          <w:bCs w:val="0"/>
        </w:rPr>
      </w:pPr>
      <w:bookmarkStart w:name="_TOC_250002" w:id="9"/>
      <w:r>
        <w:rPr/>
        <w:t>第九节</w:t>
      </w:r>
      <w:r>
        <w:rPr>
          <w:spacing w:val="-2"/>
        </w:rPr>
        <w:t> </w:t>
      </w:r>
      <w:r>
        <w:rPr/>
        <w:t>内部控制</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both"/>
        <w:rPr>
          <w:b w:val="0"/>
          <w:bCs w:val="0"/>
        </w:rPr>
      </w:pPr>
      <w:r>
        <w:rPr/>
        <w:t>一、内部控制建设情况</w:t>
      </w:r>
      <w:r>
        <w:rPr>
          <w:b w:val="0"/>
          <w:bCs w:val="0"/>
        </w:rPr>
      </w:r>
    </w:p>
    <w:p>
      <w:pPr>
        <w:spacing w:line="240" w:lineRule="auto" w:before="11"/>
        <w:rPr>
          <w:rFonts w:ascii="宋体" w:hAnsi="宋体" w:cs="宋体" w:eastAsia="宋体" w:hint="default"/>
          <w:b/>
          <w:bCs/>
          <w:sz w:val="29"/>
          <w:szCs w:val="29"/>
        </w:rPr>
      </w:pPr>
    </w:p>
    <w:p>
      <w:pPr>
        <w:pStyle w:val="Heading4"/>
        <w:spacing w:line="240" w:lineRule="auto" w:before="0"/>
        <w:ind w:left="592" w:right="981"/>
        <w:jc w:val="left"/>
      </w:pPr>
      <w:r>
        <w:rPr>
          <w:spacing w:val="-5"/>
        </w:rPr>
        <w:t>为规范经营管理，控制风险，保证经营业务活动的正常开展，公司根据《公司法》、《证券法》、</w:t>
      </w:r>
    </w:p>
    <w:p>
      <w:pPr>
        <w:pStyle w:val="Heading4"/>
        <w:spacing w:line="391" w:lineRule="auto" w:before="180"/>
        <w:ind w:right="1089"/>
        <w:jc w:val="both"/>
      </w:pPr>
      <w:r>
        <w:rPr>
          <w:spacing w:val="-2"/>
        </w:rPr>
        <w:t>《企业内部控制基本规范》等有关法律、法规和规章制度，结合公司的实际情况、自身特点和管理需</w:t>
      </w:r>
      <w:r>
        <w:rPr>
          <w:spacing w:val="-69"/>
        </w:rPr>
        <w:t> </w:t>
      </w:r>
      <w:r>
        <w:rPr>
          <w:spacing w:val="-69"/>
        </w:rPr>
      </w:r>
      <w:r>
        <w:rPr>
          <w:spacing w:val="-2"/>
        </w:rPr>
        <w:t>要，建立了股东大会、董事会、监事会及经理层的法人治理结构；设置了总经理办公室、财务部、综</w:t>
      </w:r>
      <w:r>
        <w:rPr>
          <w:spacing w:val="-71"/>
        </w:rPr>
        <w:t> </w:t>
      </w:r>
      <w:r>
        <w:rPr>
          <w:spacing w:val="-71"/>
        </w:rPr>
      </w:r>
      <w:r>
        <w:rPr>
          <w:spacing w:val="-2"/>
        </w:rPr>
        <w:t>合计划部、采购中心、经营发展部、董事会办公室和审计部等职能部门；制定并不断贯穿于公司经营</w:t>
      </w:r>
      <w:r>
        <w:rPr>
          <w:spacing w:val="-70"/>
        </w:rPr>
        <w:t> </w:t>
      </w:r>
      <w:r>
        <w:rPr>
          <w:spacing w:val="-70"/>
        </w:rPr>
      </w:r>
      <w:r>
        <w:rPr>
          <w:spacing w:val="-1"/>
        </w:rPr>
        <w:t>管理各层面、各环节的内部控制管理制度；重点强化对财务报告、关联交易、对外担保、重大决策、</w:t>
      </w:r>
      <w:r>
        <w:rPr>
          <w:spacing w:val="-72"/>
        </w:rPr>
        <w:t> </w:t>
      </w:r>
      <w:r>
        <w:rPr>
          <w:spacing w:val="-72"/>
        </w:rPr>
      </w:r>
      <w:r>
        <w:rPr>
          <w:spacing w:val="-2"/>
        </w:rPr>
        <w:t>控股子公司等重大方面防范控制。公司内部控制建设基本符合《企业内部控制基本规范》等有关法律</w:t>
      </w:r>
      <w:r>
        <w:rPr>
          <w:spacing w:val="-68"/>
        </w:rPr>
        <w:t> </w:t>
      </w:r>
      <w:r>
        <w:rPr>
          <w:spacing w:val="-68"/>
        </w:rPr>
      </w:r>
      <w:r>
        <w:rPr/>
        <w:t>法规的要求，内部控制体系具备了较好的完整性、合理性和有效性。</w:t>
      </w:r>
    </w:p>
    <w:p>
      <w:pPr>
        <w:spacing w:line="240" w:lineRule="auto" w:before="13"/>
        <w:rPr>
          <w:rFonts w:ascii="宋体" w:hAnsi="宋体" w:cs="宋体" w:eastAsia="宋体" w:hint="default"/>
          <w:sz w:val="18"/>
          <w:szCs w:val="18"/>
        </w:rPr>
      </w:pPr>
    </w:p>
    <w:p>
      <w:pPr>
        <w:pStyle w:val="Heading3"/>
        <w:spacing w:line="240" w:lineRule="auto"/>
        <w:ind w:right="0"/>
        <w:jc w:val="both"/>
        <w:rPr>
          <w:b w:val="0"/>
          <w:bCs w:val="0"/>
        </w:rPr>
      </w:pPr>
      <w:r>
        <w:rPr/>
        <w:t>二、董事会关于内部控制责任的声明</w:t>
      </w:r>
      <w:r>
        <w:rPr>
          <w:b w:val="0"/>
          <w:bCs w:val="0"/>
        </w:rPr>
      </w:r>
    </w:p>
    <w:p>
      <w:pPr>
        <w:spacing w:line="240" w:lineRule="auto" w:before="1"/>
        <w:rPr>
          <w:rFonts w:ascii="宋体" w:hAnsi="宋体" w:cs="宋体" w:eastAsia="宋体" w:hint="default"/>
          <w:b/>
          <w:bCs/>
          <w:sz w:val="30"/>
          <w:szCs w:val="30"/>
        </w:rPr>
      </w:pPr>
    </w:p>
    <w:p>
      <w:pPr>
        <w:pStyle w:val="Heading4"/>
        <w:spacing w:line="391" w:lineRule="auto" w:before="0"/>
        <w:ind w:right="1091" w:firstLine="439"/>
        <w:jc w:val="both"/>
      </w:pPr>
      <w:r>
        <w:rPr>
          <w:spacing w:val="-1"/>
        </w:rPr>
        <w:t>公司董事会及全体董事保证内部控制相关内容不存在任何虚假记载、误导性陈述或者重大遗漏，</w:t>
      </w:r>
      <w:r>
        <w:rPr>
          <w:w w:val="100"/>
        </w:rPr>
        <w:t> </w:t>
      </w:r>
      <w:r>
        <w:rPr/>
        <w:t>并对其内容的真实性、准确性和完整性承担个别及连带责任。</w:t>
      </w:r>
    </w:p>
    <w:p>
      <w:pPr>
        <w:spacing w:line="240" w:lineRule="auto" w:before="0"/>
        <w:rPr>
          <w:rFonts w:ascii="宋体" w:hAnsi="宋体" w:cs="宋体" w:eastAsia="宋体" w:hint="default"/>
          <w:sz w:val="19"/>
          <w:szCs w:val="19"/>
        </w:rPr>
      </w:pPr>
    </w:p>
    <w:p>
      <w:pPr>
        <w:pStyle w:val="Heading3"/>
        <w:spacing w:line="240" w:lineRule="auto"/>
        <w:ind w:right="0"/>
        <w:jc w:val="both"/>
        <w:rPr>
          <w:b w:val="0"/>
          <w:bCs w:val="0"/>
        </w:rPr>
      </w:pPr>
      <w:r>
        <w:rPr/>
        <w:t>三、建立财务报告内部控制的依据</w:t>
      </w:r>
      <w:r>
        <w:rPr>
          <w:b w:val="0"/>
          <w:bCs w:val="0"/>
        </w:rPr>
      </w:r>
    </w:p>
    <w:p>
      <w:pPr>
        <w:spacing w:line="240" w:lineRule="auto" w:before="11"/>
        <w:rPr>
          <w:rFonts w:ascii="宋体" w:hAnsi="宋体" w:cs="宋体" w:eastAsia="宋体" w:hint="default"/>
          <w:b/>
          <w:bCs/>
          <w:sz w:val="29"/>
          <w:szCs w:val="29"/>
        </w:rPr>
      </w:pPr>
    </w:p>
    <w:p>
      <w:pPr>
        <w:pStyle w:val="Heading4"/>
        <w:spacing w:line="391" w:lineRule="auto" w:before="0"/>
        <w:ind w:right="1130" w:firstLine="439"/>
        <w:jc w:val="both"/>
      </w:pPr>
      <w:r>
        <w:rPr>
          <w:spacing w:val="-2"/>
        </w:rPr>
        <w:t>公司编制财务报告，以真实的交易和事项以及完整、准确的账簿记录等资料为依据，按照有关法</w:t>
      </w:r>
      <w:r>
        <w:rPr>
          <w:w w:val="100"/>
        </w:rPr>
        <w:t> </w:t>
      </w:r>
      <w:r>
        <w:rPr>
          <w:spacing w:val="-2"/>
        </w:rPr>
        <w:t>律法规、国家统一的会计制度规定的编制基础、编制依据、编制原则和方法进行。在编制年度财务报</w:t>
      </w:r>
      <w:r>
        <w:rPr>
          <w:spacing w:val="-71"/>
        </w:rPr>
        <w:t> </w:t>
      </w:r>
      <w:r>
        <w:rPr>
          <w:spacing w:val="-71"/>
        </w:rPr>
      </w:r>
      <w:r>
        <w:rPr>
          <w:spacing w:val="-3"/>
        </w:rPr>
        <w:t>告前，按照《企业财务会计报告条例》的有关规定，全面清查资产、核实债务，并将清查、核实结果</w:t>
      </w:r>
      <w:r>
        <w:rPr>
          <w:spacing w:val="-32"/>
        </w:rPr>
        <w:t> </w:t>
      </w:r>
      <w:r>
        <w:rPr>
          <w:spacing w:val="-32"/>
        </w:rPr>
      </w:r>
      <w:r>
        <w:rPr>
          <w:spacing w:val="-2"/>
        </w:rPr>
        <w:t>及其处理方法，以确保财务报告的真实可靠和资产的安全完整。经过审计的财务报告由公司法定代表</w:t>
      </w:r>
      <w:r>
        <w:rPr>
          <w:spacing w:val="-70"/>
        </w:rPr>
        <w:t> </w:t>
      </w:r>
      <w:r>
        <w:rPr>
          <w:spacing w:val="-70"/>
        </w:rPr>
      </w:r>
      <w:r>
        <w:rPr/>
        <w:t>人、财务负责人及会计机构负责人签名盖章。</w:t>
      </w:r>
    </w:p>
    <w:p>
      <w:pPr>
        <w:spacing w:line="240" w:lineRule="auto" w:before="13"/>
        <w:rPr>
          <w:rFonts w:ascii="宋体" w:hAnsi="宋体" w:cs="宋体" w:eastAsia="宋体" w:hint="default"/>
          <w:sz w:val="18"/>
          <w:szCs w:val="18"/>
        </w:rPr>
      </w:pPr>
    </w:p>
    <w:p>
      <w:pPr>
        <w:pStyle w:val="Heading3"/>
        <w:spacing w:line="240" w:lineRule="auto"/>
        <w:ind w:right="0"/>
        <w:jc w:val="both"/>
        <w:rPr>
          <w:b w:val="0"/>
          <w:bCs w:val="0"/>
        </w:rPr>
      </w:pPr>
      <w:r>
        <w:rPr/>
        <w:t>四、内部控制自我评价报告</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3"/>
        <w:gridCol w:w="6908"/>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0"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715"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5"/>
              <w:jc w:val="left"/>
              <w:rPr>
                <w:rFonts w:ascii="宋体" w:hAnsi="宋体" w:cs="宋体" w:eastAsia="宋体" w:hint="default"/>
                <w:sz w:val="18"/>
                <w:szCs w:val="18"/>
              </w:rPr>
            </w:pPr>
            <w:r>
              <w:rPr>
                <w:rFonts w:ascii="宋体" w:hAnsi="宋体" w:cs="宋体" w:eastAsia="宋体" w:hint="default"/>
                <w:spacing w:val="-1"/>
                <w:sz w:val="18"/>
                <w:szCs w:val="18"/>
              </w:rPr>
              <w:t>报告期内公司已建立起的内部控制体系总体上符合国家有关法律、法规和监管部门的相关要求，内部控制机制和内部控制</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制度在完整性、合理性等方面不存在重大缺陷和重要缺陷。</w:t>
            </w:r>
          </w:p>
        </w:tc>
      </w:tr>
      <w:tr>
        <w:trPr>
          <w:trHeight w:val="71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4"/>
                <w:w w:val="99"/>
                <w:sz w:val="18"/>
                <w:szCs w:val="18"/>
              </w:rPr>
              <w:t>日巨潮资讯网（</w:t>
            </w:r>
            <w:hyperlink r:id="rId13">
              <w:r>
                <w:rPr>
                  <w:rFonts w:ascii="Times New Roman" w:hAnsi="Times New Roman" w:cs="Times New Roman" w:eastAsia="Times New Roman" w:hint="default"/>
                  <w:spacing w:val="-4"/>
                  <w:w w:val="99"/>
                  <w:sz w:val="18"/>
                  <w:szCs w:val="18"/>
                </w:rPr>
                <w:t>http://www.cninfo.com.cn</w:t>
              </w:r>
            </w:hyperlink>
            <w:r>
              <w:rPr>
                <w:rFonts w:ascii="宋体" w:hAnsi="宋体" w:cs="宋体" w:eastAsia="宋体" w:hint="default"/>
                <w:spacing w:val="-4"/>
                <w:w w:val="99"/>
                <w:sz w:val="18"/>
                <w:szCs w:val="18"/>
              </w:rPr>
              <w:t>）《中海科技</w:t>
            </w:r>
            <w:r>
              <w:rPr>
                <w:rFonts w:ascii="宋体" w:hAnsi="宋体" w:cs="宋体" w:eastAsia="宋体" w:hint="default"/>
                <w:spacing w:val="-44"/>
                <w:w w:val="9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年度内部控制 自我评价报告》</w:t>
            </w:r>
          </w:p>
        </w:tc>
      </w:tr>
    </w:tbl>
    <w:p>
      <w:pPr>
        <w:spacing w:after="0" w:line="300" w:lineRule="auto"/>
        <w:jc w:val="left"/>
        <w:rPr>
          <w:rFonts w:ascii="宋体" w:hAnsi="宋体" w:cs="宋体" w:eastAsia="宋体" w:hint="default"/>
          <w:sz w:val="18"/>
          <w:szCs w:val="18"/>
        </w:rPr>
        <w:sectPr>
          <w:pgSz w:w="11910" w:h="16840"/>
          <w:pgMar w:header="877" w:footer="1261" w:top="1100" w:bottom="1460" w:left="980" w:right="0"/>
        </w:sectPr>
      </w:pPr>
    </w:p>
    <w:p>
      <w:pPr>
        <w:spacing w:line="240" w:lineRule="auto" w:before="9"/>
        <w:rPr>
          <w:rFonts w:ascii="宋体" w:hAnsi="宋体" w:cs="宋体" w:eastAsia="宋体" w:hint="default"/>
          <w:b/>
          <w:bCs/>
          <w:sz w:val="19"/>
          <w:szCs w:val="19"/>
        </w:rPr>
      </w:pPr>
    </w:p>
    <w:p>
      <w:pPr>
        <w:pStyle w:val="Heading3"/>
        <w:spacing w:line="240" w:lineRule="auto" w:before="26"/>
        <w:ind w:right="981"/>
        <w:jc w:val="left"/>
        <w:rPr>
          <w:b w:val="0"/>
          <w:bCs w:val="0"/>
        </w:rPr>
      </w:pPr>
      <w:r>
        <w:rPr/>
        <w:t>五、内部控制审计报告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63"/>
        <w:gridCol w:w="6908"/>
      </w:tblGrid>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3"/>
              <w:jc w:val="left"/>
              <w:rPr>
                <w:rFonts w:ascii="宋体" w:hAnsi="宋体" w:cs="宋体" w:eastAsia="宋体" w:hint="default"/>
                <w:sz w:val="18"/>
                <w:szCs w:val="18"/>
              </w:rPr>
            </w:pPr>
            <w:r>
              <w:rPr>
                <w:rFonts w:ascii="宋体" w:hAnsi="宋体" w:cs="宋体" w:eastAsia="宋体" w:hint="default"/>
                <w:sz w:val="18"/>
                <w:szCs w:val="18"/>
              </w:rPr>
              <w:t>中海科技于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日按照《企业内部控制基本规范》和相关规定在所有重大方面保持了有效的财务报告内部控 制。</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71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4"/>
                <w:w w:val="99"/>
                <w:sz w:val="18"/>
                <w:szCs w:val="18"/>
              </w:rPr>
              <w:t>日巨潮资讯网（</w:t>
            </w:r>
            <w:hyperlink r:id="rId13">
              <w:r>
                <w:rPr>
                  <w:rFonts w:ascii="Times New Roman" w:hAnsi="Times New Roman" w:cs="Times New Roman" w:eastAsia="Times New Roman" w:hint="default"/>
                  <w:spacing w:val="-4"/>
                  <w:w w:val="99"/>
                  <w:sz w:val="18"/>
                  <w:szCs w:val="18"/>
                </w:rPr>
                <w:t>http://www.cninfo.com.cn</w:t>
              </w:r>
            </w:hyperlink>
            <w:r>
              <w:rPr>
                <w:rFonts w:ascii="宋体" w:hAnsi="宋体" w:cs="宋体" w:eastAsia="宋体" w:hint="default"/>
                <w:spacing w:val="-4"/>
                <w:w w:val="99"/>
                <w:sz w:val="18"/>
                <w:szCs w:val="18"/>
              </w:rPr>
              <w:t>）《中海科技</w:t>
            </w:r>
            <w:r>
              <w:rPr>
                <w:rFonts w:ascii="宋体" w:hAnsi="宋体" w:cs="宋体" w:eastAsia="宋体" w:hint="default"/>
                <w:spacing w:val="-44"/>
                <w:w w:val="9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年度内部控制 鉴证报告》</w:t>
            </w:r>
          </w:p>
        </w:tc>
      </w:tr>
    </w:tbl>
    <w:p>
      <w:pPr>
        <w:pStyle w:val="BodyText"/>
        <w:spacing w:line="240" w:lineRule="auto" w:before="49"/>
        <w:ind w:right="981"/>
        <w:jc w:val="left"/>
      </w:pPr>
      <w:r>
        <w:rPr/>
        <w:t>会计师事务所是否出具非标准意见的内部控制审计报告</w:t>
      </w:r>
    </w:p>
    <w:p>
      <w:pPr>
        <w:pStyle w:val="BodyText"/>
        <w:spacing w:line="338" w:lineRule="auto" w:before="117"/>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会计师事务所出具的内部控制审计报告与董事会的自我评价报告意见是否一致</w:t>
      </w:r>
    </w:p>
    <w:p>
      <w:pPr>
        <w:pStyle w:val="BodyText"/>
        <w:spacing w:line="240" w:lineRule="auto" w:before="43"/>
        <w:ind w:right="98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3"/>
        <w:rPr>
          <w:rFonts w:ascii="宋体" w:hAnsi="宋体" w:cs="宋体" w:eastAsia="宋体" w:hint="default"/>
          <w:sz w:val="24"/>
          <w:szCs w:val="24"/>
        </w:rPr>
      </w:pPr>
    </w:p>
    <w:p>
      <w:pPr>
        <w:pStyle w:val="Heading3"/>
        <w:spacing w:line="240" w:lineRule="auto"/>
        <w:ind w:right="981"/>
        <w:jc w:val="left"/>
        <w:rPr>
          <w:b w:val="0"/>
          <w:bCs w:val="0"/>
        </w:rPr>
      </w:pPr>
      <w:r>
        <w:rPr/>
        <w:t>六、年度报告重大差错责任追究制度的建立与执行情况</w:t>
      </w:r>
      <w:r>
        <w:rPr>
          <w:b w:val="0"/>
          <w:bCs w:val="0"/>
        </w:rPr>
      </w:r>
    </w:p>
    <w:p>
      <w:pPr>
        <w:spacing w:line="240" w:lineRule="auto" w:before="1"/>
        <w:rPr>
          <w:rFonts w:ascii="宋体" w:hAnsi="宋体" w:cs="宋体" w:eastAsia="宋体" w:hint="default"/>
          <w:b/>
          <w:bCs/>
          <w:sz w:val="30"/>
          <w:szCs w:val="30"/>
        </w:rPr>
      </w:pPr>
    </w:p>
    <w:p>
      <w:pPr>
        <w:pStyle w:val="Heading4"/>
        <w:spacing w:line="391" w:lineRule="auto" w:before="0"/>
        <w:ind w:right="1132" w:firstLine="439"/>
        <w:jc w:val="both"/>
      </w:pPr>
      <w:r>
        <w:rPr>
          <w:rFonts w:ascii="宋体" w:hAnsi="宋体" w:cs="宋体" w:eastAsia="宋体" w:hint="default"/>
        </w:rPr>
        <w:t>2010</w:t>
      </w:r>
      <w:r>
        <w:rPr/>
        <w:t>年</w:t>
      </w:r>
      <w:r>
        <w:rPr>
          <w:rFonts w:ascii="宋体" w:hAnsi="宋体" w:cs="宋体" w:eastAsia="宋体" w:hint="default"/>
        </w:rPr>
        <w:t>8</w:t>
      </w:r>
      <w:r>
        <w:rPr/>
        <w:t>月</w:t>
      </w:r>
      <w:r>
        <w:rPr>
          <w:rFonts w:ascii="宋体" w:hAnsi="宋体" w:cs="宋体" w:eastAsia="宋体" w:hint="default"/>
        </w:rPr>
        <w:t>17</w:t>
      </w:r>
      <w:r>
        <w:rPr/>
        <w:t>日公司第三届董事会第二十二次（临时）会议通过《关于制定〈公司年报信息披露</w:t>
      </w:r>
      <w:r>
        <w:rPr>
          <w:w w:val="100"/>
        </w:rPr>
        <w:t> </w:t>
      </w:r>
      <w:r>
        <w:rPr>
          <w:spacing w:val="-2"/>
        </w:rPr>
        <w:t>重大差错责任追究制度〉的议案》，该制度明确了年报信息披露重大差错的责任追究。报告期内，公</w:t>
      </w:r>
      <w:r>
        <w:rPr>
          <w:spacing w:val="-72"/>
        </w:rPr>
        <w:t> </w:t>
      </w:r>
      <w:r>
        <w:rPr>
          <w:spacing w:val="-72"/>
        </w:rPr>
      </w:r>
      <w:r>
        <w:rPr/>
        <w:t>司未发生年度报告重大差错的情形。</w:t>
      </w:r>
    </w:p>
    <w:p>
      <w:pPr>
        <w:spacing w:after="0" w:line="391" w:lineRule="auto"/>
        <w:jc w:val="both"/>
        <w:sectPr>
          <w:pgSz w:w="11910" w:h="16840"/>
          <w:pgMar w:header="877" w:footer="1261" w:top="1100" w:bottom="14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811" w:right="4727"/>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left="212" w:right="1034"/>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20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天职沪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SJ[2013]208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after="0" w:line="240" w:lineRule="auto"/>
        <w:jc w:val="right"/>
        <w:rPr>
          <w:rFonts w:ascii="宋体" w:hAnsi="宋体" w:cs="宋体" w:eastAsia="宋体" w:hint="default"/>
          <w:sz w:val="18"/>
          <w:szCs w:val="18"/>
        </w:rPr>
        <w:sectPr>
          <w:footerReference w:type="default" r:id="rId29"/>
          <w:pgSz w:w="11910" w:h="16840"/>
          <w:pgMar w:footer="980" w:header="877" w:top="1100" w:bottom="1160" w:left="920" w:right="0"/>
          <w:pgNumType w:start="57"/>
        </w:sectPr>
      </w:pPr>
    </w:p>
    <w:p>
      <w:pPr>
        <w:pStyle w:val="BodyText"/>
        <w:spacing w:line="240" w:lineRule="auto" w:before="49"/>
        <w:ind w:left="0" w:right="0"/>
        <w:jc w:val="right"/>
      </w:pPr>
      <w:r>
        <w:rPr/>
        <w:t>审计报告正文</w:t>
      </w:r>
    </w:p>
    <w:p>
      <w:pPr>
        <w:pStyle w:val="Heading6"/>
        <w:spacing w:line="240" w:lineRule="auto" w:before="107"/>
        <w:ind w:left="0" w:right="115"/>
        <w:jc w:val="right"/>
      </w:pPr>
      <w:r>
        <w:rPr>
          <w:spacing w:val="-1"/>
        </w:rPr>
        <w:t>审计报告</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8"/>
          <w:szCs w:val="18"/>
        </w:rPr>
      </w:pPr>
    </w:p>
    <w:p>
      <w:pPr>
        <w:pStyle w:val="Heading6"/>
        <w:spacing w:line="240" w:lineRule="auto"/>
        <w:ind w:left="2327" w:right="0"/>
        <w:jc w:val="left"/>
      </w:pPr>
      <w:r>
        <w:rPr/>
        <w:t>天职沪</w:t>
      </w:r>
      <w:r>
        <w:rPr>
          <w:rFonts w:ascii="Times New Roman" w:hAnsi="Times New Roman" w:cs="Times New Roman" w:eastAsia="Times New Roman" w:hint="default"/>
        </w:rPr>
        <w:t>SJ[2013]208</w:t>
      </w:r>
      <w:r>
        <w:rPr/>
        <w:t>号</w:t>
      </w:r>
    </w:p>
    <w:p>
      <w:pPr>
        <w:spacing w:after="0" w:line="240" w:lineRule="auto"/>
        <w:jc w:val="left"/>
        <w:sectPr>
          <w:type w:val="continuous"/>
          <w:pgSz w:w="11910" w:h="16840"/>
          <w:pgMar w:top="880" w:bottom="0" w:left="920" w:right="0"/>
          <w:cols w:num="2" w:equalWidth="0">
            <w:col w:w="5574" w:space="40"/>
            <w:col w:w="5376"/>
          </w:cols>
        </w:sectPr>
      </w:pPr>
    </w:p>
    <w:p>
      <w:pPr>
        <w:spacing w:line="240" w:lineRule="auto" w:before="3"/>
        <w:rPr>
          <w:rFonts w:ascii="宋体" w:hAnsi="宋体" w:cs="宋体" w:eastAsia="宋体" w:hint="default"/>
          <w:sz w:val="17"/>
          <w:szCs w:val="17"/>
        </w:rPr>
      </w:pPr>
      <w:r>
        <w:rPr/>
        <w:pict>
          <v:group style="position:absolute;margin-left:51pt;margin-top:272.089996pt;width:544.35pt;height:569.85pt;mso-position-horizontal-relative:page;mso-position-vertical-relative:page;z-index:-560128" coordorigin="1020,5442" coordsize="10887,11397">
            <v:group style="position:absolute;left:1030;top:5451;width:9847;height:2" coordorigin="1030,5451" coordsize="9847,2">
              <v:shape style="position:absolute;left:1030;top:5451;width:9847;height:2" coordorigin="1030,5451" coordsize="9847,0" path="m1030,5451l10876,5451e" filled="false" stroked="true" strokeweight=".48pt" strokecolor="#000000">
                <v:path arrowok="t"/>
              </v:shape>
            </v:group>
            <v:group style="position:absolute;left:1025;top:5447;width:2;height:9909" coordorigin="1025,5447" coordsize="2,9909">
              <v:shape style="position:absolute;left:1025;top:5447;width:2;height:9909" coordorigin="1025,5447" coordsize="0,9909" path="m1025,5447l1025,15355e" filled="false" stroked="true" strokeweight=".48pt" strokecolor="#000000">
                <v:path arrowok="t"/>
              </v:shape>
            </v:group>
            <v:group style="position:absolute;left:1030;top:15350;width:9847;height:2" coordorigin="1030,15350" coordsize="9847,2">
              <v:shape style="position:absolute;left:1030;top:15350;width:9847;height:2" coordorigin="1030,15350" coordsize="9847,0" path="m1030,15350l10876,15350e" filled="false" stroked="true" strokeweight=".48pt" strokecolor="#000000">
                <v:path arrowok="t"/>
              </v:shape>
            </v:group>
            <v:group style="position:absolute;left:10881;top:5447;width:2;height:9909" coordorigin="10881,5447" coordsize="2,9909">
              <v:shape style="position:absolute;left:10881;top:5447;width:2;height:9909" coordorigin="10881,5447" coordsize="0,9909" path="m10881,5447l10881,15355e" filled="false" stroked="true" strokeweight=".48pt" strokecolor="#000000">
                <v:path arrowok="t"/>
              </v:shape>
              <v:shape style="position:absolute;left:9206;top:15298;width:2700;height:1540" type="#_x0000_t75" stroked="false">
                <v:imagedata r:id="rId5" o:title=""/>
              </v:shape>
            </v:group>
            <w10:wrap type="none"/>
          </v:group>
        </w:pict>
      </w:r>
    </w:p>
    <w:p>
      <w:pPr>
        <w:pStyle w:val="Heading6"/>
        <w:spacing w:line="240" w:lineRule="auto" w:before="36"/>
        <w:ind w:right="1034"/>
        <w:jc w:val="left"/>
      </w:pPr>
      <w:r>
        <w:rPr/>
        <w:t>中海网络科技股份有限公司全体股东：</w:t>
      </w:r>
    </w:p>
    <w:p>
      <w:pPr>
        <w:spacing w:line="240" w:lineRule="auto" w:before="2"/>
        <w:rPr>
          <w:rFonts w:ascii="宋体" w:hAnsi="宋体" w:cs="宋体" w:eastAsia="宋体" w:hint="default"/>
          <w:sz w:val="21"/>
          <w:szCs w:val="21"/>
        </w:rPr>
      </w:pPr>
    </w:p>
    <w:p>
      <w:pPr>
        <w:pStyle w:val="Heading6"/>
        <w:spacing w:line="256" w:lineRule="auto"/>
        <w:ind w:right="1126" w:firstLine="420"/>
        <w:jc w:val="both"/>
      </w:pPr>
      <w:r>
        <w:rPr>
          <w:spacing w:val="-2"/>
        </w:rPr>
        <w:t>我们审计了后附的中海网络科技股份有限公司（以下简称</w:t>
      </w:r>
      <w:r>
        <w:rPr>
          <w:rFonts w:ascii="Times New Roman" w:hAnsi="Times New Roman" w:cs="Times New Roman" w:eastAsia="Times New Roman" w:hint="default"/>
          <w:spacing w:val="-2"/>
        </w:rPr>
        <w:t>“</w:t>
      </w:r>
      <w:r>
        <w:rPr>
          <w:spacing w:val="-2"/>
        </w:rPr>
        <w:t>中海科技</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rFonts w:ascii="Times New Roman" w:hAnsi="Times New Roman" w:cs="Times New Roman" w:eastAsia="Times New Roman" w:hint="default"/>
          <w:w w:val="100"/>
        </w:rPr>
        <w:t> </w:t>
      </w:r>
      <w:r>
        <w:rPr/>
        <w:t>日的资产负债表，</w:t>
      </w:r>
      <w:r>
        <w:rPr>
          <w:rFonts w:ascii="Times New Roman" w:hAnsi="Times New Roman" w:cs="Times New Roman" w:eastAsia="Times New Roman" w:hint="default"/>
        </w:rPr>
        <w:t>2012</w:t>
      </w:r>
      <w:r>
        <w:rPr/>
        <w:t>年度的利润表、现金流量表和股东所有者权益变动表以及财务报表附注。</w:t>
      </w:r>
    </w:p>
    <w:p>
      <w:pPr>
        <w:spacing w:line="240" w:lineRule="auto" w:before="8"/>
        <w:rPr>
          <w:rFonts w:ascii="宋体" w:hAnsi="宋体" w:cs="宋体" w:eastAsia="宋体" w:hint="default"/>
          <w:sz w:val="16"/>
          <w:szCs w:val="16"/>
        </w:rPr>
      </w:pPr>
    </w:p>
    <w:p>
      <w:pPr>
        <w:pStyle w:val="Heading3"/>
        <w:spacing w:line="240" w:lineRule="auto"/>
        <w:ind w:left="695" w:right="1034"/>
        <w:jc w:val="left"/>
        <w:rPr>
          <w:b w:val="0"/>
          <w:bCs w:val="0"/>
        </w:rPr>
      </w:pPr>
      <w:r>
        <w:rPr/>
        <w:t>一、管理层对财务报表的责任</w:t>
      </w:r>
      <w:r>
        <w:rPr>
          <w:b w:val="0"/>
          <w:bCs w:val="0"/>
        </w:rPr>
      </w:r>
    </w:p>
    <w:p>
      <w:pPr>
        <w:spacing w:line="240" w:lineRule="auto" w:before="4"/>
        <w:rPr>
          <w:rFonts w:ascii="宋体" w:hAnsi="宋体" w:cs="宋体" w:eastAsia="宋体" w:hint="default"/>
          <w:b/>
          <w:bCs/>
          <w:sz w:val="20"/>
          <w:szCs w:val="20"/>
        </w:rPr>
      </w:pPr>
    </w:p>
    <w:p>
      <w:pPr>
        <w:pStyle w:val="Heading6"/>
        <w:spacing w:line="256" w:lineRule="auto"/>
        <w:ind w:right="1131" w:firstLine="420"/>
        <w:jc w:val="both"/>
      </w:pPr>
      <w:r>
        <w:rPr/>
        <w:t>编制和公允列报财务报表是中海科技管理层的责任，这种责任包括：（</w:t>
      </w:r>
      <w:r>
        <w:rPr>
          <w:rFonts w:ascii="Times New Roman" w:hAnsi="Times New Roman" w:cs="Times New Roman" w:eastAsia="Times New Roman" w:hint="default"/>
        </w:rPr>
        <w:t>1</w:t>
      </w:r>
      <w:r>
        <w:rPr/>
        <w:t>）按照企业会计准则的规定</w:t>
      </w:r>
      <w:r>
        <w:rPr>
          <w:w w:val="100"/>
        </w:rPr>
        <w:t> </w:t>
      </w:r>
      <w:r>
        <w:rPr/>
        <w:t>编制财务报表，并使其实现公允反映；（</w:t>
      </w:r>
      <w:r>
        <w:rPr>
          <w:rFonts w:ascii="Times New Roman" w:hAnsi="Times New Roman" w:cs="Times New Roman" w:eastAsia="Times New Roman" w:hint="default"/>
        </w:rPr>
        <w:t>2</w:t>
      </w:r>
      <w:r>
        <w:rPr/>
        <w:t>）设计、执行和维护必要的内部控制，以使财务报表不存在由</w:t>
      </w:r>
      <w:r>
        <w:rPr>
          <w:spacing w:val="-23"/>
        </w:rPr>
        <w:t> </w:t>
      </w:r>
      <w:r>
        <w:rPr>
          <w:spacing w:val="-23"/>
        </w:rPr>
      </w:r>
      <w:r>
        <w:rPr/>
        <w:t>于舞弊或错误导致的重大错报。</w:t>
      </w:r>
    </w:p>
    <w:p>
      <w:pPr>
        <w:spacing w:line="240" w:lineRule="auto" w:before="12"/>
        <w:rPr>
          <w:rFonts w:ascii="宋体" w:hAnsi="宋体" w:cs="宋体" w:eastAsia="宋体" w:hint="default"/>
          <w:sz w:val="17"/>
          <w:szCs w:val="17"/>
        </w:rPr>
      </w:pPr>
    </w:p>
    <w:p>
      <w:pPr>
        <w:pStyle w:val="Heading3"/>
        <w:spacing w:line="240" w:lineRule="auto"/>
        <w:ind w:left="695" w:right="1034"/>
        <w:jc w:val="left"/>
        <w:rPr>
          <w:b w:val="0"/>
          <w:bCs w:val="0"/>
        </w:rPr>
      </w:pPr>
      <w:r>
        <w:rPr/>
        <w:t>二、注册会计师的责任</w:t>
      </w:r>
      <w:r>
        <w:rPr>
          <w:b w:val="0"/>
          <w:bCs w:val="0"/>
        </w:rPr>
      </w:r>
    </w:p>
    <w:p>
      <w:pPr>
        <w:spacing w:line="240" w:lineRule="auto" w:before="4"/>
        <w:rPr>
          <w:rFonts w:ascii="宋体" w:hAnsi="宋体" w:cs="宋体" w:eastAsia="宋体" w:hint="default"/>
          <w:b/>
          <w:bCs/>
          <w:sz w:val="20"/>
          <w:szCs w:val="20"/>
        </w:rPr>
      </w:pPr>
    </w:p>
    <w:p>
      <w:pPr>
        <w:pStyle w:val="Heading6"/>
        <w:spacing w:line="273" w:lineRule="auto"/>
        <w:ind w:right="1126" w:firstLine="420"/>
        <w:jc w:val="both"/>
      </w:pPr>
      <w:r>
        <w:rPr>
          <w:spacing w:val="-2"/>
        </w:rPr>
        <w:t>我们的责任是在执行审计工作的基础上对财务报表发表审计意见。我们按照中国注册会计师审计准则</w:t>
      </w:r>
      <w:r>
        <w:rPr>
          <w:w w:val="100"/>
        </w:rPr>
        <w:t> </w:t>
      </w:r>
      <w:r>
        <w:rPr>
          <w:spacing w:val="-2"/>
        </w:rPr>
        <w:t>的规定执行了审计工作。中国注册会计师审计准则要求我们遵守中国注册会计师职业道德守则，计划和执</w:t>
      </w:r>
      <w:r>
        <w:rPr>
          <w:spacing w:val="-42"/>
        </w:rPr>
        <w:t> </w:t>
      </w:r>
      <w:r>
        <w:rPr>
          <w:spacing w:val="-42"/>
        </w:rPr>
      </w:r>
      <w:r>
        <w:rPr/>
        <w:t>行审计工作以对财务报表是否不存在重大错报获取合理保证。</w:t>
      </w:r>
    </w:p>
    <w:p>
      <w:pPr>
        <w:pStyle w:val="Heading6"/>
        <w:spacing w:line="273" w:lineRule="auto" w:before="127"/>
        <w:ind w:right="1126" w:firstLine="420"/>
        <w:jc w:val="both"/>
      </w:pPr>
      <w:r>
        <w:rPr>
          <w:spacing w:val="-2"/>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43"/>
        </w:rPr>
        <w:t> </w:t>
      </w:r>
      <w:r>
        <w:rPr>
          <w:spacing w:val="-43"/>
        </w:rPr>
      </w:r>
      <w:r>
        <w:rPr>
          <w:spacing w:val="-2"/>
        </w:rPr>
        <w:t>会计师考虑与财务报表编制和公允列报相关的内部控制，以设计恰当的审计程序，但目的并非对内部控制</w:t>
      </w:r>
      <w:r>
        <w:rPr>
          <w:spacing w:val="-42"/>
        </w:rPr>
        <w:t> </w:t>
      </w:r>
      <w:r>
        <w:rPr>
          <w:spacing w:val="-42"/>
        </w:rPr>
      </w:r>
      <w:r>
        <w:rPr>
          <w:spacing w:val="-2"/>
        </w:rPr>
        <w:t>的有效性发表意见。审计工作还包括评价管理层选用会计政策的恰当性和作出会计估计的合理性，以及评</w:t>
      </w:r>
      <w:r>
        <w:rPr>
          <w:spacing w:val="-43"/>
        </w:rPr>
        <w:t> </w:t>
      </w:r>
      <w:r>
        <w:rPr>
          <w:spacing w:val="-43"/>
        </w:rPr>
      </w:r>
      <w:r>
        <w:rPr/>
        <w:t>价财务报表的总体列报。</w:t>
      </w:r>
    </w:p>
    <w:p>
      <w:pPr>
        <w:pStyle w:val="Heading6"/>
        <w:spacing w:line="240" w:lineRule="auto" w:before="127"/>
        <w:ind w:left="633" w:right="1034"/>
        <w:jc w:val="left"/>
      </w:pPr>
      <w:r>
        <w:rPr/>
        <w:t>我们相信，我们获取的审计证据是充分、适当的，为发表审计意见提供了基础。</w:t>
      </w:r>
    </w:p>
    <w:p>
      <w:pPr>
        <w:spacing w:line="240" w:lineRule="auto" w:before="1"/>
        <w:rPr>
          <w:rFonts w:ascii="宋体" w:hAnsi="宋体" w:cs="宋体" w:eastAsia="宋体" w:hint="default"/>
          <w:sz w:val="19"/>
          <w:szCs w:val="19"/>
        </w:rPr>
      </w:pPr>
    </w:p>
    <w:p>
      <w:pPr>
        <w:pStyle w:val="Heading3"/>
        <w:spacing w:line="240" w:lineRule="auto"/>
        <w:ind w:left="695" w:right="1034"/>
        <w:jc w:val="left"/>
        <w:rPr>
          <w:b w:val="0"/>
          <w:bCs w:val="0"/>
        </w:rPr>
      </w:pPr>
      <w:r>
        <w:rPr/>
        <w:t>三、审计意见</w:t>
      </w:r>
      <w:r>
        <w:rPr>
          <w:b w:val="0"/>
          <w:bCs w:val="0"/>
        </w:rPr>
      </w:r>
    </w:p>
    <w:p>
      <w:pPr>
        <w:spacing w:line="240" w:lineRule="auto" w:before="4"/>
        <w:rPr>
          <w:rFonts w:ascii="宋体" w:hAnsi="宋体" w:cs="宋体" w:eastAsia="宋体" w:hint="default"/>
          <w:b/>
          <w:bCs/>
          <w:sz w:val="20"/>
          <w:szCs w:val="20"/>
        </w:rPr>
      </w:pPr>
    </w:p>
    <w:p>
      <w:pPr>
        <w:pStyle w:val="Heading6"/>
        <w:spacing w:line="240" w:lineRule="auto"/>
        <w:ind w:left="633" w:right="1034"/>
        <w:jc w:val="left"/>
      </w:pPr>
      <w:r>
        <w:rPr>
          <w:spacing w:val="2"/>
        </w:rPr>
        <w:t>我们认为，中海科技财务报表在所有重大方面按照企业会计准则的规定编制，公允反映了中海科技</w:t>
      </w:r>
    </w:p>
    <w:p>
      <w:pPr>
        <w:pStyle w:val="Heading6"/>
        <w:spacing w:line="240" w:lineRule="auto" w:before="37"/>
        <w:ind w:right="1034"/>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2012</w:t>
      </w:r>
      <w:r>
        <w:rPr/>
        <w:t>年度的经营成果和现金流量。</w:t>
      </w:r>
    </w:p>
    <w:p>
      <w:pPr>
        <w:spacing w:after="0" w:line="240" w:lineRule="auto"/>
        <w:jc w:val="left"/>
        <w:sectPr>
          <w:type w:val="continuous"/>
          <w:pgSz w:w="11910" w:h="16840"/>
          <w:pgMar w:top="880" w:bottom="0" w:left="920" w:right="0"/>
        </w:sectPr>
      </w:pPr>
    </w:p>
    <w:p>
      <w:pPr>
        <w:spacing w:line="240" w:lineRule="auto" w:before="12"/>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560104" type="#_x0000_t75" stroked="false">
            <v:imagedata r:id="rId5" o:title=""/>
          </v:shape>
        </w:pict>
      </w:r>
    </w:p>
    <w:tbl>
      <w:tblPr>
        <w:tblW w:w="0" w:type="auto"/>
        <w:jc w:val="left"/>
        <w:tblInd w:w="100" w:type="dxa"/>
        <w:tblLayout w:type="fixed"/>
        <w:tblCellMar>
          <w:top w:w="0" w:type="dxa"/>
          <w:left w:w="0" w:type="dxa"/>
          <w:bottom w:w="0" w:type="dxa"/>
          <w:right w:w="0" w:type="dxa"/>
        </w:tblCellMar>
        <w:tblLook w:val="01E0"/>
      </w:tblPr>
      <w:tblGrid>
        <w:gridCol w:w="3375"/>
        <w:gridCol w:w="3014"/>
        <w:gridCol w:w="3467"/>
      </w:tblGrid>
      <w:tr>
        <w:trPr>
          <w:trHeight w:val="384" w:hRule="exact"/>
        </w:trPr>
        <w:tc>
          <w:tcPr>
            <w:tcW w:w="3375" w:type="dxa"/>
            <w:tcBorders>
              <w:top w:val="single" w:sz="4" w:space="0" w:color="000000"/>
              <w:left w:val="single" w:sz="4" w:space="0" w:color="000000"/>
              <w:bottom w:val="nil" w:sz="6" w:space="0" w:color="auto"/>
              <w:right w:val="nil" w:sz="6" w:space="0" w:color="auto"/>
            </w:tcBorders>
          </w:tcPr>
          <w:p>
            <w:pPr>
              <w:pStyle w:val="TableParagraph"/>
              <w:spacing w:line="278" w:lineRule="exact"/>
              <w:ind w:left="103" w:right="0"/>
              <w:jc w:val="left"/>
              <w:rPr>
                <w:rFonts w:ascii="宋体" w:hAnsi="宋体" w:cs="宋体" w:eastAsia="宋体" w:hint="default"/>
                <w:sz w:val="21"/>
                <w:szCs w:val="21"/>
              </w:rPr>
            </w:pPr>
            <w:r>
              <w:rPr>
                <w:rFonts w:ascii="宋体" w:hAnsi="宋体" w:cs="宋体" w:eastAsia="宋体" w:hint="default"/>
                <w:spacing w:val="-23"/>
                <w:sz w:val="21"/>
                <w:szCs w:val="21"/>
              </w:rPr>
              <w:t>中国</w:t>
            </w:r>
            <w:r>
              <w:rPr>
                <w:rFonts w:ascii="Times New Roman" w:hAnsi="Times New Roman" w:cs="Times New Roman" w:eastAsia="Times New Roman" w:hint="default"/>
                <w:spacing w:val="-23"/>
                <w:sz w:val="21"/>
                <w:szCs w:val="21"/>
              </w:rPr>
              <w:t>·</w:t>
            </w:r>
            <w:r>
              <w:rPr>
                <w:rFonts w:ascii="宋体" w:hAnsi="宋体" w:cs="宋体" w:eastAsia="宋体" w:hint="default"/>
                <w:spacing w:val="-23"/>
                <w:sz w:val="21"/>
                <w:szCs w:val="21"/>
              </w:rPr>
              <w:t>北京</w:t>
            </w:r>
          </w:p>
        </w:tc>
        <w:tc>
          <w:tcPr>
            <w:tcW w:w="6481" w:type="dxa"/>
            <w:gridSpan w:val="2"/>
            <w:tcBorders>
              <w:top w:val="single" w:sz="4" w:space="0" w:color="000000"/>
              <w:left w:val="nil" w:sz="6" w:space="0" w:color="auto"/>
              <w:bottom w:val="nil" w:sz="6" w:space="0" w:color="auto"/>
              <w:right w:val="single" w:sz="4" w:space="0" w:color="000000"/>
            </w:tcBorders>
          </w:tcPr>
          <w:p>
            <w:pPr/>
          </w:p>
        </w:tc>
      </w:tr>
      <w:tr>
        <w:trPr>
          <w:trHeight w:val="432" w:hRule="exact"/>
        </w:trPr>
        <w:tc>
          <w:tcPr>
            <w:tcW w:w="3375"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left="122" w:right="0"/>
              <w:jc w:val="left"/>
              <w:rPr>
                <w:rFonts w:ascii="宋体" w:hAnsi="宋体" w:cs="宋体" w:eastAsia="宋体" w:hint="default"/>
                <w:sz w:val="21"/>
                <w:szCs w:val="21"/>
              </w:rPr>
            </w:pP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宋体" w:hAnsi="宋体" w:cs="宋体" w:eastAsia="宋体" w:hint="default"/>
                <w:sz w:val="21"/>
                <w:szCs w:val="21"/>
              </w:rPr>
              <w:t>一三年二月二十六日</w:t>
            </w:r>
          </w:p>
        </w:tc>
        <w:tc>
          <w:tcPr>
            <w:tcW w:w="301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11"/>
              <w:jc w:val="right"/>
              <w:rPr>
                <w:rFonts w:ascii="宋体" w:hAnsi="宋体" w:cs="宋体" w:eastAsia="宋体" w:hint="default"/>
                <w:sz w:val="21"/>
                <w:szCs w:val="21"/>
              </w:rPr>
            </w:pPr>
            <w:r>
              <w:rPr>
                <w:rFonts w:ascii="宋体" w:hAnsi="宋体" w:cs="宋体" w:eastAsia="宋体" w:hint="default"/>
                <w:spacing w:val="-2"/>
                <w:sz w:val="21"/>
                <w:szCs w:val="21"/>
              </w:rPr>
              <w:t>中国注册会计师：</w:t>
            </w:r>
          </w:p>
        </w:tc>
        <w:tc>
          <w:tcPr>
            <w:tcW w:w="3467" w:type="dxa"/>
            <w:tcBorders>
              <w:top w:val="nil" w:sz="6" w:space="0" w:color="auto"/>
              <w:left w:val="nil" w:sz="6" w:space="0" w:color="auto"/>
              <w:bottom w:val="nil" w:sz="6" w:space="0" w:color="auto"/>
              <w:right w:val="single" w:sz="4" w:space="0" w:color="000000"/>
            </w:tcBorders>
          </w:tcPr>
          <w:p>
            <w:pPr>
              <w:pStyle w:val="TableParagraph"/>
              <w:spacing w:line="240" w:lineRule="auto" w:before="41"/>
              <w:ind w:left="313" w:right="0"/>
              <w:jc w:val="left"/>
              <w:rPr>
                <w:rFonts w:ascii="宋体" w:hAnsi="宋体" w:cs="宋体" w:eastAsia="宋体" w:hint="default"/>
                <w:sz w:val="21"/>
                <w:szCs w:val="21"/>
              </w:rPr>
            </w:pPr>
            <w:r>
              <w:rPr>
                <w:rFonts w:ascii="宋体" w:hAnsi="宋体" w:cs="宋体" w:eastAsia="宋体" w:hint="default"/>
                <w:sz w:val="21"/>
                <w:szCs w:val="21"/>
              </w:rPr>
              <w:t>张坚</w:t>
            </w:r>
          </w:p>
        </w:tc>
      </w:tr>
      <w:tr>
        <w:trPr>
          <w:trHeight w:val="1076" w:hRule="exact"/>
        </w:trPr>
        <w:tc>
          <w:tcPr>
            <w:tcW w:w="3375" w:type="dxa"/>
            <w:tcBorders>
              <w:top w:val="nil" w:sz="6" w:space="0" w:color="auto"/>
              <w:left w:val="single" w:sz="4" w:space="0" w:color="000000"/>
              <w:bottom w:val="single" w:sz="4" w:space="0" w:color="000000"/>
              <w:right w:val="nil" w:sz="6" w:space="0" w:color="auto"/>
            </w:tcBorders>
          </w:tcPr>
          <w:p>
            <w:pPr/>
          </w:p>
        </w:tc>
        <w:tc>
          <w:tcPr>
            <w:tcW w:w="3014"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311"/>
              <w:jc w:val="right"/>
              <w:rPr>
                <w:rFonts w:ascii="宋体" w:hAnsi="宋体" w:cs="宋体" w:eastAsia="宋体" w:hint="default"/>
                <w:sz w:val="21"/>
                <w:szCs w:val="21"/>
              </w:rPr>
            </w:pPr>
            <w:r>
              <w:rPr>
                <w:rFonts w:ascii="宋体" w:hAnsi="宋体" w:cs="宋体" w:eastAsia="宋体" w:hint="default"/>
                <w:spacing w:val="-2"/>
                <w:sz w:val="21"/>
                <w:szCs w:val="21"/>
              </w:rPr>
              <w:t>中国注册会计师：</w:t>
            </w:r>
          </w:p>
        </w:tc>
        <w:tc>
          <w:tcPr>
            <w:tcW w:w="3467" w:type="dxa"/>
            <w:tcBorders>
              <w:top w:val="nil" w:sz="6" w:space="0" w:color="auto"/>
              <w:left w:val="nil" w:sz="6" w:space="0" w:color="auto"/>
              <w:bottom w:val="single" w:sz="4" w:space="0" w:color="000000"/>
              <w:right w:val="single" w:sz="4" w:space="0" w:color="000000"/>
            </w:tcBorders>
          </w:tcPr>
          <w:p>
            <w:pPr>
              <w:pStyle w:val="TableParagraph"/>
              <w:spacing w:line="240" w:lineRule="auto" w:before="41"/>
              <w:ind w:left="313" w:right="0"/>
              <w:jc w:val="left"/>
              <w:rPr>
                <w:rFonts w:ascii="宋体" w:hAnsi="宋体" w:cs="宋体" w:eastAsia="宋体" w:hint="default"/>
                <w:sz w:val="21"/>
                <w:szCs w:val="21"/>
              </w:rPr>
            </w:pPr>
            <w:r>
              <w:rPr>
                <w:rFonts w:ascii="宋体" w:hAnsi="宋体" w:cs="宋体" w:eastAsia="宋体" w:hint="default"/>
                <w:sz w:val="21"/>
                <w:szCs w:val="21"/>
              </w:rPr>
              <w:t>党小安、俞扬</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3"/>
        <w:spacing w:line="240" w:lineRule="auto" w:before="26"/>
        <w:ind w:left="212" w:right="1034"/>
        <w:jc w:val="left"/>
        <w:rPr>
          <w:b w:val="0"/>
          <w:bCs w:val="0"/>
        </w:rPr>
      </w:pPr>
      <w:r>
        <w:rPr/>
        <w:t>二、财务报表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12" w:right="1034"/>
        <w:jc w:val="left"/>
      </w:pPr>
      <w:r>
        <w:rPr/>
        <w:t>财务附注中报表的单位为：人民币元</w:t>
      </w:r>
    </w:p>
    <w:p>
      <w:pPr>
        <w:spacing w:line="240" w:lineRule="auto" w:before="0"/>
        <w:rPr>
          <w:rFonts w:ascii="宋体" w:hAnsi="宋体" w:cs="宋体" w:eastAsia="宋体" w:hint="default"/>
          <w:sz w:val="18"/>
          <w:szCs w:val="18"/>
        </w:rPr>
      </w:pPr>
    </w:p>
    <w:p>
      <w:pPr>
        <w:pStyle w:val="Heading5"/>
        <w:spacing w:line="240" w:lineRule="auto" w:before="121"/>
        <w:ind w:left="212" w:right="1034"/>
        <w:jc w:val="left"/>
        <w:rPr>
          <w:b w:val="0"/>
          <w:bCs w:val="0"/>
        </w:rPr>
      </w:pPr>
      <w:r>
        <w:rPr>
          <w:rFonts w:ascii="Times New Roman" w:hAnsi="Times New Roman" w:cs="Times New Roman" w:eastAsia="Times New Roman" w:hint="default"/>
        </w:rPr>
        <w:t>1</w:t>
      </w:r>
      <w:r>
        <w:rPr/>
        <w:t>、资产负债表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212" w:right="1034"/>
        <w:jc w:val="left"/>
      </w:pPr>
      <w:r>
        <w:rPr/>
        <w:t>编制单位：中海网络科技股份有限公司</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503,498,886.46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481,005,521.78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139,164,638.38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43,443,439.50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16,920,709.97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49,846,011.94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4,750,902.16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1,233,580.43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57,356,374.09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61,103,048.21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42,244,028.64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105,436,050.09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763,935,539.70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742,067,651.95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20" w:right="0"/>
        </w:sectPr>
      </w:pPr>
    </w:p>
    <w:p>
      <w:pPr>
        <w:spacing w:line="240" w:lineRule="auto" w:before="11"/>
        <w:rPr>
          <w:rFonts w:ascii="Times New Roman" w:hAnsi="Times New Roman" w:cs="Times New Roman" w:eastAsia="Times New Roman" w:hint="default"/>
          <w:sz w:val="27"/>
          <w:szCs w:val="27"/>
        </w:rPr>
      </w:pPr>
      <w:r>
        <w:rPr/>
        <w:pict>
          <v:shape style="position:absolute;margin-left:460.320007pt;margin-top:764.919983pt;width:135.0pt;height:77pt;mso-position-horizontal-relative:page;mso-position-vertical-relative:page;z-index:1888" type="#_x0000_t75" stroked="false">
            <v:imagedata r:id="rId5" o:title=""/>
          </v:shape>
        </w:pict>
      </w: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2,865,290.65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3,052,358.34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5,352,879.76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6,115,664.76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27,274,941.22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25,008,810.13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1,582,501.22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31,642.08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9,232,589.30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10,256,694.49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46,308,202.15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44,465,169.80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810,243,741.85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786,532,821.75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12,344,823.92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25,611,777.00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135,335,561.38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95,656,201.25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64,072,231.66</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112,175,324.99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1,418,833.21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611,330.56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14,615,371.01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4,835,673.28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625,031.77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711,697.64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228,411,852.95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239,602,004.72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228,411,852.95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239,602,004.72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202,160,000.00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106,400,000.00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188,713,158.89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284,473,158.89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27,117,701.82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22,563,594.63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163,841,028.19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133,494,063.51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581,831,888.90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546,930,817.03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581,831,888.90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546,930,817.03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810,243,741.85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786,532,821.75</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981"/>
        <w:jc w:val="left"/>
      </w:pPr>
      <w:r>
        <w:rPr/>
        <w:t>法定代表人：沈以华</w:t>
        <w:tab/>
      </w:r>
      <w:r>
        <w:rPr>
          <w:spacing w:val="-1"/>
        </w:rPr>
        <w:t>主管会计工作负责人：周保国</w:t>
        <w:tab/>
      </w:r>
      <w:r>
        <w:rPr/>
        <w:t>会计机构负责人：周保国</w:t>
      </w:r>
    </w:p>
    <w:p>
      <w:pPr>
        <w:spacing w:after="0" w:line="240" w:lineRule="auto"/>
        <w:jc w:val="left"/>
        <w:sectPr>
          <w:footerReference w:type="default" r:id="rId30"/>
          <w:pgSz w:w="11910" w:h="16840"/>
          <w:pgMar w:footer="1340" w:header="877" w:top="1100" w:bottom="1540" w:left="980" w:right="0"/>
          <w:pgNumType w:start="60"/>
        </w:sectPr>
      </w:pPr>
    </w:p>
    <w:p>
      <w:pPr>
        <w:spacing w:line="240" w:lineRule="auto" w:before="11"/>
        <w:rPr>
          <w:rFonts w:ascii="宋体" w:hAnsi="宋体" w:cs="宋体" w:eastAsia="宋体" w:hint="default"/>
          <w:sz w:val="20"/>
          <w:szCs w:val="20"/>
        </w:rPr>
      </w:pPr>
    </w:p>
    <w:p>
      <w:pPr>
        <w:pStyle w:val="Heading5"/>
        <w:spacing w:line="240" w:lineRule="auto" w:before="36"/>
        <w:ind w:right="981"/>
        <w:jc w:val="left"/>
        <w:rPr>
          <w:b w:val="0"/>
          <w:bCs w:val="0"/>
        </w:rPr>
      </w:pPr>
      <w:r>
        <w:rPr>
          <w:rFonts w:ascii="Times New Roman" w:hAnsi="Times New Roman" w:cs="Times New Roman" w:eastAsia="Times New Roman" w:hint="default"/>
        </w:rPr>
        <w:t>2</w:t>
      </w:r>
      <w:r>
        <w:rPr/>
        <w:t>、利润表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1"/>
        <w:jc w:val="left"/>
      </w:pPr>
      <w:r>
        <w:rPr/>
        <w:t>编制单位：中海网络科技股份有限公司</w:t>
      </w:r>
    </w:p>
    <w:p>
      <w:pPr>
        <w:pStyle w:val="BodyText"/>
        <w:spacing w:line="240" w:lineRule="auto" w:before="115"/>
        <w:ind w:left="0" w:right="1131"/>
        <w:jc w:val="right"/>
      </w:pPr>
      <w:r>
        <w:rPr/>
        <w:pict>
          <v:shape style="position:absolute;margin-left:57pt;margin-top:22.981709pt;width:478.7pt;height:625.8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502,553,636.15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486,243,589.49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502,553,636.15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486,243,589.49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450,999,755.97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439,707,195.66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409,140,153.35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403,824,693.28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15,657,643.96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15,494,342.70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5,570,075.38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6,669,123.44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26,126,880.09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23,243,024.88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-11,049,804.00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-10,582,858.29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5,554,807.19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1,058,869.65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1,612,932.31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1,631,805.77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1,612,932.31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1,631,805.77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53,166,812.49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48,168,199.60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441,465.33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2,412,513.80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57,332.50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56,120.50</w:t>
                        </w:r>
                      </w:p>
                    </w:tc>
                    <w:tc>
                      <w:tcPr>
                        <w:tcW w:w="3303"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单位：元</w:t>
      </w:r>
    </w:p>
    <w:p>
      <w:pPr>
        <w:spacing w:after="0" w:line="240" w:lineRule="auto"/>
        <w:jc w:val="right"/>
        <w:sectPr>
          <w:pgSz w:w="11910" w:h="16840"/>
          <w:pgMar w:header="877" w:footer="1340" w:top="1100" w:bottom="158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53,550,945.32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50,526,013.40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8,009,873.45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8,453,830.34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45,541,071.87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42,072,183.06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45,541,071.87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42,072,183.06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0.2253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0.2081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0.2253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0.2081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45,541,071.87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42,072,183.06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45,541,071.87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42,072,183.06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1"/>
        <w:jc w:val="left"/>
      </w:pPr>
      <w:r>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pStyle w:val="BodyText"/>
        <w:tabs>
          <w:tab w:pos="3578" w:val="left" w:leader="none"/>
          <w:tab w:pos="7721" w:val="left" w:leader="none"/>
        </w:tabs>
        <w:spacing w:line="240" w:lineRule="auto" w:before="141"/>
        <w:ind w:right="981"/>
        <w:jc w:val="left"/>
      </w:pPr>
      <w:r>
        <w:rPr/>
        <w:t>法定代表人：沈以华</w:t>
        <w:tab/>
      </w:r>
      <w:r>
        <w:rPr>
          <w:spacing w:val="-1"/>
        </w:rPr>
        <w:t>主管会计工作负责人：周保国</w:t>
        <w:tab/>
      </w:r>
      <w:r>
        <w:rPr/>
        <w:t>会计机构负责人：周保国</w:t>
      </w:r>
    </w:p>
    <w:p>
      <w:pPr>
        <w:spacing w:line="240" w:lineRule="auto" w:before="0"/>
        <w:rPr>
          <w:rFonts w:ascii="宋体" w:hAnsi="宋体" w:cs="宋体" w:eastAsia="宋体" w:hint="default"/>
          <w:sz w:val="18"/>
          <w:szCs w:val="18"/>
        </w:rPr>
      </w:pPr>
    </w:p>
    <w:p>
      <w:pPr>
        <w:pStyle w:val="Heading5"/>
        <w:spacing w:line="240" w:lineRule="auto" w:before="120"/>
        <w:ind w:right="981"/>
        <w:jc w:val="left"/>
        <w:rPr>
          <w:b w:val="0"/>
          <w:bCs w:val="0"/>
        </w:rPr>
      </w:pPr>
      <w:r>
        <w:rPr>
          <w:rFonts w:ascii="Times New Roman" w:hAnsi="Times New Roman" w:cs="Times New Roman" w:eastAsia="Times New Roman" w:hint="default"/>
        </w:rPr>
        <w:t>3</w:t>
      </w:r>
      <w:r>
        <w:rPr/>
        <w:t>、现金流量表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81"/>
        <w:jc w:val="left"/>
      </w:pPr>
      <w:r>
        <w:rPr/>
        <w:t>编制单位：中海网络科技股份有限公司</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347,774,290.48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0" w:right="0"/>
              <w:jc w:val="left"/>
              <w:rPr>
                <w:rFonts w:ascii="Times New Roman" w:hAnsi="Times New Roman" w:cs="Times New Roman" w:eastAsia="Times New Roman" w:hint="default"/>
                <w:sz w:val="18"/>
                <w:szCs w:val="18"/>
              </w:rPr>
            </w:pPr>
            <w:r>
              <w:rPr>
                <w:rFonts w:ascii="Times New Roman"/>
                <w:sz w:val="18"/>
              </w:rPr>
              <w:t>494,627,734.11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100" w:bottom="154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460.320007pt;margin-top:764.919983pt;width:135.0pt;height:77pt;mso-position-horizontal-relative:page;mso-position-vertical-relative:page;z-index:-560032" type="#_x0000_t75" stroked="false">
            <v:imagedata r:id="rId5" o:title=""/>
          </v:shape>
        </w:pict>
      </w: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126,997,316.06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154,305,370.74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474,771,606.54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648,933,104.85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229,644,724.30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342,769,067.45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54,944,014.46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49,420,182.18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12,441,975.86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27,117,549.19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137,600,194.60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183,966,682.96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434,630,909.22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603,273,481.78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40,140,697.32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45,659,623.07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4,993,581.80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20,053,023.08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4,993,581.80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20,053,023.08</w:t>
            </w:r>
          </w:p>
        </w:tc>
      </w:tr>
    </w:tbl>
    <w:p>
      <w:pPr>
        <w:spacing w:after="0" w:line="240" w:lineRule="auto"/>
        <w:jc w:val="right"/>
        <w:rPr>
          <w:rFonts w:ascii="Times New Roman" w:hAnsi="Times New Roman" w:cs="Times New Roman" w:eastAsia="Times New Roman" w:hint="default"/>
          <w:sz w:val="18"/>
          <w:szCs w:val="18"/>
        </w:rPr>
        <w:sectPr>
          <w:footerReference w:type="default" r:id="rId31"/>
          <w:pgSz w:w="11910" w:h="16840"/>
          <w:pgMar w:footer="980" w:header="877" w:top="1100" w:bottom="1160" w:left="980" w:right="0"/>
          <w:pgNumType w:start="63"/>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-3,158,581.80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-19,253,023.08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10,640,000.00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pacing w:val="-1"/>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-10,640,000.00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26,342,115.52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26,406,599.99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465,784,153.33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439,377,553.34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492,126,268.85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465,784,153.33</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981"/>
        <w:jc w:val="left"/>
      </w:pPr>
      <w:r>
        <w:rPr/>
        <w:t>法定代表人：沈以华</w:t>
        <w:tab/>
      </w:r>
      <w:r>
        <w:rPr>
          <w:spacing w:val="-1"/>
        </w:rPr>
        <w:t>主管会计工作负责人：周保国</w:t>
        <w:tab/>
      </w:r>
      <w:r>
        <w:rPr/>
        <w:t>会计机构负责人：周保国</w:t>
      </w:r>
    </w:p>
    <w:p>
      <w:pPr>
        <w:spacing w:line="240" w:lineRule="auto" w:before="0"/>
        <w:rPr>
          <w:rFonts w:ascii="宋体" w:hAnsi="宋体" w:cs="宋体" w:eastAsia="宋体" w:hint="default"/>
          <w:sz w:val="18"/>
          <w:szCs w:val="18"/>
        </w:rPr>
      </w:pPr>
    </w:p>
    <w:p>
      <w:pPr>
        <w:pStyle w:val="Heading5"/>
        <w:spacing w:line="240" w:lineRule="auto" w:before="120"/>
        <w:ind w:right="981"/>
        <w:jc w:val="left"/>
        <w:rPr>
          <w:b w:val="0"/>
          <w:bCs w:val="0"/>
        </w:rPr>
      </w:pPr>
      <w:r>
        <w:rPr>
          <w:rFonts w:ascii="Times New Roman" w:hAnsi="Times New Roman" w:cs="Times New Roman" w:eastAsia="Times New Roman" w:hint="default"/>
        </w:rPr>
        <w:t>4</w:t>
      </w:r>
      <w:r>
        <w:rPr/>
        <w:t>、所有者权益变动表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980" w:top="1100" w:bottom="1160" w:left="980" w:right="0"/>
        </w:sectPr>
      </w:pPr>
    </w:p>
    <w:p>
      <w:pPr>
        <w:pStyle w:val="BodyText"/>
        <w:spacing w:line="357" w:lineRule="auto" w:before="44"/>
        <w:ind w:right="-20"/>
        <w:jc w:val="left"/>
      </w:pPr>
      <w:r>
        <w:rPr/>
        <w:t>编制单位：中海网络科技股份有限公司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880" w:bottom="0" w:left="980" w:right="0"/>
          <w:cols w:num="2" w:equalWidth="0">
            <w:col w:w="3213" w:space="5707"/>
            <w:col w:w="2010"/>
          </w:cols>
        </w:sectPr>
      </w:pPr>
    </w:p>
    <w:p>
      <w:pPr>
        <w:spacing w:line="240" w:lineRule="auto" w:before="5"/>
        <w:rPr>
          <w:rFonts w:ascii="宋体" w:hAnsi="宋体" w:cs="宋体" w:eastAsia="宋体" w:hint="default"/>
          <w:sz w:val="8"/>
          <w:szCs w:val="8"/>
        </w:rPr>
      </w:pPr>
      <w:r>
        <w:rPr/>
        <w:pict>
          <v:shape style="position:absolute;margin-left:460.320007pt;margin-top:764.919983pt;width:135.0pt;height:77pt;mso-position-horizontal-relative:page;mso-position-vertical-relative:page;z-index:1960" type="#_x0000_t75" stroked="false">
            <v:imagedata r:id="rId5" o:title=""/>
          </v:shape>
        </w:pict>
      </w:r>
    </w:p>
    <w:tbl>
      <w:tblPr>
        <w:tblW w:w="0" w:type="auto"/>
        <w:jc w:val="left"/>
        <w:tblInd w:w="148" w:type="dxa"/>
        <w:tblLayout w:type="fixed"/>
        <w:tblCellMar>
          <w:top w:w="0" w:type="dxa"/>
          <w:left w:w="0" w:type="dxa"/>
          <w:bottom w:w="0" w:type="dxa"/>
          <w:right w:w="0" w:type="dxa"/>
        </w:tblCellMar>
        <w:tblLook w:val="01E0"/>
      </w:tblPr>
      <w:tblGrid>
        <w:gridCol w:w="2379"/>
        <w:gridCol w:w="675"/>
        <w:gridCol w:w="686"/>
        <w:gridCol w:w="686"/>
        <w:gridCol w:w="686"/>
        <w:gridCol w:w="684"/>
        <w:gridCol w:w="684"/>
        <w:gridCol w:w="686"/>
        <w:gridCol w:w="687"/>
        <w:gridCol w:w="818"/>
        <w:gridCol w:w="893"/>
      </w:tblGrid>
      <w:tr>
        <w:trPr>
          <w:trHeight w:val="401" w:hRule="exact"/>
        </w:trPr>
        <w:tc>
          <w:tcPr>
            <w:tcW w:w="2379" w:type="dxa"/>
            <w:vMerge w:val="restart"/>
            <w:tcBorders>
              <w:top w:val="single" w:sz="4" w:space="0" w:color="000000"/>
              <w:left w:val="single" w:sz="4" w:space="0" w:color="000000"/>
              <w:right w:val="single" w:sz="4" w:space="0" w:color="000000"/>
            </w:tcBorders>
            <w:shd w:val="clear" w:color="auto" w:fill="D2D2D2"/>
          </w:tcPr>
          <w:p>
            <w:pPr/>
          </w:p>
        </w:tc>
        <w:tc>
          <w:tcPr>
            <w:tcW w:w="7187"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79" w:type="dxa"/>
            <w:vMerge/>
            <w:tcBorders>
              <w:left w:val="single" w:sz="4" w:space="0" w:color="000000"/>
              <w:bottom w:val="nil" w:sz="6" w:space="0" w:color="auto"/>
              <w:right w:val="single" w:sz="4" w:space="0" w:color="000000"/>
            </w:tcBorders>
            <w:shd w:val="clear" w:color="auto" w:fill="D2D2D2"/>
          </w:tcPr>
          <w:p>
            <w:pPr/>
          </w:p>
        </w:tc>
        <w:tc>
          <w:tcPr>
            <w:tcW w:w="547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38"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55"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79" w:type="dxa"/>
            <w:vMerge/>
            <w:tcBorders>
              <w:left w:val="single" w:sz="4" w:space="0" w:color="000000"/>
              <w:bottom w:val="nil" w:sz="6" w:space="0" w:color="auto"/>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79" w:type="dxa"/>
            <w:vMerge w:val="restart"/>
            <w:tcBorders>
              <w:top w:val="nil" w:sz="6" w:space="0" w:color="auto"/>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79" w:type="dxa"/>
            <w:vMerge/>
            <w:tcBorders>
              <w:left w:val="single" w:sz="4" w:space="0" w:color="000000"/>
              <w:right w:val="single" w:sz="4" w:space="0" w:color="000000"/>
            </w:tcBorders>
            <w:shd w:val="clear" w:color="auto" w:fill="D2D2D2"/>
          </w:tcPr>
          <w:p>
            <w:pPr/>
          </w:p>
        </w:tc>
        <w:tc>
          <w:tcPr>
            <w:tcW w:w="675"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79" w:type="dxa"/>
            <w:vMerge/>
            <w:tcBorders>
              <w:left w:val="single" w:sz="4" w:space="0" w:color="000000"/>
              <w:bottom w:val="single" w:sz="4" w:space="0" w:color="000000"/>
              <w:right w:val="single" w:sz="4" w:space="0" w:color="000000"/>
            </w:tcBorders>
            <w:shd w:val="clear" w:color="auto" w:fill="D2D2D2"/>
          </w:tcPr>
          <w:p>
            <w:pPr/>
          </w:p>
        </w:tc>
        <w:tc>
          <w:tcPr>
            <w:tcW w:w="675"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5" w:type="dxa"/>
            <w:vMerge w:val="restart"/>
            <w:tcBorders>
              <w:top w:val="single" w:sz="4" w:space="0" w:color="000000"/>
              <w:left w:val="single" w:sz="10" w:space="0" w:color="D2D2D2"/>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106,400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284,473,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158.89</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22,563,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594.63</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133,494,</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063.51</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546,930,81</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7.03</w:t>
            </w:r>
          </w:p>
        </w:tc>
      </w:tr>
      <w:tr>
        <w:trPr>
          <w:trHeight w:val="394" w:hRule="exact"/>
        </w:trPr>
        <w:tc>
          <w:tcPr>
            <w:tcW w:w="23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75"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5"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880" w:bottom="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460.320007pt;margin-top:764.919983pt;width:135.0pt;height:77pt;mso-position-horizontal-relative:page;mso-position-vertical-relative:page;z-index:-559984" type="#_x0000_t75" stroked="false">
            <v:imagedata r:id="rId5" o:title=""/>
          </v:shape>
        </w:pict>
      </w: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106,400</w:t>
            </w:r>
          </w:p>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284,473,</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158.89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3" w:right="0"/>
              <w:jc w:val="left"/>
              <w:rPr>
                <w:rFonts w:ascii="Times New Roman" w:hAnsi="Times New Roman" w:cs="Times New Roman" w:eastAsia="Times New Roman" w:hint="default"/>
                <w:sz w:val="18"/>
                <w:szCs w:val="18"/>
              </w:rPr>
            </w:pPr>
            <w:r>
              <w:rPr>
                <w:rFonts w:ascii="Times New Roman"/>
                <w:sz w:val="18"/>
              </w:rPr>
              <w:t>22,563,</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594.63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133,494,</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063.51</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546,930,81</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7.03</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95,760,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-95,760,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4,554,1</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07.19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30,346,9</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64.68</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34,901,071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.87</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45,541,0</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71.87</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45,541,071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.87</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6" w:right="0"/>
              <w:jc w:val="left"/>
              <w:rPr>
                <w:rFonts w:ascii="Times New Roman" w:hAnsi="Times New Roman" w:cs="Times New Roman" w:eastAsia="Times New Roman" w:hint="default"/>
                <w:sz w:val="18"/>
                <w:szCs w:val="18"/>
              </w:rPr>
            </w:pPr>
            <w:r>
              <w:rPr>
                <w:rFonts w:ascii="Times New Roman"/>
                <w:sz w:val="18"/>
              </w:rPr>
              <w:t>45,541,0</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71.87</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45,541,071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.87</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4,554,1</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07.19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-15,194,</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107.19</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-10,640,00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4,554,1</w:t>
            </w:r>
          </w:p>
          <w:p>
            <w:pPr>
              <w:pStyle w:val="TableParagraph"/>
              <w:spacing w:line="240" w:lineRule="auto" w:before="103"/>
              <w:ind w:left="226" w:right="0"/>
              <w:jc w:val="center"/>
              <w:rPr>
                <w:rFonts w:ascii="Times New Roman" w:hAnsi="Times New Roman" w:cs="Times New Roman" w:eastAsia="Times New Roman" w:hint="default"/>
                <w:sz w:val="18"/>
                <w:szCs w:val="18"/>
              </w:rPr>
            </w:pPr>
            <w:r>
              <w:rPr>
                <w:rFonts w:ascii="Times New Roman"/>
                <w:sz w:val="18"/>
              </w:rPr>
              <w:t>07.19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-4,554,1</w:t>
            </w:r>
          </w:p>
          <w:p>
            <w:pPr>
              <w:pStyle w:val="TableParagraph"/>
              <w:spacing w:line="240" w:lineRule="auto" w:before="103"/>
              <w:ind w:left="233" w:right="0"/>
              <w:jc w:val="center"/>
              <w:rPr>
                <w:rFonts w:ascii="Times New Roman" w:hAnsi="Times New Roman" w:cs="Times New Roman" w:eastAsia="Times New Roman" w:hint="default"/>
                <w:sz w:val="18"/>
                <w:szCs w:val="18"/>
              </w:rPr>
            </w:pPr>
            <w:r>
              <w:rPr>
                <w:rFonts w:ascii="Times New Roman"/>
                <w:sz w:val="18"/>
              </w:rPr>
              <w:t>07.19</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-10,640,</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000.00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-10,640,00</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95,760,</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center"/>
              <w:rPr>
                <w:rFonts w:ascii="Times New Roman" w:hAnsi="Times New Roman" w:cs="Times New Roman" w:eastAsia="Times New Roman" w:hint="default"/>
                <w:sz w:val="18"/>
                <w:szCs w:val="18"/>
              </w:rPr>
            </w:pPr>
            <w:r>
              <w:rPr>
                <w:rFonts w:ascii="Times New Roman"/>
                <w:sz w:val="18"/>
              </w:rPr>
              <w:t>-95,760,</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95,760,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-95,760,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460.320007pt;margin-top:764.919983pt;width:135.0pt;height:77pt;mso-position-horizontal-relative:page;mso-position-vertical-relative:page;z-index:2008" type="#_x0000_t75" stroked="false">
            <v:imagedata r:id="rId5" o:title=""/>
          </v:shape>
        </w:pict>
      </w: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202,160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188,713,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158.89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27,117,7</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01.82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163,841,</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028.19</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581,831,88</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8.90</w:t>
            </w:r>
          </w:p>
        </w:tc>
      </w:tr>
    </w:tbl>
    <w:p>
      <w:pPr>
        <w:pStyle w:val="BodyText"/>
        <w:spacing w:line="240" w:lineRule="auto" w:before="49"/>
        <w:ind w:right="981"/>
        <w:jc w:val="left"/>
      </w:pPr>
      <w:r>
        <w:rPr/>
        <w:t>上年金额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55"/>
        <w:gridCol w:w="687"/>
        <w:gridCol w:w="686"/>
        <w:gridCol w:w="686"/>
        <w:gridCol w:w="686"/>
        <w:gridCol w:w="684"/>
        <w:gridCol w:w="684"/>
        <w:gridCol w:w="686"/>
        <w:gridCol w:w="687"/>
        <w:gridCol w:w="818"/>
        <w:gridCol w:w="893"/>
      </w:tblGrid>
      <w:tr>
        <w:trPr>
          <w:trHeight w:val="401" w:hRule="exact"/>
        </w:trPr>
        <w:tc>
          <w:tcPr>
            <w:tcW w:w="2355" w:type="dxa"/>
            <w:vMerge w:val="restart"/>
            <w:tcBorders>
              <w:top w:val="single" w:sz="4" w:space="0" w:color="000000"/>
              <w:left w:val="single" w:sz="4" w:space="0" w:color="000000"/>
              <w:right w:val="single" w:sz="4" w:space="0" w:color="000000"/>
            </w:tcBorders>
            <w:shd w:val="clear" w:color="auto" w:fill="D2D2D2"/>
          </w:tcPr>
          <w:p>
            <w:pPr/>
          </w:p>
        </w:tc>
        <w:tc>
          <w:tcPr>
            <w:tcW w:w="719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2355" w:type="dxa"/>
            <w:vMerge/>
            <w:tcBorders>
              <w:left w:val="single" w:sz="4" w:space="0" w:color="000000"/>
              <w:bottom w:val="nil" w:sz="6" w:space="0" w:color="auto"/>
              <w:right w:val="single" w:sz="4" w:space="0" w:color="000000"/>
            </w:tcBorders>
            <w:shd w:val="clear" w:color="auto" w:fill="D2D2D2"/>
          </w:tcPr>
          <w:p>
            <w:pPr/>
          </w:p>
        </w:tc>
        <w:tc>
          <w:tcPr>
            <w:tcW w:w="548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67"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55"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55" w:type="dxa"/>
            <w:vMerge w:val="restart"/>
            <w:tcBorders>
              <w:top w:val="nil" w:sz="6" w:space="0" w:color="auto"/>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55"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55"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53,200,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337,673,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158.89</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18,356,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376.32</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95,629,0</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98.76</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504,858,63</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3.97</w:t>
            </w:r>
          </w:p>
        </w:tc>
      </w:tr>
      <w:tr>
        <w:trPr>
          <w:trHeight w:val="394"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53,200,</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337,673,</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158.89</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18,356,</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376.32</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95,629,0</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98.76</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504,858,63</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3.97</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53,200,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-53,200,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4,207,2</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18.31</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37,864,9</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64.75</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42,072,183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.06</w:t>
            </w: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42,072,1</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83.06</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42,072,183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.06</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42,072,1</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83.06</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42,072,183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.06</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4,207,2</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18.31</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-4,207,2</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18.31</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4"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4,207,2</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18.31</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-4,207,2</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18.31</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53,200,</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center"/>
              <w:rPr>
                <w:rFonts w:ascii="Times New Roman" w:hAnsi="Times New Roman" w:cs="Times New Roman" w:eastAsia="Times New Roman" w:hint="default"/>
                <w:sz w:val="18"/>
                <w:szCs w:val="18"/>
              </w:rPr>
            </w:pPr>
            <w:r>
              <w:rPr>
                <w:rFonts w:ascii="Times New Roman"/>
                <w:sz w:val="18"/>
              </w:rPr>
              <w:t>-53,200,</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53,200,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-53,200,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106,400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284,473,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158.89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22,563,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594.63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133,494,</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063.51</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546,930,81</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7.03</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before="44"/>
        <w:ind w:right="981"/>
        <w:jc w:val="left"/>
      </w:pPr>
      <w:r>
        <w:rPr/>
        <w:t>法定代表人：沈以华</w:t>
        <w:tab/>
      </w:r>
      <w:r>
        <w:rPr>
          <w:spacing w:val="-1"/>
        </w:rPr>
        <w:t>主管会计工作负责人：周保国</w:t>
        <w:tab/>
      </w:r>
      <w:r>
        <w:rPr/>
        <w:t>会计机构负责人：周保国</w:t>
      </w:r>
    </w:p>
    <w:p>
      <w:pPr>
        <w:spacing w:line="240" w:lineRule="auto" w:before="1"/>
        <w:rPr>
          <w:rFonts w:ascii="宋体" w:hAnsi="宋体" w:cs="宋体" w:eastAsia="宋体" w:hint="default"/>
          <w:sz w:val="25"/>
          <w:szCs w:val="25"/>
        </w:rPr>
      </w:pPr>
    </w:p>
    <w:p>
      <w:pPr>
        <w:pStyle w:val="Heading3"/>
        <w:spacing w:line="240" w:lineRule="auto"/>
        <w:ind w:right="981"/>
        <w:jc w:val="left"/>
        <w:rPr>
          <w:b w:val="0"/>
          <w:bCs w:val="0"/>
        </w:rPr>
      </w:pPr>
      <w:r>
        <w:rPr/>
        <w:t>三、公司基本情况</w:t>
      </w:r>
      <w:r>
        <w:rPr>
          <w:b w:val="0"/>
          <w:bCs w:val="0"/>
        </w:rPr>
      </w:r>
    </w:p>
    <w:p>
      <w:pPr>
        <w:spacing w:line="240" w:lineRule="auto" w:before="11"/>
        <w:rPr>
          <w:rFonts w:ascii="宋体" w:hAnsi="宋体" w:cs="宋体" w:eastAsia="宋体" w:hint="default"/>
          <w:b/>
          <w:bCs/>
          <w:sz w:val="31"/>
          <w:szCs w:val="31"/>
        </w:rPr>
      </w:pPr>
    </w:p>
    <w:p>
      <w:pPr>
        <w:pStyle w:val="BodyText"/>
        <w:spacing w:line="367" w:lineRule="auto"/>
        <w:ind w:right="1129" w:firstLine="360"/>
        <w:jc w:val="both"/>
      </w:pPr>
      <w:r>
        <w:rPr>
          <w:spacing w:val="-2"/>
        </w:rPr>
        <w:t>中海网络科技股份有限公司（以下简称“本公司”或“公司”）的前身上海交技发展股份有限公司是经国家经贸委国经</w:t>
      </w:r>
      <w:r>
        <w:rPr/>
        <w:t> </w:t>
      </w:r>
      <w:r>
        <w:rPr>
          <w:spacing w:val="-2"/>
        </w:rPr>
        <w:t>贸企改（</w:t>
      </w:r>
      <w:r>
        <w:rPr>
          <w:rFonts w:ascii="宋体" w:hAnsi="宋体" w:cs="宋体" w:eastAsia="宋体" w:hint="default"/>
          <w:spacing w:val="-2"/>
        </w:rPr>
        <w:t>2000</w:t>
      </w:r>
      <w:r>
        <w:rPr>
          <w:spacing w:val="-2"/>
        </w:rPr>
        <w:t>）</w:t>
      </w:r>
      <w:r>
        <w:rPr>
          <w:rFonts w:ascii="宋体" w:hAnsi="宋体" w:cs="宋体" w:eastAsia="宋体" w:hint="default"/>
          <w:spacing w:val="-2"/>
        </w:rPr>
        <w:t>1251</w:t>
      </w:r>
      <w:r>
        <w:rPr>
          <w:rFonts w:ascii="宋体" w:hAnsi="宋体" w:cs="宋体" w:eastAsia="宋体" w:hint="default"/>
          <w:spacing w:val="-25"/>
        </w:rPr>
        <w:t> </w:t>
      </w:r>
      <w:r>
        <w:rPr>
          <w:spacing w:val="-1"/>
        </w:rPr>
        <w:t>号批准</w:t>
      </w:r>
      <w:r>
        <w:rPr>
          <w:rFonts w:ascii="宋体" w:hAnsi="宋体" w:cs="宋体" w:eastAsia="宋体" w:hint="default"/>
          <w:spacing w:val="-1"/>
        </w:rPr>
        <w:t>,</w:t>
      </w:r>
      <w:r>
        <w:rPr>
          <w:spacing w:val="-1"/>
        </w:rPr>
        <w:t>由上海船舶运输科学研究所、上海创业投资有限公司、上海运丰交通技术工程有限公司、上海</w:t>
      </w:r>
      <w:r>
        <w:rPr>
          <w:spacing w:val="-84"/>
        </w:rPr>
        <w:t> </w:t>
      </w:r>
      <w:r>
        <w:rPr>
          <w:spacing w:val="-84"/>
        </w:rPr>
      </w:r>
      <w:r>
        <w:rPr>
          <w:spacing w:val="-2"/>
        </w:rPr>
        <w:t>东信投资管理有限公司、上海中敏新技术有限责任公司共同发起设立，注册资本</w:t>
      </w:r>
      <w:r>
        <w:rPr/>
        <w:t> </w:t>
      </w:r>
      <w:r>
        <w:rPr>
          <w:rFonts w:ascii="宋体" w:hAnsi="宋体" w:cs="宋体" w:eastAsia="宋体" w:hint="default"/>
          <w:spacing w:val="-1"/>
        </w:rPr>
        <w:t>3,800</w:t>
      </w:r>
      <w:r>
        <w:rPr>
          <w:rFonts w:ascii="宋体" w:hAnsi="宋体" w:cs="宋体" w:eastAsia="宋体" w:hint="default"/>
          <w:spacing w:val="-66"/>
        </w:rPr>
        <w:t> </w:t>
      </w:r>
      <w:r>
        <w:rPr>
          <w:spacing w:val="-2"/>
        </w:rPr>
        <w:t>万元。上海立信长江会计师事务所有</w:t>
      </w:r>
    </w:p>
    <w:p>
      <w:pPr>
        <w:pStyle w:val="BodyText"/>
        <w:spacing w:line="240" w:lineRule="auto" w:before="29"/>
        <w:ind w:right="981"/>
        <w:jc w:val="left"/>
      </w:pPr>
      <w:r>
        <w:rPr/>
        <w:t>限公司于</w:t>
      </w:r>
      <w:r>
        <w:rPr>
          <w:spacing w:val="-45"/>
        </w:rPr>
        <w:t> </w:t>
      </w:r>
      <w:r>
        <w:rPr>
          <w:rFonts w:ascii="宋体" w:hAnsi="宋体" w:cs="宋体" w:eastAsia="宋体" w:hint="default"/>
        </w:rPr>
        <w:t>2001</w:t>
      </w:r>
      <w:r>
        <w:rPr>
          <w:rFonts w:ascii="宋体" w:hAnsi="宋体" w:cs="宋体" w:eastAsia="宋体" w:hint="default"/>
          <w:spacing w:val="-47"/>
        </w:rPr>
        <w:t> </w:t>
      </w:r>
      <w:r>
        <w:rPr/>
        <w:t>年</w:t>
      </w:r>
      <w:r>
        <w:rPr>
          <w:spacing w:val="-46"/>
        </w:rPr>
        <w:t> </w:t>
      </w:r>
      <w:r>
        <w:rPr>
          <w:rFonts w:ascii="宋体" w:hAnsi="宋体" w:cs="宋体" w:eastAsia="宋体" w:hint="default"/>
        </w:rPr>
        <w:t>1</w:t>
      </w:r>
      <w:r>
        <w:rPr>
          <w:rFonts w:ascii="宋体" w:hAnsi="宋体" w:cs="宋体" w:eastAsia="宋体" w:hint="default"/>
          <w:spacing w:val="-47"/>
        </w:rPr>
        <w:t> </w:t>
      </w:r>
      <w:r>
        <w:rPr/>
        <w:t>月</w:t>
      </w:r>
      <w:r>
        <w:rPr>
          <w:spacing w:val="-46"/>
        </w:rPr>
        <w:t> </w:t>
      </w:r>
      <w:r>
        <w:rPr>
          <w:rFonts w:ascii="宋体" w:hAnsi="宋体" w:cs="宋体" w:eastAsia="宋体" w:hint="default"/>
        </w:rPr>
        <w:t>15</w:t>
      </w:r>
      <w:r>
        <w:rPr>
          <w:rFonts w:ascii="宋体" w:hAnsi="宋体" w:cs="宋体" w:eastAsia="宋体" w:hint="default"/>
          <w:spacing w:val="-45"/>
        </w:rPr>
        <w:t> </w:t>
      </w:r>
      <w:r>
        <w:rPr/>
        <w:t>日出具了信长会师报字（</w:t>
      </w:r>
      <w:r>
        <w:rPr>
          <w:rFonts w:ascii="宋体" w:hAnsi="宋体" w:cs="宋体" w:eastAsia="宋体" w:hint="default"/>
        </w:rPr>
        <w:t>2001</w:t>
      </w:r>
      <w:r>
        <w:rPr/>
        <w:t>）第</w:t>
      </w:r>
      <w:r>
        <w:rPr>
          <w:spacing w:val="-48"/>
        </w:rPr>
        <w:t> </w:t>
      </w:r>
      <w:r>
        <w:rPr>
          <w:rFonts w:ascii="宋体" w:hAnsi="宋体" w:cs="宋体" w:eastAsia="宋体" w:hint="default"/>
        </w:rPr>
        <w:t>20010</w:t>
      </w:r>
      <w:r>
        <w:rPr>
          <w:rFonts w:ascii="宋体" w:hAnsi="宋体" w:cs="宋体" w:eastAsia="宋体" w:hint="default"/>
          <w:spacing w:val="-44"/>
        </w:rPr>
        <w:t> </w:t>
      </w:r>
      <w:r>
        <w:rPr/>
        <w:t>号验资报告。</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rFonts w:ascii="宋体" w:hAnsi="宋体" w:cs="宋体" w:eastAsia="宋体" w:hint="default"/>
        </w:rPr>
        <w:t>2010</w:t>
      </w:r>
      <w:r>
        <w:rPr>
          <w:rFonts w:ascii="宋体" w:hAnsi="宋体" w:cs="宋体" w:eastAsia="宋体" w:hint="default"/>
          <w:spacing w:val="-48"/>
        </w:rPr>
        <w:t> </w:t>
      </w:r>
      <w:r>
        <w:rPr/>
        <w:t>年</w:t>
      </w:r>
      <w:r>
        <w:rPr>
          <w:spacing w:val="-52"/>
        </w:rPr>
        <w:t> </w:t>
      </w:r>
      <w:r>
        <w:rPr>
          <w:rFonts w:ascii="宋体" w:hAnsi="宋体" w:cs="宋体" w:eastAsia="宋体" w:hint="default"/>
        </w:rPr>
        <w:t>4</w:t>
      </w:r>
      <w:r>
        <w:rPr>
          <w:rFonts w:ascii="宋体" w:hAnsi="宋体" w:cs="宋体" w:eastAsia="宋体" w:hint="default"/>
          <w:spacing w:val="-49"/>
        </w:rPr>
        <w:t> </w:t>
      </w:r>
      <w:r>
        <w:rPr/>
        <w:t>月</w:t>
      </w:r>
      <w:r>
        <w:rPr>
          <w:spacing w:val="-52"/>
        </w:rPr>
        <w:t> </w:t>
      </w:r>
      <w:r>
        <w:rPr>
          <w:rFonts w:ascii="宋体" w:hAnsi="宋体" w:cs="宋体" w:eastAsia="宋体" w:hint="default"/>
        </w:rPr>
        <w:t>2</w:t>
      </w:r>
      <w:r>
        <w:rPr>
          <w:rFonts w:ascii="宋体" w:hAnsi="宋体" w:cs="宋体" w:eastAsia="宋体" w:hint="default"/>
          <w:spacing w:val="-49"/>
        </w:rPr>
        <w:t> </w:t>
      </w:r>
      <w:r>
        <w:rPr/>
        <w:t>日，公司经中国证券监督管理委员会证监许可</w:t>
      </w:r>
      <w:r>
        <w:rPr>
          <w:rFonts w:ascii="宋体" w:hAnsi="宋体" w:cs="宋体" w:eastAsia="宋体" w:hint="default"/>
        </w:rPr>
        <w:t>[2010]406</w:t>
      </w:r>
      <w:r>
        <w:rPr>
          <w:rFonts w:ascii="宋体" w:hAnsi="宋体" w:cs="宋体" w:eastAsia="宋体" w:hint="default"/>
          <w:spacing w:val="-48"/>
        </w:rPr>
        <w:t> </w:t>
      </w:r>
      <w:r>
        <w:rPr>
          <w:spacing w:val="-3"/>
        </w:rPr>
        <w:t>号文《关于核准上海交技发展股份有限公司首次</w:t>
      </w:r>
    </w:p>
    <w:p>
      <w:pPr>
        <w:pStyle w:val="BodyText"/>
        <w:spacing w:line="240" w:lineRule="auto" w:before="124"/>
        <w:ind w:right="981"/>
        <w:jc w:val="left"/>
        <w:rPr>
          <w:rFonts w:ascii="宋体" w:hAnsi="宋体" w:cs="宋体" w:eastAsia="宋体" w:hint="default"/>
        </w:rPr>
      </w:pPr>
      <w:r>
        <w:rPr/>
        <w:t>公开发行股票的批复》批准，向社会公开发行人民币普通股</w:t>
      </w:r>
      <w:r>
        <w:rPr>
          <w:spacing w:val="-22"/>
        </w:rPr>
        <w:t> </w:t>
      </w:r>
      <w:r>
        <w:rPr>
          <w:rFonts w:ascii="宋体" w:hAnsi="宋体" w:cs="宋体" w:eastAsia="宋体" w:hint="default"/>
        </w:rPr>
        <w:t>1,330</w:t>
      </w:r>
      <w:r>
        <w:rPr>
          <w:rFonts w:ascii="宋体" w:hAnsi="宋体" w:cs="宋体" w:eastAsia="宋体" w:hint="default"/>
          <w:spacing w:val="-21"/>
        </w:rPr>
        <w:t> </w:t>
      </w:r>
      <w:r>
        <w:rPr/>
        <w:t>万股，发行后公司股本总额为人民币</w:t>
      </w:r>
      <w:r>
        <w:rPr>
          <w:spacing w:val="-22"/>
        </w:rPr>
        <w:t> </w:t>
      </w:r>
      <w:r>
        <w:rPr>
          <w:rFonts w:ascii="宋体" w:hAnsi="宋体" w:cs="宋体" w:eastAsia="宋体" w:hint="default"/>
        </w:rPr>
        <w:t>5,320</w:t>
      </w:r>
      <w:r>
        <w:rPr>
          <w:rFonts w:ascii="宋体" w:hAnsi="宋体" w:cs="宋体" w:eastAsia="宋体" w:hint="default"/>
          <w:spacing w:val="-21"/>
        </w:rPr>
        <w:t> </w:t>
      </w:r>
      <w:r>
        <w:rPr/>
        <w:t>万元。</w:t>
      </w:r>
      <w:r>
        <w:rPr>
          <w:rFonts w:ascii="宋体" w:hAnsi="宋体" w:cs="宋体" w:eastAsia="宋体" w:hint="default"/>
        </w:rPr>
        <w:t>2010</w:t>
      </w:r>
    </w:p>
    <w:p>
      <w:pPr>
        <w:pStyle w:val="BodyText"/>
        <w:spacing w:line="367" w:lineRule="auto" w:before="124"/>
        <w:ind w:right="1116"/>
        <w:jc w:val="left"/>
      </w:pPr>
      <w:r>
        <w:rPr/>
        <w:t>年</w:t>
      </w:r>
      <w:r>
        <w:rPr>
          <w:spacing w:val="-65"/>
        </w:rPr>
        <w:t> </w:t>
      </w:r>
      <w:r>
        <w:rPr>
          <w:rFonts w:ascii="宋体" w:hAnsi="宋体" w:cs="宋体" w:eastAsia="宋体" w:hint="default"/>
        </w:rPr>
        <w:t>5</w:t>
      </w:r>
      <w:r>
        <w:rPr>
          <w:rFonts w:ascii="宋体" w:hAnsi="宋体" w:cs="宋体" w:eastAsia="宋体" w:hint="default"/>
          <w:spacing w:val="-65"/>
        </w:rPr>
        <w:t> </w:t>
      </w:r>
      <w:r>
        <w:rPr/>
        <w:t>月</w:t>
      </w:r>
      <w:r>
        <w:rPr>
          <w:spacing w:val="-67"/>
        </w:rPr>
        <w:t> </w:t>
      </w:r>
      <w:r>
        <w:rPr>
          <w:rFonts w:ascii="宋体" w:hAnsi="宋体" w:cs="宋体" w:eastAsia="宋体" w:hint="default"/>
        </w:rPr>
        <w:t>6</w:t>
      </w:r>
      <w:r>
        <w:rPr>
          <w:rFonts w:ascii="宋体" w:hAnsi="宋体" w:cs="宋体" w:eastAsia="宋体" w:hint="default"/>
          <w:spacing w:val="-65"/>
        </w:rPr>
        <w:t> </w:t>
      </w:r>
      <w:r>
        <w:rPr/>
        <w:t>日公司在深圳证券交易所挂牌上市，证券简称为“交技发展”，证券代码为“002401”。所属行业计算机应用服务 业。</w:t>
      </w:r>
    </w:p>
    <w:p>
      <w:pPr>
        <w:spacing w:line="240" w:lineRule="auto" w:before="2"/>
        <w:rPr>
          <w:rFonts w:ascii="宋体" w:hAnsi="宋体" w:cs="宋体" w:eastAsia="宋体" w:hint="default"/>
          <w:sz w:val="14"/>
          <w:szCs w:val="14"/>
        </w:rPr>
      </w:pPr>
    </w:p>
    <w:p>
      <w:pPr>
        <w:pStyle w:val="BodyText"/>
        <w:spacing w:line="367" w:lineRule="auto"/>
        <w:ind w:right="1132" w:firstLine="360"/>
        <w:jc w:val="both"/>
      </w:pPr>
      <w:r>
        <w:rPr>
          <w:rFonts w:ascii="宋体" w:hAnsi="宋体" w:cs="宋体" w:eastAsia="宋体" w:hint="default"/>
        </w:rPr>
        <w:t>2011</w:t>
      </w:r>
      <w:r>
        <w:rPr>
          <w:rFonts w:ascii="宋体" w:hAnsi="宋体" w:cs="宋体" w:eastAsia="宋体" w:hint="default"/>
          <w:spacing w:val="-37"/>
        </w:rPr>
        <w:t> </w:t>
      </w:r>
      <w:r>
        <w:rPr/>
        <w:t>年</w:t>
      </w:r>
      <w:r>
        <w:rPr>
          <w:spacing w:val="-41"/>
        </w:rPr>
        <w:t> </w:t>
      </w:r>
      <w:r>
        <w:rPr>
          <w:rFonts w:ascii="宋体" w:hAnsi="宋体" w:cs="宋体" w:eastAsia="宋体" w:hint="default"/>
        </w:rPr>
        <w:t>7</w:t>
      </w:r>
      <w:r>
        <w:rPr>
          <w:rFonts w:ascii="宋体" w:hAnsi="宋体" w:cs="宋体" w:eastAsia="宋体" w:hint="default"/>
          <w:spacing w:val="-37"/>
        </w:rPr>
        <w:t> </w:t>
      </w:r>
      <w:r>
        <w:rPr/>
        <w:t>月</w:t>
      </w:r>
      <w:r>
        <w:rPr>
          <w:spacing w:val="-39"/>
        </w:rPr>
        <w:t> </w:t>
      </w:r>
      <w:r>
        <w:rPr>
          <w:rFonts w:ascii="宋体" w:hAnsi="宋体" w:cs="宋体" w:eastAsia="宋体" w:hint="default"/>
        </w:rPr>
        <w:t>29</w:t>
      </w:r>
      <w:r>
        <w:rPr>
          <w:rFonts w:ascii="宋体" w:hAnsi="宋体" w:cs="宋体" w:eastAsia="宋体" w:hint="default"/>
          <w:spacing w:val="-37"/>
        </w:rPr>
        <w:t> </w:t>
      </w:r>
      <w:r>
        <w:rPr/>
        <w:t>日，公司</w:t>
      </w:r>
      <w:r>
        <w:rPr>
          <w:spacing w:val="-41"/>
        </w:rPr>
        <w:t> </w:t>
      </w:r>
      <w:r>
        <w:rPr>
          <w:rFonts w:ascii="宋体" w:hAnsi="宋体" w:cs="宋体" w:eastAsia="宋体" w:hint="default"/>
        </w:rPr>
        <w:t>2011</w:t>
      </w:r>
      <w:r>
        <w:rPr>
          <w:rFonts w:ascii="宋体" w:hAnsi="宋体" w:cs="宋体" w:eastAsia="宋体" w:hint="default"/>
          <w:spacing w:val="-39"/>
        </w:rPr>
        <w:t> </w:t>
      </w:r>
      <w:r>
        <w:rPr/>
        <w:t>年第二次（临时）股东大会审议通过了《关于公司名称变更为中海网络科技股份有限公 </w:t>
      </w:r>
      <w:r>
        <w:rPr>
          <w:spacing w:val="-5"/>
        </w:rPr>
        <w:t>司的议案》，将原公司名称“上海交技发展股份有限公司”变更为“中海网络科技股份有限公司”。证券简称变更为“中海科</w:t>
      </w:r>
      <w:r>
        <w:rPr>
          <w:spacing w:val="-83"/>
        </w:rPr>
        <w:t> </w:t>
      </w:r>
      <w:r>
        <w:rPr>
          <w:spacing w:val="-83"/>
        </w:rPr>
      </w:r>
      <w:r>
        <w:rPr>
          <w:spacing w:val="-31"/>
        </w:rPr>
        <w:t>技”。</w:t>
      </w:r>
    </w:p>
    <w:p>
      <w:pPr>
        <w:spacing w:line="240" w:lineRule="auto" w:before="2"/>
        <w:rPr>
          <w:rFonts w:ascii="宋体" w:hAnsi="宋体" w:cs="宋体" w:eastAsia="宋体" w:hint="default"/>
          <w:sz w:val="14"/>
          <w:szCs w:val="14"/>
        </w:rPr>
      </w:pPr>
    </w:p>
    <w:p>
      <w:pPr>
        <w:pStyle w:val="BodyText"/>
        <w:spacing w:line="240" w:lineRule="auto"/>
        <w:ind w:left="513" w:right="981"/>
        <w:jc w:val="left"/>
      </w:pPr>
      <w:r>
        <w:rPr>
          <w:rFonts w:ascii="宋体" w:hAnsi="宋体" w:cs="宋体" w:eastAsia="宋体" w:hint="default"/>
        </w:rPr>
        <w:t>2011</w:t>
      </w:r>
      <w:r>
        <w:rPr>
          <w:rFonts w:ascii="宋体" w:hAnsi="宋体" w:cs="宋体" w:eastAsia="宋体" w:hint="default"/>
          <w:spacing w:val="-38"/>
        </w:rPr>
        <w:t> </w:t>
      </w:r>
      <w:r>
        <w:rPr/>
        <w:t>年</w:t>
      </w:r>
      <w:r>
        <w:rPr>
          <w:spacing w:val="-42"/>
        </w:rPr>
        <w:t> </w:t>
      </w:r>
      <w:r>
        <w:rPr>
          <w:rFonts w:ascii="宋体" w:hAnsi="宋体" w:cs="宋体" w:eastAsia="宋体" w:hint="default"/>
        </w:rPr>
        <w:t>8</w:t>
      </w:r>
      <w:r>
        <w:rPr>
          <w:rFonts w:ascii="宋体" w:hAnsi="宋体" w:cs="宋体" w:eastAsia="宋体" w:hint="default"/>
          <w:spacing w:val="-38"/>
        </w:rPr>
        <w:t> </w:t>
      </w:r>
      <w:r>
        <w:rPr/>
        <w:t>月</w:t>
      </w:r>
      <w:r>
        <w:rPr>
          <w:spacing w:val="-40"/>
        </w:rPr>
        <w:t> </w:t>
      </w:r>
      <w:r>
        <w:rPr>
          <w:rFonts w:ascii="宋体" w:hAnsi="宋体" w:cs="宋体" w:eastAsia="宋体" w:hint="default"/>
        </w:rPr>
        <w:t>18</w:t>
      </w:r>
      <w:r>
        <w:rPr>
          <w:rFonts w:ascii="宋体" w:hAnsi="宋体" w:cs="宋体" w:eastAsia="宋体" w:hint="default"/>
          <w:spacing w:val="-38"/>
        </w:rPr>
        <w:t> </w:t>
      </w:r>
      <w:r>
        <w:rPr/>
        <w:t>日，根据公司第四届董事会第七次会议决议及</w:t>
      </w:r>
      <w:r>
        <w:rPr>
          <w:spacing w:val="-39"/>
        </w:rPr>
        <w:t> </w:t>
      </w:r>
      <w:r>
        <w:rPr>
          <w:rFonts w:ascii="宋体" w:hAnsi="宋体" w:cs="宋体" w:eastAsia="宋体" w:hint="default"/>
        </w:rPr>
        <w:t>2011</w:t>
      </w:r>
      <w:r>
        <w:rPr>
          <w:rFonts w:ascii="宋体" w:hAnsi="宋体" w:cs="宋体" w:eastAsia="宋体" w:hint="default"/>
          <w:spacing w:val="-38"/>
        </w:rPr>
        <w:t> </w:t>
      </w:r>
      <w:r>
        <w:rPr/>
        <w:t>年第三次临时股东大会审议通过的资本公积转增股</w:t>
      </w:r>
    </w:p>
    <w:p>
      <w:pPr>
        <w:pStyle w:val="BodyText"/>
        <w:spacing w:line="240" w:lineRule="auto" w:before="124"/>
        <w:ind w:right="981"/>
        <w:jc w:val="left"/>
        <w:rPr>
          <w:rFonts w:ascii="宋体" w:hAnsi="宋体" w:cs="宋体" w:eastAsia="宋体" w:hint="default"/>
        </w:rPr>
      </w:pPr>
      <w:r>
        <w:rPr>
          <w:spacing w:val="-8"/>
        </w:rPr>
        <w:t>本方案，公司</w:t>
      </w:r>
      <w:r>
        <w:rPr>
          <w:spacing w:val="-44"/>
        </w:rPr>
        <w:t> </w:t>
      </w:r>
      <w:r>
        <w:rPr>
          <w:rFonts w:ascii="宋体" w:hAnsi="宋体" w:cs="宋体" w:eastAsia="宋体" w:hint="default"/>
        </w:rPr>
        <w:t>2011</w:t>
      </w:r>
      <w:r>
        <w:rPr>
          <w:rFonts w:ascii="宋体" w:hAnsi="宋体" w:cs="宋体" w:eastAsia="宋体" w:hint="default"/>
          <w:spacing w:val="-43"/>
        </w:rPr>
        <w:t> </w:t>
      </w:r>
      <w:r>
        <w:rPr/>
        <w:t>年</w:t>
      </w:r>
      <w:r>
        <w:rPr>
          <w:spacing w:val="-47"/>
        </w:rPr>
        <w:t> </w:t>
      </w:r>
      <w:r>
        <w:rPr>
          <w:rFonts w:ascii="宋体" w:hAnsi="宋体" w:cs="宋体" w:eastAsia="宋体" w:hint="default"/>
        </w:rPr>
        <w:t>9</w:t>
      </w:r>
      <w:r>
        <w:rPr>
          <w:rFonts w:ascii="宋体" w:hAnsi="宋体" w:cs="宋体" w:eastAsia="宋体" w:hint="default"/>
          <w:spacing w:val="-44"/>
        </w:rPr>
        <w:t> </w:t>
      </w:r>
      <w:r>
        <w:rPr/>
        <w:t>月</w:t>
      </w:r>
      <w:r>
        <w:rPr>
          <w:spacing w:val="-47"/>
        </w:rPr>
        <w:t> </w:t>
      </w:r>
      <w:r>
        <w:rPr>
          <w:rFonts w:ascii="宋体" w:hAnsi="宋体" w:cs="宋体" w:eastAsia="宋体" w:hint="default"/>
        </w:rPr>
        <w:t>29</w:t>
      </w:r>
      <w:r>
        <w:rPr>
          <w:rFonts w:ascii="宋体" w:hAnsi="宋体" w:cs="宋体" w:eastAsia="宋体" w:hint="default"/>
          <w:spacing w:val="-46"/>
        </w:rPr>
        <w:t> </w:t>
      </w:r>
      <w:r>
        <w:rPr/>
        <w:t>日以总股本</w:t>
      </w:r>
      <w:r>
        <w:rPr>
          <w:spacing w:val="-44"/>
        </w:rPr>
        <w:t> </w:t>
      </w:r>
      <w:r>
        <w:rPr>
          <w:rFonts w:ascii="宋体" w:hAnsi="宋体" w:cs="宋体" w:eastAsia="宋体" w:hint="default"/>
        </w:rPr>
        <w:t>5,320.00</w:t>
      </w:r>
      <w:r>
        <w:rPr>
          <w:rFonts w:ascii="宋体" w:hAnsi="宋体" w:cs="宋体" w:eastAsia="宋体" w:hint="default"/>
          <w:spacing w:val="-43"/>
        </w:rPr>
        <w:t> </w:t>
      </w:r>
      <w:r>
        <w:rPr>
          <w:spacing w:val="-3"/>
        </w:rPr>
        <w:t>万股为基数，以资本公积向全体股东每</w:t>
      </w:r>
      <w:r>
        <w:rPr>
          <w:spacing w:val="-45"/>
        </w:rPr>
        <w:t> </w:t>
      </w:r>
      <w:r>
        <w:rPr>
          <w:rFonts w:ascii="宋体" w:hAnsi="宋体" w:cs="宋体" w:eastAsia="宋体" w:hint="default"/>
        </w:rPr>
        <w:t>10</w:t>
      </w:r>
      <w:r>
        <w:rPr>
          <w:rFonts w:ascii="宋体" w:hAnsi="宋体" w:cs="宋体" w:eastAsia="宋体" w:hint="default"/>
          <w:spacing w:val="-44"/>
        </w:rPr>
        <w:t> </w:t>
      </w:r>
      <w:r>
        <w:rPr/>
        <w:t>股转增</w:t>
      </w:r>
      <w:r>
        <w:rPr>
          <w:spacing w:val="-44"/>
        </w:rPr>
        <w:t> </w:t>
      </w:r>
      <w:r>
        <w:rPr>
          <w:rFonts w:ascii="宋体" w:hAnsi="宋体" w:cs="宋体" w:eastAsia="宋体" w:hint="default"/>
        </w:rPr>
        <w:t>10</w:t>
      </w:r>
      <w:r>
        <w:rPr>
          <w:rFonts w:ascii="宋体" w:hAnsi="宋体" w:cs="宋体" w:eastAsia="宋体" w:hint="default"/>
          <w:spacing w:val="-44"/>
        </w:rPr>
        <w:t> </w:t>
      </w:r>
      <w:r>
        <w:rPr>
          <w:spacing w:val="-8"/>
        </w:rPr>
        <w:t>股，共计转增</w:t>
      </w:r>
      <w:r>
        <w:rPr>
          <w:spacing w:val="-47"/>
        </w:rPr>
        <w:t> </w:t>
      </w:r>
      <w:r>
        <w:rPr>
          <w:rFonts w:ascii="宋体" w:hAnsi="宋体" w:cs="宋体" w:eastAsia="宋体" w:hint="default"/>
        </w:rPr>
        <w:t>5,320</w:t>
      </w:r>
    </w:p>
    <w:p>
      <w:pPr>
        <w:pStyle w:val="BodyText"/>
        <w:spacing w:line="367" w:lineRule="auto" w:before="124"/>
        <w:ind w:right="1119"/>
        <w:jc w:val="left"/>
      </w:pPr>
      <w:r>
        <w:rPr/>
        <w:t>万股。截至</w:t>
      </w:r>
      <w:r>
        <w:rPr>
          <w:spacing w:val="-47"/>
        </w:rPr>
        <w:t> </w:t>
      </w:r>
      <w:r>
        <w:rPr>
          <w:rFonts w:ascii="宋体" w:hAnsi="宋体" w:cs="宋体" w:eastAsia="宋体" w:hint="default"/>
        </w:rPr>
        <w:t>2011</w:t>
      </w:r>
      <w:r>
        <w:rPr>
          <w:rFonts w:ascii="宋体" w:hAnsi="宋体" w:cs="宋体" w:eastAsia="宋体" w:hint="default"/>
          <w:spacing w:val="-46"/>
        </w:rPr>
        <w:t> </w:t>
      </w:r>
      <w:r>
        <w:rPr/>
        <w:t>年</w:t>
      </w:r>
      <w:r>
        <w:rPr>
          <w:spacing w:val="-47"/>
        </w:rPr>
        <w:t> </w:t>
      </w:r>
      <w:r>
        <w:rPr>
          <w:rFonts w:ascii="宋体" w:hAnsi="宋体" w:cs="宋体" w:eastAsia="宋体" w:hint="default"/>
        </w:rPr>
        <w:t>12</w:t>
      </w:r>
      <w:r>
        <w:rPr>
          <w:rFonts w:ascii="宋体" w:hAnsi="宋体" w:cs="宋体" w:eastAsia="宋体" w:hint="default"/>
          <w:spacing w:val="-46"/>
        </w:rPr>
        <w:t> </w:t>
      </w:r>
      <w:r>
        <w:rPr/>
        <w:t>月</w:t>
      </w:r>
      <w:r>
        <w:rPr>
          <w:spacing w:val="-47"/>
        </w:rPr>
        <w:t> </w:t>
      </w:r>
      <w:r>
        <w:rPr>
          <w:rFonts w:ascii="宋体" w:hAnsi="宋体" w:cs="宋体" w:eastAsia="宋体" w:hint="default"/>
        </w:rPr>
        <w:t>31</w:t>
      </w:r>
      <w:r>
        <w:rPr>
          <w:rFonts w:ascii="宋体" w:hAnsi="宋体" w:cs="宋体" w:eastAsia="宋体" w:hint="default"/>
          <w:spacing w:val="-46"/>
        </w:rPr>
        <w:t> </w:t>
      </w:r>
      <w:r>
        <w:rPr/>
        <w:t>日，公司累计发行股本总数</w:t>
      </w:r>
      <w:r>
        <w:rPr>
          <w:spacing w:val="-46"/>
        </w:rPr>
        <w:t> </w:t>
      </w:r>
      <w:r>
        <w:rPr>
          <w:rFonts w:ascii="宋体" w:hAnsi="宋体" w:cs="宋体" w:eastAsia="宋体" w:hint="default"/>
        </w:rPr>
        <w:t>10,640</w:t>
      </w:r>
      <w:r>
        <w:rPr>
          <w:rFonts w:ascii="宋体" w:hAnsi="宋体" w:cs="宋体" w:eastAsia="宋体" w:hint="default"/>
          <w:spacing w:val="-46"/>
        </w:rPr>
        <w:t> </w:t>
      </w:r>
      <w:r>
        <w:rPr/>
        <w:t>万股，其中上海船舶运输科学研究所</w:t>
      </w:r>
      <w:r>
        <w:rPr>
          <w:spacing w:val="-46"/>
        </w:rPr>
        <w:t> </w:t>
      </w:r>
      <w:r>
        <w:rPr>
          <w:rFonts w:ascii="宋体" w:hAnsi="宋体" w:cs="宋体" w:eastAsia="宋体" w:hint="default"/>
        </w:rPr>
        <w:t>59,377,292</w:t>
      </w:r>
      <w:r>
        <w:rPr>
          <w:rFonts w:ascii="宋体" w:hAnsi="宋体" w:cs="宋体" w:eastAsia="宋体" w:hint="default"/>
          <w:spacing w:val="-45"/>
        </w:rPr>
        <w:t> </w:t>
      </w:r>
      <w:r>
        <w:rPr/>
        <w:t>股，比例 为</w:t>
      </w:r>
      <w:r>
        <w:rPr>
          <w:spacing w:val="-44"/>
        </w:rPr>
        <w:t> </w:t>
      </w:r>
      <w:r>
        <w:rPr>
          <w:rFonts w:ascii="宋体" w:hAnsi="宋体" w:cs="宋体" w:eastAsia="宋体" w:hint="default"/>
        </w:rPr>
        <w:t>55.81%</w:t>
      </w:r>
      <w:r>
        <w:rPr/>
        <w:t>。</w:t>
      </w:r>
    </w:p>
    <w:p>
      <w:pPr>
        <w:spacing w:line="240" w:lineRule="auto" w:before="2"/>
        <w:rPr>
          <w:rFonts w:ascii="宋体" w:hAnsi="宋体" w:cs="宋体" w:eastAsia="宋体" w:hint="default"/>
          <w:sz w:val="14"/>
          <w:szCs w:val="14"/>
        </w:rPr>
      </w:pPr>
    </w:p>
    <w:p>
      <w:pPr>
        <w:pStyle w:val="BodyText"/>
        <w:spacing w:line="240" w:lineRule="auto"/>
        <w:ind w:left="513" w:right="981"/>
        <w:jc w:val="left"/>
      </w:pP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rPr>
        <w:t>2</w:t>
      </w:r>
      <w:r>
        <w:rPr>
          <w:rFonts w:ascii="宋体" w:hAnsi="宋体" w:cs="宋体" w:eastAsia="宋体" w:hint="default"/>
          <w:spacing w:val="-48"/>
        </w:rPr>
        <w:t> </w:t>
      </w:r>
      <w:r>
        <w:rPr/>
        <w:t>年</w:t>
      </w:r>
      <w:r>
        <w:rPr>
          <w:spacing w:val="-50"/>
        </w:rPr>
        <w:t> </w:t>
      </w:r>
      <w:r>
        <w:rPr>
          <w:rFonts w:ascii="宋体" w:hAnsi="宋体" w:cs="宋体" w:eastAsia="宋体" w:hint="default"/>
        </w:rPr>
        <w:t>5</w:t>
      </w:r>
      <w:r>
        <w:rPr>
          <w:rFonts w:ascii="宋体" w:hAnsi="宋体" w:cs="宋体" w:eastAsia="宋体" w:hint="default"/>
          <w:spacing w:val="-48"/>
        </w:rPr>
        <w:t> </w:t>
      </w:r>
      <w:r>
        <w:rPr/>
        <w:t>月</w:t>
      </w:r>
      <w:r>
        <w:rPr>
          <w:spacing w:val="-52"/>
        </w:rPr>
        <w:t> </w:t>
      </w:r>
      <w:r>
        <w:rPr>
          <w:rFonts w:ascii="宋体" w:hAnsi="宋体" w:cs="宋体" w:eastAsia="宋体" w:hint="default"/>
          <w:spacing w:val="1"/>
        </w:rPr>
        <w:t>2</w:t>
      </w:r>
      <w:r>
        <w:rPr>
          <w:rFonts w:ascii="宋体" w:hAnsi="宋体" w:cs="宋体" w:eastAsia="宋体" w:hint="default"/>
        </w:rPr>
        <w:t>8</w:t>
      </w:r>
      <w:r>
        <w:rPr>
          <w:rFonts w:ascii="宋体" w:hAnsi="宋体" w:cs="宋体" w:eastAsia="宋体" w:hint="default"/>
          <w:spacing w:val="-48"/>
        </w:rPr>
        <w:t> </w:t>
      </w:r>
      <w:r>
        <w:rPr/>
        <w:t>日</w:t>
      </w:r>
      <w:r>
        <w:rPr>
          <w:spacing w:val="-92"/>
        </w:rPr>
        <w:t>，</w:t>
      </w:r>
      <w:r>
        <w:rPr/>
        <w:t>根据公司</w:t>
      </w:r>
      <w:r>
        <w:rPr>
          <w:spacing w:val="-3"/>
        </w:rPr>
        <w:t>第</w:t>
      </w:r>
      <w:r>
        <w:rPr/>
        <w:t>四届董事会第十二次会议决议及</w:t>
      </w:r>
      <w:r>
        <w:rPr>
          <w:spacing w:val="-49"/>
        </w:rPr>
        <w:t> </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rPr>
        <w:t>1</w:t>
      </w:r>
      <w:r>
        <w:rPr>
          <w:rFonts w:ascii="宋体" w:hAnsi="宋体" w:cs="宋体" w:eastAsia="宋体" w:hint="default"/>
          <w:spacing w:val="-48"/>
        </w:rPr>
        <w:t> </w:t>
      </w:r>
      <w:r>
        <w:rPr/>
        <w:t>年度股东大会审议通</w:t>
      </w:r>
      <w:r>
        <w:rPr>
          <w:spacing w:val="-3"/>
        </w:rPr>
        <w:t>过</w:t>
      </w:r>
      <w:r>
        <w:rPr/>
        <w:t>的</w:t>
      </w:r>
      <w:r>
        <w:rPr>
          <w:spacing w:val="-49"/>
        </w:rPr>
        <w:t> </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rPr>
        <w:t>1</w:t>
      </w:r>
      <w:r>
        <w:rPr>
          <w:rFonts w:ascii="宋体" w:hAnsi="宋体" w:cs="宋体" w:eastAsia="宋体" w:hint="default"/>
          <w:spacing w:val="-48"/>
        </w:rPr>
        <w:t> </w:t>
      </w:r>
      <w:r>
        <w:rPr/>
        <w:t>年度权益分配方案，</w:t>
      </w:r>
    </w:p>
    <w:p>
      <w:pPr>
        <w:pStyle w:val="BodyText"/>
        <w:spacing w:line="240" w:lineRule="auto" w:before="124"/>
        <w:ind w:right="981"/>
        <w:jc w:val="left"/>
      </w:pPr>
      <w:r>
        <w:rPr/>
        <w:t>公司</w:t>
      </w:r>
      <w:r>
        <w:rPr>
          <w:spacing w:val="-47"/>
        </w:rPr>
        <w:t> </w:t>
      </w:r>
      <w:r>
        <w:rPr>
          <w:rFonts w:ascii="宋体" w:hAnsi="宋体" w:cs="宋体" w:eastAsia="宋体" w:hint="default"/>
        </w:rPr>
        <w:t>2012</w:t>
      </w:r>
      <w:r>
        <w:rPr>
          <w:rFonts w:ascii="宋体" w:hAnsi="宋体" w:cs="宋体" w:eastAsia="宋体" w:hint="default"/>
          <w:spacing w:val="-49"/>
        </w:rPr>
        <w:t> </w:t>
      </w:r>
      <w:r>
        <w:rPr/>
        <w:t>年</w:t>
      </w:r>
      <w:r>
        <w:rPr>
          <w:spacing w:val="-48"/>
        </w:rPr>
        <w:t> </w:t>
      </w:r>
      <w:r>
        <w:rPr>
          <w:rFonts w:ascii="宋体" w:hAnsi="宋体" w:cs="宋体" w:eastAsia="宋体" w:hint="default"/>
        </w:rPr>
        <w:t>7</w:t>
      </w:r>
      <w:r>
        <w:rPr>
          <w:rFonts w:ascii="宋体" w:hAnsi="宋体" w:cs="宋体" w:eastAsia="宋体" w:hint="default"/>
          <w:spacing w:val="-49"/>
        </w:rPr>
        <w:t> </w:t>
      </w:r>
      <w:r>
        <w:rPr/>
        <w:t>月</w:t>
      </w:r>
      <w:r>
        <w:rPr>
          <w:spacing w:val="-48"/>
        </w:rPr>
        <w:t> </w:t>
      </w:r>
      <w:r>
        <w:rPr>
          <w:rFonts w:ascii="宋体" w:hAnsi="宋体" w:cs="宋体" w:eastAsia="宋体" w:hint="default"/>
        </w:rPr>
        <w:t>20</w:t>
      </w:r>
      <w:r>
        <w:rPr>
          <w:rFonts w:ascii="宋体" w:hAnsi="宋体" w:cs="宋体" w:eastAsia="宋体" w:hint="default"/>
          <w:spacing w:val="-47"/>
        </w:rPr>
        <w:t> </w:t>
      </w:r>
      <w:r>
        <w:rPr/>
        <w:t>日以总股本</w:t>
      </w:r>
      <w:r>
        <w:rPr>
          <w:spacing w:val="-48"/>
        </w:rPr>
        <w:t> </w:t>
      </w:r>
      <w:r>
        <w:rPr>
          <w:rFonts w:ascii="宋体" w:hAnsi="宋体" w:cs="宋体" w:eastAsia="宋体" w:hint="default"/>
        </w:rPr>
        <w:t>10,640</w:t>
      </w:r>
      <w:r>
        <w:rPr>
          <w:rFonts w:ascii="宋体" w:hAnsi="宋体" w:cs="宋体" w:eastAsia="宋体" w:hint="default"/>
          <w:spacing w:val="-46"/>
        </w:rPr>
        <w:t> </w:t>
      </w:r>
      <w:r>
        <w:rPr/>
        <w:t>万股为基数，以资本公积向全体股东每</w:t>
      </w:r>
      <w:r>
        <w:rPr>
          <w:spacing w:val="-48"/>
        </w:rPr>
        <w:t> </w:t>
      </w:r>
      <w:r>
        <w:rPr>
          <w:rFonts w:ascii="宋体" w:hAnsi="宋体" w:cs="宋体" w:eastAsia="宋体" w:hint="default"/>
        </w:rPr>
        <w:t>10</w:t>
      </w:r>
      <w:r>
        <w:rPr>
          <w:rFonts w:ascii="宋体" w:hAnsi="宋体" w:cs="宋体" w:eastAsia="宋体" w:hint="default"/>
          <w:spacing w:val="-47"/>
        </w:rPr>
        <w:t> </w:t>
      </w:r>
      <w:r>
        <w:rPr/>
        <w:t>股转增</w:t>
      </w:r>
      <w:r>
        <w:rPr>
          <w:spacing w:val="-48"/>
        </w:rPr>
        <w:t> </w:t>
      </w:r>
      <w:r>
        <w:rPr>
          <w:rFonts w:ascii="宋体" w:hAnsi="宋体" w:cs="宋体" w:eastAsia="宋体" w:hint="default"/>
        </w:rPr>
        <w:t>9</w:t>
      </w:r>
      <w:r>
        <w:rPr>
          <w:rFonts w:ascii="宋体" w:hAnsi="宋体" w:cs="宋体" w:eastAsia="宋体" w:hint="default"/>
          <w:spacing w:val="-49"/>
        </w:rPr>
        <w:t> </w:t>
      </w:r>
      <w:r>
        <w:rPr>
          <w:spacing w:val="-5"/>
        </w:rPr>
        <w:t>股，共计转增</w:t>
      </w:r>
      <w:r>
        <w:rPr>
          <w:spacing w:val="-47"/>
        </w:rPr>
        <w:t> </w:t>
      </w:r>
      <w:r>
        <w:rPr>
          <w:rFonts w:ascii="宋体" w:hAnsi="宋体" w:cs="宋体" w:eastAsia="宋体" w:hint="default"/>
        </w:rPr>
        <w:t>9,576</w:t>
      </w:r>
      <w:r>
        <w:rPr>
          <w:rFonts w:ascii="宋体" w:hAnsi="宋体" w:cs="宋体" w:eastAsia="宋体" w:hint="default"/>
          <w:spacing w:val="-46"/>
        </w:rPr>
        <w:t> </w:t>
      </w:r>
      <w:r>
        <w:rPr>
          <w:spacing w:val="-7"/>
        </w:rPr>
        <w:t>万股。截至</w:t>
      </w:r>
    </w:p>
    <w:p>
      <w:pPr>
        <w:spacing w:after="0" w:line="240" w:lineRule="auto"/>
        <w:jc w:val="left"/>
        <w:sectPr>
          <w:footerReference w:type="default" r:id="rId32"/>
          <w:pgSz w:w="11910" w:h="16840"/>
          <w:pgMar w:footer="1274" w:header="877" w:top="1100" w:bottom="1460" w:left="980" w:right="0"/>
          <w:pgNumType w:start="67"/>
        </w:sectPr>
      </w:pPr>
    </w:p>
    <w:p>
      <w:pPr>
        <w:spacing w:line="240" w:lineRule="auto" w:before="2"/>
        <w:rPr>
          <w:rFonts w:ascii="宋体" w:hAnsi="宋体" w:cs="宋体" w:eastAsia="宋体" w:hint="default"/>
          <w:sz w:val="27"/>
          <w:szCs w:val="27"/>
        </w:rPr>
      </w:pPr>
    </w:p>
    <w:p>
      <w:pPr>
        <w:pStyle w:val="BodyText"/>
        <w:spacing w:line="240" w:lineRule="auto" w:before="44"/>
        <w:ind w:right="981"/>
        <w:jc w:val="left"/>
      </w:pPr>
      <w:r>
        <w:rPr>
          <w:rFonts w:ascii="宋体" w:hAnsi="宋体" w:cs="宋体" w:eastAsia="宋体" w:hint="default"/>
        </w:rPr>
        <w:t>2012</w:t>
      </w:r>
      <w:r>
        <w:rPr>
          <w:rFonts w:ascii="宋体" w:hAnsi="宋体" w:cs="宋体" w:eastAsia="宋体" w:hint="default"/>
          <w:spacing w:val="-46"/>
        </w:rPr>
        <w:t> </w:t>
      </w:r>
      <w:r>
        <w:rPr/>
        <w:t>年</w:t>
      </w:r>
      <w:r>
        <w:rPr>
          <w:spacing w:val="-49"/>
        </w:rPr>
        <w:t> </w:t>
      </w:r>
      <w:r>
        <w:rPr>
          <w:rFonts w:ascii="宋体" w:hAnsi="宋体" w:cs="宋体" w:eastAsia="宋体" w:hint="default"/>
        </w:rPr>
        <w:t>12</w:t>
      </w:r>
      <w:r>
        <w:rPr>
          <w:rFonts w:ascii="宋体" w:hAnsi="宋体" w:cs="宋体" w:eastAsia="宋体" w:hint="default"/>
          <w:spacing w:val="-47"/>
        </w:rPr>
        <w:t> </w:t>
      </w:r>
      <w:r>
        <w:rPr/>
        <w:t>月</w:t>
      </w:r>
      <w:r>
        <w:rPr>
          <w:spacing w:val="-48"/>
        </w:rPr>
        <w:t> </w:t>
      </w:r>
      <w:r>
        <w:rPr>
          <w:rFonts w:ascii="宋体" w:hAnsi="宋体" w:cs="宋体" w:eastAsia="宋体" w:hint="default"/>
        </w:rPr>
        <w:t>31</w:t>
      </w:r>
      <w:r>
        <w:rPr>
          <w:rFonts w:ascii="宋体" w:hAnsi="宋体" w:cs="宋体" w:eastAsia="宋体" w:hint="default"/>
          <w:spacing w:val="-47"/>
        </w:rPr>
        <w:t> </w:t>
      </w:r>
      <w:r>
        <w:rPr/>
        <w:t>日，公司累计发行股本总数</w:t>
      </w:r>
      <w:r>
        <w:rPr>
          <w:spacing w:val="-47"/>
        </w:rPr>
        <w:t> </w:t>
      </w:r>
      <w:r>
        <w:rPr>
          <w:rFonts w:ascii="宋体" w:hAnsi="宋体" w:cs="宋体" w:eastAsia="宋体" w:hint="default"/>
        </w:rPr>
        <w:t>20,216</w:t>
      </w:r>
      <w:r>
        <w:rPr>
          <w:rFonts w:ascii="宋体" w:hAnsi="宋体" w:cs="宋体" w:eastAsia="宋体" w:hint="default"/>
          <w:spacing w:val="-46"/>
        </w:rPr>
        <w:t> </w:t>
      </w:r>
      <w:r>
        <w:rPr/>
        <w:t>万股，其中上海船舶运输科学研究所</w:t>
      </w:r>
      <w:r>
        <w:rPr>
          <w:spacing w:val="-48"/>
        </w:rPr>
        <w:t> </w:t>
      </w:r>
      <w:r>
        <w:rPr>
          <w:rFonts w:ascii="宋体" w:hAnsi="宋体" w:cs="宋体" w:eastAsia="宋体" w:hint="default"/>
        </w:rPr>
        <w:t>112,816,855</w:t>
      </w:r>
      <w:r>
        <w:rPr>
          <w:rFonts w:ascii="宋体" w:hAnsi="宋体" w:cs="宋体" w:eastAsia="宋体" w:hint="default"/>
          <w:spacing w:val="-47"/>
        </w:rPr>
        <w:t> </w:t>
      </w:r>
      <w:r>
        <w:rPr/>
        <w:t>股，比例为</w:t>
      </w:r>
      <w:r>
        <w:rPr>
          <w:spacing w:val="-48"/>
        </w:rPr>
        <w:t> </w:t>
      </w:r>
      <w:r>
        <w:rPr>
          <w:rFonts w:ascii="宋体" w:hAnsi="宋体" w:cs="宋体" w:eastAsia="宋体" w:hint="default"/>
        </w:rPr>
        <w:t>55.81%</w:t>
      </w:r>
      <w:r>
        <w:rPr/>
        <w:t>。</w:t>
      </w:r>
    </w:p>
    <w:p>
      <w:pPr>
        <w:pStyle w:val="BodyText"/>
        <w:spacing w:line="510" w:lineRule="atLeast" w:before="6"/>
        <w:ind w:left="513" w:right="981"/>
        <w:jc w:val="left"/>
      </w:pPr>
      <w:r>
        <w:rPr/>
        <w:t>上海船舶运输科学研究所的母公司为中国海运（集团）总公司。 </w:t>
      </w:r>
      <w:r>
        <w:rPr>
          <w:spacing w:val="-4"/>
        </w:rPr>
        <w:t>公司经营范围：智能交通系统，工业自动化，交通信息化等领域的软、硬件产品的科研、开发、销售、服务和系统集成，</w:t>
      </w:r>
    </w:p>
    <w:p>
      <w:pPr>
        <w:pStyle w:val="BodyText"/>
        <w:spacing w:line="525" w:lineRule="auto" w:before="124"/>
        <w:ind w:left="513" w:right="1034" w:hanging="361"/>
        <w:jc w:val="left"/>
      </w:pPr>
      <w:r>
        <w:rPr/>
        <w:t>承揽相关工程项目的设计、施工和工程承包，自营技术产品的进出口业务以及技术咨询、技术开发、技术转让和技术服务。 公司注册地址：上海浦东新区民生路</w:t>
      </w:r>
      <w:r>
        <w:rPr>
          <w:spacing w:val="-47"/>
        </w:rPr>
        <w:t> </w:t>
      </w:r>
      <w:r>
        <w:rPr>
          <w:rFonts w:ascii="宋体" w:hAnsi="宋体" w:cs="宋体" w:eastAsia="宋体" w:hint="default"/>
        </w:rPr>
        <w:t>600</w:t>
      </w:r>
      <w:r>
        <w:rPr>
          <w:rFonts w:ascii="宋体" w:hAnsi="宋体" w:cs="宋体" w:eastAsia="宋体" w:hint="default"/>
          <w:spacing w:val="-47"/>
        </w:rPr>
        <w:t> </w:t>
      </w:r>
      <w:r>
        <w:rPr/>
        <w:t>号，营业执照号</w:t>
      </w:r>
      <w:r>
        <w:rPr>
          <w:spacing w:val="-49"/>
        </w:rPr>
        <w:t> </w:t>
      </w:r>
      <w:r>
        <w:rPr>
          <w:rFonts w:ascii="宋体" w:hAnsi="宋体" w:cs="宋体" w:eastAsia="宋体" w:hint="default"/>
        </w:rPr>
        <w:t>310000000020233</w:t>
      </w:r>
      <w:r>
        <w:rPr/>
        <w:t>，公司法定代表人：沈以华。</w:t>
      </w:r>
    </w:p>
    <w:p>
      <w:pPr>
        <w:pStyle w:val="Heading3"/>
        <w:spacing w:line="240" w:lineRule="auto" w:before="94"/>
        <w:ind w:right="981"/>
        <w:jc w:val="left"/>
        <w:rPr>
          <w:b w:val="0"/>
          <w:bCs w:val="0"/>
        </w:rPr>
      </w:pPr>
      <w:r>
        <w:rPr/>
        <w:t>四、公司主要会计政策、会计估计</w:t>
      </w:r>
      <w:r>
        <w:rPr>
          <w:b w:val="0"/>
          <w:bCs w:val="0"/>
        </w:rPr>
      </w:r>
    </w:p>
    <w:p>
      <w:pPr>
        <w:spacing w:line="240" w:lineRule="auto" w:before="10"/>
        <w:rPr>
          <w:rFonts w:ascii="宋体" w:hAnsi="宋体" w:cs="宋体" w:eastAsia="宋体" w:hint="default"/>
          <w:b/>
          <w:bCs/>
          <w:sz w:val="31"/>
          <w:szCs w:val="31"/>
        </w:rPr>
      </w:pPr>
    </w:p>
    <w:p>
      <w:pPr>
        <w:pStyle w:val="BodyText"/>
        <w:spacing w:line="240" w:lineRule="auto"/>
        <w:ind w:left="513" w:right="981"/>
        <w:jc w:val="left"/>
      </w:pPr>
      <w:r>
        <w:rPr>
          <w:rFonts w:ascii="宋体" w:hAnsi="宋体" w:cs="宋体" w:eastAsia="宋体" w:hint="default"/>
        </w:rPr>
        <w:t>1.</w:t>
      </w:r>
      <w:r>
        <w:rPr/>
        <w:t>会计期间</w:t>
      </w:r>
    </w:p>
    <w:p>
      <w:pPr>
        <w:spacing w:line="240" w:lineRule="auto" w:before="6"/>
        <w:rPr>
          <w:rFonts w:ascii="宋体" w:hAnsi="宋体" w:cs="宋体" w:eastAsia="宋体" w:hint="default"/>
          <w:sz w:val="21"/>
          <w:szCs w:val="21"/>
        </w:rPr>
      </w:pPr>
    </w:p>
    <w:p>
      <w:pPr>
        <w:pStyle w:val="BodyText"/>
        <w:spacing w:line="525" w:lineRule="auto"/>
        <w:ind w:left="513" w:right="6443"/>
        <w:jc w:val="left"/>
      </w:pPr>
      <w:r>
        <w:rPr/>
        <w:t>自公历</w:t>
      </w:r>
      <w:r>
        <w:rPr>
          <w:spacing w:val="-46"/>
        </w:rPr>
        <w:t> </w:t>
      </w:r>
      <w:r>
        <w:rPr>
          <w:rFonts w:ascii="宋体" w:hAnsi="宋体" w:cs="宋体" w:eastAsia="宋体" w:hint="default"/>
        </w:rPr>
        <w:t>1</w:t>
      </w:r>
      <w:r>
        <w:rPr>
          <w:rFonts w:ascii="宋体" w:hAnsi="宋体" w:cs="宋体" w:eastAsia="宋体" w:hint="default"/>
          <w:spacing w:val="-45"/>
        </w:rPr>
        <w:t> </w:t>
      </w:r>
      <w:r>
        <w:rPr/>
        <w:t>月</w:t>
      </w:r>
      <w:r>
        <w:rPr>
          <w:spacing w:val="-48"/>
        </w:rPr>
        <w:t> </w:t>
      </w:r>
      <w:r>
        <w:rPr>
          <w:rFonts w:ascii="宋体" w:hAnsi="宋体" w:cs="宋体" w:eastAsia="宋体" w:hint="default"/>
        </w:rPr>
        <w:t>1</w:t>
      </w:r>
      <w:r>
        <w:rPr>
          <w:rFonts w:ascii="宋体" w:hAnsi="宋体" w:cs="宋体" w:eastAsia="宋体" w:hint="default"/>
          <w:spacing w:val="-45"/>
        </w:rPr>
        <w:t> </w:t>
      </w:r>
      <w:r>
        <w:rPr/>
        <w:t>日至</w:t>
      </w:r>
      <w:r>
        <w:rPr>
          <w:spacing w:val="-48"/>
        </w:rPr>
        <w:t> </w:t>
      </w:r>
      <w:r>
        <w:rPr>
          <w:rFonts w:ascii="宋体" w:hAnsi="宋体" w:cs="宋体" w:eastAsia="宋体" w:hint="default"/>
        </w:rPr>
        <w:t>12</w:t>
      </w:r>
      <w:r>
        <w:rPr>
          <w:rFonts w:ascii="宋体" w:hAnsi="宋体" w:cs="宋体" w:eastAsia="宋体" w:hint="default"/>
          <w:spacing w:val="-47"/>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日止为一个会计年度。 </w:t>
      </w:r>
      <w:r>
        <w:rPr>
          <w:rFonts w:ascii="宋体" w:hAnsi="宋体" w:cs="宋体" w:eastAsia="宋体" w:hint="default"/>
        </w:rPr>
        <w:t>2.</w:t>
      </w:r>
      <w:r>
        <w:rPr/>
        <w:t>记账本位币</w:t>
      </w:r>
    </w:p>
    <w:p>
      <w:pPr>
        <w:pStyle w:val="BodyText"/>
        <w:spacing w:line="525" w:lineRule="auto" w:before="66"/>
        <w:ind w:left="513" w:right="5353"/>
        <w:jc w:val="left"/>
      </w:pPr>
      <w:r>
        <w:rPr/>
        <w:t>采用人民币为记账本位币。 </w:t>
      </w:r>
      <w:r>
        <w:rPr>
          <w:rFonts w:ascii="宋体" w:hAnsi="宋体" w:cs="宋体" w:eastAsia="宋体" w:hint="default"/>
        </w:rPr>
        <w:t>3.</w:t>
      </w:r>
      <w:r>
        <w:rPr/>
        <w:t>计量属性在本期发生变化的报表项目及其本期采用的计量属性</w:t>
      </w:r>
    </w:p>
    <w:p>
      <w:pPr>
        <w:pStyle w:val="BodyText"/>
        <w:spacing w:line="367" w:lineRule="auto" w:before="66"/>
        <w:ind w:right="981" w:firstLine="360"/>
        <w:jc w:val="left"/>
      </w:pPr>
      <w:r>
        <w:rPr>
          <w:spacing w:val="-2"/>
        </w:rPr>
        <w:t>本公司在对会计报表项目进行计量时，一般采用历史成本，在保证所确定的会计要素金额能够可靠计量时，根据《企业</w:t>
      </w:r>
      <w:r>
        <w:rPr/>
        <w:t> 会计准则》的具体规定，采用重置成本、可变现净值、现值、公允价值计量。</w:t>
      </w:r>
    </w:p>
    <w:p>
      <w:pPr>
        <w:spacing w:line="240" w:lineRule="auto" w:before="2"/>
        <w:rPr>
          <w:rFonts w:ascii="宋体" w:hAnsi="宋体" w:cs="宋体" w:eastAsia="宋体" w:hint="default"/>
          <w:sz w:val="14"/>
          <w:szCs w:val="14"/>
        </w:rPr>
      </w:pPr>
    </w:p>
    <w:p>
      <w:pPr>
        <w:pStyle w:val="BodyText"/>
        <w:spacing w:line="525" w:lineRule="auto"/>
        <w:ind w:left="513" w:right="6793"/>
        <w:jc w:val="left"/>
      </w:pPr>
      <w:r>
        <w:rPr/>
        <w:t>本公司本期无计量属性发生变化的报表项目。 </w:t>
      </w:r>
      <w:r>
        <w:rPr>
          <w:rFonts w:ascii="宋体" w:hAnsi="宋体" w:cs="宋体" w:eastAsia="宋体" w:hint="default"/>
        </w:rPr>
        <w:t>4.</w:t>
      </w:r>
      <w:r>
        <w:rPr/>
        <w:t>现金流量表之现金及现金等价物的确定标准</w:t>
      </w:r>
    </w:p>
    <w:p>
      <w:pPr>
        <w:pStyle w:val="BodyText"/>
        <w:spacing w:line="367" w:lineRule="auto" w:before="66"/>
        <w:ind w:right="981" w:firstLine="360"/>
        <w:jc w:val="left"/>
      </w:pPr>
      <w:r>
        <w:rPr>
          <w:spacing w:val="-2"/>
        </w:rPr>
        <w:t>在编制现金流量表时，本公司将库存现金以及可以随时用于支付的存款确认为现金。现金等价物指持有的期限短（一般</w:t>
      </w:r>
      <w:r>
        <w:rPr/>
        <w:t> </w:t>
      </w:r>
      <w:r>
        <w:rPr>
          <w:spacing w:val="-3"/>
        </w:rPr>
        <w:t>是指从购买日起三个月内到期）、流动性强、易于转换为已知金额现金、价值变动风险很小的投资。</w:t>
      </w:r>
    </w:p>
    <w:p>
      <w:pPr>
        <w:spacing w:line="240" w:lineRule="auto" w:before="2"/>
        <w:rPr>
          <w:rFonts w:ascii="宋体" w:hAnsi="宋体" w:cs="宋体" w:eastAsia="宋体" w:hint="default"/>
          <w:sz w:val="14"/>
          <w:szCs w:val="14"/>
        </w:rPr>
      </w:pPr>
    </w:p>
    <w:p>
      <w:pPr>
        <w:pStyle w:val="BodyText"/>
        <w:spacing w:line="525" w:lineRule="auto"/>
        <w:ind w:left="513" w:right="6613"/>
        <w:jc w:val="left"/>
      </w:pPr>
      <w:r>
        <w:rPr>
          <w:rFonts w:ascii="宋体" w:hAnsi="宋体" w:cs="宋体" w:eastAsia="宋体" w:hint="default"/>
        </w:rPr>
        <w:t>5.</w:t>
      </w:r>
      <w:r>
        <w:rPr/>
        <w:t>金融工具 金融工具包括金融资产、金融负债和权益工具。</w:t>
      </w:r>
    </w:p>
    <w:p>
      <w:pPr>
        <w:pStyle w:val="BodyText"/>
        <w:spacing w:line="240" w:lineRule="auto" w:before="66"/>
        <w:ind w:left="513" w:right="981"/>
        <w:jc w:val="left"/>
      </w:pPr>
      <w:r>
        <w:rPr/>
        <w:t>（</w:t>
      </w:r>
      <w:r>
        <w:rPr>
          <w:rFonts w:ascii="宋体" w:hAnsi="宋体" w:cs="宋体" w:eastAsia="宋体" w:hint="default"/>
        </w:rPr>
        <w:t>1</w:t>
      </w:r>
      <w:r>
        <w:rPr/>
        <w:t>）金融工具的分类</w:t>
      </w:r>
    </w:p>
    <w:p>
      <w:pPr>
        <w:spacing w:line="240" w:lineRule="auto" w:before="6"/>
        <w:rPr>
          <w:rFonts w:ascii="宋体" w:hAnsi="宋体" w:cs="宋体" w:eastAsia="宋体" w:hint="default"/>
          <w:sz w:val="21"/>
          <w:szCs w:val="21"/>
        </w:rPr>
      </w:pPr>
    </w:p>
    <w:p>
      <w:pPr>
        <w:pStyle w:val="BodyText"/>
        <w:spacing w:line="367" w:lineRule="auto"/>
        <w:ind w:right="1132" w:firstLine="360"/>
        <w:jc w:val="both"/>
      </w:pPr>
      <w:r>
        <w:rPr>
          <w:spacing w:val="-2"/>
        </w:rPr>
        <w:t>管理层按照取得持有金融资产和承担金融负债的目的，将其划分为：以公允价值计量且其变动计入当期损益的金融资产</w:t>
      </w:r>
      <w:r>
        <w:rPr/>
        <w:t> 或金融负债，包括交易性金融资产或金融负债（和直接指定为以公允价值计量且其变动计入当期损益的金融资产或金融负</w:t>
      </w:r>
      <w:r>
        <w:rPr>
          <w:spacing w:val="-11"/>
        </w:rPr>
        <w:t> </w:t>
      </w:r>
      <w:r>
        <w:rPr>
          <w:spacing w:val="-11"/>
        </w:rPr>
      </w:r>
      <w:r>
        <w:rPr>
          <w:spacing w:val="-3"/>
        </w:rPr>
        <w:t>债）、持有至到期投资、应收款项、可供出售金融资产、其他金融负债等。</w:t>
      </w:r>
    </w:p>
    <w:p>
      <w:pPr>
        <w:spacing w:line="240" w:lineRule="auto" w:before="2"/>
        <w:rPr>
          <w:rFonts w:ascii="宋体" w:hAnsi="宋体" w:cs="宋体" w:eastAsia="宋体" w:hint="default"/>
          <w:sz w:val="14"/>
          <w:szCs w:val="14"/>
        </w:rPr>
      </w:pPr>
    </w:p>
    <w:p>
      <w:pPr>
        <w:pStyle w:val="BodyText"/>
        <w:spacing w:line="240" w:lineRule="auto"/>
        <w:ind w:left="513" w:right="981"/>
        <w:jc w:val="left"/>
      </w:pPr>
      <w:r>
        <w:rPr/>
        <w:t>（</w:t>
      </w:r>
      <w:r>
        <w:rPr>
          <w:rFonts w:ascii="宋体" w:hAnsi="宋体" w:cs="宋体" w:eastAsia="宋体" w:hint="default"/>
        </w:rPr>
        <w:t>2</w:t>
      </w:r>
      <w:r>
        <w:rPr/>
        <w:t>）金融工具的确认依据和计量方法</w:t>
      </w:r>
    </w:p>
    <w:p>
      <w:pPr>
        <w:pStyle w:val="BodyText"/>
        <w:spacing w:line="510" w:lineRule="atLeast" w:before="6"/>
        <w:ind w:left="513" w:right="981"/>
        <w:jc w:val="left"/>
      </w:pPr>
      <w:r>
        <w:rPr/>
        <w:t>①</w:t>
      </w:r>
      <w:r>
        <w:rPr>
          <w:spacing w:val="1"/>
        </w:rPr>
        <w:t> </w:t>
      </w:r>
      <w:r>
        <w:rPr/>
        <w:t>以公允价值计量且其变动计入当期损益的金融资产（金融负债）</w:t>
      </w:r>
      <w:r>
        <w:rPr/>
        <w:t> </w:t>
      </w:r>
      <w:r>
        <w:rPr>
          <w:spacing w:val="-2"/>
        </w:rPr>
        <w:t>取得时以公允价值（扣除已宣告但尚未发放的现金股利或已到付息期但尚未领取的债券利息）作为初始确认金额，相关</w:t>
      </w:r>
    </w:p>
    <w:p>
      <w:pPr>
        <w:pStyle w:val="BodyText"/>
        <w:spacing w:line="525" w:lineRule="auto" w:before="124"/>
        <w:ind w:left="513" w:right="3373" w:hanging="361"/>
        <w:jc w:val="left"/>
      </w:pPr>
      <w:r>
        <w:rPr/>
        <w:t>的交易费用计入当期损益。 持有期间将取得的利息或现金股利确认为投资收益，期末将公允价值变动计入当期损益。</w:t>
      </w:r>
    </w:p>
    <w:p>
      <w:pPr>
        <w:spacing w:after="0" w:line="525" w:lineRule="auto"/>
        <w:jc w:val="left"/>
        <w:sectPr>
          <w:pgSz w:w="11910" w:h="16840"/>
          <w:pgMar w:header="877" w:footer="1274" w:top="1100" w:bottom="1460" w:left="980" w:right="0"/>
        </w:sectPr>
      </w:pPr>
    </w:p>
    <w:p>
      <w:pPr>
        <w:spacing w:line="240" w:lineRule="auto" w:before="2"/>
        <w:rPr>
          <w:rFonts w:ascii="宋体" w:hAnsi="宋体" w:cs="宋体" w:eastAsia="宋体" w:hint="default"/>
          <w:sz w:val="27"/>
          <w:szCs w:val="27"/>
        </w:rPr>
      </w:pPr>
    </w:p>
    <w:p>
      <w:pPr>
        <w:pStyle w:val="BodyText"/>
        <w:spacing w:line="240" w:lineRule="auto" w:before="44"/>
        <w:ind w:left="513" w:right="981"/>
        <w:jc w:val="left"/>
      </w:pPr>
      <w:r>
        <w:rPr/>
        <w:t>处置时，其公允价值与初始入账金额之间的差额确认为投资收益，同时调整公允价值变动损益。</w:t>
      </w:r>
    </w:p>
    <w:p>
      <w:pPr>
        <w:pStyle w:val="BodyText"/>
        <w:spacing w:line="510" w:lineRule="atLeast" w:before="6"/>
        <w:ind w:left="513" w:right="981"/>
        <w:jc w:val="left"/>
      </w:pPr>
      <w:r>
        <w:rPr/>
        <w:t>②</w:t>
      </w:r>
      <w:r>
        <w:rPr>
          <w:spacing w:val="1"/>
        </w:rPr>
        <w:t> </w:t>
      </w:r>
      <w:r>
        <w:rPr/>
        <w:t>应收款项</w:t>
      </w:r>
      <w:r>
        <w:rPr/>
        <w:t> </w:t>
      </w:r>
      <w:r>
        <w:rPr>
          <w:spacing w:val="-2"/>
        </w:rPr>
        <w:t>公司对外销售商品或提供劳务形成的应收债权，以及公司持有的其他企业的不包括在活跃市场上有报价的债务工具的债</w:t>
      </w:r>
    </w:p>
    <w:p>
      <w:pPr>
        <w:pStyle w:val="BodyText"/>
        <w:spacing w:line="367" w:lineRule="auto" w:before="124"/>
        <w:ind w:right="981"/>
        <w:jc w:val="left"/>
      </w:pPr>
      <w:r>
        <w:rPr>
          <w:spacing w:val="-2"/>
        </w:rPr>
        <w:t>权，包括应收账款、应收票据、预付账款、其他应收款、长期应收款等，以向购货方应收的合同或协议价款作为初始确认金</w:t>
      </w:r>
      <w:r>
        <w:rPr>
          <w:spacing w:val="-67"/>
        </w:rPr>
        <w:t> </w:t>
      </w:r>
      <w:r>
        <w:rPr>
          <w:spacing w:val="-67"/>
        </w:rPr>
      </w:r>
      <w:r>
        <w:rPr/>
        <w:t>额；具有融资性质的，按其现值进行初始确认。</w:t>
      </w:r>
    </w:p>
    <w:p>
      <w:pPr>
        <w:spacing w:line="240" w:lineRule="auto" w:before="2"/>
        <w:rPr>
          <w:rFonts w:ascii="宋体" w:hAnsi="宋体" w:cs="宋体" w:eastAsia="宋体" w:hint="default"/>
          <w:sz w:val="14"/>
          <w:szCs w:val="14"/>
        </w:rPr>
      </w:pPr>
    </w:p>
    <w:p>
      <w:pPr>
        <w:pStyle w:val="BodyText"/>
        <w:spacing w:line="240" w:lineRule="auto"/>
        <w:ind w:left="513" w:right="981"/>
        <w:jc w:val="left"/>
      </w:pPr>
      <w:r>
        <w:rPr/>
        <w:t>收回或处置时，将取得的价款与该应收款项账面价值之间的差额计入当期损益。</w:t>
      </w:r>
    </w:p>
    <w:p>
      <w:pPr>
        <w:spacing w:line="240" w:lineRule="auto" w:before="6"/>
        <w:rPr>
          <w:rFonts w:ascii="宋体" w:hAnsi="宋体" w:cs="宋体" w:eastAsia="宋体" w:hint="default"/>
          <w:sz w:val="21"/>
          <w:szCs w:val="21"/>
        </w:rPr>
      </w:pPr>
    </w:p>
    <w:p>
      <w:pPr>
        <w:pStyle w:val="BodyText"/>
        <w:spacing w:line="525" w:lineRule="auto"/>
        <w:ind w:left="513" w:right="3733"/>
        <w:jc w:val="left"/>
      </w:pPr>
      <w:r>
        <w:rPr/>
        <w:t>③</w:t>
      </w:r>
      <w:r>
        <w:rPr>
          <w:spacing w:val="1"/>
        </w:rPr>
        <w:t> </w:t>
      </w:r>
      <w:r>
        <w:rPr/>
        <w:t>其他金融负债</w:t>
      </w:r>
      <w:r>
        <w:rPr/>
        <w:t> 按其公允价值和相关交易费用之和作为初始确认金额，采用摊余成本进行后续计量。</w:t>
      </w:r>
    </w:p>
    <w:p>
      <w:pPr>
        <w:pStyle w:val="BodyText"/>
        <w:spacing w:line="240" w:lineRule="auto" w:before="67"/>
        <w:ind w:left="513" w:right="981"/>
        <w:jc w:val="left"/>
      </w:pPr>
      <w:r>
        <w:rPr/>
        <w:t>（</w:t>
      </w:r>
      <w:r>
        <w:rPr>
          <w:rFonts w:ascii="宋体" w:hAnsi="宋体" w:cs="宋体" w:eastAsia="宋体" w:hint="default"/>
        </w:rPr>
        <w:t>3</w:t>
      </w:r>
      <w:r>
        <w:rPr/>
        <w:t>）金融资产转移的确认依据和计量方法</w:t>
      </w:r>
    </w:p>
    <w:p>
      <w:pPr>
        <w:spacing w:line="240" w:lineRule="auto" w:before="6"/>
        <w:rPr>
          <w:rFonts w:ascii="宋体" w:hAnsi="宋体" w:cs="宋体" w:eastAsia="宋体" w:hint="default"/>
          <w:sz w:val="21"/>
          <w:szCs w:val="21"/>
        </w:rPr>
      </w:pPr>
    </w:p>
    <w:p>
      <w:pPr>
        <w:pStyle w:val="BodyText"/>
        <w:spacing w:line="367" w:lineRule="auto"/>
        <w:ind w:right="981" w:firstLine="360"/>
        <w:jc w:val="left"/>
      </w:pPr>
      <w:r>
        <w:rPr>
          <w:spacing w:val="-2"/>
        </w:rPr>
        <w:t>公司发生金融资产转移时，如已将金融资产所有权上几乎所有的风险和报酬转移给转入方，则终止确认该金融资产；如</w:t>
      </w:r>
      <w:r>
        <w:rPr/>
        <w:t> 保留了金融资产所有权上几乎所有的风险和报酬的，则不终止确认该金融资产。</w:t>
      </w:r>
    </w:p>
    <w:p>
      <w:pPr>
        <w:spacing w:line="240" w:lineRule="auto" w:before="2"/>
        <w:rPr>
          <w:rFonts w:ascii="宋体" w:hAnsi="宋体" w:cs="宋体" w:eastAsia="宋体" w:hint="default"/>
          <w:sz w:val="14"/>
          <w:szCs w:val="14"/>
        </w:rPr>
      </w:pPr>
    </w:p>
    <w:p>
      <w:pPr>
        <w:pStyle w:val="BodyText"/>
        <w:spacing w:line="367" w:lineRule="auto"/>
        <w:ind w:right="981" w:firstLine="360"/>
        <w:jc w:val="left"/>
      </w:pPr>
      <w:r>
        <w:rPr>
          <w:spacing w:val="-2"/>
        </w:rPr>
        <w:t>在判断金融资产转移是否满足上述金融资产终止确认条件时，采用实质重于形式的原则。公司将金融资产转移区分为金</w:t>
      </w:r>
      <w:r>
        <w:rPr/>
        <w:t> 融资产整体转移和部分转移。金融资产整体转移满足终止确认条件的，将下列两项金额的差额计入当期损益：</w:t>
      </w:r>
    </w:p>
    <w:p>
      <w:pPr>
        <w:spacing w:line="240" w:lineRule="auto" w:before="2"/>
        <w:rPr>
          <w:rFonts w:ascii="宋体" w:hAnsi="宋体" w:cs="宋体" w:eastAsia="宋体" w:hint="default"/>
          <w:sz w:val="14"/>
          <w:szCs w:val="14"/>
        </w:rPr>
      </w:pPr>
    </w:p>
    <w:p>
      <w:pPr>
        <w:pStyle w:val="BodyText"/>
        <w:spacing w:line="240" w:lineRule="auto"/>
        <w:ind w:left="513" w:right="981"/>
        <w:jc w:val="left"/>
      </w:pPr>
      <w:r>
        <w:rPr/>
        <w:t>①</w:t>
      </w:r>
      <w:r>
        <w:rPr>
          <w:spacing w:val="1"/>
        </w:rPr>
        <w:t> </w:t>
      </w:r>
      <w:r>
        <w:rPr/>
        <w:t>所转移金融资产的账面价值；</w:t>
      </w:r>
    </w:p>
    <w:p>
      <w:pPr>
        <w:spacing w:line="240" w:lineRule="auto" w:before="6"/>
        <w:rPr>
          <w:rFonts w:ascii="宋体" w:hAnsi="宋体" w:cs="宋体" w:eastAsia="宋体" w:hint="default"/>
          <w:sz w:val="21"/>
          <w:szCs w:val="21"/>
        </w:rPr>
      </w:pPr>
    </w:p>
    <w:p>
      <w:pPr>
        <w:pStyle w:val="BodyText"/>
        <w:spacing w:line="367" w:lineRule="auto"/>
        <w:ind w:right="1118" w:firstLine="360"/>
        <w:jc w:val="left"/>
      </w:pPr>
      <w:r>
        <w:rPr/>
        <w:t>②</w:t>
      </w:r>
      <w:r>
        <w:rPr>
          <w:spacing w:val="6"/>
        </w:rPr>
        <w:t> </w:t>
      </w:r>
      <w:r>
        <w:rPr/>
        <w:t>因转移而收到的对价，与原直接计入所有者权益的公允价值变动累计额（涉及转移的金融资产为可供出售金融资产</w:t>
      </w:r>
      <w:r>
        <w:rPr/>
        <w:t> 的情形）之和。</w:t>
      </w:r>
    </w:p>
    <w:p>
      <w:pPr>
        <w:spacing w:line="240" w:lineRule="auto" w:before="2"/>
        <w:rPr>
          <w:rFonts w:ascii="宋体" w:hAnsi="宋体" w:cs="宋体" w:eastAsia="宋体" w:hint="default"/>
          <w:sz w:val="14"/>
          <w:szCs w:val="14"/>
        </w:rPr>
      </w:pPr>
    </w:p>
    <w:p>
      <w:pPr>
        <w:pStyle w:val="BodyText"/>
        <w:spacing w:line="367" w:lineRule="auto"/>
        <w:ind w:right="1034"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spacing w:line="240" w:lineRule="auto" w:before="2"/>
        <w:rPr>
          <w:rFonts w:ascii="宋体" w:hAnsi="宋体" w:cs="宋体" w:eastAsia="宋体" w:hint="default"/>
          <w:sz w:val="14"/>
          <w:szCs w:val="14"/>
        </w:rPr>
      </w:pPr>
    </w:p>
    <w:p>
      <w:pPr>
        <w:pStyle w:val="BodyText"/>
        <w:spacing w:line="240" w:lineRule="auto"/>
        <w:ind w:left="513" w:right="981"/>
        <w:jc w:val="left"/>
      </w:pPr>
      <w:r>
        <w:rPr/>
        <w:t>①</w:t>
      </w:r>
      <w:r>
        <w:rPr>
          <w:spacing w:val="1"/>
        </w:rPr>
        <w:t> </w:t>
      </w:r>
      <w:r>
        <w:rPr/>
        <w:t>终止确认部分的账面价值；</w:t>
      </w:r>
    </w:p>
    <w:p>
      <w:pPr>
        <w:spacing w:line="240" w:lineRule="auto" w:before="6"/>
        <w:rPr>
          <w:rFonts w:ascii="宋体" w:hAnsi="宋体" w:cs="宋体" w:eastAsia="宋体" w:hint="default"/>
          <w:sz w:val="21"/>
          <w:szCs w:val="21"/>
        </w:rPr>
      </w:pPr>
    </w:p>
    <w:p>
      <w:pPr>
        <w:pStyle w:val="BodyText"/>
        <w:spacing w:line="367" w:lineRule="auto"/>
        <w:ind w:right="1118" w:firstLine="360"/>
        <w:jc w:val="left"/>
      </w:pPr>
      <w:r>
        <w:rPr/>
        <w:t>②</w:t>
      </w:r>
      <w:r>
        <w:rPr>
          <w:spacing w:val="6"/>
        </w:rPr>
        <w:t> </w:t>
      </w:r>
      <w:r>
        <w:rPr/>
        <w:t>终止确认部分的对价，与原直接计入所有者权益的公允价值变动累计额中对应终止确认部分的金额（涉及转移的金</w:t>
      </w:r>
      <w:r>
        <w:rPr/>
        <w:t> 融资产为可供出售金融资产的情形）之和。</w:t>
      </w:r>
    </w:p>
    <w:p>
      <w:pPr>
        <w:spacing w:line="240" w:lineRule="auto" w:before="2"/>
        <w:rPr>
          <w:rFonts w:ascii="宋体" w:hAnsi="宋体" w:cs="宋体" w:eastAsia="宋体" w:hint="default"/>
          <w:sz w:val="14"/>
          <w:szCs w:val="14"/>
        </w:rPr>
      </w:pPr>
    </w:p>
    <w:p>
      <w:pPr>
        <w:pStyle w:val="BodyText"/>
        <w:spacing w:line="240" w:lineRule="auto"/>
        <w:ind w:left="513" w:right="981"/>
        <w:jc w:val="left"/>
      </w:pPr>
      <w:r>
        <w:rPr/>
        <w:t>金融资产转移不满足终止确认条件的，继续确认该金融资产，所收到的对价确认为一项金融负债。</w:t>
      </w:r>
    </w:p>
    <w:p>
      <w:pPr>
        <w:pStyle w:val="BodyText"/>
        <w:spacing w:line="516" w:lineRule="exact" w:before="78"/>
        <w:ind w:left="513" w:right="981"/>
        <w:jc w:val="left"/>
      </w:pPr>
      <w:r>
        <w:rPr/>
        <w:t>（</w:t>
      </w:r>
      <w:r>
        <w:rPr>
          <w:rFonts w:ascii="宋体" w:hAnsi="宋体" w:cs="宋体" w:eastAsia="宋体" w:hint="default"/>
        </w:rPr>
        <w:t>4</w:t>
      </w:r>
      <w:r>
        <w:rPr/>
        <w:t>）金融负债终止确认条件 </w:t>
      </w:r>
      <w:r>
        <w:rPr>
          <w:spacing w:val="-2"/>
        </w:rPr>
        <w:t>金融负债的现时义务全部或部分已经解除的，则终止确认该金融负债或其一部分；本公司若与债权人签定协议，以承担</w:t>
      </w:r>
    </w:p>
    <w:p>
      <w:pPr>
        <w:pStyle w:val="BodyText"/>
        <w:spacing w:line="367" w:lineRule="auto" w:before="46"/>
        <w:ind w:right="981"/>
        <w:jc w:val="left"/>
      </w:pPr>
      <w:r>
        <w:rPr>
          <w:spacing w:val="-2"/>
        </w:rPr>
        <w:t>新金融负债方式替换现存金融负债，且新金融负债与现存金融负债的合同条款实质上不同的，则终止确认现存金融负债，并</w:t>
      </w:r>
      <w:r>
        <w:rPr>
          <w:spacing w:val="-63"/>
        </w:rPr>
        <w:t> </w:t>
      </w:r>
      <w:r>
        <w:rPr>
          <w:spacing w:val="-63"/>
        </w:rPr>
      </w:r>
      <w:r>
        <w:rPr/>
        <w:t>同时确认新金融负债。</w:t>
      </w:r>
    </w:p>
    <w:p>
      <w:pPr>
        <w:spacing w:line="240" w:lineRule="auto" w:before="2"/>
        <w:rPr>
          <w:rFonts w:ascii="宋体" w:hAnsi="宋体" w:cs="宋体" w:eastAsia="宋体" w:hint="default"/>
          <w:sz w:val="14"/>
          <w:szCs w:val="14"/>
        </w:rPr>
      </w:pPr>
    </w:p>
    <w:p>
      <w:pPr>
        <w:pStyle w:val="BodyText"/>
        <w:spacing w:line="367" w:lineRule="auto"/>
        <w:ind w:right="981"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spacing w:line="240" w:lineRule="auto" w:before="2"/>
        <w:rPr>
          <w:rFonts w:ascii="宋体" w:hAnsi="宋体" w:cs="宋体" w:eastAsia="宋体" w:hint="default"/>
          <w:sz w:val="14"/>
          <w:szCs w:val="14"/>
        </w:rPr>
      </w:pPr>
    </w:p>
    <w:p>
      <w:pPr>
        <w:pStyle w:val="BodyText"/>
        <w:spacing w:line="367" w:lineRule="auto"/>
        <w:ind w:right="981"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spacing w:after="0" w:line="367" w:lineRule="auto"/>
        <w:jc w:val="left"/>
        <w:sectPr>
          <w:pgSz w:w="11910" w:h="16840"/>
          <w:pgMar w:header="877" w:footer="1274" w:top="1100" w:bottom="1460" w:left="980" w:right="0"/>
        </w:sectPr>
      </w:pPr>
    </w:p>
    <w:p>
      <w:pPr>
        <w:spacing w:line="240" w:lineRule="auto" w:before="2"/>
        <w:rPr>
          <w:rFonts w:ascii="宋体" w:hAnsi="宋体" w:cs="宋体" w:eastAsia="宋体" w:hint="default"/>
          <w:sz w:val="27"/>
          <w:szCs w:val="27"/>
        </w:rPr>
      </w:pPr>
    </w:p>
    <w:p>
      <w:pPr>
        <w:pStyle w:val="BodyText"/>
        <w:spacing w:line="367" w:lineRule="auto" w:before="44"/>
        <w:ind w:left="212" w:right="1034"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spacing w:line="240" w:lineRule="auto" w:before="2"/>
        <w:rPr>
          <w:rFonts w:ascii="宋体" w:hAnsi="宋体" w:cs="宋体" w:eastAsia="宋体" w:hint="default"/>
          <w:sz w:val="14"/>
          <w:szCs w:val="14"/>
        </w:rPr>
      </w:pPr>
    </w:p>
    <w:p>
      <w:pPr>
        <w:pStyle w:val="BodyText"/>
        <w:spacing w:line="525" w:lineRule="auto"/>
        <w:ind w:left="573" w:right="3913"/>
        <w:jc w:val="left"/>
      </w:pPr>
      <w:r>
        <w:rPr/>
        <w:t>（</w:t>
      </w:r>
      <w:r>
        <w:rPr>
          <w:rFonts w:ascii="宋体" w:hAnsi="宋体" w:cs="宋体" w:eastAsia="宋体" w:hint="default"/>
        </w:rPr>
        <w:t>5</w:t>
      </w:r>
      <w:r>
        <w:rPr/>
        <w:t>）金融资产和金融负债公允价值的确定方法 本公司采用公允价值计量的金融资产和金融负债全部直接参考活跃市场中的报价。 </w:t>
      </w:r>
      <w:r>
        <w:rPr>
          <w:rFonts w:ascii="宋体" w:hAnsi="宋体" w:cs="宋体" w:eastAsia="宋体" w:hint="default"/>
        </w:rPr>
        <w:t>6.</w:t>
      </w:r>
      <w:r>
        <w:rPr/>
        <w:t>应收款项坏账准备的确认标准和计提方法</w:t>
      </w:r>
    </w:p>
    <w:p>
      <w:pPr>
        <w:pStyle w:val="BodyText"/>
        <w:spacing w:line="525" w:lineRule="auto" w:before="66"/>
        <w:ind w:left="573" w:right="5533"/>
        <w:jc w:val="left"/>
      </w:pPr>
      <w:r>
        <w:rPr/>
        <w:t>（</w:t>
      </w:r>
      <w:r>
        <w:rPr>
          <w:rFonts w:ascii="宋体" w:hAnsi="宋体" w:cs="宋体" w:eastAsia="宋体" w:hint="default"/>
        </w:rPr>
        <w:t>1</w:t>
      </w:r>
      <w:r>
        <w:rPr/>
        <w:t>）单项金额重大并单项计提坏账准备的应收款项： 单项金额重大的判断依据：应收款项期末余额前五名的款项。</w:t>
      </w:r>
    </w:p>
    <w:p>
      <w:pPr>
        <w:pStyle w:val="BodyText"/>
        <w:spacing w:line="367" w:lineRule="auto" w:before="67"/>
        <w:ind w:left="212" w:right="1034" w:firstLine="360"/>
        <w:jc w:val="left"/>
      </w:pPr>
      <w:r>
        <w:rPr>
          <w:spacing w:val="-2"/>
        </w:rPr>
        <w:t>对于期末单项金额重大的应收账款、其他应收款，单独进行减值测试。单项金额重大并单独测试未发生减值的，包括在</w:t>
      </w:r>
      <w:r>
        <w:rPr/>
        <w:t> 具有类似信用风险特征的应收款项组合中再进行减值测试。</w:t>
      </w:r>
    </w:p>
    <w:p>
      <w:pPr>
        <w:spacing w:line="240" w:lineRule="auto" w:before="2"/>
        <w:rPr>
          <w:rFonts w:ascii="宋体" w:hAnsi="宋体" w:cs="宋体" w:eastAsia="宋体" w:hint="default"/>
          <w:sz w:val="14"/>
          <w:szCs w:val="14"/>
        </w:rPr>
      </w:pPr>
    </w:p>
    <w:p>
      <w:pPr>
        <w:pStyle w:val="BodyText"/>
        <w:spacing w:line="367" w:lineRule="auto"/>
        <w:ind w:left="212" w:right="1034" w:firstLine="360"/>
        <w:jc w:val="left"/>
      </w:pPr>
      <w:r>
        <w:rPr>
          <w:spacing w:val="-2"/>
        </w:rPr>
        <w:t>单项金额重大并单项计提坏账准备的计提方法：如果有客观证据表明应收款项发生减值，则将其账面价值减记至可收回</w:t>
      </w:r>
      <w:r>
        <w:rPr/>
        <w:t> </w:t>
      </w:r>
      <w:r>
        <w:rPr>
          <w:spacing w:val="-4"/>
        </w:rPr>
        <w:t>金额，减记的金额确认为资产减值损失，计入当期损益。可收回金额是通过对其未来现金流量（不包括尚未发生的信用损失）</w:t>
      </w:r>
      <w:r>
        <w:rPr>
          <w:spacing w:val="-45"/>
        </w:rPr>
        <w:t> </w:t>
      </w:r>
      <w:r>
        <w:rPr>
          <w:spacing w:val="-45"/>
        </w:rPr>
      </w:r>
      <w:r>
        <w:rPr>
          <w:spacing w:val="-2"/>
        </w:rPr>
        <w:t>按原实际利率折现确定，并考虑相关担保物的价值（扣除预计处置费用等）。原实际利率是初始确认该应收款项时计算确定</w:t>
      </w:r>
      <w:r>
        <w:rPr>
          <w:spacing w:val="-65"/>
        </w:rPr>
        <w:t> </w:t>
      </w:r>
      <w:r>
        <w:rPr>
          <w:spacing w:val="-65"/>
        </w:rPr>
      </w:r>
      <w:r>
        <w:rPr>
          <w:spacing w:val="-2"/>
        </w:rPr>
        <w:t>的实际利率。短期应收款项的预计未来现金流量与其现值相差很小，在确定相关减值损失时，不对其预计未来现金流量进行</w:t>
      </w:r>
      <w:r>
        <w:rPr>
          <w:spacing w:val="-63"/>
        </w:rPr>
        <w:t> </w:t>
      </w:r>
      <w:r>
        <w:rPr>
          <w:spacing w:val="-63"/>
        </w:rPr>
      </w:r>
      <w:r>
        <w:rPr/>
        <w:t>折现。</w:t>
      </w:r>
    </w:p>
    <w:p>
      <w:pPr>
        <w:spacing w:line="240" w:lineRule="auto" w:before="2"/>
        <w:rPr>
          <w:rFonts w:ascii="宋体" w:hAnsi="宋体" w:cs="宋体" w:eastAsia="宋体" w:hint="default"/>
          <w:sz w:val="14"/>
          <w:szCs w:val="14"/>
        </w:rPr>
      </w:pPr>
    </w:p>
    <w:p>
      <w:pPr>
        <w:pStyle w:val="BodyText"/>
        <w:spacing w:line="240" w:lineRule="auto"/>
        <w:ind w:left="573" w:right="1034"/>
        <w:jc w:val="left"/>
      </w:pPr>
      <w:r>
        <w:rPr/>
        <w:t>（</w:t>
      </w:r>
      <w:r>
        <w:rPr>
          <w:rFonts w:ascii="宋体" w:hAnsi="宋体" w:cs="宋体" w:eastAsia="宋体" w:hint="default"/>
        </w:rPr>
        <w:t>2</w:t>
      </w:r>
      <w:r>
        <w:rPr/>
        <w:t>）按组合计提坏账准备应收款项：</w:t>
      </w:r>
    </w:p>
    <w:p>
      <w:pPr>
        <w:spacing w:line="240" w:lineRule="auto" w:before="6"/>
        <w:rPr>
          <w:rFonts w:ascii="宋体" w:hAnsi="宋体" w:cs="宋体" w:eastAsia="宋体" w:hint="default"/>
          <w:sz w:val="21"/>
          <w:szCs w:val="21"/>
        </w:rPr>
      </w:pPr>
    </w:p>
    <w:p>
      <w:pPr>
        <w:pStyle w:val="BodyText"/>
        <w:spacing w:line="367" w:lineRule="auto"/>
        <w:ind w:left="212" w:right="1034" w:firstLine="360"/>
        <w:jc w:val="left"/>
      </w:pPr>
      <w:r>
        <w:rPr>
          <w:spacing w:val="-2"/>
        </w:rPr>
        <w:t>除已单项计提减值准备的应收款项外，公司以账龄作为信用风险特征的应收款项组合实际损失率为基础，结合现时情况</w:t>
      </w:r>
      <w:r>
        <w:rPr/>
        <w:t> 确定以下坏账准备计提的比例。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573" w:right="1034"/>
        <w:jc w:val="left"/>
      </w:pPr>
      <w:r>
        <w:rPr/>
        <w:t>采用账龄分析法计提坏账准备：</w:t>
      </w:r>
    </w:p>
    <w:p>
      <w:pPr>
        <w:spacing w:line="240" w:lineRule="auto" w:before="9"/>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2902"/>
        <w:gridCol w:w="3625"/>
        <w:gridCol w:w="3329"/>
      </w:tblGrid>
      <w:tr>
        <w:trPr>
          <w:trHeight w:val="294" w:hRule="exact"/>
        </w:trPr>
        <w:tc>
          <w:tcPr>
            <w:tcW w:w="2902" w:type="dxa"/>
            <w:tcBorders>
              <w:top w:val="nil" w:sz="6" w:space="0" w:color="auto"/>
              <w:left w:val="nil" w:sz="6" w:space="0" w:color="auto"/>
              <w:bottom w:val="single" w:sz="4" w:space="0" w:color="000000"/>
              <w:right w:val="nil" w:sz="6" w:space="0" w:color="auto"/>
            </w:tcBorders>
          </w:tcPr>
          <w:p>
            <w:pPr>
              <w:pStyle w:val="TableParagraph"/>
              <w:spacing w:line="180" w:lineRule="exact"/>
              <w:ind w:left="381"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625" w:type="dxa"/>
            <w:tcBorders>
              <w:top w:val="nil" w:sz="6" w:space="0" w:color="auto"/>
              <w:left w:val="nil" w:sz="6" w:space="0" w:color="auto"/>
              <w:bottom w:val="single" w:sz="4" w:space="0" w:color="000000"/>
              <w:right w:val="nil" w:sz="6" w:space="0" w:color="auto"/>
            </w:tcBorders>
          </w:tcPr>
          <w:p>
            <w:pPr>
              <w:pStyle w:val="TableParagraph"/>
              <w:spacing w:line="180" w:lineRule="exact"/>
              <w:ind w:left="429" w:right="0"/>
              <w:jc w:val="center"/>
              <w:rPr>
                <w:rFonts w:ascii="宋体" w:hAnsi="宋体" w:cs="宋体" w:eastAsia="宋体" w:hint="default"/>
                <w:sz w:val="18"/>
                <w:szCs w:val="18"/>
              </w:rPr>
            </w:pPr>
            <w:r>
              <w:rPr>
                <w:rFonts w:ascii="宋体" w:hAnsi="宋体" w:cs="宋体" w:eastAsia="宋体" w:hint="default"/>
                <w:b/>
                <w:bCs/>
                <w:sz w:val="18"/>
                <w:szCs w:val="18"/>
              </w:rPr>
              <w:t>应收账款计提比例（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3329" w:type="dxa"/>
            <w:tcBorders>
              <w:top w:val="nil" w:sz="6" w:space="0" w:color="auto"/>
              <w:left w:val="nil" w:sz="6" w:space="0" w:color="auto"/>
              <w:bottom w:val="single" w:sz="4" w:space="0" w:color="000000"/>
              <w:right w:val="nil" w:sz="6" w:space="0" w:color="auto"/>
            </w:tcBorders>
          </w:tcPr>
          <w:p>
            <w:pPr>
              <w:pStyle w:val="TableParagraph"/>
              <w:spacing w:line="180" w:lineRule="exact"/>
              <w:ind w:left="45" w:right="0"/>
              <w:jc w:val="center"/>
              <w:rPr>
                <w:rFonts w:ascii="宋体" w:hAnsi="宋体" w:cs="宋体" w:eastAsia="宋体" w:hint="default"/>
                <w:sz w:val="18"/>
                <w:szCs w:val="18"/>
              </w:rPr>
            </w:pPr>
            <w:r>
              <w:rPr>
                <w:rFonts w:ascii="宋体" w:hAnsi="宋体" w:cs="宋体" w:eastAsia="宋体" w:hint="default"/>
                <w:b/>
                <w:bCs/>
                <w:sz w:val="18"/>
                <w:szCs w:val="18"/>
              </w:rPr>
              <w:t>其他应收款计提比例（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96" w:hRule="exact"/>
        </w:trPr>
        <w:tc>
          <w:tcPr>
            <w:tcW w:w="290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62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425" w:right="0"/>
              <w:jc w:val="center"/>
              <w:rPr>
                <w:rFonts w:ascii="宋体" w:hAnsi="宋体" w:cs="宋体" w:eastAsia="宋体" w:hint="default"/>
                <w:sz w:val="18"/>
                <w:szCs w:val="18"/>
              </w:rPr>
            </w:pPr>
            <w:r>
              <w:rPr>
                <w:rFonts w:ascii="宋体"/>
                <w:sz w:val="18"/>
              </w:rPr>
              <w:t>5</w:t>
            </w:r>
          </w:p>
        </w:tc>
        <w:tc>
          <w:tcPr>
            <w:tcW w:w="332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45" w:right="0"/>
              <w:jc w:val="center"/>
              <w:rPr>
                <w:rFonts w:ascii="宋体" w:hAnsi="宋体" w:cs="宋体" w:eastAsia="宋体" w:hint="default"/>
                <w:sz w:val="18"/>
                <w:szCs w:val="18"/>
              </w:rPr>
            </w:pPr>
            <w:r>
              <w:rPr>
                <w:rFonts w:ascii="宋体"/>
                <w:sz w:val="18"/>
              </w:rPr>
              <w:t>5</w:t>
            </w:r>
          </w:p>
        </w:tc>
      </w:tr>
      <w:tr>
        <w:trPr>
          <w:trHeight w:val="392"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62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31" w:right="0"/>
              <w:jc w:val="center"/>
              <w:rPr>
                <w:rFonts w:ascii="宋体" w:hAnsi="宋体" w:cs="宋体" w:eastAsia="宋体" w:hint="default"/>
                <w:sz w:val="18"/>
                <w:szCs w:val="18"/>
              </w:rPr>
            </w:pPr>
            <w:r>
              <w:rPr>
                <w:rFonts w:ascii="宋体"/>
                <w:sz w:val="18"/>
              </w:rPr>
              <w:t>10</w:t>
            </w:r>
          </w:p>
        </w:tc>
        <w:tc>
          <w:tcPr>
            <w:tcW w:w="332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1" w:right="0"/>
              <w:jc w:val="center"/>
              <w:rPr>
                <w:rFonts w:ascii="宋体" w:hAnsi="宋体" w:cs="宋体" w:eastAsia="宋体" w:hint="default"/>
                <w:sz w:val="18"/>
                <w:szCs w:val="18"/>
              </w:rPr>
            </w:pPr>
            <w:r>
              <w:rPr>
                <w:rFonts w:ascii="宋体"/>
                <w:sz w:val="18"/>
              </w:rPr>
              <w:t>10</w:t>
            </w:r>
          </w:p>
        </w:tc>
      </w:tr>
      <w:tr>
        <w:trPr>
          <w:trHeight w:val="397"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62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31" w:right="0"/>
              <w:jc w:val="center"/>
              <w:rPr>
                <w:rFonts w:ascii="宋体" w:hAnsi="宋体" w:cs="宋体" w:eastAsia="宋体" w:hint="default"/>
                <w:sz w:val="18"/>
                <w:szCs w:val="18"/>
              </w:rPr>
            </w:pPr>
            <w:r>
              <w:rPr>
                <w:rFonts w:ascii="宋体"/>
                <w:sz w:val="18"/>
              </w:rPr>
              <w:t>20</w:t>
            </w:r>
          </w:p>
        </w:tc>
        <w:tc>
          <w:tcPr>
            <w:tcW w:w="332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1" w:right="0"/>
              <w:jc w:val="center"/>
              <w:rPr>
                <w:rFonts w:ascii="宋体" w:hAnsi="宋体" w:cs="宋体" w:eastAsia="宋体" w:hint="default"/>
                <w:sz w:val="18"/>
                <w:szCs w:val="18"/>
              </w:rPr>
            </w:pPr>
            <w:r>
              <w:rPr>
                <w:rFonts w:ascii="宋体"/>
                <w:sz w:val="18"/>
              </w:rPr>
              <w:t>20</w:t>
            </w:r>
          </w:p>
        </w:tc>
      </w:tr>
      <w:tr>
        <w:trPr>
          <w:trHeight w:val="289" w:hRule="exact"/>
        </w:trPr>
        <w:tc>
          <w:tcPr>
            <w:tcW w:w="290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362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31" w:right="0"/>
              <w:jc w:val="center"/>
              <w:rPr>
                <w:rFonts w:ascii="宋体" w:hAnsi="宋体" w:cs="宋体" w:eastAsia="宋体" w:hint="default"/>
                <w:sz w:val="18"/>
                <w:szCs w:val="18"/>
              </w:rPr>
            </w:pPr>
            <w:r>
              <w:rPr>
                <w:rFonts w:ascii="宋体"/>
                <w:sz w:val="18"/>
              </w:rPr>
              <w:t>40</w:t>
            </w:r>
          </w:p>
        </w:tc>
        <w:tc>
          <w:tcPr>
            <w:tcW w:w="332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1" w:right="0"/>
              <w:jc w:val="center"/>
              <w:rPr>
                <w:rFonts w:ascii="宋体" w:hAnsi="宋体" w:cs="宋体" w:eastAsia="宋体" w:hint="default"/>
                <w:sz w:val="18"/>
                <w:szCs w:val="18"/>
              </w:rPr>
            </w:pPr>
            <w:r>
              <w:rPr>
                <w:rFonts w:ascii="宋体"/>
                <w:sz w:val="18"/>
              </w:rPr>
              <w:t>40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44"/>
        <w:ind w:left="573" w:right="1034"/>
        <w:jc w:val="left"/>
      </w:pPr>
      <w:r>
        <w:rPr/>
        <w:t>（</w:t>
      </w:r>
      <w:r>
        <w:rPr>
          <w:rFonts w:ascii="宋体" w:hAnsi="宋体" w:cs="宋体" w:eastAsia="宋体" w:hint="default"/>
        </w:rPr>
        <w:t>3</w:t>
      </w:r>
      <w:r>
        <w:rPr/>
        <w:t>）单项金额虽不重大但单项计提坏账准备的应收款项：</w:t>
      </w:r>
    </w:p>
    <w:p>
      <w:pPr>
        <w:spacing w:line="240" w:lineRule="auto" w:before="6"/>
        <w:rPr>
          <w:rFonts w:ascii="宋体" w:hAnsi="宋体" w:cs="宋体" w:eastAsia="宋体" w:hint="default"/>
          <w:sz w:val="21"/>
          <w:szCs w:val="21"/>
        </w:rPr>
      </w:pPr>
    </w:p>
    <w:p>
      <w:pPr>
        <w:pStyle w:val="BodyText"/>
        <w:spacing w:line="367" w:lineRule="auto"/>
        <w:ind w:left="212" w:right="1034" w:firstLine="360"/>
        <w:jc w:val="left"/>
      </w:pPr>
      <w:r>
        <w:rPr>
          <w:spacing w:val="-2"/>
        </w:rPr>
        <w:t>对于期末单项金额非重大的应收账款、其他应收款，单独进行减值测试，单独测试未发生减值的，包括在具有类似信用</w:t>
      </w:r>
      <w:r>
        <w:rPr/>
        <w:t> 风险特征的应收款项组合中再进行减值测试。</w:t>
      </w:r>
    </w:p>
    <w:p>
      <w:pPr>
        <w:pStyle w:val="BodyText"/>
        <w:spacing w:line="360" w:lineRule="atLeast" w:before="60"/>
        <w:ind w:left="212" w:right="1034" w:firstLine="360"/>
        <w:jc w:val="left"/>
      </w:pPr>
      <w:r>
        <w:rPr>
          <w:spacing w:val="-2"/>
        </w:rPr>
        <w:t>单项金额不重大并单项计提坏账准备的方法：如果有客观证据表明应收款项发生减值，则将其账面价值减记至可收回金</w:t>
      </w:r>
      <w:r>
        <w:rPr/>
        <w:t> 额，减记的金额确认为资产减值损失，计入当期损益。可收回金额是通过对其未来现金流量（不包括尚未发生的信用损失） </w:t>
      </w:r>
      <w:r>
        <w:rPr>
          <w:spacing w:val="-2"/>
        </w:rPr>
        <w:t>按原实际利率折现确定，并考虑相关担保物的价值（扣除预计处置费用等）。原实际利率是初始确认该应收款项时计算确定</w:t>
      </w:r>
    </w:p>
    <w:p>
      <w:pPr>
        <w:spacing w:after="0" w:line="360" w:lineRule="atLeast"/>
        <w:jc w:val="left"/>
        <w:sectPr>
          <w:pgSz w:w="11910" w:h="16840"/>
          <w:pgMar w:header="877" w:footer="1274" w:top="1100" w:bottom="1460" w:left="920" w:right="0"/>
        </w:sectPr>
      </w:pPr>
    </w:p>
    <w:p>
      <w:pPr>
        <w:spacing w:line="240" w:lineRule="auto" w:before="2"/>
        <w:rPr>
          <w:rFonts w:ascii="宋体" w:hAnsi="宋体" w:cs="宋体" w:eastAsia="宋体" w:hint="default"/>
          <w:sz w:val="27"/>
          <w:szCs w:val="27"/>
        </w:rPr>
      </w:pPr>
    </w:p>
    <w:p>
      <w:pPr>
        <w:pStyle w:val="BodyText"/>
        <w:spacing w:line="367" w:lineRule="auto" w:before="44"/>
        <w:ind w:right="1130"/>
        <w:jc w:val="both"/>
      </w:pPr>
      <w:r>
        <w:rPr>
          <w:spacing w:val="-2"/>
        </w:rPr>
        <w:t>的实际利率。短期应收款项的预计未来现金流量与其现值相差很小，在确定相关减值损失时，不对其预计未来现金流量进行</w:t>
      </w:r>
      <w:r>
        <w:rPr>
          <w:spacing w:val="-62"/>
        </w:rPr>
        <w:t> </w:t>
      </w:r>
      <w:r>
        <w:rPr>
          <w:spacing w:val="-62"/>
        </w:rPr>
      </w:r>
      <w:r>
        <w:rPr/>
        <w:t>折现。</w:t>
      </w:r>
    </w:p>
    <w:p>
      <w:pPr>
        <w:spacing w:line="240" w:lineRule="auto" w:before="2"/>
        <w:rPr>
          <w:rFonts w:ascii="宋体" w:hAnsi="宋体" w:cs="宋体" w:eastAsia="宋体" w:hint="default"/>
          <w:sz w:val="14"/>
          <w:szCs w:val="14"/>
        </w:rPr>
      </w:pPr>
    </w:p>
    <w:p>
      <w:pPr>
        <w:pStyle w:val="BodyText"/>
        <w:spacing w:line="240" w:lineRule="auto"/>
        <w:ind w:left="513" w:right="981"/>
        <w:jc w:val="left"/>
      </w:pPr>
      <w:r>
        <w:rPr>
          <w:rFonts w:ascii="宋体" w:hAnsi="宋体" w:cs="宋体" w:eastAsia="宋体" w:hint="default"/>
        </w:rPr>
        <w:t>7.</w:t>
      </w:r>
      <w:r>
        <w:rPr/>
        <w:t>存货</w:t>
      </w:r>
    </w:p>
    <w:p>
      <w:pPr>
        <w:spacing w:line="240" w:lineRule="auto" w:before="6"/>
        <w:rPr>
          <w:rFonts w:ascii="宋体" w:hAnsi="宋体" w:cs="宋体" w:eastAsia="宋体" w:hint="default"/>
          <w:sz w:val="21"/>
          <w:szCs w:val="21"/>
        </w:rPr>
      </w:pPr>
    </w:p>
    <w:p>
      <w:pPr>
        <w:pStyle w:val="BodyText"/>
        <w:spacing w:line="525" w:lineRule="auto"/>
        <w:ind w:left="513" w:right="4993"/>
        <w:jc w:val="left"/>
      </w:pPr>
      <w:r>
        <w:rPr/>
        <w:t>（</w:t>
      </w:r>
      <w:r>
        <w:rPr>
          <w:rFonts w:ascii="宋体" w:hAnsi="宋体" w:cs="宋体" w:eastAsia="宋体" w:hint="default"/>
        </w:rPr>
        <w:t>1</w:t>
      </w:r>
      <w:r>
        <w:rPr/>
        <w:t>）存货的分类 存货分类为：工程施工、原材料、库存商品、在产品、周转材料等。</w:t>
      </w:r>
    </w:p>
    <w:p>
      <w:pPr>
        <w:pStyle w:val="BodyText"/>
        <w:spacing w:line="240" w:lineRule="auto" w:before="66"/>
        <w:ind w:left="513" w:right="981"/>
        <w:jc w:val="left"/>
      </w:pPr>
      <w:r>
        <w:rPr/>
        <w:t>（</w:t>
      </w:r>
      <w:r>
        <w:rPr>
          <w:rFonts w:ascii="宋体" w:hAnsi="宋体" w:cs="宋体" w:eastAsia="宋体" w:hint="default"/>
        </w:rPr>
        <w:t>2</w:t>
      </w:r>
      <w:r>
        <w:rPr/>
        <w:t>）发出存货的计价方法</w:t>
      </w:r>
    </w:p>
    <w:p>
      <w:pPr>
        <w:spacing w:line="240" w:lineRule="auto" w:before="6"/>
        <w:rPr>
          <w:rFonts w:ascii="宋体" w:hAnsi="宋体" w:cs="宋体" w:eastAsia="宋体" w:hint="default"/>
          <w:sz w:val="21"/>
          <w:szCs w:val="21"/>
        </w:rPr>
      </w:pPr>
    </w:p>
    <w:p>
      <w:pPr>
        <w:pStyle w:val="BodyText"/>
        <w:spacing w:line="367" w:lineRule="auto"/>
        <w:ind w:right="981" w:firstLine="360"/>
        <w:jc w:val="left"/>
      </w:pPr>
      <w:r>
        <w:rPr>
          <w:spacing w:val="-2"/>
        </w:rPr>
        <w:t>原材料的购入与库存商品的入库按实际成本计价，发出按个别认定法计价；工程施工按实际支出计价，期末根据完工百</w:t>
      </w:r>
      <w:r>
        <w:rPr/>
        <w:t> 分比法确认营业收入及营业成本。</w:t>
      </w:r>
    </w:p>
    <w:p>
      <w:pPr>
        <w:spacing w:line="240" w:lineRule="auto" w:before="2"/>
        <w:rPr>
          <w:rFonts w:ascii="宋体" w:hAnsi="宋体" w:cs="宋体" w:eastAsia="宋体" w:hint="default"/>
          <w:sz w:val="14"/>
          <w:szCs w:val="14"/>
        </w:rPr>
      </w:pPr>
    </w:p>
    <w:p>
      <w:pPr>
        <w:pStyle w:val="BodyText"/>
        <w:spacing w:line="240" w:lineRule="auto"/>
        <w:ind w:left="513" w:right="981"/>
        <w:jc w:val="left"/>
      </w:pPr>
      <w:r>
        <w:rPr/>
        <w:t>其中，工程施工的具体核算方法如下：</w:t>
      </w:r>
    </w:p>
    <w:p>
      <w:pPr>
        <w:spacing w:line="240" w:lineRule="auto" w:before="6"/>
        <w:rPr>
          <w:rFonts w:ascii="宋体" w:hAnsi="宋体" w:cs="宋体" w:eastAsia="宋体" w:hint="default"/>
          <w:sz w:val="21"/>
          <w:szCs w:val="21"/>
        </w:rPr>
      </w:pPr>
    </w:p>
    <w:p>
      <w:pPr>
        <w:pStyle w:val="BodyText"/>
        <w:spacing w:line="367" w:lineRule="auto"/>
        <w:ind w:right="981" w:firstLine="360"/>
        <w:jc w:val="left"/>
      </w:pPr>
      <w:r>
        <w:rPr>
          <w:spacing w:val="-2"/>
        </w:rPr>
        <w:t>按照单个工程项目为核算对象，归集单个工程项目所发生的实际成本，包括直接材料、直接人工费、施工费、其他直接</w:t>
      </w:r>
      <w:r>
        <w:rPr/>
        <w:t> </w:t>
      </w:r>
      <w:r>
        <w:rPr>
          <w:spacing w:val="-4"/>
        </w:rPr>
        <w:t>费用及相应的施工间接成本等。期末按累计已发生的成本和累计已确认的毛利（亏损）扣除已办理结算的工程结算金额列示。</w:t>
      </w:r>
    </w:p>
    <w:p>
      <w:pPr>
        <w:spacing w:line="240" w:lineRule="auto" w:before="2"/>
        <w:rPr>
          <w:rFonts w:ascii="宋体" w:hAnsi="宋体" w:cs="宋体" w:eastAsia="宋体" w:hint="default"/>
          <w:sz w:val="14"/>
          <w:szCs w:val="14"/>
        </w:rPr>
      </w:pPr>
    </w:p>
    <w:p>
      <w:pPr>
        <w:pStyle w:val="BodyText"/>
        <w:spacing w:line="240" w:lineRule="auto"/>
        <w:ind w:left="513" w:right="981"/>
        <w:jc w:val="left"/>
      </w:pPr>
      <w:r>
        <w:rPr/>
        <w:t>（</w:t>
      </w:r>
      <w:r>
        <w:rPr>
          <w:rFonts w:ascii="宋体" w:hAnsi="宋体" w:cs="宋体" w:eastAsia="宋体" w:hint="default"/>
        </w:rPr>
        <w:t>3</w:t>
      </w:r>
      <w:r>
        <w:rPr/>
        <w:t>）存货可变现净值的确定依据及存货跌价准备的计提方法</w:t>
      </w:r>
    </w:p>
    <w:p>
      <w:pPr>
        <w:pStyle w:val="BodyText"/>
        <w:spacing w:line="510" w:lineRule="atLeast" w:before="6"/>
        <w:ind w:left="513" w:right="981"/>
        <w:jc w:val="left"/>
      </w:pPr>
      <w:r>
        <w:rPr/>
        <w:t>期末按存货的成本与可变现净值孰低提取或调整存货跌价准备。 </w:t>
      </w:r>
      <w:r>
        <w:rPr>
          <w:spacing w:val="-2"/>
        </w:rPr>
        <w:t>库存商品和用于出售的材料等直接用于出售的商品存货，在正常生产经营过程中，以该存货的估计售价减去估计的销售</w:t>
      </w:r>
    </w:p>
    <w:p>
      <w:pPr>
        <w:pStyle w:val="BodyText"/>
        <w:spacing w:line="367" w:lineRule="auto" w:before="124"/>
        <w:ind w:right="1128"/>
        <w:jc w:val="both"/>
      </w:pPr>
      <w:r>
        <w:rPr>
          <w:spacing w:val="-2"/>
        </w:rPr>
        <w:t>费用和相关税费后的金额，确定其可变现净值；需要经过加工的材料存货，在正常生产经营过程中，以所生产的库存商品的</w:t>
      </w:r>
      <w:r>
        <w:rPr>
          <w:spacing w:val="-63"/>
        </w:rPr>
        <w:t> </w:t>
      </w:r>
      <w:r>
        <w:rPr>
          <w:spacing w:val="-63"/>
        </w:rPr>
      </w:r>
      <w:r>
        <w:rPr>
          <w:spacing w:val="-2"/>
        </w:rPr>
        <w:t>估计售价减去至完工时估计将要发生的成本、估计的销售费用和相关税费后的金额，确定其可变现净值；为执行销售合同或</w:t>
      </w:r>
      <w:r>
        <w:rPr>
          <w:spacing w:val="-63"/>
        </w:rPr>
        <w:t> </w:t>
      </w:r>
      <w:r>
        <w:rPr>
          <w:spacing w:val="-63"/>
        </w:rPr>
      </w:r>
      <w:r>
        <w:rPr>
          <w:spacing w:val="-2"/>
        </w:rPr>
        <w:t>者劳务合同而持有的存货，其可变现净值以合同价格为基础计算，若持有存货的数量多于销售合同订购数量的，超出部分的</w:t>
      </w:r>
      <w:r>
        <w:rPr>
          <w:spacing w:val="-63"/>
        </w:rPr>
        <w:t> </w:t>
      </w:r>
      <w:r>
        <w:rPr>
          <w:spacing w:val="-63"/>
        </w:rPr>
      </w:r>
      <w:r>
        <w:rPr/>
        <w:t>存货的可变现净值以一般销售价格为基础计算。</w:t>
      </w:r>
    </w:p>
    <w:p>
      <w:pPr>
        <w:spacing w:line="240" w:lineRule="auto" w:before="2"/>
        <w:rPr>
          <w:rFonts w:ascii="宋体" w:hAnsi="宋体" w:cs="宋体" w:eastAsia="宋体" w:hint="default"/>
          <w:sz w:val="14"/>
          <w:szCs w:val="14"/>
        </w:rPr>
      </w:pPr>
    </w:p>
    <w:p>
      <w:pPr>
        <w:pStyle w:val="BodyText"/>
        <w:spacing w:line="525" w:lineRule="auto"/>
        <w:ind w:left="513" w:right="4813"/>
        <w:jc w:val="left"/>
      </w:pPr>
      <w:r>
        <w:rPr/>
        <w:t>（</w:t>
      </w:r>
      <w:r>
        <w:rPr>
          <w:rFonts w:ascii="宋体" w:hAnsi="宋体" w:cs="宋体" w:eastAsia="宋体" w:hint="default"/>
        </w:rPr>
        <w:t>4</w:t>
      </w:r>
      <w:r>
        <w:rPr/>
        <w:t>）存货的盘存制度 工程施工、原材料、库存商品、在产品、周转材料等采用永续盘存制。</w:t>
      </w:r>
    </w:p>
    <w:p>
      <w:pPr>
        <w:pStyle w:val="BodyText"/>
        <w:spacing w:line="240" w:lineRule="auto" w:before="66"/>
        <w:ind w:left="513" w:right="981"/>
        <w:jc w:val="left"/>
      </w:pPr>
      <w:r>
        <w:rPr/>
        <w:t>（</w:t>
      </w:r>
      <w:r>
        <w:rPr>
          <w:rFonts w:ascii="宋体" w:hAnsi="宋体" w:cs="宋体" w:eastAsia="宋体" w:hint="default"/>
        </w:rPr>
        <w:t>5</w:t>
      </w:r>
      <w:r>
        <w:rPr/>
        <w:t>）低值易耗品和包装物的摊销方法</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①</w:t>
      </w:r>
      <w:r>
        <w:rPr>
          <w:spacing w:val="1"/>
        </w:rPr>
        <w:t> </w:t>
      </w:r>
      <w:r>
        <w:rPr/>
        <w:t>低值易耗品采用一次摊销法</w:t>
      </w:r>
    </w:p>
    <w:p>
      <w:pPr>
        <w:spacing w:line="240" w:lineRule="auto" w:before="6"/>
        <w:rPr>
          <w:rFonts w:ascii="宋体" w:hAnsi="宋体" w:cs="宋体" w:eastAsia="宋体" w:hint="default"/>
          <w:sz w:val="21"/>
          <w:szCs w:val="21"/>
        </w:rPr>
      </w:pPr>
    </w:p>
    <w:p>
      <w:pPr>
        <w:pStyle w:val="BodyText"/>
        <w:spacing w:line="525" w:lineRule="auto"/>
        <w:ind w:left="513" w:right="8322"/>
        <w:jc w:val="left"/>
      </w:pPr>
      <w:r>
        <w:rPr/>
        <w:t>②</w:t>
      </w:r>
      <w:r>
        <w:rPr>
          <w:spacing w:val="1"/>
        </w:rPr>
        <w:t> </w:t>
      </w:r>
      <w:r>
        <w:rPr/>
        <w:t>包装物采用一次摊销法</w:t>
      </w:r>
      <w:r>
        <w:rPr/>
        <w:t> </w:t>
      </w:r>
      <w:r>
        <w:rPr>
          <w:rFonts w:ascii="宋体" w:hAnsi="宋体" w:cs="宋体" w:eastAsia="宋体" w:hint="default"/>
        </w:rPr>
        <w:t>8.</w:t>
      </w:r>
      <w:r>
        <w:rPr/>
        <w:t>长期股权投资</w:t>
      </w:r>
    </w:p>
    <w:p>
      <w:pPr>
        <w:pStyle w:val="BodyText"/>
        <w:spacing w:line="240" w:lineRule="auto" w:before="66"/>
        <w:ind w:left="513" w:right="981"/>
        <w:jc w:val="left"/>
      </w:pPr>
      <w:r>
        <w:rPr/>
        <w:t>（</w:t>
      </w:r>
      <w:r>
        <w:rPr>
          <w:rFonts w:ascii="宋体" w:hAnsi="宋体" w:cs="宋体" w:eastAsia="宋体" w:hint="default"/>
        </w:rPr>
        <w:t>1</w:t>
      </w:r>
      <w:r>
        <w:rPr/>
        <w:t>）投资成本确定</w:t>
      </w:r>
    </w:p>
    <w:p>
      <w:pPr>
        <w:pStyle w:val="BodyText"/>
        <w:spacing w:line="510" w:lineRule="atLeast" w:before="6"/>
        <w:ind w:left="513" w:right="981"/>
        <w:jc w:val="left"/>
      </w:pPr>
      <w:r>
        <w:rPr/>
        <w:t>①</w:t>
      </w:r>
      <w:r>
        <w:rPr>
          <w:spacing w:val="1"/>
        </w:rPr>
        <w:t> </w:t>
      </w:r>
      <w:r>
        <w:rPr/>
        <w:t>企业合并形成的长期股权投资</w:t>
      </w:r>
      <w:r>
        <w:rPr/>
        <w:t> </w:t>
      </w:r>
      <w:r>
        <w:rPr>
          <w:spacing w:val="-2"/>
        </w:rPr>
        <w:t>同一控制下的企业合并：公司以支付现金、转让非现金资产或承担债务方式以及以发行权益性证券作为合并对价的，在</w:t>
      </w:r>
    </w:p>
    <w:p>
      <w:pPr>
        <w:pStyle w:val="BodyText"/>
        <w:spacing w:line="367" w:lineRule="auto" w:before="124"/>
        <w:ind w:right="1133"/>
        <w:jc w:val="both"/>
      </w:pPr>
      <w:r>
        <w:rPr>
          <w:spacing w:val="-2"/>
        </w:rPr>
        <w:t>合并日按照取得被合并方所有者权益账面价值的份额作为长期股权投资的初始投资成本。长期股权投资初始投资成本与支付</w:t>
      </w:r>
      <w:r>
        <w:rPr>
          <w:spacing w:val="-64"/>
        </w:rPr>
        <w:t> </w:t>
      </w:r>
      <w:r>
        <w:rPr>
          <w:spacing w:val="-64"/>
        </w:rPr>
      </w:r>
      <w:r>
        <w:rPr>
          <w:spacing w:val="-2"/>
        </w:rPr>
        <w:t>合并对价之间的差额，调整资本公积，资本公积不足冲减的，调整留存收益。合并发生的各项直接相关费用，包括为进行合</w:t>
      </w:r>
      <w:r>
        <w:rPr>
          <w:spacing w:val="-67"/>
        </w:rPr>
        <w:t> </w:t>
      </w:r>
      <w:r>
        <w:rPr>
          <w:spacing w:val="-67"/>
        </w:rPr>
      </w:r>
      <w:r>
        <w:rPr/>
        <w:t>并而支付的审计费用、评估费用、法律服务费用等，于发生时计入当期损益。</w:t>
      </w:r>
    </w:p>
    <w:p>
      <w:pPr>
        <w:spacing w:after="0" w:line="367" w:lineRule="auto"/>
        <w:jc w:val="both"/>
        <w:sectPr>
          <w:footerReference w:type="default" r:id="rId33"/>
          <w:pgSz w:w="11910" w:h="16840"/>
          <w:pgMar w:footer="1332" w:header="877" w:top="1100" w:bottom="1520" w:left="980" w:right="0"/>
          <w:pgNumType w:start="71"/>
        </w:sectPr>
      </w:pPr>
    </w:p>
    <w:p>
      <w:pPr>
        <w:spacing w:line="240" w:lineRule="auto" w:before="2"/>
        <w:rPr>
          <w:rFonts w:ascii="宋体" w:hAnsi="宋体" w:cs="宋体" w:eastAsia="宋体" w:hint="default"/>
          <w:sz w:val="27"/>
          <w:szCs w:val="27"/>
        </w:rPr>
      </w:pPr>
    </w:p>
    <w:p>
      <w:pPr>
        <w:pStyle w:val="BodyText"/>
        <w:spacing w:line="367" w:lineRule="auto" w:before="44"/>
        <w:ind w:right="1129" w:firstLine="360"/>
        <w:jc w:val="both"/>
      </w:pPr>
      <w:r>
        <w:rPr>
          <w:spacing w:val="-2"/>
        </w:rPr>
        <w:t>非同一控制下的企业合并：购买方应当按照确定的企业合并成本作为长期股权投资的投资成本。企业合并成本包括购买</w:t>
      </w:r>
      <w:r>
        <w:rPr/>
        <w:t> </w:t>
      </w:r>
      <w:r>
        <w:rPr>
          <w:spacing w:val="-2"/>
        </w:rPr>
        <w:t>方付出的资产、发生或承担的负债、发行的权益性证券的公允价值之和。购买方为企业合并发生的审计、法律服务、评估咨</w:t>
      </w:r>
      <w:r>
        <w:rPr>
          <w:spacing w:val="-67"/>
        </w:rPr>
        <w:t> </w:t>
      </w:r>
      <w:r>
        <w:rPr>
          <w:spacing w:val="-67"/>
        </w:rPr>
      </w:r>
      <w:r>
        <w:rPr>
          <w:spacing w:val="-2"/>
        </w:rPr>
        <w:t>询等中介费用以及其他相关的管理费用，应当于发生时计入当期损益；购买方作为合并对价发行的权益性证券或债务性证券</w:t>
      </w:r>
      <w:r>
        <w:rPr>
          <w:spacing w:val="-64"/>
        </w:rPr>
        <w:t> </w:t>
      </w:r>
      <w:r>
        <w:rPr>
          <w:spacing w:val="-64"/>
        </w:rPr>
      </w:r>
      <w:r>
        <w:rPr>
          <w:spacing w:val="-2"/>
        </w:rPr>
        <w:t>的交易费用，应当计入权益性证券或债务性证券的初始确认金额。通过多次交换交易分步实现的企业合并，合并成本为每一</w:t>
      </w:r>
      <w:r>
        <w:rPr>
          <w:spacing w:val="-61"/>
        </w:rPr>
        <w:t> </w:t>
      </w:r>
      <w:r>
        <w:rPr>
          <w:spacing w:val="-61"/>
        </w:rPr>
      </w:r>
      <w:r>
        <w:rPr>
          <w:spacing w:val="-2"/>
        </w:rPr>
        <w:t>单项交易成本之和。在合并合同中对可能影响合并成本的未来事项作出约定的，购买日如果估计未来事项很可能发生并且对</w:t>
      </w:r>
      <w:r>
        <w:rPr>
          <w:spacing w:val="-62"/>
        </w:rPr>
        <w:t> </w:t>
      </w:r>
      <w:r>
        <w:rPr>
          <w:spacing w:val="-62"/>
        </w:rPr>
      </w:r>
      <w:r>
        <w:rPr/>
        <w:t>合并成本的影响金额能够可靠计量的，也计入合并成本。</w:t>
      </w:r>
    </w:p>
    <w:p>
      <w:pPr>
        <w:spacing w:line="240" w:lineRule="auto" w:before="2"/>
        <w:rPr>
          <w:rFonts w:ascii="宋体" w:hAnsi="宋体" w:cs="宋体" w:eastAsia="宋体" w:hint="default"/>
          <w:sz w:val="14"/>
          <w:szCs w:val="14"/>
        </w:rPr>
      </w:pPr>
    </w:p>
    <w:p>
      <w:pPr>
        <w:pStyle w:val="BodyText"/>
        <w:spacing w:line="525" w:lineRule="auto"/>
        <w:ind w:left="513" w:right="3013"/>
        <w:jc w:val="left"/>
      </w:pPr>
      <w:r>
        <w:rPr/>
        <w:t>②</w:t>
      </w:r>
      <w:r>
        <w:rPr>
          <w:spacing w:val="1"/>
        </w:rPr>
        <w:t> </w:t>
      </w:r>
      <w:r>
        <w:rPr/>
        <w:t>其他方式取得的长期股权投资</w:t>
      </w:r>
      <w:r>
        <w:rPr/>
        <w:t> 以支付现金方式取得的长期股权投资，按照实际支付的购买价款作为初始投资成本。 以发行权益性证券取得的长期股权投资，按照发行权益性证券的公允价值作为初始投资成本。</w:t>
      </w:r>
    </w:p>
    <w:p>
      <w:pPr>
        <w:pStyle w:val="BodyText"/>
        <w:spacing w:line="367" w:lineRule="auto" w:before="67"/>
        <w:ind w:right="1130" w:firstLine="360"/>
        <w:jc w:val="both"/>
      </w:pPr>
      <w:r>
        <w:rPr>
          <w:spacing w:val="-2"/>
        </w:rPr>
        <w:t>投资者投入的长期股权投资，按照投资合同或协议约定的价值（扣除已宣告但尚未发放的现金股利或利润）作为初始投</w:t>
      </w:r>
      <w:r>
        <w:rPr/>
        <w:t> 资成本，但合同或协议约定价值不公允的除外。</w:t>
      </w:r>
    </w:p>
    <w:p>
      <w:pPr>
        <w:spacing w:line="240" w:lineRule="auto" w:before="2"/>
        <w:rPr>
          <w:rFonts w:ascii="宋体" w:hAnsi="宋体" w:cs="宋体" w:eastAsia="宋体" w:hint="default"/>
          <w:sz w:val="14"/>
          <w:szCs w:val="14"/>
        </w:rPr>
      </w:pPr>
    </w:p>
    <w:p>
      <w:pPr>
        <w:pStyle w:val="BodyText"/>
        <w:spacing w:line="367" w:lineRule="auto"/>
        <w:ind w:right="1132" w:firstLine="360"/>
        <w:jc w:val="both"/>
      </w:pPr>
      <w:r>
        <w:rPr>
          <w:spacing w:val="-2"/>
        </w:rPr>
        <w:t>在非货币性资产交换具备商业实质和换入资产或换出资产的公允价值能够可靠计量的前提下，非货币性资产交换换入的</w:t>
      </w:r>
      <w:r>
        <w:rPr/>
        <w:t> </w:t>
      </w:r>
      <w:r>
        <w:rPr>
          <w:spacing w:val="-2"/>
        </w:rPr>
        <w:t>长期股权投资以换出资产的公允价值为基础确定其初始投资成本，除非有确凿证据表明换入资产的公允价值更加可靠；不满</w:t>
      </w:r>
      <w:r>
        <w:rPr>
          <w:spacing w:val="-64"/>
        </w:rPr>
        <w:t> </w:t>
      </w:r>
      <w:r>
        <w:rPr>
          <w:spacing w:val="-64"/>
        </w:rPr>
      </w:r>
      <w:r>
        <w:rPr/>
        <w:t>足上述前提的非货币性资产交换，以换出资产的账面价值和应支付的相关税费作为换入长期股权投资的初始投资成本。</w:t>
      </w:r>
    </w:p>
    <w:p>
      <w:pPr>
        <w:spacing w:line="240" w:lineRule="auto" w:before="2"/>
        <w:rPr>
          <w:rFonts w:ascii="宋体" w:hAnsi="宋体" w:cs="宋体" w:eastAsia="宋体" w:hint="default"/>
          <w:sz w:val="14"/>
          <w:szCs w:val="14"/>
        </w:rPr>
      </w:pPr>
    </w:p>
    <w:p>
      <w:pPr>
        <w:pStyle w:val="BodyText"/>
        <w:spacing w:line="240" w:lineRule="auto"/>
        <w:ind w:left="513" w:right="981"/>
        <w:jc w:val="left"/>
      </w:pPr>
      <w:r>
        <w:rPr/>
        <w:t>通过债务重组取得的长期股权投资，其初始投资成本按照公允价值为基础确定。</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w:t>
      </w:r>
      <w:r>
        <w:rPr>
          <w:rFonts w:ascii="宋体" w:hAnsi="宋体" w:cs="宋体" w:eastAsia="宋体" w:hint="default"/>
        </w:rPr>
        <w:t>2</w:t>
      </w:r>
      <w:r>
        <w:rPr/>
        <w:t>）后续计量及损益确认</w:t>
      </w:r>
    </w:p>
    <w:p>
      <w:pPr>
        <w:spacing w:line="240" w:lineRule="auto" w:before="6"/>
        <w:rPr>
          <w:rFonts w:ascii="宋体" w:hAnsi="宋体" w:cs="宋体" w:eastAsia="宋体" w:hint="default"/>
          <w:sz w:val="21"/>
          <w:szCs w:val="21"/>
        </w:rPr>
      </w:pPr>
    </w:p>
    <w:p>
      <w:pPr>
        <w:pStyle w:val="BodyText"/>
        <w:spacing w:line="525" w:lineRule="auto"/>
        <w:ind w:left="513" w:right="3013"/>
        <w:jc w:val="left"/>
      </w:pPr>
      <w:r>
        <w:rPr/>
        <w:t>①</w:t>
      </w:r>
      <w:r>
        <w:rPr>
          <w:spacing w:val="1"/>
        </w:rPr>
        <w:t> </w:t>
      </w:r>
      <w:r>
        <w:rPr/>
        <w:t>后续计量</w:t>
      </w:r>
      <w:r>
        <w:rPr/>
        <w:t> 公司对子公司的长期股权投资，采用成本法核算，编制合并财务报表时按照权益法进行调整。</w:t>
      </w:r>
    </w:p>
    <w:p>
      <w:pPr>
        <w:pStyle w:val="BodyText"/>
        <w:spacing w:line="367" w:lineRule="auto" w:before="66"/>
        <w:ind w:right="1130" w:firstLine="360"/>
        <w:jc w:val="both"/>
      </w:pPr>
      <w:r>
        <w:rPr>
          <w:spacing w:val="-2"/>
        </w:rPr>
        <w:t>对被投资单位不具有共同控制或重大影响，并且在活跃市场中没有报价、公允价值不能可靠计量的长期股权投资，采用</w:t>
      </w:r>
      <w:r>
        <w:rPr/>
        <w:t> 成本法核算。</w:t>
      </w:r>
    </w:p>
    <w:p>
      <w:pPr>
        <w:spacing w:line="240" w:lineRule="auto" w:before="2"/>
        <w:rPr>
          <w:rFonts w:ascii="宋体" w:hAnsi="宋体" w:cs="宋体" w:eastAsia="宋体" w:hint="default"/>
          <w:sz w:val="14"/>
          <w:szCs w:val="14"/>
        </w:rPr>
      </w:pPr>
    </w:p>
    <w:p>
      <w:pPr>
        <w:pStyle w:val="BodyText"/>
        <w:spacing w:line="367" w:lineRule="auto"/>
        <w:ind w:right="1132" w:firstLine="360"/>
        <w:jc w:val="both"/>
      </w:pPr>
      <w:r>
        <w:rPr>
          <w:spacing w:val="-2"/>
        </w:rPr>
        <w:t>对被投资单位具有共同控制或重大影响的长期股权投资，采用权益法核算。初始投资成本大于投资时应享有被投资单位</w:t>
      </w:r>
      <w:r>
        <w:rPr/>
        <w:t> </w:t>
      </w:r>
      <w:r>
        <w:rPr>
          <w:spacing w:val="-2"/>
        </w:rPr>
        <w:t>可辨认净资产公允价值份额的差额，不调整长期股权投资的初始投资成本；初始投资成本小于投资时应享有被投资单位可辨</w:t>
      </w:r>
      <w:r>
        <w:rPr>
          <w:spacing w:val="-64"/>
        </w:rPr>
        <w:t> </w:t>
      </w:r>
      <w:r>
        <w:rPr>
          <w:spacing w:val="-64"/>
        </w:rPr>
      </w:r>
      <w:r>
        <w:rPr/>
        <w:t>认净资产公允价值份额的差额，计入当期损益。</w:t>
      </w:r>
    </w:p>
    <w:p>
      <w:pPr>
        <w:spacing w:line="240" w:lineRule="auto" w:before="2"/>
        <w:rPr>
          <w:rFonts w:ascii="宋体" w:hAnsi="宋体" w:cs="宋体" w:eastAsia="宋体" w:hint="default"/>
          <w:sz w:val="14"/>
          <w:szCs w:val="14"/>
        </w:rPr>
      </w:pPr>
    </w:p>
    <w:p>
      <w:pPr>
        <w:pStyle w:val="BodyText"/>
        <w:spacing w:line="367" w:lineRule="auto"/>
        <w:ind w:right="1130" w:firstLine="360"/>
        <w:jc w:val="both"/>
      </w:pPr>
      <w:r>
        <w:rPr>
          <w:spacing w:val="-2"/>
        </w:rPr>
        <w:t>被投资单位除净损益以外所有者权益其他变动的处理：对于被投资单位除净损益以外所有者权益的其他变动，在持股比</w:t>
      </w:r>
      <w:r>
        <w:rPr/>
        <w:t> </w:t>
      </w:r>
      <w:r>
        <w:rPr>
          <w:spacing w:val="-5"/>
        </w:rPr>
        <w:t>例不变的情况下，公司按照持股比例计算应享有或承担的部分，调整长期股权投资的账面价值，同时增加或减少资本公积（其</w:t>
      </w:r>
      <w:r>
        <w:rPr>
          <w:spacing w:val="-75"/>
        </w:rPr>
        <w:t> </w:t>
      </w:r>
      <w:r>
        <w:rPr>
          <w:spacing w:val="-75"/>
        </w:rPr>
      </w:r>
      <w:r>
        <w:rPr>
          <w:spacing w:val="-14"/>
        </w:rPr>
        <w:t>他资本公积）。</w:t>
      </w:r>
    </w:p>
    <w:p>
      <w:pPr>
        <w:spacing w:line="240" w:lineRule="auto" w:before="2"/>
        <w:rPr>
          <w:rFonts w:ascii="宋体" w:hAnsi="宋体" w:cs="宋体" w:eastAsia="宋体" w:hint="default"/>
          <w:sz w:val="14"/>
          <w:szCs w:val="14"/>
        </w:rPr>
      </w:pPr>
    </w:p>
    <w:p>
      <w:pPr>
        <w:pStyle w:val="BodyText"/>
        <w:spacing w:line="240" w:lineRule="auto"/>
        <w:ind w:left="513" w:right="981"/>
        <w:jc w:val="left"/>
      </w:pPr>
      <w:r>
        <w:rPr/>
        <w:t>②</w:t>
      </w:r>
      <w:r>
        <w:rPr>
          <w:spacing w:val="1"/>
        </w:rPr>
        <w:t> </w:t>
      </w:r>
      <w:r>
        <w:rPr/>
        <w:t>损益确认</w:t>
      </w:r>
    </w:p>
    <w:p>
      <w:pPr>
        <w:spacing w:line="240" w:lineRule="auto" w:before="6"/>
        <w:rPr>
          <w:rFonts w:ascii="宋体" w:hAnsi="宋体" w:cs="宋体" w:eastAsia="宋体" w:hint="default"/>
          <w:sz w:val="21"/>
          <w:szCs w:val="21"/>
        </w:rPr>
      </w:pPr>
    </w:p>
    <w:p>
      <w:pPr>
        <w:pStyle w:val="BodyText"/>
        <w:spacing w:line="367" w:lineRule="auto"/>
        <w:ind w:right="1132" w:firstLine="360"/>
        <w:jc w:val="both"/>
      </w:pPr>
      <w:r>
        <w:rPr>
          <w:spacing w:val="-2"/>
        </w:rPr>
        <w:t>成本法下，除取得投资时实际支付的价款或对价中包含的已宣告但尚未发放的现金股利或利润外，公司按照享有被投资</w:t>
      </w:r>
      <w:r>
        <w:rPr/>
        <w:t> 单位宣告发放的现金股利或利润确认投资收益。</w:t>
      </w:r>
    </w:p>
    <w:p>
      <w:pPr>
        <w:pStyle w:val="BodyText"/>
        <w:spacing w:line="360" w:lineRule="atLeast" w:before="60"/>
        <w:ind w:right="1133" w:firstLine="360"/>
        <w:jc w:val="both"/>
      </w:pPr>
      <w:r>
        <w:rPr>
          <w:spacing w:val="-2"/>
        </w:rPr>
        <w:t>权益法下，在公司确认应分担被投资单位发生的亏损时，按照顺序进行处理。首先，冲减长期股权投资的账面价值；其</w:t>
      </w:r>
      <w:r>
        <w:rPr/>
        <w:t> </w:t>
      </w:r>
      <w:r>
        <w:rPr>
          <w:spacing w:val="-2"/>
        </w:rPr>
        <w:t>次，长期股权投资的账面价值不足以冲减的，以其他实质上构成对被投资单位净投资的长期权益账面价值为限继续确认投资</w:t>
      </w:r>
      <w:r>
        <w:rPr>
          <w:spacing w:val="-64"/>
        </w:rPr>
        <w:t> </w:t>
      </w:r>
      <w:r>
        <w:rPr>
          <w:spacing w:val="-64"/>
        </w:rPr>
      </w:r>
      <w:r>
        <w:rPr>
          <w:spacing w:val="-2"/>
        </w:rPr>
        <w:t>损失，冲减长期应收项目等的账面价值；最后，经过上述处理，按照投资合同或协议约定企业仍承担额外义务的，按预计承</w:t>
      </w:r>
    </w:p>
    <w:p>
      <w:pPr>
        <w:spacing w:after="0" w:line="360" w:lineRule="atLeast"/>
        <w:jc w:val="both"/>
        <w:sectPr>
          <w:pgSz w:w="11910" w:h="16840"/>
          <w:pgMar w:header="877" w:footer="1332" w:top="1100" w:bottom="1540" w:left="980" w:right="0"/>
        </w:sectPr>
      </w:pPr>
    </w:p>
    <w:p>
      <w:pPr>
        <w:spacing w:line="240" w:lineRule="auto" w:before="2"/>
        <w:rPr>
          <w:rFonts w:ascii="宋体" w:hAnsi="宋体" w:cs="宋体" w:eastAsia="宋体" w:hint="default"/>
          <w:sz w:val="27"/>
          <w:szCs w:val="27"/>
        </w:rPr>
      </w:pPr>
    </w:p>
    <w:p>
      <w:pPr>
        <w:pStyle w:val="BodyText"/>
        <w:spacing w:line="240" w:lineRule="auto" w:before="44"/>
        <w:ind w:right="981"/>
        <w:jc w:val="left"/>
      </w:pPr>
      <w:r>
        <w:rPr/>
        <w:t>担的义务确认预计负债，计入当期投资损失。</w:t>
      </w:r>
    </w:p>
    <w:p>
      <w:pPr>
        <w:spacing w:line="240" w:lineRule="auto" w:before="6"/>
        <w:rPr>
          <w:rFonts w:ascii="宋体" w:hAnsi="宋体" w:cs="宋体" w:eastAsia="宋体" w:hint="default"/>
          <w:sz w:val="21"/>
          <w:szCs w:val="21"/>
        </w:rPr>
      </w:pPr>
    </w:p>
    <w:p>
      <w:pPr>
        <w:pStyle w:val="BodyText"/>
        <w:spacing w:line="367" w:lineRule="auto"/>
        <w:ind w:right="981" w:firstLine="360"/>
        <w:jc w:val="left"/>
      </w:pPr>
      <w:r>
        <w:rPr>
          <w:spacing w:val="-2"/>
        </w:rPr>
        <w:t>被投资单位以后期间实现盈利的，公司在扣除未确认的亏损分担额后，按与上述相反的顺序处理。减计已确认预计负债</w:t>
      </w:r>
      <w:r>
        <w:rPr/>
        <w:t> 的账面余额，恢复其他实质上构成对被投资单位净投资的长期权益及长期股权投资的账面价值，同时确认投资收益。</w:t>
      </w:r>
    </w:p>
    <w:p>
      <w:pPr>
        <w:spacing w:line="240" w:lineRule="auto" w:before="2"/>
        <w:rPr>
          <w:rFonts w:ascii="宋体" w:hAnsi="宋体" w:cs="宋体" w:eastAsia="宋体" w:hint="default"/>
          <w:sz w:val="14"/>
          <w:szCs w:val="14"/>
        </w:rPr>
      </w:pPr>
    </w:p>
    <w:p>
      <w:pPr>
        <w:pStyle w:val="BodyText"/>
        <w:spacing w:line="240" w:lineRule="auto"/>
        <w:ind w:left="513" w:right="981"/>
        <w:jc w:val="left"/>
      </w:pPr>
      <w:r>
        <w:rPr/>
        <w:t>（</w:t>
      </w:r>
      <w:r>
        <w:rPr>
          <w:rFonts w:ascii="宋体" w:hAnsi="宋体" w:cs="宋体" w:eastAsia="宋体" w:hint="default"/>
        </w:rPr>
        <w:t>3</w:t>
      </w:r>
      <w:r>
        <w:rPr/>
        <w:t>）确定对被投资单位具有共同控制、重大影响的依据</w:t>
      </w:r>
    </w:p>
    <w:p>
      <w:pPr>
        <w:spacing w:line="240" w:lineRule="auto" w:before="6"/>
        <w:rPr>
          <w:rFonts w:ascii="宋体" w:hAnsi="宋体" w:cs="宋体" w:eastAsia="宋体" w:hint="default"/>
          <w:sz w:val="21"/>
          <w:szCs w:val="21"/>
        </w:rPr>
      </w:pPr>
    </w:p>
    <w:p>
      <w:pPr>
        <w:pStyle w:val="BodyText"/>
        <w:spacing w:line="367" w:lineRule="auto"/>
        <w:ind w:right="1130" w:firstLine="360"/>
        <w:jc w:val="both"/>
      </w:pPr>
      <w:r>
        <w:rPr>
          <w:spacing w:val="-2"/>
        </w:rPr>
        <w:t>按照合同约定对某项经济活动所共有的控制，仅在与该项经济活动相关的重要财务和经营决策需要分享控制权的投资方</w:t>
      </w:r>
      <w:r>
        <w:rPr/>
        <w:t> </w:t>
      </w:r>
      <w:r>
        <w:rPr>
          <w:spacing w:val="-2"/>
        </w:rPr>
        <w:t>一致同意时存在，则视为与其他方对被投资单位实施共同控制；对一个企业的财务和经营决策有参与决策的权力，但并不能</w:t>
      </w:r>
      <w:r>
        <w:rPr>
          <w:spacing w:val="-63"/>
        </w:rPr>
        <w:t> </w:t>
      </w:r>
      <w:r>
        <w:rPr>
          <w:spacing w:val="-63"/>
        </w:rPr>
      </w:r>
      <w:r>
        <w:rPr/>
        <w:t>够控制或者与其他方一起共同控制这些政策的制定，则视为投资企业能够对被投资单位施加重大影响。</w:t>
      </w:r>
    </w:p>
    <w:p>
      <w:pPr>
        <w:spacing w:line="240" w:lineRule="auto" w:before="2"/>
        <w:rPr>
          <w:rFonts w:ascii="宋体" w:hAnsi="宋体" w:cs="宋体" w:eastAsia="宋体" w:hint="default"/>
          <w:sz w:val="14"/>
          <w:szCs w:val="14"/>
        </w:rPr>
      </w:pPr>
    </w:p>
    <w:p>
      <w:pPr>
        <w:pStyle w:val="BodyText"/>
        <w:spacing w:line="240" w:lineRule="auto"/>
        <w:ind w:left="513" w:right="981"/>
        <w:jc w:val="left"/>
      </w:pPr>
      <w:r>
        <w:rPr/>
        <w:t>（</w:t>
      </w:r>
      <w:r>
        <w:rPr>
          <w:rFonts w:ascii="宋体" w:hAnsi="宋体" w:cs="宋体" w:eastAsia="宋体" w:hint="default"/>
        </w:rPr>
        <w:t>4</w:t>
      </w:r>
      <w:r>
        <w:rPr/>
        <w:t>）减值测试方法及减值准备计提方法</w:t>
      </w:r>
    </w:p>
    <w:p>
      <w:pPr>
        <w:spacing w:line="240" w:lineRule="auto" w:before="6"/>
        <w:rPr>
          <w:rFonts w:ascii="宋体" w:hAnsi="宋体" w:cs="宋体" w:eastAsia="宋体" w:hint="default"/>
          <w:sz w:val="21"/>
          <w:szCs w:val="21"/>
        </w:rPr>
      </w:pPr>
    </w:p>
    <w:p>
      <w:pPr>
        <w:pStyle w:val="BodyText"/>
        <w:spacing w:line="367" w:lineRule="auto"/>
        <w:ind w:right="981" w:firstLine="360"/>
        <w:jc w:val="left"/>
      </w:pPr>
      <w:r>
        <w:rPr>
          <w:spacing w:val="-2"/>
        </w:rPr>
        <w:t>不具有重大影响的、在活跃市场中没有报价、公允价值不能可靠计量的长期股权投资，其减值损失是根据其账面价值与</w:t>
      </w:r>
      <w:r>
        <w:rPr/>
        <w:t> 按类似金融资产当时市场收益率对未来现金流量折现确定的现值之间的差额进行确定。</w:t>
      </w:r>
    </w:p>
    <w:p>
      <w:pPr>
        <w:spacing w:line="240" w:lineRule="auto" w:before="2"/>
        <w:rPr>
          <w:rFonts w:ascii="宋体" w:hAnsi="宋体" w:cs="宋体" w:eastAsia="宋体" w:hint="default"/>
          <w:sz w:val="14"/>
          <w:szCs w:val="14"/>
        </w:rPr>
      </w:pPr>
    </w:p>
    <w:p>
      <w:pPr>
        <w:pStyle w:val="BodyText"/>
        <w:spacing w:line="367" w:lineRule="auto"/>
        <w:ind w:right="981" w:firstLine="360"/>
        <w:jc w:val="left"/>
      </w:pPr>
      <w:r>
        <w:rPr>
          <w:spacing w:val="-2"/>
        </w:rPr>
        <w:t>除因企业合并形成的商誉以外的存在减值迹象的其他长期股权投资，如果可收回金额的计量结果表明，该长期股权投资</w:t>
      </w:r>
      <w:r>
        <w:rPr/>
        <w:t> 的可收回金额低于其账面价值的，将差额确认为减值损失。</w:t>
      </w:r>
    </w:p>
    <w:p>
      <w:pPr>
        <w:spacing w:line="240" w:lineRule="auto" w:before="2"/>
        <w:rPr>
          <w:rFonts w:ascii="宋体" w:hAnsi="宋体" w:cs="宋体" w:eastAsia="宋体" w:hint="default"/>
          <w:sz w:val="14"/>
          <w:szCs w:val="14"/>
        </w:rPr>
      </w:pPr>
    </w:p>
    <w:p>
      <w:pPr>
        <w:pStyle w:val="BodyText"/>
        <w:spacing w:line="525" w:lineRule="auto"/>
        <w:ind w:left="513" w:right="4633"/>
        <w:jc w:val="left"/>
      </w:pPr>
      <w:r>
        <w:rPr/>
        <w:t>因企业合并形成的商誉，无论是否存在减值迹象，每年都进行减值测试。 长期股权投资减值损失一经确认，在以后会计期间不再转回。 </w:t>
      </w:r>
      <w:r>
        <w:rPr>
          <w:rFonts w:ascii="宋体" w:hAnsi="宋体" w:cs="宋体" w:eastAsia="宋体" w:hint="default"/>
        </w:rPr>
        <w:t>9.</w:t>
      </w:r>
      <w:r>
        <w:rPr/>
        <w:t>投资性房地产</w:t>
      </w:r>
    </w:p>
    <w:p>
      <w:pPr>
        <w:pStyle w:val="BodyText"/>
        <w:spacing w:line="367" w:lineRule="auto" w:before="66"/>
        <w:ind w:right="981" w:firstLine="360"/>
        <w:jc w:val="left"/>
      </w:pPr>
      <w:r>
        <w:rPr>
          <w:spacing w:val="-2"/>
        </w:rPr>
        <w:t>投资性房地产是指为赚取租金或资本增值，或两者兼有而持有的房地产，包括已出租的土地使用权、持有并准备增值后</w:t>
      </w:r>
      <w:r>
        <w:rPr/>
        <w:t> 转让的土地使用权、已出租的建筑物。</w:t>
      </w:r>
    </w:p>
    <w:p>
      <w:pPr>
        <w:spacing w:line="240" w:lineRule="auto" w:before="2"/>
        <w:rPr>
          <w:rFonts w:ascii="宋体" w:hAnsi="宋体" w:cs="宋体" w:eastAsia="宋体" w:hint="default"/>
          <w:sz w:val="14"/>
          <w:szCs w:val="14"/>
        </w:rPr>
      </w:pPr>
    </w:p>
    <w:p>
      <w:pPr>
        <w:pStyle w:val="BodyText"/>
        <w:spacing w:line="367" w:lineRule="auto"/>
        <w:ind w:right="981" w:firstLine="360"/>
        <w:jc w:val="left"/>
      </w:pPr>
      <w:r>
        <w:rPr>
          <w:spacing w:val="-2"/>
        </w:rPr>
        <w:t>公司对现有投资性房地产采用成本模式计量，采用与本公司固定资产相同的折旧政策。出租用土地使用权采用与无形资</w:t>
      </w:r>
      <w:r>
        <w:rPr/>
        <w:t> 产相同的摊销政策。</w:t>
      </w:r>
    </w:p>
    <w:p>
      <w:pPr>
        <w:spacing w:line="240" w:lineRule="auto" w:before="2"/>
        <w:rPr>
          <w:rFonts w:ascii="宋体" w:hAnsi="宋体" w:cs="宋体" w:eastAsia="宋体" w:hint="default"/>
          <w:sz w:val="14"/>
          <w:szCs w:val="14"/>
        </w:rPr>
      </w:pPr>
    </w:p>
    <w:p>
      <w:pPr>
        <w:pStyle w:val="BodyText"/>
        <w:spacing w:line="525" w:lineRule="auto"/>
        <w:ind w:left="513" w:right="2473"/>
        <w:jc w:val="left"/>
      </w:pPr>
      <w:r>
        <w:rPr/>
        <w:t>公司对存在减值迹象的，估计其可收回金额，可收回金额低于其账面价值的，确认相应的减值损失。 投资性房地产减值损失一经确认，在以后会计期间不再转回。</w:t>
      </w:r>
    </w:p>
    <w:p>
      <w:pPr>
        <w:pStyle w:val="BodyText"/>
        <w:spacing w:line="240" w:lineRule="auto" w:before="66"/>
        <w:ind w:left="513" w:right="981"/>
        <w:jc w:val="left"/>
      </w:pPr>
      <w:r>
        <w:rPr>
          <w:rFonts w:ascii="宋体" w:hAnsi="宋体" w:cs="宋体" w:eastAsia="宋体" w:hint="default"/>
        </w:rPr>
        <w:t>10.</w:t>
      </w:r>
      <w:r>
        <w:rPr/>
        <w:t>固定资产</w:t>
      </w:r>
    </w:p>
    <w:p>
      <w:pPr>
        <w:pStyle w:val="BodyText"/>
        <w:spacing w:line="516" w:lineRule="exact" w:before="78"/>
        <w:ind w:left="513" w:right="981"/>
        <w:jc w:val="left"/>
      </w:pPr>
      <w:r>
        <w:rPr/>
        <w:t>（</w:t>
      </w:r>
      <w:r>
        <w:rPr>
          <w:rFonts w:ascii="宋体" w:hAnsi="宋体" w:cs="宋体" w:eastAsia="宋体" w:hint="default"/>
        </w:rPr>
        <w:t>1</w:t>
      </w:r>
      <w:r>
        <w:rPr/>
        <w:t>）固定资产确认条件 </w:t>
      </w:r>
      <w:r>
        <w:rPr>
          <w:spacing w:val="-2"/>
        </w:rPr>
        <w:t>固定资产指为生产商品、提供劳务、出租或经营管理而持有，并且使用寿命超过一个会计年度的有形资产。固定资产在</w:t>
      </w:r>
    </w:p>
    <w:p>
      <w:pPr>
        <w:pStyle w:val="BodyText"/>
        <w:spacing w:line="240" w:lineRule="auto" w:before="46"/>
        <w:ind w:right="981"/>
        <w:jc w:val="left"/>
      </w:pPr>
      <w:r>
        <w:rPr/>
        <w:t>同时满足下列条件时予以确认：</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①</w:t>
      </w:r>
      <w:r>
        <w:rPr>
          <w:spacing w:val="1"/>
        </w:rPr>
        <w:t> </w:t>
      </w:r>
      <w:r>
        <w:rPr/>
        <w:t>与该固定资产有关的经济利益很可能流入企业；</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②</w:t>
      </w:r>
      <w:r>
        <w:rPr>
          <w:spacing w:val="1"/>
        </w:rPr>
        <w:t> </w:t>
      </w:r>
      <w:r>
        <w:rPr/>
        <w:t>该固定资产的成本能够可靠地计量。</w:t>
      </w:r>
    </w:p>
    <w:p>
      <w:pPr>
        <w:spacing w:line="240" w:lineRule="auto" w:before="6"/>
        <w:rPr>
          <w:rFonts w:ascii="宋体" w:hAnsi="宋体" w:cs="宋体" w:eastAsia="宋体" w:hint="default"/>
          <w:sz w:val="21"/>
          <w:szCs w:val="21"/>
        </w:rPr>
      </w:pPr>
    </w:p>
    <w:p>
      <w:pPr>
        <w:pStyle w:val="BodyText"/>
        <w:spacing w:line="525" w:lineRule="auto"/>
        <w:ind w:left="513" w:right="2113"/>
        <w:jc w:val="left"/>
      </w:pPr>
      <w:r>
        <w:rPr/>
        <w:t>（</w:t>
      </w:r>
      <w:r>
        <w:rPr>
          <w:rFonts w:ascii="宋体" w:hAnsi="宋体" w:cs="宋体" w:eastAsia="宋体" w:hint="default"/>
        </w:rPr>
        <w:t>2</w:t>
      </w:r>
      <w:r>
        <w:rPr/>
        <w:t>）各类固定资产的折旧方法 固定资产折旧采用年限平均法分类计提，根据固定资产类别、预计使用寿命和预计净残值率确定折旧率。</w:t>
      </w:r>
    </w:p>
    <w:p>
      <w:pPr>
        <w:spacing w:after="0" w:line="525" w:lineRule="auto"/>
        <w:jc w:val="left"/>
        <w:sectPr>
          <w:pgSz w:w="11910" w:h="16840"/>
          <w:pgMar w:header="877" w:footer="1332" w:top="110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before="44"/>
        <w:ind w:left="513" w:right="981"/>
        <w:jc w:val="left"/>
      </w:pPr>
      <w:r>
        <w:rPr/>
        <w:t>各类固定资产折旧年限和年折旧率如下：</w:t>
      </w:r>
    </w:p>
    <w:p>
      <w:pPr>
        <w:spacing w:line="240" w:lineRule="auto" w:before="6"/>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2749"/>
        <w:gridCol w:w="2051"/>
        <w:gridCol w:w="2301"/>
        <w:gridCol w:w="2652"/>
      </w:tblGrid>
      <w:tr>
        <w:trPr>
          <w:trHeight w:val="296" w:hRule="exact"/>
        </w:trPr>
        <w:tc>
          <w:tcPr>
            <w:tcW w:w="2749" w:type="dxa"/>
            <w:tcBorders>
              <w:top w:val="nil" w:sz="6" w:space="0" w:color="auto"/>
              <w:left w:val="nil" w:sz="6" w:space="0" w:color="auto"/>
              <w:bottom w:val="single" w:sz="4" w:space="0" w:color="000000"/>
              <w:right w:val="nil" w:sz="6" w:space="0" w:color="auto"/>
            </w:tcBorders>
          </w:tcPr>
          <w:p>
            <w:pPr>
              <w:pStyle w:val="TableParagraph"/>
              <w:spacing w:line="180" w:lineRule="exact"/>
              <w:ind w:left="720" w:right="0"/>
              <w:jc w:val="left"/>
              <w:rPr>
                <w:rFonts w:ascii="宋体" w:hAnsi="宋体" w:cs="宋体" w:eastAsia="宋体" w:hint="default"/>
                <w:sz w:val="18"/>
                <w:szCs w:val="18"/>
              </w:rPr>
            </w:pPr>
            <w:r>
              <w:rPr>
                <w:rFonts w:ascii="宋体" w:hAnsi="宋体" w:cs="宋体" w:eastAsia="宋体" w:hint="default"/>
                <w:b/>
                <w:bCs/>
                <w:sz w:val="18"/>
                <w:szCs w:val="18"/>
              </w:rPr>
              <w:t>固定资产类别</w:t>
            </w:r>
            <w:r>
              <w:rPr>
                <w:rFonts w:ascii="宋体" w:hAnsi="宋体" w:cs="宋体" w:eastAsia="宋体" w:hint="default"/>
                <w:sz w:val="18"/>
                <w:szCs w:val="18"/>
              </w:rPr>
            </w:r>
          </w:p>
        </w:tc>
        <w:tc>
          <w:tcPr>
            <w:tcW w:w="2051" w:type="dxa"/>
            <w:tcBorders>
              <w:top w:val="nil" w:sz="6" w:space="0" w:color="auto"/>
              <w:left w:val="nil" w:sz="6" w:space="0" w:color="auto"/>
              <w:bottom w:val="single" w:sz="4" w:space="0" w:color="000000"/>
              <w:right w:val="nil" w:sz="6" w:space="0" w:color="auto"/>
            </w:tcBorders>
          </w:tcPr>
          <w:p>
            <w:pPr>
              <w:pStyle w:val="TableParagraph"/>
              <w:spacing w:line="180" w:lineRule="exact"/>
              <w:ind w:right="150"/>
              <w:jc w:val="center"/>
              <w:rPr>
                <w:rFonts w:ascii="宋体" w:hAnsi="宋体" w:cs="宋体" w:eastAsia="宋体" w:hint="default"/>
                <w:sz w:val="18"/>
                <w:szCs w:val="18"/>
              </w:rPr>
            </w:pPr>
            <w:r>
              <w:rPr>
                <w:rFonts w:ascii="宋体" w:hAnsi="宋体" w:cs="宋体" w:eastAsia="宋体" w:hint="default"/>
                <w:b/>
                <w:bCs/>
                <w:sz w:val="18"/>
                <w:szCs w:val="18"/>
              </w:rPr>
              <w:t>折旧年限</w:t>
            </w:r>
            <w:r>
              <w:rPr>
                <w:rFonts w:ascii="宋体" w:hAnsi="宋体" w:cs="宋体" w:eastAsia="宋体" w:hint="default"/>
                <w:sz w:val="18"/>
                <w:szCs w:val="18"/>
              </w:rPr>
            </w:r>
          </w:p>
        </w:tc>
        <w:tc>
          <w:tcPr>
            <w:tcW w:w="2301" w:type="dxa"/>
            <w:tcBorders>
              <w:top w:val="nil" w:sz="6" w:space="0" w:color="auto"/>
              <w:left w:val="nil" w:sz="6" w:space="0" w:color="auto"/>
              <w:bottom w:val="single" w:sz="4" w:space="0" w:color="000000"/>
              <w:right w:val="nil" w:sz="6" w:space="0" w:color="auto"/>
            </w:tcBorders>
          </w:tcPr>
          <w:p>
            <w:pPr>
              <w:pStyle w:val="TableParagraph"/>
              <w:spacing w:line="180" w:lineRule="exact"/>
              <w:ind w:left="174" w:right="0"/>
              <w:jc w:val="center"/>
              <w:rPr>
                <w:rFonts w:ascii="宋体" w:hAnsi="宋体" w:cs="宋体" w:eastAsia="宋体" w:hint="default"/>
                <w:sz w:val="18"/>
                <w:szCs w:val="18"/>
              </w:rPr>
            </w:pPr>
            <w:r>
              <w:rPr>
                <w:rFonts w:ascii="宋体" w:hAnsi="宋体" w:cs="宋体" w:eastAsia="宋体" w:hint="default"/>
                <w:b/>
                <w:bCs/>
                <w:sz w:val="18"/>
                <w:szCs w:val="18"/>
              </w:rPr>
              <w:t>残值率（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652" w:type="dxa"/>
            <w:tcBorders>
              <w:top w:val="nil" w:sz="6" w:space="0" w:color="auto"/>
              <w:left w:val="nil" w:sz="6" w:space="0" w:color="auto"/>
              <w:bottom w:val="single" w:sz="4" w:space="0" w:color="000000"/>
              <w:right w:val="nil" w:sz="6" w:space="0" w:color="auto"/>
            </w:tcBorders>
          </w:tcPr>
          <w:p>
            <w:pPr>
              <w:pStyle w:val="TableParagraph"/>
              <w:spacing w:line="180" w:lineRule="exact"/>
              <w:ind w:left="104" w:right="0"/>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94" w:hRule="exact"/>
        </w:trPr>
        <w:tc>
          <w:tcPr>
            <w:tcW w:w="274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05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47"/>
              <w:jc w:val="center"/>
              <w:rPr>
                <w:rFonts w:ascii="宋体" w:hAnsi="宋体" w:cs="宋体" w:eastAsia="宋体" w:hint="default"/>
                <w:sz w:val="18"/>
                <w:szCs w:val="18"/>
              </w:rPr>
            </w:pPr>
            <w:r>
              <w:rPr>
                <w:rFonts w:ascii="宋体"/>
                <w:sz w:val="18"/>
              </w:rPr>
              <w:t>40</w:t>
            </w:r>
          </w:p>
        </w:tc>
        <w:tc>
          <w:tcPr>
            <w:tcW w:w="2301" w:type="dxa"/>
            <w:tcBorders>
              <w:top w:val="single" w:sz="4" w:space="0" w:color="000000"/>
              <w:left w:val="nil" w:sz="6" w:space="0" w:color="auto"/>
              <w:bottom w:val="nil" w:sz="6" w:space="0" w:color="auto"/>
              <w:right w:val="nil" w:sz="6" w:space="0" w:color="auto"/>
            </w:tcBorders>
          </w:tcPr>
          <w:p>
            <w:pPr/>
          </w:p>
        </w:tc>
        <w:tc>
          <w:tcPr>
            <w:tcW w:w="265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4" w:right="0"/>
              <w:jc w:val="center"/>
              <w:rPr>
                <w:rFonts w:ascii="宋体" w:hAnsi="宋体" w:cs="宋体" w:eastAsia="宋体" w:hint="default"/>
                <w:sz w:val="18"/>
                <w:szCs w:val="18"/>
              </w:rPr>
            </w:pPr>
            <w:r>
              <w:rPr>
                <w:rFonts w:ascii="宋体"/>
                <w:sz w:val="18"/>
              </w:rPr>
              <w:t>2.50</w:t>
            </w:r>
          </w:p>
        </w:tc>
      </w:tr>
      <w:tr>
        <w:trPr>
          <w:trHeight w:val="397"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供电、供水、供汽设施设备</w:t>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47"/>
              <w:jc w:val="center"/>
              <w:rPr>
                <w:rFonts w:ascii="宋体" w:hAnsi="宋体" w:cs="宋体" w:eastAsia="宋体" w:hint="default"/>
                <w:sz w:val="18"/>
                <w:szCs w:val="18"/>
              </w:rPr>
            </w:pPr>
            <w:r>
              <w:rPr>
                <w:rFonts w:ascii="宋体"/>
                <w:sz w:val="18"/>
              </w:rPr>
              <w:t>10</w:t>
            </w:r>
          </w:p>
        </w:tc>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73" w:right="0"/>
              <w:jc w:val="center"/>
              <w:rPr>
                <w:rFonts w:ascii="宋体" w:hAnsi="宋体" w:cs="宋体" w:eastAsia="宋体" w:hint="default"/>
                <w:sz w:val="18"/>
                <w:szCs w:val="18"/>
              </w:rPr>
            </w:pPr>
            <w:r>
              <w:rPr>
                <w:rFonts w:ascii="宋体"/>
                <w:sz w:val="18"/>
              </w:rPr>
              <w:t>4</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4" w:right="0"/>
              <w:jc w:val="center"/>
              <w:rPr>
                <w:rFonts w:ascii="宋体" w:hAnsi="宋体" w:cs="宋体" w:eastAsia="宋体" w:hint="default"/>
                <w:sz w:val="18"/>
                <w:szCs w:val="18"/>
              </w:rPr>
            </w:pPr>
            <w:r>
              <w:rPr>
                <w:rFonts w:ascii="宋体"/>
                <w:sz w:val="18"/>
              </w:rPr>
              <w:t>9.60</w:t>
            </w:r>
          </w:p>
        </w:tc>
      </w:tr>
      <w:tr>
        <w:trPr>
          <w:trHeight w:val="398"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8"/>
              <w:jc w:val="center"/>
              <w:rPr>
                <w:rFonts w:ascii="宋体" w:hAnsi="宋体" w:cs="宋体" w:eastAsia="宋体" w:hint="default"/>
                <w:sz w:val="18"/>
                <w:szCs w:val="18"/>
              </w:rPr>
            </w:pPr>
            <w:r>
              <w:rPr>
                <w:rFonts w:ascii="宋体"/>
                <w:sz w:val="18"/>
              </w:rPr>
              <w:t>8</w:t>
            </w:r>
          </w:p>
        </w:tc>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73" w:right="0"/>
              <w:jc w:val="center"/>
              <w:rPr>
                <w:rFonts w:ascii="宋体" w:hAnsi="宋体" w:cs="宋体" w:eastAsia="宋体" w:hint="default"/>
                <w:sz w:val="18"/>
                <w:szCs w:val="18"/>
              </w:rPr>
            </w:pPr>
            <w:r>
              <w:rPr>
                <w:rFonts w:ascii="宋体"/>
                <w:sz w:val="18"/>
              </w:rPr>
              <w:t>4</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4" w:right="0"/>
              <w:jc w:val="center"/>
              <w:rPr>
                <w:rFonts w:ascii="宋体" w:hAnsi="宋体" w:cs="宋体" w:eastAsia="宋体" w:hint="default"/>
                <w:sz w:val="18"/>
                <w:szCs w:val="18"/>
              </w:rPr>
            </w:pPr>
            <w:r>
              <w:rPr>
                <w:rFonts w:ascii="宋体"/>
                <w:sz w:val="18"/>
              </w:rPr>
              <w:t>12.00</w:t>
            </w:r>
          </w:p>
        </w:tc>
      </w:tr>
      <w:tr>
        <w:trPr>
          <w:trHeight w:val="397"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装卸机械设备</w:t>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7"/>
              <w:jc w:val="center"/>
              <w:rPr>
                <w:rFonts w:ascii="宋体" w:hAnsi="宋体" w:cs="宋体" w:eastAsia="宋体" w:hint="default"/>
                <w:sz w:val="18"/>
                <w:szCs w:val="18"/>
              </w:rPr>
            </w:pPr>
            <w:r>
              <w:rPr>
                <w:rFonts w:ascii="宋体"/>
                <w:sz w:val="18"/>
              </w:rPr>
              <w:t>10</w:t>
            </w:r>
          </w:p>
        </w:tc>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77" w:right="0"/>
              <w:jc w:val="center"/>
              <w:rPr>
                <w:rFonts w:ascii="宋体" w:hAnsi="宋体" w:cs="宋体" w:eastAsia="宋体" w:hint="default"/>
                <w:sz w:val="18"/>
                <w:szCs w:val="18"/>
              </w:rPr>
            </w:pPr>
            <w:r>
              <w:rPr>
                <w:rFonts w:ascii="宋体"/>
                <w:sz w:val="18"/>
              </w:rPr>
              <w:t>4</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96" w:right="0"/>
              <w:jc w:val="center"/>
              <w:rPr>
                <w:rFonts w:ascii="宋体" w:hAnsi="宋体" w:cs="宋体" w:eastAsia="宋体" w:hint="default"/>
                <w:sz w:val="18"/>
                <w:szCs w:val="18"/>
              </w:rPr>
            </w:pPr>
            <w:r>
              <w:rPr>
                <w:rFonts w:ascii="宋体"/>
                <w:sz w:val="18"/>
              </w:rPr>
              <w:t>9.60</w:t>
            </w:r>
          </w:p>
        </w:tc>
      </w:tr>
      <w:tr>
        <w:trPr>
          <w:trHeight w:val="397"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7"/>
              <w:jc w:val="center"/>
              <w:rPr>
                <w:rFonts w:ascii="宋体" w:hAnsi="宋体" w:cs="宋体" w:eastAsia="宋体" w:hint="default"/>
                <w:sz w:val="18"/>
                <w:szCs w:val="18"/>
              </w:rPr>
            </w:pPr>
            <w:r>
              <w:rPr>
                <w:rFonts w:ascii="宋体"/>
                <w:sz w:val="18"/>
              </w:rPr>
              <w:t>10</w:t>
            </w:r>
          </w:p>
        </w:tc>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73" w:right="0"/>
              <w:jc w:val="center"/>
              <w:rPr>
                <w:rFonts w:ascii="宋体" w:hAnsi="宋体" w:cs="宋体" w:eastAsia="宋体" w:hint="default"/>
                <w:sz w:val="18"/>
                <w:szCs w:val="18"/>
              </w:rPr>
            </w:pPr>
            <w:r>
              <w:rPr>
                <w:rFonts w:ascii="宋体"/>
                <w:sz w:val="18"/>
              </w:rPr>
              <w:t>4</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96" w:right="0"/>
              <w:jc w:val="center"/>
              <w:rPr>
                <w:rFonts w:ascii="宋体" w:hAnsi="宋体" w:cs="宋体" w:eastAsia="宋体" w:hint="default"/>
                <w:sz w:val="18"/>
                <w:szCs w:val="18"/>
              </w:rPr>
            </w:pPr>
            <w:r>
              <w:rPr>
                <w:rFonts w:ascii="宋体"/>
                <w:sz w:val="18"/>
              </w:rPr>
              <w:t>9.60</w:t>
            </w:r>
          </w:p>
        </w:tc>
      </w:tr>
      <w:tr>
        <w:trPr>
          <w:trHeight w:val="396"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通讯及导航设施设备</w:t>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8"/>
              <w:jc w:val="center"/>
              <w:rPr>
                <w:rFonts w:ascii="宋体" w:hAnsi="宋体" w:cs="宋体" w:eastAsia="宋体" w:hint="default"/>
                <w:sz w:val="18"/>
                <w:szCs w:val="18"/>
              </w:rPr>
            </w:pPr>
            <w:r>
              <w:rPr>
                <w:rFonts w:ascii="宋体"/>
                <w:sz w:val="18"/>
              </w:rPr>
              <w:t>5</w:t>
            </w:r>
          </w:p>
        </w:tc>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73" w:right="0"/>
              <w:jc w:val="center"/>
              <w:rPr>
                <w:rFonts w:ascii="宋体" w:hAnsi="宋体" w:cs="宋体" w:eastAsia="宋体" w:hint="default"/>
                <w:sz w:val="18"/>
                <w:szCs w:val="18"/>
              </w:rPr>
            </w:pPr>
            <w:r>
              <w:rPr>
                <w:rFonts w:ascii="宋体"/>
                <w:sz w:val="18"/>
              </w:rPr>
              <w:t>4</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5" w:right="0"/>
              <w:jc w:val="center"/>
              <w:rPr>
                <w:rFonts w:ascii="宋体" w:hAnsi="宋体" w:cs="宋体" w:eastAsia="宋体" w:hint="default"/>
                <w:sz w:val="18"/>
                <w:szCs w:val="18"/>
              </w:rPr>
            </w:pPr>
            <w:r>
              <w:rPr>
                <w:rFonts w:ascii="宋体"/>
                <w:sz w:val="18"/>
              </w:rPr>
              <w:t>19.20</w:t>
            </w:r>
          </w:p>
        </w:tc>
      </w:tr>
      <w:tr>
        <w:trPr>
          <w:trHeight w:val="288"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7"/>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10</w:t>
            </w:r>
          </w:p>
        </w:tc>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73" w:right="0"/>
              <w:jc w:val="center"/>
              <w:rPr>
                <w:rFonts w:ascii="宋体" w:hAnsi="宋体" w:cs="宋体" w:eastAsia="宋体" w:hint="default"/>
                <w:sz w:val="18"/>
                <w:szCs w:val="18"/>
              </w:rPr>
            </w:pPr>
            <w:r>
              <w:rPr>
                <w:rFonts w:ascii="宋体"/>
                <w:sz w:val="18"/>
              </w:rPr>
              <w:t>4</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1" w:right="0"/>
              <w:jc w:val="center"/>
              <w:rPr>
                <w:rFonts w:ascii="宋体" w:hAnsi="宋体" w:cs="宋体" w:eastAsia="宋体" w:hint="default"/>
                <w:sz w:val="18"/>
                <w:szCs w:val="18"/>
              </w:rPr>
            </w:pPr>
            <w:r>
              <w:rPr>
                <w:rFonts w:ascii="宋体" w:hAnsi="宋体" w:cs="宋体" w:eastAsia="宋体" w:hint="default"/>
                <w:sz w:val="18"/>
                <w:szCs w:val="18"/>
              </w:rPr>
              <w:t>32.00</w:t>
            </w:r>
            <w:r>
              <w:rPr>
                <w:rFonts w:ascii="宋体" w:hAnsi="宋体" w:cs="宋体" w:eastAsia="宋体" w:hint="default"/>
                <w:sz w:val="18"/>
                <w:szCs w:val="18"/>
              </w:rPr>
              <w:t>、</w:t>
            </w:r>
            <w:r>
              <w:rPr>
                <w:rFonts w:ascii="宋体" w:hAnsi="宋体" w:cs="宋体" w:eastAsia="宋体" w:hint="default"/>
                <w:sz w:val="18"/>
                <w:szCs w:val="18"/>
              </w:rPr>
              <w:t>19.20</w:t>
            </w:r>
            <w:r>
              <w:rPr>
                <w:rFonts w:ascii="宋体" w:hAnsi="宋体" w:cs="宋体" w:eastAsia="宋体" w:hint="default"/>
                <w:sz w:val="18"/>
                <w:szCs w:val="18"/>
              </w:rPr>
              <w:t>、</w:t>
            </w:r>
            <w:r>
              <w:rPr>
                <w:rFonts w:ascii="宋体" w:hAnsi="宋体" w:cs="宋体" w:eastAsia="宋体" w:hint="default"/>
                <w:sz w:val="18"/>
                <w:szCs w:val="18"/>
              </w:rPr>
              <w:t>9.60</w:t>
            </w:r>
          </w:p>
        </w:tc>
      </w:tr>
    </w:tbl>
    <w:p>
      <w:pPr>
        <w:spacing w:line="240" w:lineRule="auto" w:before="13"/>
        <w:rPr>
          <w:rFonts w:ascii="宋体" w:hAnsi="宋体" w:cs="宋体" w:eastAsia="宋体" w:hint="default"/>
          <w:sz w:val="13"/>
          <w:szCs w:val="13"/>
        </w:rPr>
      </w:pPr>
    </w:p>
    <w:p>
      <w:pPr>
        <w:pStyle w:val="BodyText"/>
        <w:spacing w:line="528" w:lineRule="auto" w:before="44"/>
        <w:ind w:left="513" w:right="5893"/>
        <w:jc w:val="left"/>
      </w:pPr>
      <w:r>
        <w:rPr/>
        <w:t>（</w:t>
      </w:r>
      <w:r>
        <w:rPr>
          <w:rFonts w:ascii="宋体" w:hAnsi="宋体" w:cs="宋体" w:eastAsia="宋体" w:hint="default"/>
        </w:rPr>
        <w:t>3</w:t>
      </w:r>
      <w:r>
        <w:rPr/>
        <w:t>）固定资产的减值准备计提 公司每期末判断固定资产是否存在可能发生减值的迹象。</w:t>
      </w:r>
    </w:p>
    <w:p>
      <w:pPr>
        <w:pStyle w:val="BodyText"/>
        <w:spacing w:line="367" w:lineRule="auto" w:before="64"/>
        <w:ind w:right="981" w:firstLine="360"/>
        <w:jc w:val="left"/>
      </w:pPr>
      <w:r>
        <w:rPr>
          <w:spacing w:val="-2"/>
        </w:rPr>
        <w:t>固定资产存在减值迹象的，估计其可收回金额。可收回金额根据固定资产的公允价值减去处置费用后的净额与固定资产</w:t>
      </w:r>
      <w:r>
        <w:rPr/>
        <w:t> 预计未来现金流量的现值两者之间较高者确定。</w:t>
      </w:r>
    </w:p>
    <w:p>
      <w:pPr>
        <w:spacing w:line="240" w:lineRule="auto" w:before="2"/>
        <w:rPr>
          <w:rFonts w:ascii="宋体" w:hAnsi="宋体" w:cs="宋体" w:eastAsia="宋体" w:hint="default"/>
          <w:sz w:val="14"/>
          <w:szCs w:val="14"/>
        </w:rPr>
      </w:pPr>
    </w:p>
    <w:p>
      <w:pPr>
        <w:pStyle w:val="BodyText"/>
        <w:spacing w:line="367" w:lineRule="auto"/>
        <w:ind w:right="981" w:firstLine="360"/>
        <w:jc w:val="left"/>
      </w:pPr>
      <w:r>
        <w:rPr>
          <w:spacing w:val="-2"/>
        </w:rPr>
        <w:t>当固定资产的可收回金额低于其账面价值的，将固定资产的账面价值减记至可收回金额，减记的金额确认为固定资产减</w:t>
      </w:r>
      <w:r>
        <w:rPr/>
        <w:t> 值损失，计入当期损益，同时计提相应的固定资产减值准备。</w:t>
      </w:r>
    </w:p>
    <w:p>
      <w:pPr>
        <w:spacing w:line="240" w:lineRule="auto" w:before="2"/>
        <w:rPr>
          <w:rFonts w:ascii="宋体" w:hAnsi="宋体" w:cs="宋体" w:eastAsia="宋体" w:hint="default"/>
          <w:sz w:val="14"/>
          <w:szCs w:val="14"/>
        </w:rPr>
      </w:pPr>
    </w:p>
    <w:p>
      <w:pPr>
        <w:pStyle w:val="BodyText"/>
        <w:spacing w:line="367" w:lineRule="auto"/>
        <w:ind w:right="981" w:firstLine="360"/>
        <w:jc w:val="left"/>
      </w:pPr>
      <w:r>
        <w:rPr>
          <w:spacing w:val="-2"/>
        </w:rPr>
        <w:t>固定资产减值损失确认后，减值固定资产的折旧在未来期间作相应调整，以使该固定资产在剩余使用寿命内，系统地分</w:t>
      </w:r>
      <w:r>
        <w:rPr/>
        <w:t> </w:t>
      </w:r>
      <w:r>
        <w:rPr>
          <w:spacing w:val="-4"/>
        </w:rPr>
        <w:t>摊调整后的固定资产账面价值（扣除预计净残值）。</w:t>
      </w:r>
    </w:p>
    <w:p>
      <w:pPr>
        <w:spacing w:line="240" w:lineRule="auto" w:before="2"/>
        <w:rPr>
          <w:rFonts w:ascii="宋体" w:hAnsi="宋体" w:cs="宋体" w:eastAsia="宋体" w:hint="default"/>
          <w:sz w:val="14"/>
          <w:szCs w:val="14"/>
        </w:rPr>
      </w:pPr>
    </w:p>
    <w:p>
      <w:pPr>
        <w:pStyle w:val="BodyText"/>
        <w:spacing w:line="240" w:lineRule="auto"/>
        <w:ind w:left="513" w:right="981"/>
        <w:jc w:val="left"/>
      </w:pPr>
      <w:r>
        <w:rPr/>
        <w:t>固定资产的减值损失一经确认，在以后会计期间不再转回。</w:t>
      </w:r>
    </w:p>
    <w:p>
      <w:pPr>
        <w:spacing w:line="240" w:lineRule="auto" w:before="6"/>
        <w:rPr>
          <w:rFonts w:ascii="宋体" w:hAnsi="宋体" w:cs="宋体" w:eastAsia="宋体" w:hint="default"/>
          <w:sz w:val="21"/>
          <w:szCs w:val="21"/>
        </w:rPr>
      </w:pPr>
    </w:p>
    <w:p>
      <w:pPr>
        <w:pStyle w:val="BodyText"/>
        <w:spacing w:line="367" w:lineRule="auto"/>
        <w:ind w:right="981" w:firstLine="360"/>
        <w:jc w:val="left"/>
      </w:pPr>
      <w:r>
        <w:rPr>
          <w:spacing w:val="-2"/>
        </w:rPr>
        <w:t>有迹象表明一项固定资产可能发生减值的，企业以单项固定资产为基础估计其可收回金额。企业难以对单项固定资产的</w:t>
      </w:r>
      <w:r>
        <w:rPr/>
        <w:t> 可收回金额进行估计的，以该固定资产所属的资产组为基础确定资产组的可收回金额。</w:t>
      </w:r>
    </w:p>
    <w:p>
      <w:pPr>
        <w:spacing w:line="240" w:lineRule="auto" w:before="2"/>
        <w:rPr>
          <w:rFonts w:ascii="宋体" w:hAnsi="宋体" w:cs="宋体" w:eastAsia="宋体" w:hint="default"/>
          <w:sz w:val="14"/>
          <w:szCs w:val="14"/>
        </w:rPr>
      </w:pPr>
    </w:p>
    <w:p>
      <w:pPr>
        <w:pStyle w:val="BodyText"/>
        <w:spacing w:line="240" w:lineRule="auto"/>
        <w:ind w:left="513" w:right="981"/>
        <w:jc w:val="left"/>
      </w:pPr>
      <w:r>
        <w:rPr>
          <w:rFonts w:ascii="宋体" w:hAnsi="宋体" w:cs="宋体" w:eastAsia="宋体" w:hint="default"/>
        </w:rPr>
        <w:t>11.</w:t>
      </w:r>
      <w:r>
        <w:rPr/>
        <w:t>在建工程</w:t>
      </w:r>
    </w:p>
    <w:p>
      <w:pPr>
        <w:pStyle w:val="BodyText"/>
        <w:spacing w:line="510" w:lineRule="atLeast" w:before="6"/>
        <w:ind w:left="513" w:right="981"/>
        <w:jc w:val="left"/>
      </w:pPr>
      <w:r>
        <w:rPr/>
        <w:t>（</w:t>
      </w:r>
      <w:r>
        <w:rPr>
          <w:rFonts w:ascii="宋体" w:hAnsi="宋体" w:cs="宋体" w:eastAsia="宋体" w:hint="default"/>
        </w:rPr>
        <w:t>1</w:t>
      </w:r>
      <w:r>
        <w:rPr/>
        <w:t>）在建工程的计价 </w:t>
      </w:r>
      <w:r>
        <w:rPr>
          <w:spacing w:val="-2"/>
        </w:rPr>
        <w:t>按照实际发生的支出确定工程成本。公司在建工程是指购建固定资产使工程达到预定可使用状态前发生的必要支出，包</w:t>
      </w:r>
    </w:p>
    <w:p>
      <w:pPr>
        <w:pStyle w:val="BodyText"/>
        <w:spacing w:line="240" w:lineRule="auto" w:before="124"/>
        <w:ind w:right="0"/>
        <w:jc w:val="both"/>
      </w:pPr>
      <w:r>
        <w:rPr/>
        <w:t>括工程直接材料、直接工资、待安装设备、工程建筑安装费、工程管理费以及应当资本化的借款费用。</w:t>
      </w:r>
    </w:p>
    <w:p>
      <w:pPr>
        <w:pStyle w:val="BodyText"/>
        <w:spacing w:line="510" w:lineRule="atLeast" w:before="6"/>
        <w:ind w:left="513" w:right="981"/>
        <w:jc w:val="left"/>
      </w:pPr>
      <w:r>
        <w:rPr/>
        <w:t>（</w:t>
      </w:r>
      <w:r>
        <w:rPr>
          <w:rFonts w:ascii="宋体" w:hAnsi="宋体" w:cs="宋体" w:eastAsia="宋体" w:hint="default"/>
        </w:rPr>
        <w:t>2</w:t>
      </w:r>
      <w:r>
        <w:rPr/>
        <w:t>）在建工程结转为固定资产的标准和时点 </w:t>
      </w:r>
      <w:r>
        <w:rPr>
          <w:spacing w:val="-2"/>
        </w:rPr>
        <w:t>在建工程项目按建造该项资产达到预定可使用状态前所发生的全部支出，作为固定资产的入账价值。所建造的固定资产</w:t>
      </w:r>
    </w:p>
    <w:p>
      <w:pPr>
        <w:pStyle w:val="BodyText"/>
        <w:spacing w:line="367" w:lineRule="auto" w:before="124"/>
        <w:ind w:right="1130"/>
        <w:jc w:val="both"/>
      </w:pPr>
      <w:r>
        <w:rPr>
          <w:spacing w:val="-2"/>
        </w:rPr>
        <w:t>在建工程已达到预定可使用状态，但尚未办理竣工决算的，自达到预定可使用状态之日起，根据工程预算、造价或者工程实</w:t>
      </w:r>
      <w:r>
        <w:rPr>
          <w:spacing w:val="-66"/>
        </w:rPr>
        <w:t> </w:t>
      </w:r>
      <w:r>
        <w:rPr>
          <w:spacing w:val="-66"/>
        </w:rPr>
      </w:r>
      <w:r>
        <w:rPr>
          <w:spacing w:val="-2"/>
        </w:rPr>
        <w:t>际成本等，按估计的价值转入固定资产；并按本公司固定资产折旧政策计提折旧，待办理竣工决算后，再按实际成本调整原</w:t>
      </w:r>
      <w:r>
        <w:rPr>
          <w:spacing w:val="-64"/>
        </w:rPr>
        <w:t> </w:t>
      </w:r>
      <w:r>
        <w:rPr>
          <w:spacing w:val="-64"/>
        </w:rPr>
      </w:r>
      <w:r>
        <w:rPr/>
        <w:t>来的暂估价值，但不调整原已计提的折旧额。</w:t>
      </w:r>
    </w:p>
    <w:p>
      <w:pPr>
        <w:spacing w:line="240" w:lineRule="auto" w:before="2"/>
        <w:rPr>
          <w:rFonts w:ascii="宋体" w:hAnsi="宋体" w:cs="宋体" w:eastAsia="宋体" w:hint="default"/>
          <w:sz w:val="14"/>
          <w:szCs w:val="14"/>
        </w:rPr>
      </w:pPr>
    </w:p>
    <w:p>
      <w:pPr>
        <w:pStyle w:val="BodyText"/>
        <w:spacing w:line="240" w:lineRule="auto"/>
        <w:ind w:left="513" w:right="981"/>
        <w:jc w:val="left"/>
      </w:pPr>
      <w:r>
        <w:rPr/>
        <w:t>（</w:t>
      </w:r>
      <w:r>
        <w:rPr>
          <w:rFonts w:ascii="宋体" w:hAnsi="宋体" w:cs="宋体" w:eastAsia="宋体" w:hint="default"/>
        </w:rPr>
        <w:t>3</w:t>
      </w:r>
      <w:r>
        <w:rPr/>
        <w:t>）在建工程的减值测试方法、减值准备计提方法</w:t>
      </w:r>
    </w:p>
    <w:p>
      <w:pPr>
        <w:spacing w:after="0" w:line="240" w:lineRule="auto"/>
        <w:jc w:val="left"/>
        <w:sectPr>
          <w:pgSz w:w="11910" w:h="16840"/>
          <w:pgMar w:header="877" w:footer="1332" w:top="1100" w:bottom="1540" w:left="980" w:right="0"/>
        </w:sectPr>
      </w:pPr>
    </w:p>
    <w:p>
      <w:pPr>
        <w:spacing w:line="240" w:lineRule="auto" w:before="2"/>
        <w:rPr>
          <w:rFonts w:ascii="宋体" w:hAnsi="宋体" w:cs="宋体" w:eastAsia="宋体" w:hint="default"/>
          <w:sz w:val="27"/>
          <w:szCs w:val="27"/>
        </w:rPr>
      </w:pPr>
    </w:p>
    <w:p>
      <w:pPr>
        <w:pStyle w:val="BodyText"/>
        <w:spacing w:line="240" w:lineRule="auto" w:before="44"/>
        <w:ind w:left="513" w:right="981"/>
        <w:jc w:val="left"/>
      </w:pPr>
      <w:r>
        <w:rPr/>
        <w:t>公司期末判断在建工程是否存在可能发生减值的迹象。</w:t>
      </w:r>
    </w:p>
    <w:p>
      <w:pPr>
        <w:spacing w:line="240" w:lineRule="auto" w:before="6"/>
        <w:rPr>
          <w:rFonts w:ascii="宋体" w:hAnsi="宋体" w:cs="宋体" w:eastAsia="宋体" w:hint="default"/>
          <w:sz w:val="21"/>
          <w:szCs w:val="21"/>
        </w:rPr>
      </w:pPr>
    </w:p>
    <w:p>
      <w:pPr>
        <w:pStyle w:val="BodyText"/>
        <w:spacing w:line="367" w:lineRule="auto"/>
        <w:ind w:right="981" w:firstLine="360"/>
        <w:jc w:val="left"/>
      </w:pPr>
      <w:r>
        <w:rPr>
          <w:spacing w:val="-2"/>
        </w:rPr>
        <w:t>在建工程存在减值迹象的，估计其可收回金额。可收回金额根据在建工程的公允价值减去处置费用后的净额与在建工程</w:t>
      </w:r>
      <w:r>
        <w:rPr/>
        <w:t> 预计未来现金流量的现值两者之间较高者确定。</w:t>
      </w:r>
    </w:p>
    <w:p>
      <w:pPr>
        <w:spacing w:line="240" w:lineRule="auto" w:before="2"/>
        <w:rPr>
          <w:rFonts w:ascii="宋体" w:hAnsi="宋体" w:cs="宋体" w:eastAsia="宋体" w:hint="default"/>
          <w:sz w:val="14"/>
          <w:szCs w:val="14"/>
        </w:rPr>
      </w:pPr>
    </w:p>
    <w:p>
      <w:pPr>
        <w:pStyle w:val="BodyText"/>
        <w:spacing w:line="367" w:lineRule="auto"/>
        <w:ind w:right="981" w:firstLine="360"/>
        <w:jc w:val="left"/>
      </w:pPr>
      <w:r>
        <w:rPr>
          <w:spacing w:val="-2"/>
        </w:rPr>
        <w:t>当在建工程的可收回金额低于其账面价值的，将在建工程的账面价值减记至可收回金额，减记的金额确认为在建工程减</w:t>
      </w:r>
      <w:r>
        <w:rPr/>
        <w:t> 值损失，计入当期损益，同时计提相应的在建工程减值准备。</w:t>
      </w:r>
    </w:p>
    <w:p>
      <w:pPr>
        <w:spacing w:line="240" w:lineRule="auto" w:before="2"/>
        <w:rPr>
          <w:rFonts w:ascii="宋体" w:hAnsi="宋体" w:cs="宋体" w:eastAsia="宋体" w:hint="default"/>
          <w:sz w:val="14"/>
          <w:szCs w:val="14"/>
        </w:rPr>
      </w:pPr>
    </w:p>
    <w:p>
      <w:pPr>
        <w:pStyle w:val="BodyText"/>
        <w:spacing w:line="240" w:lineRule="auto"/>
        <w:ind w:left="513" w:right="981"/>
        <w:jc w:val="left"/>
      </w:pPr>
      <w:r>
        <w:rPr/>
        <w:t>在建工程的减值损失一经确认，在以后会计期间不再转回。</w:t>
      </w:r>
    </w:p>
    <w:p>
      <w:pPr>
        <w:spacing w:line="240" w:lineRule="auto" w:before="6"/>
        <w:rPr>
          <w:rFonts w:ascii="宋体" w:hAnsi="宋体" w:cs="宋体" w:eastAsia="宋体" w:hint="default"/>
          <w:sz w:val="21"/>
          <w:szCs w:val="21"/>
        </w:rPr>
      </w:pPr>
    </w:p>
    <w:p>
      <w:pPr>
        <w:pStyle w:val="BodyText"/>
        <w:spacing w:line="367" w:lineRule="auto"/>
        <w:ind w:right="981" w:firstLine="360"/>
        <w:jc w:val="left"/>
      </w:pPr>
      <w:r>
        <w:rPr>
          <w:spacing w:val="-2"/>
        </w:rPr>
        <w:t>有迹象表明一项在建工程可能发生减值的，企业以单项在建工程为基础估计其可收回金额。企业难以对单项在建工程的</w:t>
      </w:r>
      <w:r>
        <w:rPr/>
        <w:t> 可收回金额进行估计的，以该在建工程所属的资产组为基础确定资产组的可收回金额。</w:t>
      </w:r>
    </w:p>
    <w:p>
      <w:pPr>
        <w:spacing w:line="240" w:lineRule="auto" w:before="2"/>
        <w:rPr>
          <w:rFonts w:ascii="宋体" w:hAnsi="宋体" w:cs="宋体" w:eastAsia="宋体" w:hint="default"/>
          <w:sz w:val="14"/>
          <w:szCs w:val="14"/>
        </w:rPr>
      </w:pPr>
    </w:p>
    <w:p>
      <w:pPr>
        <w:pStyle w:val="BodyText"/>
        <w:spacing w:line="240" w:lineRule="auto"/>
        <w:ind w:left="513" w:right="981"/>
        <w:jc w:val="left"/>
      </w:pPr>
      <w:r>
        <w:rPr>
          <w:rFonts w:ascii="宋体" w:hAnsi="宋体" w:cs="宋体" w:eastAsia="宋体" w:hint="default"/>
        </w:rPr>
        <w:t>12.</w:t>
      </w:r>
      <w:r>
        <w:rPr/>
        <w:t>无形资产</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w:t>
      </w:r>
      <w:r>
        <w:rPr>
          <w:rFonts w:ascii="宋体" w:hAnsi="宋体" w:cs="宋体" w:eastAsia="宋体" w:hint="default"/>
        </w:rPr>
        <w:t>1</w:t>
      </w:r>
      <w:r>
        <w:rPr/>
        <w:t>）无形资产的计价方法</w:t>
      </w:r>
    </w:p>
    <w:p>
      <w:pPr>
        <w:pStyle w:val="BodyText"/>
        <w:spacing w:line="510" w:lineRule="atLeast" w:before="6"/>
        <w:ind w:left="513" w:right="981"/>
        <w:jc w:val="left"/>
      </w:pPr>
      <w:r>
        <w:rPr/>
        <w:t>①</w:t>
      </w:r>
      <w:r>
        <w:rPr>
          <w:spacing w:val="1"/>
        </w:rPr>
        <w:t> </w:t>
      </w:r>
      <w:r>
        <w:rPr/>
        <w:t>公司取得无形资产时按成本进行初始计量</w:t>
      </w:r>
      <w:r>
        <w:rPr/>
        <w:t> </w:t>
      </w:r>
      <w:r>
        <w:rPr>
          <w:spacing w:val="-2"/>
        </w:rPr>
        <w:t>外购无形资产的成本，包括购买价款、相关税费以及直接归属于使该项资产达到预定用途所发生的其他支出。购买无形</w:t>
      </w:r>
    </w:p>
    <w:p>
      <w:pPr>
        <w:pStyle w:val="BodyText"/>
        <w:spacing w:line="240" w:lineRule="auto" w:before="124"/>
        <w:ind w:right="981"/>
        <w:jc w:val="left"/>
      </w:pPr>
      <w:r>
        <w:rPr/>
        <w:t>资产的价款超过正常信用条件延期支付，实质上具有融资性质的，无形资产的成本以购买价款的现值为基础确定。</w:t>
      </w:r>
    </w:p>
    <w:p>
      <w:pPr>
        <w:spacing w:line="240" w:lineRule="auto" w:before="6"/>
        <w:rPr>
          <w:rFonts w:ascii="宋体" w:hAnsi="宋体" w:cs="宋体" w:eastAsia="宋体" w:hint="default"/>
          <w:sz w:val="21"/>
          <w:szCs w:val="21"/>
        </w:rPr>
      </w:pPr>
    </w:p>
    <w:p>
      <w:pPr>
        <w:pStyle w:val="BodyText"/>
        <w:spacing w:line="367" w:lineRule="auto"/>
        <w:ind w:right="981" w:firstLine="360"/>
        <w:jc w:val="left"/>
      </w:pPr>
      <w:r>
        <w:rPr>
          <w:spacing w:val="-2"/>
        </w:rPr>
        <w:t>债务重组取得债务人用以抵债的无形资产，以该无形资产的公允价值为基础确定其入账价值，并将重组债务的账面价值</w:t>
      </w:r>
      <w:r>
        <w:rPr/>
        <w:t> 与该用以抵债的无形资产公允价值之间的差额，计入当期损益。</w:t>
      </w:r>
    </w:p>
    <w:p>
      <w:pPr>
        <w:spacing w:line="240" w:lineRule="auto" w:before="2"/>
        <w:rPr>
          <w:rFonts w:ascii="宋体" w:hAnsi="宋体" w:cs="宋体" w:eastAsia="宋体" w:hint="default"/>
          <w:sz w:val="14"/>
          <w:szCs w:val="14"/>
        </w:rPr>
      </w:pPr>
    </w:p>
    <w:p>
      <w:pPr>
        <w:pStyle w:val="BodyText"/>
        <w:spacing w:line="367" w:lineRule="auto"/>
        <w:ind w:right="1132" w:firstLine="360"/>
        <w:jc w:val="both"/>
      </w:pPr>
      <w:r>
        <w:rPr>
          <w:spacing w:val="-2"/>
        </w:rPr>
        <w:t>在非货币性资产交换具备商业实质且换入资产或换出资产的公允价值能够可靠计量的前提下，非货币性资产交换换入的</w:t>
      </w:r>
      <w:r>
        <w:rPr/>
        <w:t> </w:t>
      </w: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spacing w:line="240" w:lineRule="auto" w:before="2"/>
        <w:rPr>
          <w:rFonts w:ascii="宋体" w:hAnsi="宋体" w:cs="宋体" w:eastAsia="宋体" w:hint="default"/>
          <w:sz w:val="14"/>
          <w:szCs w:val="14"/>
        </w:rPr>
      </w:pPr>
    </w:p>
    <w:p>
      <w:pPr>
        <w:pStyle w:val="BodyText"/>
        <w:spacing w:line="367" w:lineRule="auto"/>
        <w:ind w:right="981" w:firstLine="360"/>
        <w:jc w:val="left"/>
      </w:pPr>
      <w:r>
        <w:rPr>
          <w:spacing w:val="-2"/>
        </w:rPr>
        <w:t>以同一控制下的企业吸收合并方式取得的无形资产按被合并方的账面价值确定其入账价值；以非同一控制下的企业吸收</w:t>
      </w:r>
      <w:r>
        <w:rPr/>
        <w:t> 合并方式取得的无形资产按公允价值确定其入账价值。</w:t>
      </w:r>
    </w:p>
    <w:p>
      <w:pPr>
        <w:spacing w:line="240" w:lineRule="auto" w:before="2"/>
        <w:rPr>
          <w:rFonts w:ascii="宋体" w:hAnsi="宋体" w:cs="宋体" w:eastAsia="宋体" w:hint="default"/>
          <w:sz w:val="14"/>
          <w:szCs w:val="14"/>
        </w:rPr>
      </w:pPr>
    </w:p>
    <w:p>
      <w:pPr>
        <w:pStyle w:val="BodyText"/>
        <w:spacing w:line="367" w:lineRule="auto"/>
        <w:ind w:right="981" w:firstLine="360"/>
        <w:jc w:val="left"/>
      </w:pPr>
      <w:r>
        <w:rPr>
          <w:spacing w:val="-2"/>
        </w:rPr>
        <w:t>内部自行开发的无形资产，其成本包括：开发该无形资产时耗用的材料、劳务成本、注册费、开发过程中使用的其他专</w:t>
      </w:r>
      <w:r>
        <w:rPr/>
        <w:t> 利权和特许权的摊销以及满足资本化条件的利息费用，以及为使该无形资产达到预定用途前所发生的其他直接费用。</w:t>
      </w:r>
    </w:p>
    <w:p>
      <w:pPr>
        <w:spacing w:line="240" w:lineRule="auto" w:before="2"/>
        <w:rPr>
          <w:rFonts w:ascii="宋体" w:hAnsi="宋体" w:cs="宋体" w:eastAsia="宋体" w:hint="default"/>
          <w:sz w:val="14"/>
          <w:szCs w:val="14"/>
        </w:rPr>
      </w:pPr>
    </w:p>
    <w:p>
      <w:pPr>
        <w:pStyle w:val="BodyText"/>
        <w:spacing w:line="525" w:lineRule="auto"/>
        <w:ind w:left="513" w:right="7153"/>
        <w:jc w:val="left"/>
      </w:pPr>
      <w:r>
        <w:rPr/>
        <w:t>②</w:t>
      </w:r>
      <w:r>
        <w:rPr>
          <w:spacing w:val="1"/>
        </w:rPr>
        <w:t> </w:t>
      </w:r>
      <w:r>
        <w:rPr/>
        <w:t>后续计量</w:t>
      </w:r>
      <w:r>
        <w:rPr/>
        <w:t> 在取得无形资产时分析判断其使用寿命。</w:t>
      </w:r>
    </w:p>
    <w:p>
      <w:pPr>
        <w:pStyle w:val="BodyText"/>
        <w:spacing w:line="367" w:lineRule="auto" w:before="67"/>
        <w:ind w:right="981" w:firstLine="360"/>
        <w:jc w:val="left"/>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spacing w:line="240" w:lineRule="auto" w:before="2"/>
        <w:rPr>
          <w:rFonts w:ascii="宋体" w:hAnsi="宋体" w:cs="宋体" w:eastAsia="宋体" w:hint="default"/>
          <w:sz w:val="14"/>
          <w:szCs w:val="14"/>
        </w:rPr>
      </w:pPr>
    </w:p>
    <w:p>
      <w:pPr>
        <w:pStyle w:val="BodyText"/>
        <w:spacing w:line="525" w:lineRule="auto"/>
        <w:ind w:left="513" w:right="4813"/>
        <w:jc w:val="left"/>
      </w:pPr>
      <w:r>
        <w:rPr/>
        <w:t>（</w:t>
      </w:r>
      <w:r>
        <w:rPr>
          <w:rFonts w:ascii="宋体" w:hAnsi="宋体" w:cs="宋体" w:eastAsia="宋体" w:hint="default"/>
        </w:rPr>
        <w:t>2</w:t>
      </w:r>
      <w:r>
        <w:rPr/>
        <w:t>）使用寿命有限的无形资产的使用寿命估计情况 每期末，对使用寿命有限的无形资产的使用寿命及摊销方法进行复核。</w:t>
      </w:r>
    </w:p>
    <w:p>
      <w:pPr>
        <w:pStyle w:val="BodyText"/>
        <w:spacing w:line="240" w:lineRule="auto" w:before="66"/>
        <w:ind w:left="513" w:right="981"/>
        <w:jc w:val="left"/>
      </w:pPr>
      <w:r>
        <w:rPr/>
        <w:t>（</w:t>
      </w:r>
      <w:r>
        <w:rPr>
          <w:rFonts w:ascii="宋体" w:hAnsi="宋体" w:cs="宋体" w:eastAsia="宋体" w:hint="default"/>
        </w:rPr>
        <w:t>3</w:t>
      </w:r>
      <w:r>
        <w:rPr/>
        <w:t>）使用寿命不确定的无形资产的判断依据</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无法预见无形资产为企业带来经济利益期限的，视为使用寿命不确定的无形资产，不予摊销。</w:t>
      </w:r>
    </w:p>
    <w:p>
      <w:pPr>
        <w:spacing w:after="0" w:line="240" w:lineRule="auto"/>
        <w:jc w:val="left"/>
        <w:sectPr>
          <w:pgSz w:w="11910" w:h="16840"/>
          <w:pgMar w:header="877" w:footer="1332" w:top="1100" w:bottom="1540" w:left="980" w:right="0"/>
        </w:sectPr>
      </w:pPr>
    </w:p>
    <w:p>
      <w:pPr>
        <w:spacing w:line="240" w:lineRule="auto" w:before="2"/>
        <w:rPr>
          <w:rFonts w:ascii="宋体" w:hAnsi="宋体" w:cs="宋体" w:eastAsia="宋体" w:hint="default"/>
          <w:sz w:val="27"/>
          <w:szCs w:val="27"/>
        </w:rPr>
      </w:pPr>
    </w:p>
    <w:p>
      <w:pPr>
        <w:pStyle w:val="BodyText"/>
        <w:spacing w:line="525" w:lineRule="auto" w:before="44"/>
        <w:ind w:left="513" w:right="4453"/>
        <w:jc w:val="left"/>
      </w:pPr>
      <w:r>
        <w:rPr/>
        <w:t>（</w:t>
      </w:r>
      <w:r>
        <w:rPr>
          <w:rFonts w:ascii="宋体" w:hAnsi="宋体" w:cs="宋体" w:eastAsia="宋体" w:hint="default"/>
        </w:rPr>
        <w:t>4</w:t>
      </w:r>
      <w:r>
        <w:rPr/>
        <w:t>）无形资产减值准备的计提 对于使用寿命确定的无形资产，如有明显减值迹象的，期末进行减值测试。 对于使用寿命不确定的无形资产，每期末进行减值测试。</w:t>
      </w:r>
    </w:p>
    <w:p>
      <w:pPr>
        <w:pStyle w:val="BodyText"/>
        <w:spacing w:line="367" w:lineRule="auto" w:before="66"/>
        <w:ind w:right="981" w:firstLine="360"/>
        <w:jc w:val="left"/>
      </w:pPr>
      <w:r>
        <w:rPr>
          <w:spacing w:val="-2"/>
        </w:rPr>
        <w:t>对无形资产进行减值测试，估计其可收回金额。可收回金额根据无形资产的公允价值减去处置费用后的净额与无形资产</w:t>
      </w:r>
      <w:r>
        <w:rPr/>
        <w:t> 预计未来现金流量的现值两者之间较高者确定。</w:t>
      </w:r>
    </w:p>
    <w:p>
      <w:pPr>
        <w:spacing w:line="240" w:lineRule="auto" w:before="2"/>
        <w:rPr>
          <w:rFonts w:ascii="宋体" w:hAnsi="宋体" w:cs="宋体" w:eastAsia="宋体" w:hint="default"/>
          <w:sz w:val="14"/>
          <w:szCs w:val="14"/>
        </w:rPr>
      </w:pPr>
    </w:p>
    <w:p>
      <w:pPr>
        <w:pStyle w:val="BodyText"/>
        <w:spacing w:line="367" w:lineRule="auto"/>
        <w:ind w:right="981" w:firstLine="360"/>
        <w:jc w:val="left"/>
      </w:pPr>
      <w:r>
        <w:rPr>
          <w:spacing w:val="-2"/>
        </w:rPr>
        <w:t>当无形资产的可收回金额低于其账面价值的，将无形资产的账面价值减记至可收回金额，减记的金额确认为无形资产减</w:t>
      </w:r>
      <w:r>
        <w:rPr/>
        <w:t> 值损失，计入当期损益。</w:t>
      </w:r>
    </w:p>
    <w:p>
      <w:pPr>
        <w:spacing w:line="240" w:lineRule="auto" w:before="2"/>
        <w:rPr>
          <w:rFonts w:ascii="宋体" w:hAnsi="宋体" w:cs="宋体" w:eastAsia="宋体" w:hint="default"/>
          <w:sz w:val="14"/>
          <w:szCs w:val="14"/>
        </w:rPr>
      </w:pPr>
    </w:p>
    <w:p>
      <w:pPr>
        <w:pStyle w:val="BodyText"/>
        <w:spacing w:line="367" w:lineRule="auto"/>
        <w:ind w:right="981" w:firstLine="360"/>
        <w:jc w:val="left"/>
      </w:pPr>
      <w:r>
        <w:rPr>
          <w:spacing w:val="-2"/>
        </w:rPr>
        <w:t>无形资产减值损失确认后，减值无形资产的折耗或者摊销费用在未来期间作相应调整，以使该无形资产在剩余使用寿命</w:t>
      </w:r>
      <w:r>
        <w:rPr/>
        <w:t> </w:t>
      </w:r>
      <w:r>
        <w:rPr>
          <w:spacing w:val="-4"/>
        </w:rPr>
        <w:t>内，系统地分摊调整后的无形资产账面价值（扣除预计净残值）。</w:t>
      </w:r>
    </w:p>
    <w:p>
      <w:pPr>
        <w:spacing w:line="240" w:lineRule="auto" w:before="2"/>
        <w:rPr>
          <w:rFonts w:ascii="宋体" w:hAnsi="宋体" w:cs="宋体" w:eastAsia="宋体" w:hint="default"/>
          <w:sz w:val="14"/>
          <w:szCs w:val="14"/>
        </w:rPr>
      </w:pPr>
    </w:p>
    <w:p>
      <w:pPr>
        <w:pStyle w:val="BodyText"/>
        <w:spacing w:line="240" w:lineRule="auto"/>
        <w:ind w:left="513" w:right="981"/>
        <w:jc w:val="left"/>
      </w:pPr>
      <w:r>
        <w:rPr/>
        <w:t>无形资产的减值损失一经确认，在以后会计期间不再转回。</w:t>
      </w:r>
    </w:p>
    <w:p>
      <w:pPr>
        <w:spacing w:line="240" w:lineRule="auto" w:before="6"/>
        <w:rPr>
          <w:rFonts w:ascii="宋体" w:hAnsi="宋体" w:cs="宋体" w:eastAsia="宋体" w:hint="default"/>
          <w:sz w:val="21"/>
          <w:szCs w:val="21"/>
        </w:rPr>
      </w:pPr>
    </w:p>
    <w:p>
      <w:pPr>
        <w:pStyle w:val="BodyText"/>
        <w:spacing w:line="367" w:lineRule="auto"/>
        <w:ind w:right="981" w:firstLine="360"/>
        <w:jc w:val="left"/>
      </w:pPr>
      <w:r>
        <w:rPr>
          <w:spacing w:val="-2"/>
        </w:rPr>
        <w:t>有迹象表明一项无形资产可能发生减值的，公司以单项无形资产为基础估计其可收回金额。公司难以对单项无形资产的</w:t>
      </w:r>
      <w:r>
        <w:rPr/>
        <w:t> 可收回金额进行估计的，以该无形资产所属的资产组为基础确定无形资产组的可收回金额。</w:t>
      </w:r>
    </w:p>
    <w:p>
      <w:pPr>
        <w:spacing w:line="240" w:lineRule="auto" w:before="2"/>
        <w:rPr>
          <w:rFonts w:ascii="宋体" w:hAnsi="宋体" w:cs="宋体" w:eastAsia="宋体" w:hint="default"/>
          <w:sz w:val="14"/>
          <w:szCs w:val="14"/>
        </w:rPr>
      </w:pPr>
    </w:p>
    <w:p>
      <w:pPr>
        <w:pStyle w:val="BodyText"/>
        <w:spacing w:line="240" w:lineRule="auto"/>
        <w:ind w:left="513" w:right="981"/>
        <w:jc w:val="left"/>
      </w:pPr>
      <w:r>
        <w:rPr/>
        <w:t>（</w:t>
      </w:r>
      <w:r>
        <w:rPr>
          <w:rFonts w:ascii="宋体" w:hAnsi="宋体" w:cs="宋体" w:eastAsia="宋体" w:hint="default"/>
        </w:rPr>
        <w:t>5</w:t>
      </w:r>
      <w:r>
        <w:rPr/>
        <w:t>）划分公司内部研究开发项目的研究阶段和开发阶段具体标准</w:t>
      </w:r>
    </w:p>
    <w:p>
      <w:pPr>
        <w:pStyle w:val="BodyText"/>
        <w:spacing w:line="510" w:lineRule="atLeast" w:before="6"/>
        <w:ind w:left="513" w:right="981"/>
        <w:jc w:val="left"/>
      </w:pPr>
      <w:r>
        <w:rPr/>
        <w:t>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pStyle w:val="BodyText"/>
        <w:spacing w:line="525" w:lineRule="auto" w:before="124"/>
        <w:ind w:left="513" w:right="5533" w:hanging="361"/>
        <w:jc w:val="left"/>
      </w:pPr>
      <w:r>
        <w:rPr/>
        <w:t>进的材料、装置、产品等活动的阶段。 内部研究开发项目研究阶段的支出，在发生时计入当期损益。</w:t>
      </w:r>
    </w:p>
    <w:p>
      <w:pPr>
        <w:pStyle w:val="BodyText"/>
        <w:spacing w:line="525" w:lineRule="auto" w:before="66"/>
        <w:ind w:left="513" w:right="4453"/>
        <w:jc w:val="left"/>
      </w:pPr>
      <w:r>
        <w:rPr/>
        <w:t>（</w:t>
      </w:r>
      <w:r>
        <w:rPr>
          <w:rFonts w:ascii="宋体" w:hAnsi="宋体" w:cs="宋体" w:eastAsia="宋体" w:hint="default"/>
        </w:rPr>
        <w:t>6</w:t>
      </w:r>
      <w:r>
        <w:rPr/>
        <w:t>）开发阶段支出符合资本化的具体标准 内部研究开发项目开发阶段的支出，同时满足下列条件时确认为无形资产：</w:t>
      </w:r>
    </w:p>
    <w:p>
      <w:pPr>
        <w:pStyle w:val="BodyText"/>
        <w:spacing w:line="240" w:lineRule="auto" w:before="66"/>
        <w:ind w:left="513" w:right="981"/>
        <w:jc w:val="left"/>
      </w:pPr>
      <w:r>
        <w:rPr/>
        <w:t>①</w:t>
      </w:r>
      <w:r>
        <w:rPr>
          <w:spacing w:val="1"/>
        </w:rPr>
        <w:t> </w:t>
      </w:r>
      <w:r>
        <w:rPr/>
        <w:t>完成该无形资产以使其能够使用或出售在技术上具有可行性；</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②</w:t>
      </w:r>
      <w:r>
        <w:rPr>
          <w:spacing w:val="1"/>
        </w:rPr>
        <w:t> </w:t>
      </w:r>
      <w:r>
        <w:rPr/>
        <w:t>具有完成该无形资产并使用或出售的意图；</w:t>
      </w:r>
    </w:p>
    <w:p>
      <w:pPr>
        <w:spacing w:line="240" w:lineRule="auto" w:before="6"/>
        <w:rPr>
          <w:rFonts w:ascii="宋体" w:hAnsi="宋体" w:cs="宋体" w:eastAsia="宋体" w:hint="default"/>
          <w:sz w:val="21"/>
          <w:szCs w:val="21"/>
        </w:rPr>
      </w:pPr>
    </w:p>
    <w:p>
      <w:pPr>
        <w:pStyle w:val="BodyText"/>
        <w:spacing w:line="367" w:lineRule="auto"/>
        <w:ind w:right="1118" w:firstLine="360"/>
        <w:jc w:val="left"/>
      </w:pPr>
      <w:r>
        <w:rPr/>
        <w:t>③</w:t>
      </w:r>
      <w:r>
        <w:rPr>
          <w:spacing w:val="6"/>
        </w:rPr>
        <w:t> </w:t>
      </w:r>
      <w:r>
        <w:rPr/>
        <w:t>无形资产产生经济利益的方式，包括能够证明运用该无形资产生产的产品存在市场或无形资产自身存在市场，无形</w:t>
      </w:r>
      <w:r>
        <w:rPr/>
        <w:t> 资产将在内部使用的，能够证明其有用性；</w:t>
      </w:r>
    </w:p>
    <w:p>
      <w:pPr>
        <w:spacing w:line="240" w:lineRule="auto" w:before="2"/>
        <w:rPr>
          <w:rFonts w:ascii="宋体" w:hAnsi="宋体" w:cs="宋体" w:eastAsia="宋体" w:hint="default"/>
          <w:sz w:val="14"/>
          <w:szCs w:val="14"/>
        </w:rPr>
      </w:pPr>
    </w:p>
    <w:p>
      <w:pPr>
        <w:pStyle w:val="BodyText"/>
        <w:spacing w:line="240" w:lineRule="auto"/>
        <w:ind w:left="513" w:right="981"/>
        <w:jc w:val="left"/>
      </w:pPr>
      <w:r>
        <w:rPr/>
        <w:t>④</w:t>
      </w:r>
      <w:r>
        <w:rPr>
          <w:spacing w:val="1"/>
        </w:rPr>
        <w:t> </w:t>
      </w:r>
      <w:r>
        <w:rPr/>
        <w:t>有足够的技术、财务资源和其他资源支持，以完成该无形资产的开发，并有能力使用或出售该无形资产；</w:t>
      </w:r>
    </w:p>
    <w:p>
      <w:pPr>
        <w:spacing w:line="240" w:lineRule="auto" w:before="6"/>
        <w:rPr>
          <w:rFonts w:ascii="宋体" w:hAnsi="宋体" w:cs="宋体" w:eastAsia="宋体" w:hint="default"/>
          <w:sz w:val="21"/>
          <w:szCs w:val="21"/>
        </w:rPr>
      </w:pPr>
    </w:p>
    <w:p>
      <w:pPr>
        <w:pStyle w:val="BodyText"/>
        <w:spacing w:line="525" w:lineRule="auto"/>
        <w:ind w:left="513" w:right="5982"/>
        <w:jc w:val="left"/>
      </w:pPr>
      <w:r>
        <w:rPr/>
        <w:t>⑤</w:t>
      </w:r>
      <w:r>
        <w:rPr>
          <w:spacing w:val="1"/>
        </w:rPr>
        <w:t> </w:t>
      </w:r>
      <w:r>
        <w:rPr/>
        <w:t>归属于该无形资产开发阶段的支出能够可靠地计量。</w:t>
      </w:r>
      <w:r>
        <w:rPr/>
        <w:t> </w:t>
      </w:r>
      <w:r>
        <w:rPr>
          <w:rFonts w:ascii="宋体" w:hAnsi="宋体" w:cs="宋体" w:eastAsia="宋体" w:hint="default"/>
        </w:rPr>
        <w:t>13.</w:t>
      </w:r>
      <w:r>
        <w:rPr/>
        <w:t>收入确认</w:t>
      </w:r>
    </w:p>
    <w:p>
      <w:pPr>
        <w:pStyle w:val="BodyText"/>
        <w:spacing w:line="240" w:lineRule="auto" w:before="66"/>
        <w:ind w:left="513" w:right="981"/>
        <w:jc w:val="left"/>
      </w:pPr>
      <w:r>
        <w:rPr/>
        <w:t>（</w:t>
      </w:r>
      <w:r>
        <w:rPr>
          <w:rFonts w:ascii="宋体" w:hAnsi="宋体" w:cs="宋体" w:eastAsia="宋体" w:hint="default"/>
        </w:rPr>
        <w:t>1</w:t>
      </w:r>
      <w:r>
        <w:rPr/>
        <w:t>）建造合同。建造合同的收入及成本，按以下原则予以确认</w:t>
      </w:r>
    </w:p>
    <w:p>
      <w:pPr>
        <w:pStyle w:val="BodyText"/>
        <w:spacing w:line="510" w:lineRule="atLeast" w:before="6"/>
        <w:ind w:left="513" w:right="3462"/>
        <w:jc w:val="left"/>
      </w:pPr>
      <w:r>
        <w:rPr/>
        <w:t>①</w:t>
      </w:r>
      <w:r>
        <w:rPr>
          <w:spacing w:val="1"/>
        </w:rPr>
        <w:t> </w:t>
      </w:r>
      <w:r>
        <w:rPr/>
        <w:t>合同的结果能够可靠的估计时，按完工百分比法在资产负债日确认合同收入和费用。</w:t>
      </w:r>
      <w:r>
        <w:rPr/>
        <w:t> 建筑施工营业收入具体确认方法是：</w:t>
      </w:r>
    </w:p>
    <w:p>
      <w:pPr>
        <w:spacing w:after="0" w:line="510" w:lineRule="atLeast"/>
        <w:jc w:val="left"/>
        <w:sectPr>
          <w:pgSz w:w="11910" w:h="16840"/>
          <w:pgMar w:header="877" w:footer="1332" w:top="1100" w:bottom="1540" w:left="980" w:right="0"/>
        </w:sectPr>
      </w:pPr>
    </w:p>
    <w:p>
      <w:pPr>
        <w:spacing w:line="240" w:lineRule="auto" w:before="2"/>
        <w:rPr>
          <w:rFonts w:ascii="宋体" w:hAnsi="宋体" w:cs="宋体" w:eastAsia="宋体" w:hint="default"/>
          <w:sz w:val="27"/>
          <w:szCs w:val="27"/>
        </w:rPr>
      </w:pPr>
    </w:p>
    <w:p>
      <w:pPr>
        <w:pStyle w:val="BodyText"/>
        <w:spacing w:line="367" w:lineRule="auto" w:before="44"/>
        <w:ind w:right="981" w:firstLine="360"/>
        <w:jc w:val="left"/>
      </w:pPr>
      <w:r>
        <w:rPr>
          <w:spacing w:val="-2"/>
        </w:rPr>
        <w:t>公司首先按照项目合同所确定的总造价作为公司在该项目实施过程中可实现的合同收入的总额；然后，根据完工百分比</w:t>
      </w:r>
      <w:r>
        <w:rPr/>
        <w:t> 法确认每个会计期间实现的营业收入，其中：</w:t>
      </w:r>
    </w:p>
    <w:p>
      <w:pPr>
        <w:spacing w:line="240" w:lineRule="auto" w:before="2"/>
        <w:rPr>
          <w:rFonts w:ascii="宋体" w:hAnsi="宋体" w:cs="宋体" w:eastAsia="宋体" w:hint="default"/>
          <w:sz w:val="14"/>
          <w:szCs w:val="14"/>
        </w:rPr>
      </w:pPr>
    </w:p>
    <w:p>
      <w:pPr>
        <w:pStyle w:val="BodyText"/>
        <w:spacing w:line="240" w:lineRule="auto"/>
        <w:ind w:left="513" w:right="981"/>
        <w:jc w:val="left"/>
      </w:pPr>
      <w:r>
        <w:rPr>
          <w:rFonts w:ascii="宋体" w:hAnsi="宋体" w:cs="宋体" w:eastAsia="宋体" w:hint="default"/>
        </w:rPr>
        <w:t>a.</w:t>
      </w:r>
      <w:r>
        <w:rPr/>
        <w:t>当期完成决算的工程项目，按决算收入减去以前会计年度累计已确认的收入后的余额作为当期收入。</w:t>
      </w:r>
    </w:p>
    <w:p>
      <w:pPr>
        <w:spacing w:line="240" w:lineRule="auto" w:before="6"/>
        <w:rPr>
          <w:rFonts w:ascii="宋体" w:hAnsi="宋体" w:cs="宋体" w:eastAsia="宋体" w:hint="default"/>
          <w:sz w:val="21"/>
          <w:szCs w:val="21"/>
        </w:rPr>
      </w:pPr>
    </w:p>
    <w:p>
      <w:pPr>
        <w:pStyle w:val="BodyText"/>
        <w:spacing w:line="367" w:lineRule="auto"/>
        <w:ind w:right="981" w:firstLine="360"/>
        <w:jc w:val="left"/>
      </w:pPr>
      <w:r>
        <w:rPr>
          <w:rFonts w:ascii="宋体" w:hAnsi="宋体" w:cs="宋体" w:eastAsia="宋体" w:hint="default"/>
          <w:spacing w:val="-2"/>
        </w:rPr>
        <w:t>b.</w:t>
      </w:r>
      <w:r>
        <w:rPr>
          <w:spacing w:val="-2"/>
        </w:rPr>
        <w:t>当期完工但暂未决算的工程项目，按合同总收入减去以前会计年度累计已确认的收入后的余额作为当期收入。若实际</w:t>
      </w:r>
      <w:r>
        <w:rPr/>
        <w:t> 已收到的工程款超过合同总价，则按已实现的收款确认总收入。</w:t>
      </w:r>
    </w:p>
    <w:p>
      <w:pPr>
        <w:spacing w:line="240" w:lineRule="auto" w:before="2"/>
        <w:rPr>
          <w:rFonts w:ascii="宋体" w:hAnsi="宋体" w:cs="宋体" w:eastAsia="宋体" w:hint="default"/>
          <w:sz w:val="14"/>
          <w:szCs w:val="14"/>
        </w:rPr>
      </w:pPr>
    </w:p>
    <w:p>
      <w:pPr>
        <w:pStyle w:val="BodyText"/>
        <w:spacing w:line="240" w:lineRule="auto"/>
        <w:ind w:left="513" w:right="981"/>
        <w:jc w:val="left"/>
      </w:pPr>
      <w:r>
        <w:rPr>
          <w:rFonts w:ascii="宋体" w:hAnsi="宋体" w:cs="宋体" w:eastAsia="宋体" w:hint="default"/>
        </w:rPr>
        <w:t>c.</w:t>
      </w:r>
      <w:r>
        <w:rPr/>
        <w:t>当期在建过程中的工程项目，在资产负债表日，按上述完工百分比确认营业收入。</w:t>
      </w:r>
    </w:p>
    <w:p>
      <w:pPr>
        <w:spacing w:line="240" w:lineRule="auto" w:before="6"/>
        <w:rPr>
          <w:rFonts w:ascii="宋体" w:hAnsi="宋体" w:cs="宋体" w:eastAsia="宋体" w:hint="default"/>
          <w:sz w:val="21"/>
          <w:szCs w:val="21"/>
        </w:rPr>
      </w:pPr>
    </w:p>
    <w:p>
      <w:pPr>
        <w:pStyle w:val="BodyText"/>
        <w:spacing w:line="525" w:lineRule="auto"/>
        <w:ind w:left="513" w:right="1573"/>
        <w:jc w:val="left"/>
      </w:pPr>
      <w:r>
        <w:rPr/>
        <w:t>②</w:t>
      </w:r>
      <w:r>
        <w:rPr>
          <w:spacing w:val="1"/>
        </w:rPr>
        <w:t> </w:t>
      </w:r>
      <w:r>
        <w:rPr/>
        <w:t>合同的结果不能可靠的估计时，则分以下情况处理：</w:t>
      </w:r>
      <w:r>
        <w:rPr/>
        <w:t> </w:t>
      </w:r>
      <w:r>
        <w:rPr>
          <w:rFonts w:ascii="宋体" w:hAnsi="宋体" w:cs="宋体" w:eastAsia="宋体" w:hint="default"/>
        </w:rPr>
        <w:t>a.</w:t>
      </w:r>
      <w:r>
        <w:rPr/>
        <w:t>合同成本能够收回的，合同收入根据能够收回的实际合同成本予以确认，合同成本在发生的当期确认为费用； </w:t>
      </w:r>
      <w:r>
        <w:rPr>
          <w:rFonts w:ascii="宋体" w:hAnsi="宋体" w:cs="宋体" w:eastAsia="宋体" w:hint="default"/>
        </w:rPr>
        <w:t>b.</w:t>
      </w:r>
      <w:r>
        <w:rPr/>
        <w:t>合同成本不能够收回的，在发生时即确认为费用，不确认收入。</w:t>
      </w:r>
    </w:p>
    <w:p>
      <w:pPr>
        <w:pStyle w:val="BodyText"/>
        <w:spacing w:line="240" w:lineRule="auto" w:before="66"/>
        <w:ind w:left="513" w:right="981"/>
        <w:jc w:val="left"/>
      </w:pPr>
      <w:r>
        <w:rPr/>
        <w:t>③</w:t>
      </w:r>
      <w:r>
        <w:rPr>
          <w:spacing w:val="1"/>
        </w:rPr>
        <w:t> </w:t>
      </w:r>
      <w:r>
        <w:rPr/>
        <w:t>在一个会计年度内完成的建造合同，在完成时确认合同收入和费用。</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④</w:t>
      </w:r>
      <w:r>
        <w:rPr>
          <w:spacing w:val="1"/>
        </w:rPr>
        <w:t> </w:t>
      </w:r>
      <w:r>
        <w:rPr/>
        <w:t>如果合同预计总成本超过合同预计总收入，则将预计损失确认为当期费用。</w:t>
      </w:r>
    </w:p>
    <w:p>
      <w:pPr>
        <w:pStyle w:val="BodyText"/>
        <w:spacing w:line="510" w:lineRule="atLeast" w:before="6"/>
        <w:ind w:left="513" w:right="981"/>
        <w:jc w:val="left"/>
      </w:pPr>
      <w:r>
        <w:rPr/>
        <w:t>⑤</w:t>
      </w:r>
      <w:r>
        <w:rPr>
          <w:spacing w:val="1"/>
        </w:rPr>
        <w:t> </w:t>
      </w:r>
      <w:r>
        <w:rPr/>
        <w:t>建筑施工营业成本的确认方法</w:t>
      </w:r>
      <w:r>
        <w:rPr/>
        <w:t> </w:t>
      </w:r>
      <w:r>
        <w:rPr>
          <w:spacing w:val="-2"/>
        </w:rPr>
        <w:t>公司按照项目合同确定的总造价为该项目实施过程中本公司应确认的营业成本总额；然后，根据完工百分比确认每个会</w:t>
      </w:r>
    </w:p>
    <w:p>
      <w:pPr>
        <w:pStyle w:val="BodyText"/>
        <w:spacing w:line="240" w:lineRule="auto" w:before="124"/>
        <w:ind w:right="981"/>
        <w:jc w:val="left"/>
      </w:pPr>
      <w:r>
        <w:rPr/>
        <w:t>计期间实现的营业成本。</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w:t>
      </w:r>
      <w:r>
        <w:rPr>
          <w:rFonts w:ascii="宋体" w:hAnsi="宋体" w:cs="宋体" w:eastAsia="宋体" w:hint="default"/>
        </w:rPr>
        <w:t>2</w:t>
      </w:r>
      <w:r>
        <w:rPr/>
        <w:t>）销售商品。销售商品的收入，在下列条件均能满足时予以确认</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①</w:t>
      </w:r>
      <w:r>
        <w:rPr>
          <w:spacing w:val="1"/>
        </w:rPr>
        <w:t> </w:t>
      </w:r>
      <w:r>
        <w:rPr/>
        <w:t>已将商品所有权上的主要风险和报酬转移给购货方；</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②</w:t>
      </w:r>
      <w:r>
        <w:rPr>
          <w:spacing w:val="1"/>
        </w:rPr>
        <w:t> </w:t>
      </w:r>
      <w:r>
        <w:rPr/>
        <w:t>既没有保留通常与所有权相联系的继续管理权，也没有对已售出的商品实施控制；</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③</w:t>
      </w:r>
      <w:r>
        <w:rPr>
          <w:spacing w:val="1"/>
        </w:rPr>
        <w:t> </w:t>
      </w:r>
      <w:r>
        <w:rPr/>
        <w:t>与交易相关的经济利益能够流入企业；</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④</w:t>
      </w:r>
      <w:r>
        <w:rPr>
          <w:spacing w:val="1"/>
        </w:rPr>
        <w:t> </w:t>
      </w:r>
      <w:r>
        <w:rPr/>
        <w:t>相关的收入和成本能够可靠的计量。</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w:t>
      </w:r>
      <w:r>
        <w:rPr>
          <w:rFonts w:ascii="宋体" w:hAnsi="宋体" w:cs="宋体" w:eastAsia="宋体" w:hint="default"/>
        </w:rPr>
        <w:t>3</w:t>
      </w:r>
      <w:r>
        <w:rPr/>
        <w:t>）提供劳务。对外提供劳务，其收入按以下方法确认</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①</w:t>
      </w:r>
      <w:r>
        <w:rPr>
          <w:spacing w:val="1"/>
        </w:rPr>
        <w:t> </w:t>
      </w:r>
      <w:r>
        <w:rPr/>
        <w:t>在同一会计年度内开始并完成的劳务，在完成劳务时确认收入；</w:t>
      </w:r>
    </w:p>
    <w:p>
      <w:pPr>
        <w:spacing w:line="240" w:lineRule="auto" w:before="6"/>
        <w:rPr>
          <w:rFonts w:ascii="宋体" w:hAnsi="宋体" w:cs="宋体" w:eastAsia="宋体" w:hint="default"/>
          <w:sz w:val="21"/>
          <w:szCs w:val="21"/>
        </w:rPr>
      </w:pPr>
    </w:p>
    <w:p>
      <w:pPr>
        <w:pStyle w:val="BodyText"/>
        <w:spacing w:line="367" w:lineRule="auto"/>
        <w:ind w:right="1117" w:firstLine="360"/>
        <w:jc w:val="left"/>
      </w:pPr>
      <w:r>
        <w:rPr/>
        <w:t>②</w:t>
      </w:r>
      <w:r>
        <w:rPr>
          <w:spacing w:val="7"/>
        </w:rPr>
        <w:t> </w:t>
      </w:r>
      <w:r>
        <w:rPr/>
        <w:t>如果劳务的开始和完成分属不同的会计年度，在提供劳务交易的结果能够可靠估计的情况下，在资产负债表日按完</w:t>
      </w:r>
      <w:r>
        <w:rPr/>
        <w:t> 工百分比法确认相关的劳务收入。</w:t>
      </w:r>
    </w:p>
    <w:p>
      <w:pPr>
        <w:spacing w:line="240" w:lineRule="auto" w:before="2"/>
        <w:rPr>
          <w:rFonts w:ascii="宋体" w:hAnsi="宋体" w:cs="宋体" w:eastAsia="宋体" w:hint="default"/>
          <w:sz w:val="14"/>
          <w:szCs w:val="14"/>
        </w:rPr>
      </w:pPr>
    </w:p>
    <w:p>
      <w:pPr>
        <w:pStyle w:val="BodyText"/>
        <w:spacing w:line="525" w:lineRule="auto"/>
        <w:ind w:left="513" w:right="7423"/>
        <w:jc w:val="left"/>
      </w:pPr>
      <w:r>
        <w:rPr/>
        <w:t>（</w:t>
      </w:r>
      <w:r>
        <w:rPr>
          <w:rFonts w:ascii="宋体" w:hAnsi="宋体" w:cs="宋体" w:eastAsia="宋体" w:hint="default"/>
        </w:rPr>
        <w:t>4</w:t>
      </w:r>
      <w:r>
        <w:rPr/>
        <w:t>）确认让渡资产使用权收入的依据 出租物业收入按如下方法确认：</w:t>
      </w:r>
    </w:p>
    <w:p>
      <w:pPr>
        <w:pStyle w:val="BodyText"/>
        <w:spacing w:line="240" w:lineRule="auto" w:before="66"/>
        <w:ind w:left="513" w:right="981"/>
        <w:jc w:val="left"/>
      </w:pPr>
      <w:r>
        <w:rPr/>
        <w:t>①</w:t>
      </w:r>
      <w:r>
        <w:rPr>
          <w:spacing w:val="1"/>
        </w:rPr>
        <w:t> </w:t>
      </w:r>
      <w:r>
        <w:rPr/>
        <w:t>具有承租人认可的租赁合同、协议或其他结算通知书；</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②</w:t>
      </w:r>
      <w:r>
        <w:rPr>
          <w:spacing w:val="1"/>
        </w:rPr>
        <w:t> </w:t>
      </w:r>
      <w:r>
        <w:rPr/>
        <w:t>履行了合同规定的义务，开具租赁发票且价款已经取得或确信可以取得；</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③</w:t>
      </w:r>
      <w:r>
        <w:rPr>
          <w:spacing w:val="1"/>
        </w:rPr>
        <w:t> </w:t>
      </w:r>
      <w:r>
        <w:rPr/>
        <w:t>物业出租成本能够可靠地计量。</w:t>
      </w:r>
    </w:p>
    <w:p>
      <w:pPr>
        <w:spacing w:after="0" w:line="240" w:lineRule="auto"/>
        <w:jc w:val="left"/>
        <w:sectPr>
          <w:pgSz w:w="11910" w:h="16840"/>
          <w:pgMar w:header="877" w:footer="1332" w:top="1100" w:bottom="1540" w:left="980" w:right="0"/>
        </w:sectPr>
      </w:pPr>
    </w:p>
    <w:p>
      <w:pPr>
        <w:spacing w:line="240" w:lineRule="auto" w:before="2"/>
        <w:rPr>
          <w:rFonts w:ascii="宋体" w:hAnsi="宋体" w:cs="宋体" w:eastAsia="宋体" w:hint="default"/>
          <w:sz w:val="27"/>
          <w:szCs w:val="27"/>
        </w:rPr>
      </w:pPr>
    </w:p>
    <w:p>
      <w:pPr>
        <w:pStyle w:val="BodyText"/>
        <w:spacing w:line="240" w:lineRule="auto" w:before="44"/>
        <w:ind w:left="573" w:right="1034"/>
        <w:jc w:val="left"/>
      </w:pPr>
      <w:r>
        <w:rPr>
          <w:rFonts w:ascii="宋体" w:hAnsi="宋体" w:cs="宋体" w:eastAsia="宋体" w:hint="default"/>
        </w:rPr>
        <w:t>14.</w:t>
      </w:r>
      <w:r>
        <w:rPr/>
        <w:t>政府补助</w:t>
      </w:r>
    </w:p>
    <w:p>
      <w:pPr>
        <w:spacing w:line="240" w:lineRule="auto" w:before="1"/>
        <w:rPr>
          <w:rFonts w:ascii="宋体" w:hAnsi="宋体" w:cs="宋体" w:eastAsia="宋体" w:hint="default"/>
          <w:sz w:val="18"/>
          <w:szCs w:val="18"/>
        </w:rPr>
      </w:pPr>
    </w:p>
    <w:p>
      <w:pPr>
        <w:pStyle w:val="BodyText"/>
        <w:spacing w:line="240" w:lineRule="auto" w:before="44"/>
        <w:ind w:left="573" w:right="0"/>
        <w:jc w:val="left"/>
      </w:pPr>
      <w:r>
        <w:rPr/>
        <w:t>政府补助，是本公司从政府无偿取得的货币性资产与非货币性资产。分为与资产相关的政府补助和与收益相关的政府补</w:t>
      </w:r>
    </w:p>
    <w:p>
      <w:pPr>
        <w:pStyle w:val="BodyText"/>
        <w:spacing w:line="240" w:lineRule="auto" w:before="124"/>
        <w:ind w:left="212" w:right="1034"/>
        <w:jc w:val="left"/>
      </w:pPr>
      <w:r>
        <w:rPr/>
        <w:t>助。</w:t>
      </w:r>
    </w:p>
    <w:p>
      <w:pPr>
        <w:spacing w:line="240" w:lineRule="auto" w:before="0"/>
        <w:rPr>
          <w:rFonts w:ascii="宋体" w:hAnsi="宋体" w:cs="宋体" w:eastAsia="宋体" w:hint="default"/>
          <w:sz w:val="18"/>
          <w:szCs w:val="18"/>
        </w:rPr>
      </w:pPr>
    </w:p>
    <w:p>
      <w:pPr>
        <w:pStyle w:val="BodyText"/>
        <w:spacing w:line="367" w:lineRule="auto" w:before="44"/>
        <w:ind w:left="212" w:right="1034" w:firstLine="360"/>
        <w:jc w:val="left"/>
      </w:pPr>
      <w:r>
        <w:rPr>
          <w:spacing w:val="-2"/>
        </w:rPr>
        <w:t>与购建固定资产、无形资产等长期资产相关的政府补助，确认为递延收益，按照所建造或购买的资产使用年限分期计入</w:t>
      </w:r>
      <w:r>
        <w:rPr/>
        <w:t> 营业外收入；</w:t>
      </w:r>
    </w:p>
    <w:p>
      <w:pPr>
        <w:spacing w:line="240" w:lineRule="auto" w:before="2"/>
        <w:rPr>
          <w:rFonts w:ascii="宋体" w:hAnsi="宋体" w:cs="宋体" w:eastAsia="宋体" w:hint="default"/>
          <w:sz w:val="14"/>
          <w:szCs w:val="14"/>
        </w:rPr>
      </w:pPr>
    </w:p>
    <w:p>
      <w:pPr>
        <w:pStyle w:val="BodyText"/>
        <w:spacing w:line="367" w:lineRule="auto"/>
        <w:ind w:left="212" w:right="1034" w:firstLine="360"/>
        <w:jc w:val="left"/>
      </w:pPr>
      <w:r>
        <w:rPr>
          <w:spacing w:val="-2"/>
        </w:rPr>
        <w:t>与收益相关的政府补助，用于补偿企业以后期间的相关费用或损失的，取得时确认为递延收益，在确认相关费用的期间</w:t>
      </w:r>
      <w:r>
        <w:rPr/>
        <w:t> 计入当期营业外收入；用于补偿企业已发生的相关费用或损失的，取得时直接计入当期营业外收入。</w:t>
      </w:r>
    </w:p>
    <w:p>
      <w:pPr>
        <w:spacing w:line="240" w:lineRule="auto" w:before="2"/>
        <w:rPr>
          <w:rFonts w:ascii="宋体" w:hAnsi="宋体" w:cs="宋体" w:eastAsia="宋体" w:hint="default"/>
          <w:sz w:val="14"/>
          <w:szCs w:val="14"/>
        </w:rPr>
      </w:pPr>
    </w:p>
    <w:p>
      <w:pPr>
        <w:pStyle w:val="BodyText"/>
        <w:spacing w:line="525" w:lineRule="auto"/>
        <w:ind w:left="573" w:right="6253"/>
        <w:jc w:val="left"/>
      </w:pPr>
      <w:r>
        <w:rPr>
          <w:rFonts w:ascii="宋体" w:hAnsi="宋体" w:cs="宋体" w:eastAsia="宋体" w:hint="default"/>
        </w:rPr>
        <w:t>15.</w:t>
      </w:r>
      <w:r>
        <w:rPr/>
        <w:t>所得税</w:t>
      </w:r>
      <w:r>
        <w:rPr>
          <w:spacing w:val="-87"/>
        </w:rPr>
        <w:t> </w:t>
      </w:r>
      <w:r>
        <w:rPr/>
        <w:t>本公司所得税采用资产负债表债务法进行会计处理。</w:t>
      </w:r>
    </w:p>
    <w:p>
      <w:pPr>
        <w:pStyle w:val="BodyText"/>
        <w:spacing w:line="525" w:lineRule="auto" w:before="66"/>
        <w:ind w:left="573" w:right="1033"/>
        <w:jc w:val="left"/>
      </w:pPr>
      <w:r>
        <w:rPr/>
        <w:t>（</w:t>
      </w:r>
      <w:r>
        <w:rPr>
          <w:rFonts w:ascii="宋体" w:hAnsi="宋体" w:cs="宋体" w:eastAsia="宋体" w:hint="default"/>
        </w:rPr>
        <w:t>1</w:t>
      </w:r>
      <w:r>
        <w:rPr/>
        <w:t>）确认递延所得税资产的依据 公司以很可能取得用来抵扣可抵扣暂时性差异的应纳税所得额为限，确认由可抵扣暂时性差异产生的递延所得税资产。</w:t>
      </w:r>
    </w:p>
    <w:p>
      <w:pPr>
        <w:pStyle w:val="BodyText"/>
        <w:spacing w:line="240" w:lineRule="auto" w:before="66"/>
        <w:ind w:left="573" w:right="1034"/>
        <w:jc w:val="left"/>
      </w:pPr>
      <w:r>
        <w:rPr/>
        <w:t>（</w:t>
      </w:r>
      <w:r>
        <w:rPr>
          <w:rFonts w:ascii="宋体" w:hAnsi="宋体" w:cs="宋体" w:eastAsia="宋体" w:hint="default"/>
        </w:rPr>
        <w:t>2</w:t>
      </w:r>
      <w:r>
        <w:rPr/>
        <w:t>）确认递延所得税负债的依据</w:t>
      </w:r>
    </w:p>
    <w:p>
      <w:pPr>
        <w:spacing w:line="240" w:lineRule="auto" w:before="6"/>
        <w:rPr>
          <w:rFonts w:ascii="宋体" w:hAnsi="宋体" w:cs="宋体" w:eastAsia="宋体" w:hint="default"/>
          <w:sz w:val="21"/>
          <w:szCs w:val="21"/>
        </w:rPr>
      </w:pPr>
    </w:p>
    <w:p>
      <w:pPr>
        <w:pStyle w:val="BodyText"/>
        <w:spacing w:line="367" w:lineRule="auto"/>
        <w:ind w:left="212" w:right="1034" w:firstLine="360"/>
        <w:jc w:val="left"/>
      </w:pPr>
      <w:r>
        <w:rPr>
          <w:spacing w:val="-2"/>
        </w:rPr>
        <w:t>公司将当期与以前期间应交未交的应纳税暂时性差异确认为递延所得税负债。但不包括商誉、非企业合并形成的交易且</w:t>
      </w:r>
      <w:r>
        <w:rPr/>
        <w:t> 该交易发生时既不影响会计利润也不影响应纳税所得额所形成的暂时性差异。</w:t>
      </w:r>
    </w:p>
    <w:p>
      <w:pPr>
        <w:spacing w:line="240" w:lineRule="auto" w:before="9"/>
        <w:rPr>
          <w:rFonts w:ascii="宋体" w:hAnsi="宋体" w:cs="宋体" w:eastAsia="宋体" w:hint="default"/>
          <w:sz w:val="20"/>
          <w:szCs w:val="20"/>
        </w:rPr>
      </w:pPr>
    </w:p>
    <w:p>
      <w:pPr>
        <w:pStyle w:val="Heading3"/>
        <w:spacing w:line="240" w:lineRule="auto"/>
        <w:ind w:left="695" w:right="1034"/>
        <w:jc w:val="left"/>
        <w:rPr>
          <w:rFonts w:ascii="黑体" w:hAnsi="黑体" w:cs="黑体" w:eastAsia="黑体" w:hint="default"/>
          <w:b w:val="0"/>
          <w:bCs w:val="0"/>
        </w:rPr>
      </w:pPr>
      <w:r>
        <w:rPr>
          <w:rFonts w:ascii="黑体" w:hAnsi="黑体" w:cs="黑体" w:eastAsia="黑体" w:hint="default"/>
        </w:rPr>
        <w:t>五、税项</w:t>
      </w:r>
      <w:r>
        <w:rPr>
          <w:rFonts w:ascii="黑体" w:hAnsi="黑体" w:cs="黑体" w:eastAsia="黑体" w:hint="default"/>
          <w:b w:val="0"/>
          <w:bCs w:val="0"/>
        </w:rPr>
      </w:r>
    </w:p>
    <w:p>
      <w:pPr>
        <w:spacing w:line="240" w:lineRule="auto" w:before="10"/>
        <w:rPr>
          <w:rFonts w:ascii="黑体" w:hAnsi="黑体" w:cs="黑体" w:eastAsia="黑体" w:hint="default"/>
          <w:b/>
          <w:bCs/>
          <w:sz w:val="32"/>
          <w:szCs w:val="32"/>
        </w:rPr>
      </w:pPr>
    </w:p>
    <w:p>
      <w:pPr>
        <w:pStyle w:val="BodyText"/>
        <w:spacing w:line="240" w:lineRule="auto"/>
        <w:ind w:left="573" w:right="1034"/>
        <w:jc w:val="left"/>
      </w:pPr>
      <w:r>
        <w:rPr>
          <w:rFonts w:ascii="宋体" w:hAnsi="宋体" w:cs="宋体" w:eastAsia="宋体" w:hint="default"/>
        </w:rPr>
        <w:t>1.</w:t>
      </w:r>
      <w:r>
        <w:rPr/>
        <w:t>公司主要税种和税率</w:t>
      </w:r>
    </w:p>
    <w:p>
      <w:pPr>
        <w:spacing w:line="240" w:lineRule="auto" w:before="6"/>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2974"/>
        <w:gridCol w:w="4053"/>
        <w:gridCol w:w="2829"/>
      </w:tblGrid>
      <w:tr>
        <w:trPr>
          <w:trHeight w:val="296" w:hRule="exact"/>
        </w:trPr>
        <w:tc>
          <w:tcPr>
            <w:tcW w:w="2974" w:type="dxa"/>
            <w:tcBorders>
              <w:top w:val="nil" w:sz="6" w:space="0" w:color="auto"/>
              <w:left w:val="nil" w:sz="6" w:space="0" w:color="auto"/>
              <w:bottom w:val="single" w:sz="4" w:space="0" w:color="000000"/>
              <w:right w:val="nil" w:sz="6" w:space="0" w:color="auto"/>
            </w:tcBorders>
          </w:tcPr>
          <w:p>
            <w:pPr>
              <w:pStyle w:val="TableParagraph"/>
              <w:spacing w:line="180" w:lineRule="exact"/>
              <w:ind w:left="309" w:right="0"/>
              <w:jc w:val="center"/>
              <w:rPr>
                <w:rFonts w:ascii="宋体" w:hAnsi="宋体" w:cs="宋体" w:eastAsia="宋体" w:hint="default"/>
                <w:sz w:val="18"/>
                <w:szCs w:val="18"/>
              </w:rPr>
            </w:pPr>
            <w:r>
              <w:rPr>
                <w:rFonts w:ascii="宋体" w:hAnsi="宋体" w:cs="宋体" w:eastAsia="宋体" w:hint="default"/>
                <w:b/>
                <w:bCs/>
                <w:sz w:val="18"/>
                <w:szCs w:val="18"/>
              </w:rPr>
              <w:t>税种</w:t>
            </w:r>
            <w:r>
              <w:rPr>
                <w:rFonts w:ascii="宋体" w:hAnsi="宋体" w:cs="宋体" w:eastAsia="宋体" w:hint="default"/>
                <w:sz w:val="18"/>
                <w:szCs w:val="18"/>
              </w:rPr>
            </w:r>
          </w:p>
        </w:tc>
        <w:tc>
          <w:tcPr>
            <w:tcW w:w="4053" w:type="dxa"/>
            <w:tcBorders>
              <w:top w:val="nil" w:sz="6" w:space="0" w:color="auto"/>
              <w:left w:val="nil" w:sz="6" w:space="0" w:color="auto"/>
              <w:bottom w:val="single" w:sz="4" w:space="0" w:color="000000"/>
              <w:right w:val="nil" w:sz="6" w:space="0" w:color="auto"/>
            </w:tcBorders>
          </w:tcPr>
          <w:p>
            <w:pPr>
              <w:pStyle w:val="TableParagraph"/>
              <w:spacing w:line="180" w:lineRule="exact"/>
              <w:ind w:right="141"/>
              <w:jc w:val="center"/>
              <w:rPr>
                <w:rFonts w:ascii="宋体" w:hAnsi="宋体" w:cs="宋体" w:eastAsia="宋体" w:hint="default"/>
                <w:sz w:val="18"/>
                <w:szCs w:val="18"/>
              </w:rPr>
            </w:pPr>
            <w:r>
              <w:rPr>
                <w:rFonts w:ascii="宋体" w:hAnsi="宋体" w:cs="宋体" w:eastAsia="宋体" w:hint="default"/>
                <w:b/>
                <w:bCs/>
                <w:sz w:val="18"/>
                <w:szCs w:val="18"/>
              </w:rPr>
              <w:t>计税依据</w:t>
            </w:r>
            <w:r>
              <w:rPr>
                <w:rFonts w:ascii="宋体" w:hAnsi="宋体" w:cs="宋体" w:eastAsia="宋体" w:hint="default"/>
                <w:sz w:val="18"/>
                <w:szCs w:val="18"/>
              </w:rPr>
            </w:r>
          </w:p>
        </w:tc>
        <w:tc>
          <w:tcPr>
            <w:tcW w:w="2829" w:type="dxa"/>
            <w:tcBorders>
              <w:top w:val="nil" w:sz="6" w:space="0" w:color="auto"/>
              <w:left w:val="nil" w:sz="6" w:space="0" w:color="auto"/>
              <w:bottom w:val="single" w:sz="4" w:space="0" w:color="000000"/>
              <w:right w:val="nil" w:sz="6" w:space="0" w:color="auto"/>
            </w:tcBorders>
          </w:tcPr>
          <w:p>
            <w:pPr>
              <w:pStyle w:val="TableParagraph"/>
              <w:spacing w:line="180" w:lineRule="exact"/>
              <w:ind w:right="447"/>
              <w:jc w:val="center"/>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r>
      <w:tr>
        <w:trPr>
          <w:trHeight w:val="375" w:hRule="exact"/>
        </w:trPr>
        <w:tc>
          <w:tcPr>
            <w:tcW w:w="2974"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053"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561"/>
              <w:jc w:val="right"/>
              <w:rPr>
                <w:rFonts w:ascii="宋体" w:hAnsi="宋体" w:cs="宋体" w:eastAsia="宋体" w:hint="default"/>
                <w:sz w:val="18"/>
                <w:szCs w:val="18"/>
              </w:rPr>
            </w:pPr>
            <w:r>
              <w:rPr>
                <w:rFonts w:ascii="宋体" w:hAnsi="宋体" w:cs="宋体" w:eastAsia="宋体" w:hint="default"/>
                <w:sz w:val="18"/>
                <w:szCs w:val="18"/>
              </w:rPr>
              <w:t>销售商品收入、技术服务收入</w:t>
            </w:r>
          </w:p>
        </w:tc>
        <w:tc>
          <w:tcPr>
            <w:tcW w:w="2829"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2"/>
              <w:jc w:val="righ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z w:val="18"/>
                <w:szCs w:val="18"/>
              </w:rPr>
              <w:t>、</w:t>
            </w:r>
            <w:r>
              <w:rPr>
                <w:rFonts w:ascii="宋体" w:hAnsi="宋体" w:cs="宋体" w:eastAsia="宋体" w:hint="default"/>
                <w:sz w:val="18"/>
                <w:szCs w:val="18"/>
              </w:rPr>
              <w:t>6%</w:t>
            </w:r>
          </w:p>
        </w:tc>
      </w:tr>
      <w:tr>
        <w:trPr>
          <w:trHeight w:val="38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405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60"/>
              <w:jc w:val="right"/>
              <w:rPr>
                <w:rFonts w:ascii="宋体" w:hAnsi="宋体" w:cs="宋体" w:eastAsia="宋体" w:hint="default"/>
                <w:sz w:val="18"/>
                <w:szCs w:val="18"/>
              </w:rPr>
            </w:pPr>
            <w:r>
              <w:rPr>
                <w:rFonts w:ascii="宋体" w:hAnsi="宋体" w:cs="宋体" w:eastAsia="宋体" w:hint="default"/>
                <w:sz w:val="18"/>
                <w:szCs w:val="18"/>
              </w:rPr>
              <w:t>营业额</w:t>
            </w:r>
          </w:p>
        </w:tc>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2"/>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5%</w:t>
            </w:r>
          </w:p>
        </w:tc>
      </w:tr>
      <w:tr>
        <w:trPr>
          <w:trHeight w:val="397"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0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61"/>
              <w:jc w:val="right"/>
              <w:rPr>
                <w:rFonts w:ascii="宋体" w:hAnsi="宋体" w:cs="宋体" w:eastAsia="宋体" w:hint="default"/>
                <w:sz w:val="18"/>
                <w:szCs w:val="18"/>
              </w:rPr>
            </w:pPr>
            <w:r>
              <w:rPr>
                <w:rFonts w:ascii="宋体" w:hAnsi="宋体" w:cs="宋体" w:eastAsia="宋体" w:hint="default"/>
                <w:sz w:val="18"/>
                <w:szCs w:val="18"/>
              </w:rPr>
              <w:t>应纳增值税、营业税税额</w:t>
            </w:r>
          </w:p>
        </w:tc>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hAnsi="宋体" w:cs="宋体" w:eastAsia="宋体" w:hint="default"/>
                <w:spacing w:val="-1"/>
                <w:sz w:val="18"/>
                <w:szCs w:val="18"/>
              </w:rPr>
              <w:t>7%</w:t>
            </w:r>
            <w:r>
              <w:rPr>
                <w:rFonts w:ascii="宋体" w:hAnsi="宋体" w:cs="宋体" w:eastAsia="宋体" w:hint="default"/>
                <w:spacing w:val="-1"/>
                <w:sz w:val="18"/>
                <w:szCs w:val="18"/>
              </w:rPr>
              <w:t>、</w:t>
            </w:r>
            <w:r>
              <w:rPr>
                <w:rFonts w:ascii="宋体" w:hAnsi="宋体" w:cs="宋体" w:eastAsia="宋体" w:hint="default"/>
                <w:spacing w:val="-1"/>
                <w:sz w:val="18"/>
                <w:szCs w:val="18"/>
              </w:rPr>
              <w:t>5%</w:t>
            </w:r>
            <w:r>
              <w:rPr>
                <w:rFonts w:ascii="宋体" w:hAnsi="宋体" w:cs="宋体" w:eastAsia="宋体" w:hint="default"/>
                <w:spacing w:val="-1"/>
                <w:sz w:val="18"/>
                <w:szCs w:val="18"/>
              </w:rPr>
              <w:t>、</w:t>
            </w:r>
            <w:r>
              <w:rPr>
                <w:rFonts w:ascii="宋体" w:hAnsi="宋体" w:cs="宋体" w:eastAsia="宋体" w:hint="default"/>
                <w:spacing w:val="-1"/>
                <w:sz w:val="18"/>
                <w:szCs w:val="18"/>
              </w:rPr>
              <w:t>1%</w:t>
            </w:r>
            <w:r>
              <w:rPr>
                <w:rFonts w:ascii="宋体" w:hAnsi="宋体" w:cs="宋体" w:eastAsia="宋体" w:hint="default"/>
                <w:sz w:val="18"/>
                <w:szCs w:val="18"/>
              </w:rPr>
            </w:r>
          </w:p>
        </w:tc>
      </w:tr>
      <w:tr>
        <w:trPr>
          <w:trHeight w:val="397"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0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61"/>
              <w:jc w:val="right"/>
              <w:rPr>
                <w:rFonts w:ascii="宋体" w:hAnsi="宋体" w:cs="宋体" w:eastAsia="宋体" w:hint="default"/>
                <w:sz w:val="18"/>
                <w:szCs w:val="18"/>
              </w:rPr>
            </w:pPr>
            <w:r>
              <w:rPr>
                <w:rFonts w:ascii="宋体" w:hAnsi="宋体" w:cs="宋体" w:eastAsia="宋体" w:hint="default"/>
                <w:sz w:val="18"/>
                <w:szCs w:val="18"/>
              </w:rPr>
              <w:t>应纳增值税、营业税税额</w:t>
            </w:r>
          </w:p>
        </w:tc>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3%</w:t>
            </w:r>
          </w:p>
        </w:tc>
      </w:tr>
      <w:tr>
        <w:trPr>
          <w:trHeight w:val="397"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0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61"/>
              <w:jc w:val="right"/>
              <w:rPr>
                <w:rFonts w:ascii="宋体" w:hAnsi="宋体" w:cs="宋体" w:eastAsia="宋体" w:hint="default"/>
                <w:sz w:val="18"/>
                <w:szCs w:val="18"/>
              </w:rPr>
            </w:pPr>
            <w:r>
              <w:rPr>
                <w:rFonts w:ascii="宋体" w:hAnsi="宋体" w:cs="宋体" w:eastAsia="宋体" w:hint="default"/>
                <w:sz w:val="18"/>
                <w:szCs w:val="18"/>
              </w:rPr>
              <w:t>应纳增值税、营业税税额</w:t>
            </w:r>
          </w:p>
        </w:tc>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2%</w:t>
            </w:r>
          </w:p>
        </w:tc>
      </w:tr>
      <w:tr>
        <w:trPr>
          <w:trHeight w:val="396"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40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61"/>
              <w:jc w:val="right"/>
              <w:rPr>
                <w:rFonts w:ascii="宋体" w:hAnsi="宋体" w:cs="宋体" w:eastAsia="宋体" w:hint="default"/>
                <w:sz w:val="18"/>
                <w:szCs w:val="18"/>
              </w:rPr>
            </w:pPr>
            <w:r>
              <w:rPr>
                <w:rFonts w:ascii="宋体" w:hAnsi="宋体" w:cs="宋体" w:eastAsia="宋体" w:hint="default"/>
                <w:sz w:val="18"/>
                <w:szCs w:val="18"/>
              </w:rPr>
              <w:t>应纳增值税、营业税税额</w:t>
            </w:r>
          </w:p>
        </w:tc>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w:t>
            </w:r>
          </w:p>
        </w:tc>
      </w:tr>
      <w:tr>
        <w:trPr>
          <w:trHeight w:val="398"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0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60"/>
              <w:jc w:val="right"/>
              <w:rPr>
                <w:rFonts w:ascii="宋体" w:hAnsi="宋体" w:cs="宋体" w:eastAsia="宋体" w:hint="default"/>
                <w:sz w:val="18"/>
                <w:szCs w:val="18"/>
              </w:rPr>
            </w:pPr>
            <w:r>
              <w:rPr>
                <w:rFonts w:ascii="宋体" w:hAnsi="宋体" w:cs="宋体" w:eastAsia="宋体" w:hint="default"/>
                <w:sz w:val="18"/>
                <w:szCs w:val="18"/>
              </w:rPr>
              <w:t>应纳税所得额</w:t>
            </w:r>
          </w:p>
        </w:tc>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15%</w:t>
            </w:r>
          </w:p>
        </w:tc>
      </w:tr>
      <w:tr>
        <w:trPr>
          <w:trHeight w:val="28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7"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405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0"/>
              <w:jc w:val="right"/>
              <w:rPr>
                <w:rFonts w:ascii="宋体" w:hAnsi="宋体" w:cs="宋体" w:eastAsia="宋体" w:hint="default"/>
                <w:sz w:val="18"/>
                <w:szCs w:val="18"/>
              </w:rPr>
            </w:pPr>
            <w:r>
              <w:rPr>
                <w:rFonts w:ascii="宋体" w:hAnsi="宋体" w:cs="宋体" w:eastAsia="宋体" w:hint="default"/>
                <w:sz w:val="18"/>
                <w:szCs w:val="18"/>
              </w:rPr>
              <w:t>土地面积</w:t>
            </w:r>
          </w:p>
        </w:tc>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2"/>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平方米、</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平方米</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573" w:right="1034"/>
        <w:jc w:val="left"/>
      </w:pPr>
      <w:r>
        <w:rPr>
          <w:rFonts w:ascii="宋体" w:hAnsi="宋体" w:cs="宋体" w:eastAsia="宋体" w:hint="default"/>
        </w:rPr>
        <w:t>2.</w:t>
      </w:r>
      <w:r>
        <w:rPr/>
        <w:t>税收优惠及批文</w:t>
      </w:r>
    </w:p>
    <w:p>
      <w:pPr>
        <w:spacing w:line="240" w:lineRule="auto" w:before="6"/>
        <w:rPr>
          <w:rFonts w:ascii="宋体" w:hAnsi="宋体" w:cs="宋体" w:eastAsia="宋体" w:hint="default"/>
          <w:sz w:val="21"/>
          <w:szCs w:val="21"/>
        </w:rPr>
      </w:pPr>
    </w:p>
    <w:p>
      <w:pPr>
        <w:pStyle w:val="BodyText"/>
        <w:spacing w:line="367" w:lineRule="auto"/>
        <w:ind w:left="212" w:right="1037" w:firstLine="360"/>
        <w:jc w:val="left"/>
      </w:pPr>
      <w:r>
        <w:rPr/>
        <w:t>根据</w:t>
      </w:r>
      <w:r>
        <w:rPr>
          <w:spacing w:val="-46"/>
        </w:rPr>
        <w:t> </w:t>
      </w:r>
      <w:r>
        <w:rPr>
          <w:rFonts w:ascii="宋体" w:hAnsi="宋体" w:cs="宋体" w:eastAsia="宋体" w:hint="default"/>
        </w:rPr>
        <w:t>2007</w:t>
      </w:r>
      <w:r>
        <w:rPr>
          <w:rFonts w:ascii="宋体" w:hAnsi="宋体" w:cs="宋体" w:eastAsia="宋体" w:hint="default"/>
          <w:spacing w:val="-47"/>
        </w:rPr>
        <w:t> </w:t>
      </w:r>
      <w:r>
        <w:rPr/>
        <w:t>年</w:t>
      </w:r>
      <w:r>
        <w:rPr>
          <w:spacing w:val="-46"/>
        </w:rPr>
        <w:t> </w:t>
      </w:r>
      <w:r>
        <w:rPr>
          <w:rFonts w:ascii="宋体" w:hAnsi="宋体" w:cs="宋体" w:eastAsia="宋体" w:hint="default"/>
        </w:rPr>
        <w:t>3</w:t>
      </w:r>
      <w:r>
        <w:rPr>
          <w:rFonts w:ascii="宋体" w:hAnsi="宋体" w:cs="宋体" w:eastAsia="宋体" w:hint="default"/>
          <w:spacing w:val="-47"/>
        </w:rPr>
        <w:t> </w:t>
      </w:r>
      <w:r>
        <w:rPr/>
        <w:t>月</w:t>
      </w:r>
      <w:r>
        <w:rPr>
          <w:spacing w:val="-46"/>
        </w:rPr>
        <w:t> </w:t>
      </w:r>
      <w:r>
        <w:rPr>
          <w:rFonts w:ascii="宋体" w:hAnsi="宋体" w:cs="宋体" w:eastAsia="宋体" w:hint="default"/>
        </w:rPr>
        <w:t>16</w:t>
      </w:r>
      <w:r>
        <w:rPr>
          <w:rFonts w:ascii="宋体" w:hAnsi="宋体" w:cs="宋体" w:eastAsia="宋体" w:hint="default"/>
          <w:spacing w:val="-45"/>
        </w:rPr>
        <w:t> </w:t>
      </w:r>
      <w:r>
        <w:rPr>
          <w:spacing w:val="-4"/>
        </w:rPr>
        <w:t>日公布的《中华人民共和国企业所得税法》第二十八条的规定：国家需要重点扶植的高新技术企业，</w:t>
      </w:r>
      <w:r>
        <w:rPr/>
        <w:t> 减按</w:t>
      </w:r>
      <w:r>
        <w:rPr>
          <w:spacing w:val="-41"/>
        </w:rPr>
        <w:t> </w:t>
      </w:r>
      <w:r>
        <w:rPr>
          <w:rFonts w:ascii="宋体" w:hAnsi="宋体" w:cs="宋体" w:eastAsia="宋体" w:hint="default"/>
          <w:spacing w:val="-4"/>
        </w:rPr>
        <w:t>15%</w:t>
      </w:r>
      <w:r>
        <w:rPr>
          <w:spacing w:val="-4"/>
        </w:rPr>
        <w:t>的税率征收企业所得税。根据《高新技术企业认定管理办法》（国科发【</w:t>
      </w:r>
      <w:r>
        <w:rPr>
          <w:rFonts w:ascii="宋体" w:hAnsi="宋体" w:cs="宋体" w:eastAsia="宋体" w:hint="default"/>
          <w:spacing w:val="-4"/>
        </w:rPr>
        <w:t>2008</w:t>
      </w:r>
      <w:r>
        <w:rPr>
          <w:spacing w:val="-4"/>
        </w:rPr>
        <w:t>】</w:t>
      </w:r>
      <w:r>
        <w:rPr>
          <w:rFonts w:ascii="宋体" w:hAnsi="宋体" w:cs="宋体" w:eastAsia="宋体" w:hint="default"/>
          <w:spacing w:val="-4"/>
        </w:rPr>
        <w:t>172</w:t>
      </w:r>
      <w:r>
        <w:rPr>
          <w:rFonts w:ascii="宋体" w:hAnsi="宋体" w:cs="宋体" w:eastAsia="宋体" w:hint="default"/>
          <w:spacing w:val="-41"/>
        </w:rPr>
        <w:t> </w:t>
      </w:r>
      <w:r>
        <w:rPr>
          <w:spacing w:val="-2"/>
        </w:rPr>
        <w:t>号）和《高新技术企业认定管理</w:t>
      </w:r>
      <w:r>
        <w:rPr>
          <w:spacing w:val="-82"/>
        </w:rPr>
        <w:t> </w:t>
      </w:r>
      <w:r>
        <w:rPr>
          <w:spacing w:val="-82"/>
        </w:rPr>
      </w:r>
      <w:r>
        <w:rPr>
          <w:spacing w:val="-6"/>
        </w:rPr>
        <w:t>工作指引》（国科发【</w:t>
      </w:r>
      <w:r>
        <w:rPr>
          <w:rFonts w:ascii="宋体" w:hAnsi="宋体" w:cs="宋体" w:eastAsia="宋体" w:hint="default"/>
          <w:spacing w:val="-6"/>
        </w:rPr>
        <w:t>2008</w:t>
      </w:r>
      <w:r>
        <w:rPr>
          <w:spacing w:val="-6"/>
        </w:rPr>
        <w:t>】</w:t>
      </w:r>
      <w:r>
        <w:rPr>
          <w:rFonts w:ascii="宋体" w:hAnsi="宋体" w:cs="宋体" w:eastAsia="宋体" w:hint="default"/>
          <w:spacing w:val="-6"/>
        </w:rPr>
        <w:t>362</w:t>
      </w:r>
      <w:r>
        <w:rPr>
          <w:rFonts w:ascii="宋体" w:hAnsi="宋体" w:cs="宋体" w:eastAsia="宋体" w:hint="default"/>
          <w:spacing w:val="22"/>
        </w:rPr>
        <w:t> </w:t>
      </w:r>
      <w:r>
        <w:rPr/>
        <w:t>号）及上海市科委、财政局、国家税务局、地方税务局关于《上海市高新技术企业认定管</w:t>
      </w:r>
    </w:p>
    <w:p>
      <w:pPr>
        <w:spacing w:after="0" w:line="367" w:lineRule="auto"/>
        <w:jc w:val="left"/>
        <w:sectPr>
          <w:pgSz w:w="11910" w:h="16840"/>
          <w:pgMar w:header="877" w:footer="1332" w:top="1100" w:bottom="1540" w:left="920" w:right="0"/>
        </w:sectPr>
      </w:pPr>
    </w:p>
    <w:p>
      <w:pPr>
        <w:spacing w:line="240" w:lineRule="auto" w:before="2"/>
        <w:rPr>
          <w:rFonts w:ascii="宋体" w:hAnsi="宋体" w:cs="宋体" w:eastAsia="宋体" w:hint="default"/>
          <w:sz w:val="27"/>
          <w:szCs w:val="27"/>
        </w:rPr>
      </w:pPr>
    </w:p>
    <w:p>
      <w:pPr>
        <w:pStyle w:val="BodyText"/>
        <w:spacing w:line="240" w:lineRule="auto" w:before="44"/>
        <w:ind w:right="981"/>
        <w:jc w:val="left"/>
      </w:pPr>
      <w:r>
        <w:rPr>
          <w:spacing w:val="4"/>
        </w:rPr>
        <w:t>理办法</w:t>
      </w:r>
      <w:r>
        <w:rPr>
          <w:spacing w:val="-85"/>
        </w:rPr>
        <w:t>》</w:t>
      </w:r>
      <w:r>
        <w:rPr>
          <w:spacing w:val="7"/>
        </w:rPr>
        <w:t>（</w:t>
      </w:r>
      <w:r>
        <w:rPr>
          <w:spacing w:val="4"/>
        </w:rPr>
        <w:t>沪科</w:t>
      </w:r>
      <w:r>
        <w:rPr>
          <w:spacing w:val="7"/>
        </w:rPr>
        <w:t>合</w:t>
      </w:r>
      <w:r>
        <w:rPr>
          <w:spacing w:val="6"/>
        </w:rPr>
        <w:t>【</w:t>
      </w:r>
      <w:r>
        <w:rPr>
          <w:rFonts w:ascii="宋体" w:hAnsi="宋体" w:cs="宋体" w:eastAsia="宋体" w:hint="default"/>
          <w:spacing w:val="1"/>
        </w:rPr>
        <w:t>200</w:t>
      </w:r>
      <w:r>
        <w:rPr>
          <w:rFonts w:ascii="宋体" w:hAnsi="宋体" w:cs="宋体" w:eastAsia="宋体" w:hint="default"/>
          <w:spacing w:val="6"/>
        </w:rPr>
        <w:t>8</w:t>
      </w:r>
      <w:r>
        <w:rPr>
          <w:spacing w:val="4"/>
        </w:rPr>
        <w:t>】</w:t>
      </w:r>
      <w:r>
        <w:rPr/>
        <w:t>第</w:t>
      </w:r>
      <w:r>
        <w:rPr>
          <w:spacing w:val="3"/>
        </w:rPr>
        <w:t> </w:t>
      </w:r>
      <w:r>
        <w:rPr>
          <w:rFonts w:ascii="宋体" w:hAnsi="宋体" w:cs="宋体" w:eastAsia="宋体" w:hint="default"/>
          <w:spacing w:val="1"/>
        </w:rPr>
        <w:t>0</w:t>
      </w:r>
      <w:r>
        <w:rPr>
          <w:rFonts w:ascii="宋体" w:hAnsi="宋体" w:cs="宋体" w:eastAsia="宋体" w:hint="default"/>
          <w:spacing w:val="-2"/>
        </w:rPr>
        <w:t>2</w:t>
      </w:r>
      <w:r>
        <w:rPr>
          <w:rFonts w:ascii="宋体" w:hAnsi="宋体" w:cs="宋体" w:eastAsia="宋体" w:hint="default"/>
        </w:rPr>
        <w:t>5</w:t>
      </w:r>
      <w:r>
        <w:rPr>
          <w:rFonts w:ascii="宋体" w:hAnsi="宋体" w:cs="宋体" w:eastAsia="宋体" w:hint="default"/>
          <w:spacing w:val="7"/>
        </w:rPr>
        <w:t> </w:t>
      </w:r>
      <w:r>
        <w:rPr>
          <w:spacing w:val="4"/>
        </w:rPr>
        <w:t>号）的相</w:t>
      </w:r>
      <w:r>
        <w:rPr>
          <w:spacing w:val="7"/>
        </w:rPr>
        <w:t>关</w:t>
      </w:r>
      <w:r>
        <w:rPr>
          <w:spacing w:val="4"/>
        </w:rPr>
        <w:t>规定</w:t>
      </w:r>
      <w:r>
        <w:rPr>
          <w:spacing w:val="7"/>
        </w:rPr>
        <w:t>，</w:t>
      </w:r>
      <w:r>
        <w:rPr>
          <w:spacing w:val="4"/>
        </w:rPr>
        <w:t>公司</w:t>
      </w:r>
      <w:r>
        <w:rPr>
          <w:spacing w:val="7"/>
        </w:rPr>
        <w:t>通</w:t>
      </w:r>
      <w:r>
        <w:rPr>
          <w:spacing w:val="4"/>
        </w:rPr>
        <w:t>过了高</w:t>
      </w:r>
      <w:r>
        <w:rPr>
          <w:spacing w:val="7"/>
        </w:rPr>
        <w:t>新</w:t>
      </w:r>
      <w:r>
        <w:rPr>
          <w:spacing w:val="4"/>
        </w:rPr>
        <w:t>技</w:t>
      </w:r>
      <w:r>
        <w:rPr>
          <w:spacing w:val="7"/>
        </w:rPr>
        <w:t>术</w:t>
      </w:r>
      <w:r>
        <w:rPr>
          <w:spacing w:val="4"/>
        </w:rPr>
        <w:t>企业</w:t>
      </w:r>
      <w:r>
        <w:rPr>
          <w:spacing w:val="7"/>
        </w:rPr>
        <w:t>认</w:t>
      </w:r>
      <w:r>
        <w:rPr>
          <w:spacing w:val="4"/>
        </w:rPr>
        <w:t>定并</w:t>
      </w:r>
      <w:r>
        <w:rPr>
          <w:spacing w:val="7"/>
        </w:rPr>
        <w:t>取得</w:t>
      </w:r>
      <w:r>
        <w:rPr>
          <w:spacing w:val="4"/>
        </w:rPr>
        <w:t>高新技</w:t>
      </w:r>
      <w:r>
        <w:rPr>
          <w:spacing w:val="7"/>
        </w:rPr>
        <w:t>术</w:t>
      </w:r>
      <w:r>
        <w:rPr>
          <w:spacing w:val="4"/>
        </w:rPr>
        <w:t>企</w:t>
      </w:r>
      <w:r>
        <w:rPr>
          <w:spacing w:val="7"/>
        </w:rPr>
        <w:t>业</w:t>
      </w:r>
      <w:r>
        <w:rPr>
          <w:spacing w:val="4"/>
        </w:rPr>
        <w:t>证书</w:t>
      </w:r>
      <w:r>
        <w:rPr>
          <w:spacing w:val="7"/>
        </w:rPr>
        <w:t>（</w:t>
      </w:r>
      <w:r>
        <w:rPr>
          <w:spacing w:val="4"/>
        </w:rPr>
        <w:t>证书编</w:t>
      </w:r>
      <w:r>
        <w:rPr/>
        <w:t>号</w:t>
      </w:r>
    </w:p>
    <w:p>
      <w:pPr>
        <w:pStyle w:val="BodyText"/>
        <w:spacing w:line="240" w:lineRule="auto" w:before="125"/>
        <w:ind w:right="981"/>
        <w:jc w:val="left"/>
      </w:pPr>
      <w:r>
        <w:rPr>
          <w:rFonts w:ascii="宋体" w:hAnsi="宋体" w:cs="宋体" w:eastAsia="宋体" w:hint="default"/>
          <w:spacing w:val="1"/>
        </w:rPr>
        <w:t>GF</w:t>
      </w:r>
      <w:r>
        <w:rPr>
          <w:rFonts w:ascii="宋体" w:hAnsi="宋体" w:cs="宋体" w:eastAsia="宋体" w:hint="default"/>
          <w:spacing w:val="-2"/>
        </w:rPr>
        <w:t>2</w:t>
      </w:r>
      <w:r>
        <w:rPr>
          <w:rFonts w:ascii="宋体" w:hAnsi="宋体" w:cs="宋体" w:eastAsia="宋体" w:hint="default"/>
          <w:spacing w:val="1"/>
        </w:rPr>
        <w:t>0</w:t>
      </w:r>
      <w:r>
        <w:rPr>
          <w:rFonts w:ascii="宋体" w:hAnsi="宋体" w:cs="宋体" w:eastAsia="宋体" w:hint="default"/>
          <w:spacing w:val="-2"/>
        </w:rPr>
        <w:t>1</w:t>
      </w:r>
      <w:r>
        <w:rPr>
          <w:rFonts w:ascii="宋体" w:hAnsi="宋体" w:cs="宋体" w:eastAsia="宋体" w:hint="default"/>
          <w:spacing w:val="1"/>
        </w:rPr>
        <w:t>1</w:t>
      </w:r>
      <w:r>
        <w:rPr>
          <w:rFonts w:ascii="宋体" w:hAnsi="宋体" w:cs="宋体" w:eastAsia="宋体" w:hint="default"/>
          <w:spacing w:val="-2"/>
        </w:rPr>
        <w:t>3</w:t>
      </w:r>
      <w:r>
        <w:rPr>
          <w:rFonts w:ascii="宋体" w:hAnsi="宋体" w:cs="宋体" w:eastAsia="宋体" w:hint="default"/>
          <w:spacing w:val="2"/>
        </w:rPr>
        <w:t>1</w:t>
      </w:r>
      <w:r>
        <w:rPr>
          <w:rFonts w:ascii="宋体" w:hAnsi="宋体" w:cs="宋体" w:eastAsia="宋体" w:hint="default"/>
          <w:spacing w:val="-2"/>
        </w:rPr>
        <w:t>0</w:t>
      </w:r>
      <w:r>
        <w:rPr>
          <w:rFonts w:ascii="宋体" w:hAnsi="宋体" w:cs="宋体" w:eastAsia="宋体" w:hint="default"/>
          <w:spacing w:val="1"/>
        </w:rPr>
        <w:t>0</w:t>
      </w:r>
      <w:r>
        <w:rPr>
          <w:rFonts w:ascii="宋体" w:hAnsi="宋体" w:cs="宋体" w:eastAsia="宋体" w:hint="default"/>
          <w:spacing w:val="-2"/>
        </w:rPr>
        <w:t>0</w:t>
      </w:r>
      <w:r>
        <w:rPr>
          <w:rFonts w:ascii="宋体" w:hAnsi="宋体" w:cs="宋体" w:eastAsia="宋体" w:hint="default"/>
          <w:spacing w:val="1"/>
        </w:rPr>
        <w:t>6</w:t>
      </w:r>
      <w:r>
        <w:rPr>
          <w:rFonts w:ascii="宋体" w:hAnsi="宋体" w:cs="宋体" w:eastAsia="宋体" w:hint="default"/>
          <w:spacing w:val="-2"/>
        </w:rPr>
        <w:t>2</w:t>
      </w:r>
      <w:r>
        <w:rPr>
          <w:rFonts w:ascii="宋体" w:hAnsi="宋体" w:cs="宋体" w:eastAsia="宋体" w:hint="default"/>
          <w:spacing w:val="1"/>
        </w:rPr>
        <w:t>7</w:t>
      </w:r>
      <w:r>
        <w:rPr>
          <w:spacing w:val="-92"/>
        </w:rPr>
        <w:t>）</w:t>
      </w:r>
      <w:r>
        <w:rPr/>
        <w:t>，有效期三年，即</w:t>
      </w:r>
      <w:r>
        <w:rPr>
          <w:spacing w:val="-44"/>
        </w:rPr>
        <w:t> </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w:t>
      </w:r>
      <w:r>
        <w:rPr>
          <w:rFonts w:ascii="宋体" w:hAnsi="宋体" w:cs="宋体" w:eastAsia="宋体" w:hint="default"/>
        </w:rPr>
        <w:t>1</w:t>
      </w:r>
      <w:r>
        <w:rPr>
          <w:rFonts w:ascii="宋体" w:hAnsi="宋体" w:cs="宋体" w:eastAsia="宋体" w:hint="default"/>
          <w:spacing w:val="-43"/>
        </w:rPr>
        <w:t> </w:t>
      </w:r>
      <w:r>
        <w:rPr>
          <w:spacing w:val="-3"/>
        </w:rPr>
        <w:t>年</w:t>
      </w:r>
      <w:r>
        <w:rPr/>
        <w:t>至</w:t>
      </w:r>
      <w:r>
        <w:rPr>
          <w:spacing w:val="-45"/>
        </w:rPr>
        <w:t> </w:t>
      </w:r>
      <w:r>
        <w:rPr>
          <w:rFonts w:ascii="宋体" w:hAnsi="宋体" w:cs="宋体" w:eastAsia="宋体" w:hint="default"/>
          <w:spacing w:val="-2"/>
        </w:rPr>
        <w:t>2</w:t>
      </w:r>
      <w:r>
        <w:rPr>
          <w:rFonts w:ascii="宋体" w:hAnsi="宋体" w:cs="宋体" w:eastAsia="宋体" w:hint="default"/>
          <w:spacing w:val="1"/>
        </w:rPr>
        <w:t>0</w:t>
      </w:r>
      <w:r>
        <w:rPr>
          <w:rFonts w:ascii="宋体" w:hAnsi="宋体" w:cs="宋体" w:eastAsia="宋体" w:hint="default"/>
          <w:spacing w:val="-2"/>
        </w:rPr>
        <w:t>1</w:t>
      </w:r>
      <w:r>
        <w:rPr>
          <w:rFonts w:ascii="宋体" w:hAnsi="宋体" w:cs="宋体" w:eastAsia="宋体" w:hint="default"/>
        </w:rPr>
        <w:t>3</w:t>
      </w:r>
      <w:r>
        <w:rPr>
          <w:rFonts w:ascii="宋体" w:hAnsi="宋体" w:cs="宋体" w:eastAsia="宋体" w:hint="default"/>
          <w:spacing w:val="-43"/>
        </w:rPr>
        <w:t> </w:t>
      </w:r>
      <w:r>
        <w:rPr/>
        <w:t>年公司</w:t>
      </w:r>
      <w:r>
        <w:rPr>
          <w:spacing w:val="-3"/>
        </w:rPr>
        <w:t>执</w:t>
      </w:r>
      <w:r>
        <w:rPr/>
        <w:t>行</w:t>
      </w:r>
      <w:r>
        <w:rPr>
          <w:spacing w:val="-45"/>
        </w:rPr>
        <w:t> </w:t>
      </w:r>
      <w:r>
        <w:rPr>
          <w:rFonts w:ascii="宋体" w:hAnsi="宋体" w:cs="宋体" w:eastAsia="宋体" w:hint="default"/>
          <w:spacing w:val="1"/>
        </w:rPr>
        <w:t>1</w:t>
      </w:r>
      <w:r>
        <w:rPr>
          <w:rFonts w:ascii="宋体" w:hAnsi="宋体" w:cs="宋体" w:eastAsia="宋体" w:hint="default"/>
          <w:spacing w:val="-2"/>
        </w:rPr>
        <w:t>5</w:t>
      </w:r>
      <w:r>
        <w:rPr>
          <w:rFonts w:ascii="宋体" w:hAnsi="宋体" w:cs="宋体" w:eastAsia="宋体" w:hint="default"/>
          <w:spacing w:val="1"/>
        </w:rPr>
        <w:t>%</w:t>
      </w:r>
      <w:r>
        <w:rPr/>
        <w:t>企业所得税税率。</w:t>
      </w:r>
    </w:p>
    <w:p>
      <w:pPr>
        <w:spacing w:line="240" w:lineRule="auto" w:before="0"/>
        <w:rPr>
          <w:rFonts w:ascii="宋体" w:hAnsi="宋体" w:cs="宋体" w:eastAsia="宋体" w:hint="default"/>
          <w:sz w:val="18"/>
          <w:szCs w:val="18"/>
        </w:rPr>
      </w:pPr>
    </w:p>
    <w:p>
      <w:pPr>
        <w:pStyle w:val="Heading3"/>
        <w:spacing w:line="240" w:lineRule="auto" w:before="131"/>
        <w:ind w:left="635" w:right="981"/>
        <w:jc w:val="left"/>
        <w:rPr>
          <w:rFonts w:ascii="黑体" w:hAnsi="黑体" w:cs="黑体" w:eastAsia="黑体" w:hint="default"/>
          <w:b w:val="0"/>
          <w:bCs w:val="0"/>
        </w:rPr>
      </w:pPr>
      <w:r>
        <w:rPr>
          <w:rFonts w:ascii="黑体" w:hAnsi="黑体" w:cs="黑体" w:eastAsia="黑体" w:hint="default"/>
        </w:rPr>
        <w:t>六、会计政策和会计估计变更以及前期差错更正的说明</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525" w:lineRule="auto"/>
        <w:ind w:left="513" w:right="8233"/>
        <w:jc w:val="left"/>
      </w:pPr>
      <w:r>
        <w:rPr>
          <w:rFonts w:ascii="宋体" w:hAnsi="宋体" w:cs="宋体" w:eastAsia="宋体" w:hint="default"/>
        </w:rPr>
        <w:t>1.</w:t>
      </w:r>
      <w:r>
        <w:rPr/>
        <w:t>会计政策的变更 公司本期无会计政策变更。 </w:t>
      </w:r>
      <w:r>
        <w:rPr>
          <w:rFonts w:ascii="宋体" w:hAnsi="宋体" w:cs="宋体" w:eastAsia="宋体" w:hint="default"/>
        </w:rPr>
        <w:t>2.</w:t>
      </w:r>
      <w:r>
        <w:rPr/>
        <w:t>会计估计的变更</w:t>
      </w:r>
    </w:p>
    <w:p>
      <w:pPr>
        <w:pStyle w:val="BodyText"/>
        <w:spacing w:line="367" w:lineRule="auto" w:before="66"/>
        <w:ind w:right="1122" w:firstLine="360"/>
        <w:jc w:val="left"/>
      </w:pPr>
      <w:r>
        <w:rPr>
          <w:rFonts w:ascii="宋体" w:hAnsi="宋体" w:cs="宋体" w:eastAsia="宋体" w:hint="default"/>
        </w:rPr>
        <w:t>2012 </w:t>
      </w:r>
      <w:r>
        <w:rPr/>
        <w:t>年 </w:t>
      </w:r>
      <w:r>
        <w:rPr>
          <w:rFonts w:ascii="宋体" w:hAnsi="宋体" w:cs="宋体" w:eastAsia="宋体" w:hint="default"/>
        </w:rPr>
        <w:t>10 </w:t>
      </w:r>
      <w:r>
        <w:rPr/>
        <w:t>月 </w:t>
      </w:r>
      <w:r>
        <w:rPr>
          <w:rFonts w:ascii="宋体" w:hAnsi="宋体" w:cs="宋体" w:eastAsia="宋体" w:hint="default"/>
        </w:rPr>
        <w:t>25</w:t>
      </w:r>
      <w:r>
        <w:rPr>
          <w:rFonts w:ascii="宋体" w:hAnsi="宋体" w:cs="宋体" w:eastAsia="宋体" w:hint="default"/>
          <w:spacing w:val="-46"/>
        </w:rPr>
        <w:t> </w:t>
      </w:r>
      <w:r>
        <w:rPr>
          <w:spacing w:val="-3"/>
        </w:rPr>
        <w:t>日，公司第四届董事会第十九次会议审议通过了《关于会计估计变更的议案》，公司对自有车辆、电</w:t>
      </w:r>
      <w:r>
        <w:rPr/>
        <w:t> 脑的预计使用年限、固定资产预计残值率的会计估计进行变更，具体情况如下：</w:t>
      </w:r>
    </w:p>
    <w:p>
      <w:pPr>
        <w:spacing w:line="240" w:lineRule="auto" w:before="2"/>
        <w:rPr>
          <w:rFonts w:ascii="宋体" w:hAnsi="宋体" w:cs="宋体" w:eastAsia="宋体" w:hint="default"/>
          <w:sz w:val="14"/>
          <w:szCs w:val="14"/>
        </w:rPr>
      </w:pPr>
    </w:p>
    <w:p>
      <w:pPr>
        <w:pStyle w:val="BodyText"/>
        <w:spacing w:line="240" w:lineRule="auto"/>
        <w:ind w:left="513" w:right="981"/>
        <w:jc w:val="left"/>
      </w:pPr>
      <w:r>
        <w:rPr/>
        <w:t>（</w:t>
      </w:r>
      <w:r>
        <w:rPr>
          <w:rFonts w:ascii="宋体" w:hAnsi="宋体" w:cs="宋体" w:eastAsia="宋体" w:hint="default"/>
        </w:rPr>
        <w:t>1</w:t>
      </w:r>
      <w:r>
        <w:rPr/>
        <w:t>）会计估计变更的原因</w:t>
      </w:r>
    </w:p>
    <w:p>
      <w:pPr>
        <w:spacing w:line="240" w:lineRule="auto" w:before="6"/>
        <w:rPr>
          <w:rFonts w:ascii="宋体" w:hAnsi="宋体" w:cs="宋体" w:eastAsia="宋体" w:hint="default"/>
          <w:sz w:val="21"/>
          <w:szCs w:val="21"/>
        </w:rPr>
      </w:pPr>
    </w:p>
    <w:p>
      <w:pPr>
        <w:pStyle w:val="BodyText"/>
        <w:spacing w:line="367" w:lineRule="auto"/>
        <w:ind w:right="1117" w:firstLine="360"/>
        <w:jc w:val="left"/>
      </w:pPr>
      <w:r>
        <w:rPr/>
        <w:t>根据《企业会计准则第 </w:t>
      </w:r>
      <w:r>
        <w:rPr>
          <w:rFonts w:ascii="宋体" w:hAnsi="宋体" w:cs="宋体" w:eastAsia="宋体" w:hint="default"/>
        </w:rPr>
        <w:t>4</w:t>
      </w:r>
      <w:r>
        <w:rPr>
          <w:rFonts w:ascii="宋体" w:hAnsi="宋体" w:cs="宋体" w:eastAsia="宋体" w:hint="default"/>
          <w:spacing w:val="7"/>
        </w:rPr>
        <w:t> </w:t>
      </w:r>
      <w:r>
        <w:rPr/>
        <w:t>号—固定资产》的有关规定，每个会计年度终了，企业应对固定资产的预计使用寿命、净残 值率进行复核，如果固定资产的预计使用寿命、净残值率与原先会计估计数有差异的，应当进行相应调整。</w:t>
      </w:r>
    </w:p>
    <w:p>
      <w:pPr>
        <w:pStyle w:val="BodyText"/>
        <w:spacing w:line="367" w:lineRule="auto" w:before="29"/>
        <w:ind w:right="981" w:firstLine="362"/>
        <w:jc w:val="left"/>
      </w:pPr>
      <w:r>
        <w:rPr>
          <w:spacing w:val="-2"/>
        </w:rPr>
        <w:t>鉴于近年来公司在用的车辆、电脑年度使用频率有较大幅度的增加，为使公司的会计信息更加真实可靠，公司决定对车</w:t>
      </w:r>
      <w:r>
        <w:rPr/>
        <w:t> 辆、电脑的预计使用年限、固定资产预计残值率的会计估计进行调整，固定资产折旧方法不变。</w:t>
      </w:r>
    </w:p>
    <w:p>
      <w:pPr>
        <w:spacing w:line="240" w:lineRule="auto" w:before="2"/>
        <w:rPr>
          <w:rFonts w:ascii="宋体" w:hAnsi="宋体" w:cs="宋体" w:eastAsia="宋体" w:hint="default"/>
          <w:sz w:val="14"/>
          <w:szCs w:val="14"/>
        </w:rPr>
      </w:pPr>
    </w:p>
    <w:p>
      <w:pPr>
        <w:pStyle w:val="BodyText"/>
        <w:spacing w:line="240" w:lineRule="auto"/>
        <w:ind w:left="513" w:right="981"/>
        <w:jc w:val="left"/>
      </w:pPr>
      <w:r>
        <w:rPr/>
        <w:t>（</w:t>
      </w:r>
      <w:r>
        <w:rPr>
          <w:rFonts w:ascii="宋体" w:hAnsi="宋体" w:cs="宋体" w:eastAsia="宋体" w:hint="default"/>
        </w:rPr>
        <w:t>2</w:t>
      </w:r>
      <w:r>
        <w:rPr/>
        <w:t>）本次会计估计变更的内容：</w:t>
      </w:r>
    </w:p>
    <w:p>
      <w:pPr>
        <w:pStyle w:val="BodyText"/>
        <w:spacing w:line="525" w:lineRule="auto" w:before="124"/>
        <w:ind w:left="784" w:right="7963" w:hanging="89"/>
        <w:jc w:val="left"/>
      </w:pPr>
      <w:r>
        <w:rPr/>
        <w:t>①</w:t>
      </w:r>
      <w:r>
        <w:rPr>
          <w:spacing w:val="-2"/>
        </w:rPr>
        <w:t> </w:t>
      </w:r>
      <w:r>
        <w:rPr/>
        <w:t>固定资产使用年限的变更</w:t>
      </w:r>
      <w:r>
        <w:rPr/>
        <w:t> </w:t>
      </w:r>
      <w:r>
        <w:rPr>
          <w:rFonts w:ascii="宋体" w:hAnsi="宋体" w:cs="宋体" w:eastAsia="宋体" w:hint="default"/>
        </w:rPr>
        <w:t>a.</w:t>
      </w:r>
      <w:r>
        <w:rPr/>
        <w:t>变更前的会计估计：</w:t>
      </w:r>
    </w:p>
    <w:p>
      <w:pPr>
        <w:pStyle w:val="BodyText"/>
        <w:spacing w:line="525" w:lineRule="auto" w:before="66"/>
        <w:ind w:left="784" w:right="5310" w:firstLine="2"/>
        <w:jc w:val="left"/>
      </w:pPr>
      <w:r>
        <w:rPr/>
        <w:t>车辆的预计使用年限为</w:t>
      </w:r>
      <w:r>
        <w:rPr>
          <w:spacing w:val="-46"/>
        </w:rPr>
        <w:t> </w:t>
      </w:r>
      <w:r>
        <w:rPr>
          <w:rFonts w:ascii="宋体" w:hAnsi="宋体" w:cs="宋体" w:eastAsia="宋体" w:hint="default"/>
        </w:rPr>
        <w:t>10</w:t>
      </w:r>
      <w:r>
        <w:rPr>
          <w:rFonts w:ascii="宋体" w:hAnsi="宋体" w:cs="宋体" w:eastAsia="宋体" w:hint="default"/>
          <w:spacing w:val="-46"/>
        </w:rPr>
        <w:t> </w:t>
      </w:r>
      <w:r>
        <w:rPr/>
        <w:t>年，电脑的预计使用年限为</w:t>
      </w:r>
      <w:r>
        <w:rPr>
          <w:spacing w:val="-46"/>
        </w:rPr>
        <w:t> </w:t>
      </w:r>
      <w:r>
        <w:rPr>
          <w:rFonts w:ascii="宋体" w:hAnsi="宋体" w:cs="宋体" w:eastAsia="宋体" w:hint="default"/>
        </w:rPr>
        <w:t>5</w:t>
      </w:r>
      <w:r>
        <w:rPr>
          <w:rFonts w:ascii="宋体" w:hAnsi="宋体" w:cs="宋体" w:eastAsia="宋体" w:hint="default"/>
          <w:spacing w:val="-2"/>
        </w:rPr>
        <w:t> </w:t>
      </w:r>
      <w:r>
        <w:rPr/>
        <w:t>年。 </w:t>
      </w:r>
      <w:r>
        <w:rPr>
          <w:rFonts w:ascii="宋体" w:hAnsi="宋体" w:cs="宋体" w:eastAsia="宋体" w:hint="default"/>
        </w:rPr>
        <w:t>b.</w:t>
      </w:r>
      <w:r>
        <w:rPr/>
        <w:t>变更后的会计估计：</w:t>
      </w:r>
    </w:p>
    <w:p>
      <w:pPr>
        <w:pStyle w:val="BodyText"/>
        <w:spacing w:line="240" w:lineRule="auto" w:before="66"/>
        <w:ind w:left="786" w:right="981"/>
        <w:jc w:val="left"/>
      </w:pPr>
      <w:r>
        <w:rPr/>
        <w:t>车辆的预计使用年限为</w:t>
      </w:r>
      <w:r>
        <w:rPr>
          <w:spacing w:val="-46"/>
        </w:rPr>
        <w:t> </w:t>
      </w:r>
      <w:r>
        <w:rPr>
          <w:rFonts w:ascii="宋体" w:hAnsi="宋体" w:cs="宋体" w:eastAsia="宋体" w:hint="default"/>
        </w:rPr>
        <w:t>8</w:t>
      </w:r>
      <w:r>
        <w:rPr>
          <w:rFonts w:ascii="宋体" w:hAnsi="宋体" w:cs="宋体" w:eastAsia="宋体" w:hint="default"/>
          <w:spacing w:val="-3"/>
        </w:rPr>
        <w:t> </w:t>
      </w:r>
      <w:r>
        <w:rPr/>
        <w:t>年，电脑的预计使用年限为</w:t>
      </w:r>
      <w:r>
        <w:rPr>
          <w:spacing w:val="-46"/>
        </w:rPr>
        <w:t> </w:t>
      </w:r>
      <w:r>
        <w:rPr>
          <w:rFonts w:ascii="宋体" w:hAnsi="宋体" w:cs="宋体" w:eastAsia="宋体" w:hint="default"/>
        </w:rPr>
        <w:t>3</w:t>
      </w:r>
      <w:r>
        <w:rPr>
          <w:rFonts w:ascii="宋体" w:hAnsi="宋体" w:cs="宋体" w:eastAsia="宋体" w:hint="default"/>
          <w:spacing w:val="-1"/>
        </w:rPr>
        <w:t> </w:t>
      </w:r>
      <w:r>
        <w:rPr/>
        <w:t>年。</w:t>
      </w:r>
    </w:p>
    <w:p>
      <w:pPr>
        <w:spacing w:line="240" w:lineRule="auto" w:before="6"/>
        <w:rPr>
          <w:rFonts w:ascii="宋体" w:hAnsi="宋体" w:cs="宋体" w:eastAsia="宋体" w:hint="default"/>
          <w:sz w:val="21"/>
          <w:szCs w:val="21"/>
        </w:rPr>
      </w:pPr>
    </w:p>
    <w:p>
      <w:pPr>
        <w:pStyle w:val="BodyText"/>
        <w:spacing w:line="525" w:lineRule="auto"/>
        <w:ind w:left="784" w:right="7290" w:firstLine="2"/>
        <w:jc w:val="left"/>
      </w:pPr>
      <w:r>
        <w:rPr/>
        <w:t>②</w:t>
      </w:r>
      <w:r>
        <w:rPr>
          <w:spacing w:val="-3"/>
        </w:rPr>
        <w:t> </w:t>
      </w:r>
      <w:r>
        <w:rPr/>
        <w:t>固定资产预计净残值率的变更</w:t>
      </w:r>
      <w:r>
        <w:rPr/>
        <w:t> </w:t>
      </w:r>
      <w:r>
        <w:rPr>
          <w:rFonts w:ascii="宋体" w:hAnsi="宋体" w:cs="宋体" w:eastAsia="宋体" w:hint="default"/>
        </w:rPr>
        <w:t>a.</w:t>
      </w:r>
      <w:r>
        <w:rPr/>
        <w:t>变更前的会计估计： 固定资产的预计净残值率为</w:t>
      </w:r>
      <w:r>
        <w:rPr>
          <w:spacing w:val="-45"/>
        </w:rPr>
        <w:t> </w:t>
      </w:r>
      <w:r>
        <w:rPr>
          <w:rFonts w:ascii="宋体" w:hAnsi="宋体" w:cs="宋体" w:eastAsia="宋体" w:hint="default"/>
        </w:rPr>
        <w:t>5%</w:t>
      </w:r>
      <w:r>
        <w:rPr/>
        <w:t>。 </w:t>
      </w:r>
      <w:r>
        <w:rPr>
          <w:rFonts w:ascii="宋体" w:hAnsi="宋体" w:cs="宋体" w:eastAsia="宋体" w:hint="default"/>
        </w:rPr>
        <w:t>b.</w:t>
      </w:r>
      <w:r>
        <w:rPr/>
        <w:t>变更后的会计估计： 固定资产的预计净残值率为</w:t>
      </w:r>
      <w:r>
        <w:rPr>
          <w:spacing w:val="-48"/>
        </w:rPr>
        <w:t> </w:t>
      </w:r>
      <w:r>
        <w:rPr>
          <w:rFonts w:ascii="宋体" w:hAnsi="宋体" w:cs="宋体" w:eastAsia="宋体" w:hint="default"/>
        </w:rPr>
        <w:t>0%-4%</w:t>
      </w:r>
      <w:r>
        <w:rPr/>
        <w:t>。</w:t>
      </w:r>
    </w:p>
    <w:p>
      <w:pPr>
        <w:pStyle w:val="BodyText"/>
        <w:spacing w:line="240" w:lineRule="auto" w:before="66"/>
        <w:ind w:left="513" w:right="981"/>
        <w:jc w:val="left"/>
        <w:rPr>
          <w:rFonts w:ascii="宋体" w:hAnsi="宋体" w:cs="宋体" w:eastAsia="宋体" w:hint="default"/>
        </w:rPr>
      </w:pPr>
      <w:r>
        <w:rPr/>
        <w:t>本次会计估计变更从</w:t>
      </w:r>
      <w:r>
        <w:rPr>
          <w:spacing w:val="-67"/>
        </w:rPr>
        <w:t> </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67"/>
        </w:rPr>
        <w:t> </w:t>
      </w:r>
      <w:r>
        <w:rPr/>
        <w:t>年</w:t>
      </w:r>
      <w:r>
        <w:rPr>
          <w:spacing w:val="-66"/>
        </w:rPr>
        <w:t> </w:t>
      </w:r>
      <w:r>
        <w:rPr>
          <w:rFonts w:ascii="宋体" w:hAnsi="宋体" w:cs="宋体" w:eastAsia="宋体" w:hint="default"/>
          <w:spacing w:val="-2"/>
        </w:rPr>
        <w:t>1</w:t>
      </w:r>
      <w:r>
        <w:rPr>
          <w:rFonts w:ascii="宋体" w:hAnsi="宋体" w:cs="宋体" w:eastAsia="宋体" w:hint="default"/>
        </w:rPr>
        <w:t>0</w:t>
      </w:r>
      <w:r>
        <w:rPr>
          <w:rFonts w:ascii="宋体" w:hAnsi="宋体" w:cs="宋体" w:eastAsia="宋体" w:hint="default"/>
          <w:spacing w:val="-67"/>
        </w:rPr>
        <w:t> </w:t>
      </w:r>
      <w:r>
        <w:rPr/>
        <w:t>月</w:t>
      </w:r>
      <w:r>
        <w:rPr>
          <w:spacing w:val="-66"/>
        </w:rPr>
        <w:t> </w:t>
      </w:r>
      <w:r>
        <w:rPr>
          <w:rFonts w:ascii="宋体" w:hAnsi="宋体" w:cs="宋体" w:eastAsia="宋体" w:hint="default"/>
        </w:rPr>
        <w:t>1</w:t>
      </w:r>
      <w:r>
        <w:rPr>
          <w:rFonts w:ascii="宋体" w:hAnsi="宋体" w:cs="宋体" w:eastAsia="宋体" w:hint="default"/>
          <w:spacing w:val="-65"/>
        </w:rPr>
        <w:t> </w:t>
      </w:r>
      <w:r>
        <w:rPr/>
        <w:t>日起执行</w:t>
      </w:r>
      <w:r>
        <w:rPr>
          <w:spacing w:val="-92"/>
        </w:rPr>
        <w:t>，</w:t>
      </w:r>
      <w:r>
        <w:rPr/>
        <w:t>若使用原折旧年限和预计残值率</w:t>
      </w:r>
      <w:r>
        <w:rPr>
          <w:spacing w:val="-91"/>
        </w:rPr>
        <w:t>，</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rPr>
        <w:t>2</w:t>
      </w:r>
      <w:r>
        <w:rPr>
          <w:rFonts w:ascii="宋体" w:hAnsi="宋体" w:cs="宋体" w:eastAsia="宋体" w:hint="default"/>
          <w:spacing w:val="-65"/>
        </w:rPr>
        <w:t> </w:t>
      </w:r>
      <w:r>
        <w:rPr/>
        <w:t>年度的</w:t>
      </w:r>
      <w:r>
        <w:rPr>
          <w:spacing w:val="-3"/>
        </w:rPr>
        <w:t>固</w:t>
      </w:r>
      <w:r>
        <w:rPr/>
        <w:t>定资产折旧成本为</w:t>
      </w:r>
      <w:r>
        <w:rPr>
          <w:spacing w:val="-66"/>
        </w:rPr>
        <w:t> </w:t>
      </w:r>
      <w:r>
        <w:rPr>
          <w:rFonts w:ascii="宋体" w:hAnsi="宋体" w:cs="宋体" w:eastAsia="宋体" w:hint="default"/>
          <w:spacing w:val="1"/>
        </w:rPr>
        <w:t>3</w:t>
      </w:r>
      <w:r>
        <w:rPr>
          <w:rFonts w:ascii="宋体" w:hAnsi="宋体" w:cs="宋体" w:eastAsia="宋体" w:hint="default"/>
          <w:spacing w:val="-2"/>
        </w:rPr>
        <w:t>1</w:t>
      </w:r>
      <w:r>
        <w:rPr>
          <w:rFonts w:ascii="宋体" w:hAnsi="宋体" w:cs="宋体" w:eastAsia="宋体" w:hint="default"/>
          <w:spacing w:val="1"/>
        </w:rPr>
        <w:t>0</w:t>
      </w:r>
      <w:r>
        <w:rPr>
          <w:rFonts w:ascii="宋体" w:hAnsi="宋体" w:cs="宋体" w:eastAsia="宋体" w:hint="default"/>
          <w:spacing w:val="-2"/>
        </w:rPr>
        <w:t>.</w:t>
      </w:r>
      <w:r>
        <w:rPr>
          <w:rFonts w:ascii="宋体" w:hAnsi="宋体" w:cs="宋体" w:eastAsia="宋体" w:hint="default"/>
          <w:spacing w:val="1"/>
        </w:rPr>
        <w:t>0</w:t>
      </w:r>
      <w:r>
        <w:rPr>
          <w:rFonts w:ascii="宋体" w:hAnsi="宋体" w:cs="宋体" w:eastAsia="宋体" w:hint="default"/>
        </w:rPr>
        <w:t>0</w:t>
      </w:r>
    </w:p>
    <w:p>
      <w:pPr>
        <w:pStyle w:val="BodyText"/>
        <w:spacing w:line="525" w:lineRule="auto" w:before="124"/>
        <w:ind w:left="513" w:right="1579" w:hanging="361"/>
        <w:jc w:val="left"/>
      </w:pPr>
      <w:r>
        <w:rPr/>
        <w:t>万元，变更后</w:t>
      </w:r>
      <w:r>
        <w:rPr>
          <w:spacing w:val="-46"/>
        </w:rPr>
        <w:t> </w:t>
      </w:r>
      <w:r>
        <w:rPr>
          <w:rFonts w:ascii="宋体" w:hAnsi="宋体" w:cs="宋体" w:eastAsia="宋体" w:hint="default"/>
        </w:rPr>
        <w:t>2012</w:t>
      </w:r>
      <w:r>
        <w:rPr>
          <w:rFonts w:ascii="宋体" w:hAnsi="宋体" w:cs="宋体" w:eastAsia="宋体" w:hint="default"/>
          <w:spacing w:val="-45"/>
        </w:rPr>
        <w:t> </w:t>
      </w:r>
      <w:r>
        <w:rPr/>
        <w:t>年度的固定资产折旧成本为</w:t>
      </w:r>
      <w:r>
        <w:rPr>
          <w:spacing w:val="-46"/>
        </w:rPr>
        <w:t> </w:t>
      </w:r>
      <w:r>
        <w:rPr>
          <w:rFonts w:ascii="宋体" w:hAnsi="宋体" w:cs="宋体" w:eastAsia="宋体" w:hint="default"/>
        </w:rPr>
        <w:t>333.98</w:t>
      </w:r>
      <w:r>
        <w:rPr>
          <w:rFonts w:ascii="宋体" w:hAnsi="宋体" w:cs="宋体" w:eastAsia="宋体" w:hint="default"/>
          <w:spacing w:val="-45"/>
        </w:rPr>
        <w:t> </w:t>
      </w:r>
      <w:r>
        <w:rPr/>
        <w:t>万元，该项变更使公司</w:t>
      </w:r>
      <w:r>
        <w:rPr>
          <w:spacing w:val="-47"/>
        </w:rPr>
        <w:t> </w:t>
      </w:r>
      <w:r>
        <w:rPr>
          <w:rFonts w:ascii="宋体" w:hAnsi="宋体" w:cs="宋体" w:eastAsia="宋体" w:hint="default"/>
        </w:rPr>
        <w:t>2012</w:t>
      </w:r>
      <w:r>
        <w:rPr>
          <w:rFonts w:ascii="宋体" w:hAnsi="宋体" w:cs="宋体" w:eastAsia="宋体" w:hint="default"/>
          <w:spacing w:val="-45"/>
        </w:rPr>
        <w:t> </w:t>
      </w:r>
      <w:r>
        <w:rPr/>
        <w:t>年度利润总额减少了</w:t>
      </w:r>
      <w:r>
        <w:rPr>
          <w:spacing w:val="-46"/>
        </w:rPr>
        <w:t> </w:t>
      </w:r>
      <w:r>
        <w:rPr>
          <w:rFonts w:ascii="宋体" w:hAnsi="宋体" w:cs="宋体" w:eastAsia="宋体" w:hint="default"/>
        </w:rPr>
        <w:t>7.99</w:t>
      </w:r>
      <w:r>
        <w:rPr>
          <w:rFonts w:ascii="宋体" w:hAnsi="宋体" w:cs="宋体" w:eastAsia="宋体" w:hint="default"/>
          <w:spacing w:val="-45"/>
        </w:rPr>
        <w:t> </w:t>
      </w:r>
      <w:r>
        <w:rPr/>
        <w:t>万元。 </w:t>
      </w:r>
      <w:r>
        <w:rPr>
          <w:rFonts w:ascii="宋体" w:hAnsi="宋体" w:cs="宋体" w:eastAsia="宋体" w:hint="default"/>
        </w:rPr>
        <w:t>3.</w:t>
      </w:r>
      <w:r>
        <w:rPr/>
        <w:t>前期会计差错更正</w:t>
      </w:r>
    </w:p>
    <w:p>
      <w:pPr>
        <w:pStyle w:val="BodyText"/>
        <w:spacing w:line="240" w:lineRule="auto" w:before="66"/>
        <w:ind w:left="513" w:right="981"/>
        <w:jc w:val="left"/>
      </w:pPr>
      <w:r>
        <w:rPr/>
        <w:t>公司本期无前期会计差错更正。</w:t>
      </w:r>
    </w:p>
    <w:p>
      <w:pPr>
        <w:spacing w:after="0" w:line="240" w:lineRule="auto"/>
        <w:jc w:val="left"/>
        <w:sectPr>
          <w:pgSz w:w="11910" w:h="16840"/>
          <w:pgMar w:header="877" w:footer="1332" w:top="1100" w:bottom="1540" w:left="980" w:right="0"/>
        </w:sectPr>
      </w:pPr>
    </w:p>
    <w:p>
      <w:pPr>
        <w:spacing w:line="240" w:lineRule="auto" w:before="2"/>
        <w:rPr>
          <w:rFonts w:ascii="宋体" w:hAnsi="宋体" w:cs="宋体" w:eastAsia="宋体" w:hint="default"/>
          <w:sz w:val="23"/>
          <w:szCs w:val="23"/>
        </w:rPr>
      </w:pPr>
    </w:p>
    <w:p>
      <w:pPr>
        <w:pStyle w:val="Heading3"/>
        <w:spacing w:line="240" w:lineRule="auto" w:before="26"/>
        <w:ind w:left="875" w:right="0"/>
        <w:jc w:val="left"/>
        <w:rPr>
          <w:rFonts w:ascii="黑体" w:hAnsi="黑体" w:cs="黑体" w:eastAsia="黑体" w:hint="default"/>
          <w:b w:val="0"/>
          <w:bCs w:val="0"/>
        </w:rPr>
      </w:pPr>
      <w:r>
        <w:rPr>
          <w:rFonts w:ascii="黑体" w:hAnsi="黑体" w:cs="黑体" w:eastAsia="黑体" w:hint="default"/>
        </w:rPr>
        <w:t>七</w:t>
      </w:r>
      <w:r>
        <w:rPr>
          <w:rFonts w:ascii="黑体" w:hAnsi="黑体" w:cs="黑体" w:eastAsia="黑体" w:hint="default"/>
          <w:b w:val="0"/>
          <w:bCs w:val="0"/>
        </w:rPr>
        <w:t>、</w:t>
      </w:r>
      <w:r>
        <w:rPr>
          <w:rFonts w:ascii="黑体" w:hAnsi="黑体" w:cs="黑体" w:eastAsia="黑体" w:hint="default"/>
        </w:rPr>
        <w:t>财务报表主要项目注释</w:t>
      </w:r>
      <w:r>
        <w:rPr>
          <w:rFonts w:ascii="黑体" w:hAnsi="黑体" w:cs="黑体" w:eastAsia="黑体" w:hint="default"/>
          <w:b w:val="0"/>
          <w:bCs w:val="0"/>
        </w:rPr>
      </w:r>
    </w:p>
    <w:p>
      <w:pPr>
        <w:spacing w:line="240" w:lineRule="auto" w:before="10"/>
        <w:rPr>
          <w:rFonts w:ascii="黑体" w:hAnsi="黑体" w:cs="黑体" w:eastAsia="黑体" w:hint="default"/>
          <w:b/>
          <w:bCs/>
          <w:sz w:val="32"/>
          <w:szCs w:val="32"/>
        </w:rPr>
      </w:pPr>
    </w:p>
    <w:p>
      <w:pPr>
        <w:pStyle w:val="BodyText"/>
        <w:spacing w:line="367" w:lineRule="auto"/>
        <w:ind w:left="392" w:right="0" w:firstLine="360"/>
        <w:jc w:val="left"/>
      </w:pPr>
      <w:r>
        <w:rPr/>
        <w:t>（除非特别说明，本附注所注期末指</w:t>
      </w:r>
      <w:r>
        <w:rPr>
          <w:spacing w:val="-37"/>
        </w:rPr>
        <w:t> </w:t>
      </w:r>
      <w:r>
        <w:rPr>
          <w:rFonts w:ascii="宋体" w:hAnsi="宋体" w:cs="宋体" w:eastAsia="宋体" w:hint="default"/>
        </w:rPr>
        <w:t>2012</w:t>
      </w:r>
      <w:r>
        <w:rPr>
          <w:rFonts w:ascii="宋体" w:hAnsi="宋体" w:cs="宋体" w:eastAsia="宋体" w:hint="default"/>
          <w:spacing w:val="-36"/>
        </w:rPr>
        <w:t> </w:t>
      </w:r>
      <w:r>
        <w:rPr/>
        <w:t>年</w:t>
      </w:r>
      <w:r>
        <w:rPr>
          <w:spacing w:val="-37"/>
        </w:rPr>
        <w:t> </w:t>
      </w:r>
      <w:r>
        <w:rPr>
          <w:rFonts w:ascii="宋体" w:hAnsi="宋体" w:cs="宋体" w:eastAsia="宋体" w:hint="default"/>
        </w:rPr>
        <w:t>12</w:t>
      </w:r>
      <w:r>
        <w:rPr>
          <w:rFonts w:ascii="宋体" w:hAnsi="宋体" w:cs="宋体" w:eastAsia="宋体" w:hint="default"/>
          <w:spacing w:val="-36"/>
        </w:rPr>
        <w:t> </w:t>
      </w:r>
      <w:r>
        <w:rPr/>
        <w:t>月</w:t>
      </w:r>
      <w:r>
        <w:rPr>
          <w:spacing w:val="-40"/>
        </w:rPr>
        <w:t> </w:t>
      </w:r>
      <w:r>
        <w:rPr>
          <w:rFonts w:ascii="宋体" w:hAnsi="宋体" w:cs="宋体" w:eastAsia="宋体" w:hint="default"/>
        </w:rPr>
        <w:t>31</w:t>
      </w:r>
      <w:r>
        <w:rPr>
          <w:rFonts w:ascii="宋体" w:hAnsi="宋体" w:cs="宋体" w:eastAsia="宋体" w:hint="default"/>
          <w:spacing w:val="-36"/>
        </w:rPr>
        <w:t> </w:t>
      </w:r>
      <w:r>
        <w:rPr/>
        <w:t>日，期初指</w:t>
      </w:r>
      <w:r>
        <w:rPr>
          <w:spacing w:val="-37"/>
        </w:rPr>
        <w:t> </w:t>
      </w:r>
      <w:r>
        <w:rPr>
          <w:rFonts w:ascii="宋体" w:hAnsi="宋体" w:cs="宋体" w:eastAsia="宋体" w:hint="default"/>
        </w:rPr>
        <w:t>2012</w:t>
      </w:r>
      <w:r>
        <w:rPr>
          <w:rFonts w:ascii="宋体" w:hAnsi="宋体" w:cs="宋体" w:eastAsia="宋体" w:hint="default"/>
          <w:spacing w:val="-36"/>
        </w:rPr>
        <w:t> </w:t>
      </w:r>
      <w:r>
        <w:rPr/>
        <w:t>年</w:t>
      </w:r>
      <w:r>
        <w:rPr>
          <w:spacing w:val="-40"/>
        </w:rPr>
        <w:t> </w:t>
      </w:r>
      <w:r>
        <w:rPr>
          <w:rFonts w:ascii="宋体" w:hAnsi="宋体" w:cs="宋体" w:eastAsia="宋体" w:hint="default"/>
        </w:rPr>
        <w:t>1</w:t>
      </w:r>
      <w:r>
        <w:rPr>
          <w:rFonts w:ascii="宋体" w:hAnsi="宋体" w:cs="宋体" w:eastAsia="宋体" w:hint="default"/>
          <w:spacing w:val="-36"/>
        </w:rPr>
        <w:t> </w:t>
      </w:r>
      <w:r>
        <w:rPr/>
        <w:t>月</w:t>
      </w:r>
      <w:r>
        <w:rPr>
          <w:spacing w:val="-40"/>
        </w:rPr>
        <w:t> </w:t>
      </w:r>
      <w:r>
        <w:rPr>
          <w:rFonts w:ascii="宋体" w:hAnsi="宋体" w:cs="宋体" w:eastAsia="宋体" w:hint="default"/>
        </w:rPr>
        <w:t>1</w:t>
      </w:r>
      <w:r>
        <w:rPr>
          <w:rFonts w:ascii="宋体" w:hAnsi="宋体" w:cs="宋体" w:eastAsia="宋体" w:hint="default"/>
          <w:spacing w:val="-36"/>
        </w:rPr>
        <w:t> </w:t>
      </w:r>
      <w:r>
        <w:rPr/>
        <w:t>日，本期指</w:t>
      </w:r>
      <w:r>
        <w:rPr>
          <w:spacing w:val="-37"/>
        </w:rPr>
        <w:t> </w:t>
      </w:r>
      <w:r>
        <w:rPr>
          <w:rFonts w:ascii="宋体" w:hAnsi="宋体" w:cs="宋体" w:eastAsia="宋体" w:hint="default"/>
        </w:rPr>
        <w:t>2012</w:t>
      </w:r>
      <w:r>
        <w:rPr>
          <w:rFonts w:ascii="宋体" w:hAnsi="宋体" w:cs="宋体" w:eastAsia="宋体" w:hint="default"/>
          <w:spacing w:val="-36"/>
        </w:rPr>
        <w:t> </w:t>
      </w:r>
      <w:r>
        <w:rPr/>
        <w:t>年度，上期指</w:t>
      </w:r>
      <w:r>
        <w:rPr>
          <w:spacing w:val="-37"/>
        </w:rPr>
        <w:t> </w:t>
      </w:r>
      <w:r>
        <w:rPr>
          <w:rFonts w:ascii="宋体" w:hAnsi="宋体" w:cs="宋体" w:eastAsia="宋体" w:hint="default"/>
        </w:rPr>
        <w:t>2011 </w:t>
      </w:r>
      <w:r>
        <w:rPr>
          <w:spacing w:val="-5"/>
        </w:rPr>
        <w:t>年度；非特别注明外，金额单位为人民币元。）</w:t>
      </w:r>
    </w:p>
    <w:p>
      <w:pPr>
        <w:spacing w:line="240" w:lineRule="auto" w:before="2"/>
        <w:rPr>
          <w:rFonts w:ascii="宋体" w:hAnsi="宋体" w:cs="宋体" w:eastAsia="宋体" w:hint="default"/>
          <w:sz w:val="14"/>
          <w:szCs w:val="14"/>
        </w:rPr>
      </w:pPr>
    </w:p>
    <w:p>
      <w:pPr>
        <w:pStyle w:val="BodyText"/>
        <w:spacing w:line="240" w:lineRule="auto"/>
        <w:ind w:left="753" w:right="0"/>
        <w:jc w:val="left"/>
      </w:pPr>
      <w:r>
        <w:rPr>
          <w:rFonts w:ascii="宋体" w:hAnsi="宋体" w:cs="宋体" w:eastAsia="宋体" w:hint="default"/>
        </w:rPr>
        <w:t>1.</w:t>
      </w:r>
      <w:r>
        <w:rPr/>
        <w:t>货币资金</w:t>
      </w:r>
    </w:p>
    <w:p>
      <w:pPr>
        <w:spacing w:line="240" w:lineRule="auto" w:before="6"/>
        <w:rPr>
          <w:rFonts w:ascii="宋体" w:hAnsi="宋体" w:cs="宋体" w:eastAsia="宋体" w:hint="default"/>
          <w:sz w:val="21"/>
          <w:szCs w:val="21"/>
        </w:rPr>
      </w:pPr>
    </w:p>
    <w:p>
      <w:pPr>
        <w:pStyle w:val="BodyText"/>
        <w:spacing w:line="240" w:lineRule="auto"/>
        <w:ind w:left="753" w:right="0"/>
        <w:jc w:val="left"/>
      </w:pPr>
      <w:r>
        <w:rPr/>
        <w:t>（</w:t>
      </w:r>
      <w:r>
        <w:rPr>
          <w:rFonts w:ascii="宋体" w:hAnsi="宋体" w:cs="宋体" w:eastAsia="宋体" w:hint="default"/>
        </w:rPr>
        <w:t>1</w:t>
      </w:r>
      <w:r>
        <w:rPr/>
        <w:t>）按分类列示</w:t>
      </w:r>
    </w:p>
    <w:p>
      <w:pPr>
        <w:spacing w:line="240" w:lineRule="auto" w:before="11"/>
        <w:rPr>
          <w:rFonts w:ascii="宋体" w:hAnsi="宋体" w:cs="宋体" w:eastAsia="宋体" w:hint="default"/>
          <w:sz w:val="15"/>
          <w:szCs w:val="15"/>
        </w:rPr>
      </w:pPr>
    </w:p>
    <w:p>
      <w:pPr>
        <w:pStyle w:val="Heading7"/>
        <w:tabs>
          <w:tab w:pos="8026" w:val="left" w:leader="none"/>
        </w:tabs>
        <w:spacing w:line="240" w:lineRule="auto" w:before="44"/>
        <w:ind w:left="3600" w:right="0"/>
        <w:jc w:val="left"/>
        <w:rPr>
          <w:b w:val="0"/>
          <w:bCs w:val="0"/>
        </w:rPr>
      </w:pPr>
      <w:r>
        <w:rPr>
          <w:w w:val="95"/>
        </w:rPr>
        <w:t>期末余额</w:t>
        <w:tab/>
      </w:r>
      <w:r>
        <w:rPr/>
        <w:t>期初余额</w:t>
      </w:r>
      <w:r>
        <w:rPr>
          <w:b w:val="0"/>
          <w:bCs w:val="0"/>
        </w:rPr>
      </w:r>
    </w:p>
    <w:p>
      <w:pPr>
        <w:pStyle w:val="Heading7"/>
        <w:spacing w:line="159" w:lineRule="exact" w:before="16"/>
        <w:ind w:left="748" w:right="0"/>
        <w:jc w:val="left"/>
        <w:rPr>
          <w:b w:val="0"/>
          <w:bCs w:val="0"/>
        </w:rPr>
      </w:pPr>
      <w:r>
        <w:rPr/>
        <w:t>项目</w:t>
      </w:r>
      <w:r>
        <w:rPr>
          <w:b w:val="0"/>
          <w:bCs w:val="0"/>
        </w:rPr>
      </w:r>
    </w:p>
    <w:p>
      <w:pPr>
        <w:spacing w:after="0" w:line="159" w:lineRule="exact"/>
        <w:jc w:val="left"/>
        <w:sectPr>
          <w:pgSz w:w="11910" w:h="16840"/>
          <w:pgMar w:header="877" w:footer="1332" w:top="1100" w:bottom="1540" w:left="740" w:right="0"/>
        </w:sectPr>
      </w:pPr>
    </w:p>
    <w:p>
      <w:pPr>
        <w:pStyle w:val="Heading7"/>
        <w:tabs>
          <w:tab w:pos="3691" w:val="left" w:leader="none"/>
        </w:tabs>
        <w:spacing w:line="276" w:lineRule="exact"/>
        <w:ind w:left="2289" w:right="-20"/>
        <w:jc w:val="left"/>
        <w:rPr>
          <w:b w:val="0"/>
          <w:bCs w:val="0"/>
        </w:rPr>
      </w:pPr>
      <w:r>
        <w:rPr/>
        <w:pict>
          <v:shape style="position:absolute;margin-left:42.48pt;margin-top:11.64pt;width:524.65pt;height:148.8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1"/>
                    <w:gridCol w:w="1918"/>
                    <w:gridCol w:w="773"/>
                    <w:gridCol w:w="1639"/>
                    <w:gridCol w:w="2016"/>
                    <w:gridCol w:w="772"/>
                    <w:gridCol w:w="1638"/>
                    <w:gridCol w:w="106"/>
                  </w:tblGrid>
                  <w:tr>
                    <w:trPr>
                      <w:trHeight w:val="212" w:hRule="exact"/>
                    </w:trPr>
                    <w:tc>
                      <w:tcPr>
                        <w:tcW w:w="3549" w:type="dxa"/>
                        <w:gridSpan w:val="2"/>
                        <w:tcBorders>
                          <w:top w:val="nil" w:sz="6" w:space="0" w:color="auto"/>
                          <w:left w:val="nil" w:sz="6" w:space="0" w:color="auto"/>
                          <w:bottom w:val="single" w:sz="4" w:space="0" w:color="000000"/>
                          <w:right w:val="nil" w:sz="6" w:space="0" w:color="auto"/>
                        </w:tcBorders>
                      </w:tcPr>
                      <w:p>
                        <w:pPr/>
                      </w:p>
                    </w:tc>
                    <w:tc>
                      <w:tcPr>
                        <w:tcW w:w="773" w:type="dxa"/>
                        <w:tcBorders>
                          <w:top w:val="nil" w:sz="6" w:space="0" w:color="auto"/>
                          <w:left w:val="nil" w:sz="6" w:space="0" w:color="auto"/>
                          <w:bottom w:val="single" w:sz="4" w:space="0" w:color="000000"/>
                          <w:right w:val="nil" w:sz="6" w:space="0" w:color="auto"/>
                        </w:tcBorders>
                      </w:tcPr>
                      <w:p>
                        <w:pPr>
                          <w:pStyle w:val="TableParagraph"/>
                          <w:spacing w:line="180" w:lineRule="exact"/>
                          <w:ind w:left="214" w:right="0"/>
                          <w:jc w:val="left"/>
                          <w:rPr>
                            <w:rFonts w:ascii="宋体" w:hAnsi="宋体" w:cs="宋体" w:eastAsia="宋体" w:hint="default"/>
                            <w:sz w:val="18"/>
                            <w:szCs w:val="18"/>
                          </w:rPr>
                        </w:pPr>
                        <w:r>
                          <w:rPr>
                            <w:rFonts w:ascii="宋体" w:hAnsi="宋体" w:cs="宋体" w:eastAsia="宋体" w:hint="default"/>
                            <w:b/>
                            <w:bCs/>
                            <w:w w:val="99"/>
                            <w:sz w:val="18"/>
                            <w:szCs w:val="18"/>
                          </w:rPr>
                          <w:t>率</w:t>
                        </w:r>
                        <w:r>
                          <w:rPr>
                            <w:rFonts w:ascii="宋体" w:hAnsi="宋体" w:cs="宋体" w:eastAsia="宋体" w:hint="default"/>
                            <w:sz w:val="18"/>
                            <w:szCs w:val="18"/>
                          </w:rPr>
                        </w:r>
                      </w:p>
                    </w:tc>
                    <w:tc>
                      <w:tcPr>
                        <w:tcW w:w="1639" w:type="dxa"/>
                        <w:tcBorders>
                          <w:top w:val="nil" w:sz="6" w:space="0" w:color="auto"/>
                          <w:left w:val="nil" w:sz="6" w:space="0" w:color="auto"/>
                          <w:bottom w:val="single" w:sz="4" w:space="0" w:color="000000"/>
                          <w:right w:val="nil" w:sz="6" w:space="0" w:color="auto"/>
                        </w:tcBorders>
                      </w:tcPr>
                      <w:p>
                        <w:pPr/>
                      </w:p>
                    </w:tc>
                    <w:tc>
                      <w:tcPr>
                        <w:tcW w:w="2016" w:type="dxa"/>
                        <w:tcBorders>
                          <w:top w:val="nil" w:sz="6" w:space="0" w:color="auto"/>
                          <w:left w:val="nil" w:sz="6" w:space="0" w:color="auto"/>
                          <w:bottom w:val="single" w:sz="4" w:space="0" w:color="000000"/>
                          <w:right w:val="nil" w:sz="6" w:space="0" w:color="auto"/>
                        </w:tcBorders>
                      </w:tcPr>
                      <w:p>
                        <w:pPr/>
                      </w:p>
                    </w:tc>
                    <w:tc>
                      <w:tcPr>
                        <w:tcW w:w="772" w:type="dxa"/>
                        <w:tcBorders>
                          <w:top w:val="nil" w:sz="6" w:space="0" w:color="auto"/>
                          <w:left w:val="nil" w:sz="6" w:space="0" w:color="auto"/>
                          <w:bottom w:val="single" w:sz="4" w:space="0" w:color="000000"/>
                          <w:right w:val="nil" w:sz="6" w:space="0" w:color="auto"/>
                        </w:tcBorders>
                      </w:tcPr>
                      <w:p>
                        <w:pPr>
                          <w:pStyle w:val="TableParagraph"/>
                          <w:spacing w:line="180" w:lineRule="exact"/>
                          <w:ind w:left="213" w:right="0"/>
                          <w:jc w:val="left"/>
                          <w:rPr>
                            <w:rFonts w:ascii="宋体" w:hAnsi="宋体" w:cs="宋体" w:eastAsia="宋体" w:hint="default"/>
                            <w:sz w:val="18"/>
                            <w:szCs w:val="18"/>
                          </w:rPr>
                        </w:pPr>
                        <w:r>
                          <w:rPr>
                            <w:rFonts w:ascii="宋体" w:hAnsi="宋体" w:cs="宋体" w:eastAsia="宋体" w:hint="default"/>
                            <w:b/>
                            <w:bCs/>
                            <w:w w:val="99"/>
                            <w:sz w:val="18"/>
                            <w:szCs w:val="18"/>
                          </w:rPr>
                          <w:t>率</w:t>
                        </w:r>
                        <w:r>
                          <w:rPr>
                            <w:rFonts w:ascii="宋体" w:hAnsi="宋体" w:cs="宋体" w:eastAsia="宋体" w:hint="default"/>
                            <w:sz w:val="18"/>
                            <w:szCs w:val="18"/>
                          </w:rPr>
                        </w:r>
                      </w:p>
                    </w:tc>
                    <w:tc>
                      <w:tcPr>
                        <w:tcW w:w="1638" w:type="dxa"/>
                        <w:tcBorders>
                          <w:top w:val="nil" w:sz="6" w:space="0" w:color="auto"/>
                          <w:left w:val="nil" w:sz="6" w:space="0" w:color="auto"/>
                          <w:bottom w:val="single" w:sz="4" w:space="0" w:color="000000"/>
                          <w:right w:val="nil" w:sz="6" w:space="0" w:color="auto"/>
                        </w:tcBorders>
                      </w:tcPr>
                      <w:p>
                        <w:pPr/>
                      </w:p>
                    </w:tc>
                    <w:tc>
                      <w:tcPr>
                        <w:tcW w:w="106" w:type="dxa"/>
                        <w:vMerge w:val="restart"/>
                        <w:tcBorders>
                          <w:top w:val="nil" w:sz="6" w:space="0" w:color="auto"/>
                          <w:left w:val="nil" w:sz="6" w:space="0" w:color="auto"/>
                          <w:right w:val="nil" w:sz="6" w:space="0" w:color="auto"/>
                        </w:tcBorders>
                      </w:tcPr>
                      <w:p>
                        <w:pPr/>
                      </w:p>
                    </w:tc>
                  </w:tr>
                  <w:tr>
                    <w:trPr>
                      <w:trHeight w:val="295" w:hRule="exact"/>
                    </w:trPr>
                    <w:tc>
                      <w:tcPr>
                        <w:tcW w:w="163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918" w:type="dxa"/>
                        <w:tcBorders>
                          <w:top w:val="single" w:sz="4" w:space="0" w:color="000000"/>
                          <w:left w:val="nil" w:sz="6" w:space="0" w:color="auto"/>
                          <w:bottom w:val="nil" w:sz="6" w:space="0" w:color="auto"/>
                          <w:right w:val="nil" w:sz="6" w:space="0" w:color="auto"/>
                        </w:tcBorders>
                      </w:tcPr>
                      <w:p>
                        <w:pPr/>
                      </w:p>
                    </w:tc>
                    <w:tc>
                      <w:tcPr>
                        <w:tcW w:w="773" w:type="dxa"/>
                        <w:tcBorders>
                          <w:top w:val="single" w:sz="4" w:space="0" w:color="000000"/>
                          <w:left w:val="nil" w:sz="6" w:space="0" w:color="auto"/>
                          <w:bottom w:val="nil" w:sz="6" w:space="0" w:color="auto"/>
                          <w:right w:val="nil" w:sz="6" w:space="0" w:color="auto"/>
                        </w:tcBorders>
                      </w:tcPr>
                      <w:p>
                        <w:pPr/>
                      </w:p>
                    </w:tc>
                    <w:tc>
                      <w:tcPr>
                        <w:tcW w:w="163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134,358.67</w:t>
                        </w:r>
                      </w:p>
                    </w:tc>
                    <w:tc>
                      <w:tcPr>
                        <w:tcW w:w="2016" w:type="dxa"/>
                        <w:tcBorders>
                          <w:top w:val="single" w:sz="4" w:space="0" w:color="000000"/>
                          <w:left w:val="nil" w:sz="6" w:space="0" w:color="auto"/>
                          <w:bottom w:val="nil" w:sz="6" w:space="0" w:color="auto"/>
                          <w:right w:val="nil" w:sz="6" w:space="0" w:color="auto"/>
                        </w:tcBorders>
                      </w:tcPr>
                      <w:p>
                        <w:pPr/>
                      </w:p>
                    </w:tc>
                    <w:tc>
                      <w:tcPr>
                        <w:tcW w:w="772" w:type="dxa"/>
                        <w:tcBorders>
                          <w:top w:val="single" w:sz="4" w:space="0" w:color="000000"/>
                          <w:left w:val="nil" w:sz="6" w:space="0" w:color="auto"/>
                          <w:bottom w:val="nil" w:sz="6" w:space="0" w:color="auto"/>
                          <w:right w:val="nil" w:sz="6" w:space="0" w:color="auto"/>
                        </w:tcBorders>
                      </w:tcPr>
                      <w:p>
                        <w:pPr/>
                      </w:p>
                    </w:tc>
                    <w:tc>
                      <w:tcPr>
                        <w:tcW w:w="1638"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0"/>
                          <w:jc w:val="right"/>
                          <w:rPr>
                            <w:rFonts w:ascii="宋体" w:hAnsi="宋体" w:cs="宋体" w:eastAsia="宋体" w:hint="default"/>
                            <w:sz w:val="18"/>
                            <w:szCs w:val="18"/>
                          </w:rPr>
                        </w:pPr>
                        <w:r>
                          <w:rPr>
                            <w:rFonts w:ascii="宋体"/>
                            <w:spacing w:val="-1"/>
                            <w:sz w:val="18"/>
                          </w:rPr>
                          <w:t>164,286.66</w:t>
                        </w:r>
                      </w:p>
                    </w:tc>
                    <w:tc>
                      <w:tcPr>
                        <w:tcW w:w="106" w:type="dxa"/>
                        <w:vMerge/>
                        <w:tcBorders>
                          <w:left w:val="nil" w:sz="6" w:space="0" w:color="auto"/>
                          <w:bottom w:val="nil" w:sz="6" w:space="0" w:color="auto"/>
                          <w:right w:val="nil" w:sz="6" w:space="0" w:color="auto"/>
                        </w:tcBorders>
                      </w:tcPr>
                      <w:p>
                        <w:pPr/>
                      </w:p>
                    </w:tc>
                  </w:tr>
                  <w:tr>
                    <w:trPr>
                      <w:trHeight w:val="494" w:hRule="exact"/>
                    </w:trPr>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108"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13"/>
                          <w:jc w:val="right"/>
                          <w:rPr>
                            <w:rFonts w:ascii="宋体" w:hAnsi="宋体" w:cs="宋体" w:eastAsia="宋体" w:hint="default"/>
                            <w:sz w:val="18"/>
                            <w:szCs w:val="18"/>
                          </w:rPr>
                        </w:pPr>
                        <w:r>
                          <w:rPr>
                            <w:rFonts w:ascii="宋体"/>
                            <w:spacing w:val="-1"/>
                            <w:sz w:val="18"/>
                          </w:rPr>
                          <w:t>134,358.67</w:t>
                        </w:r>
                      </w:p>
                    </w:tc>
                    <w:tc>
                      <w:tcPr>
                        <w:tcW w:w="773" w:type="dxa"/>
                        <w:tcBorders>
                          <w:top w:val="nil" w:sz="6" w:space="0" w:color="auto"/>
                          <w:left w:val="nil" w:sz="6" w:space="0" w:color="auto"/>
                          <w:bottom w:val="nil" w:sz="6" w:space="0" w:color="auto"/>
                          <w:right w:val="nil" w:sz="6" w:space="0" w:color="auto"/>
                        </w:tcBorders>
                      </w:tcPr>
                      <w:p>
                        <w:pPr/>
                      </w:p>
                    </w:tc>
                    <w:tc>
                      <w:tcPr>
                        <w:tcW w:w="1639" w:type="dxa"/>
                        <w:tcBorders>
                          <w:top w:val="single" w:sz="4" w:space="0" w:color="000000"/>
                          <w:left w:val="nil" w:sz="6" w:space="0" w:color="auto"/>
                          <w:bottom w:val="nil" w:sz="6" w:space="0" w:color="auto"/>
                          <w:right w:val="nil" w:sz="6" w:space="0" w:color="auto"/>
                        </w:tcBorders>
                      </w:tcPr>
                      <w:p>
                        <w:pPr>
                          <w:pStyle w:val="TableParagraph"/>
                          <w:spacing w:line="240" w:lineRule="auto" w:before="140"/>
                          <w:ind w:right="0"/>
                          <w:jc w:val="right"/>
                          <w:rPr>
                            <w:rFonts w:ascii="宋体" w:hAnsi="宋体" w:cs="宋体" w:eastAsia="宋体" w:hint="default"/>
                            <w:sz w:val="18"/>
                            <w:szCs w:val="18"/>
                          </w:rPr>
                        </w:pPr>
                        <w:r>
                          <w:rPr>
                            <w:rFonts w:ascii="宋体"/>
                            <w:spacing w:val="-1"/>
                            <w:sz w:val="18"/>
                          </w:rPr>
                          <w:t>134,358.67</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211"/>
                          <w:jc w:val="right"/>
                          <w:rPr>
                            <w:rFonts w:ascii="宋体" w:hAnsi="宋体" w:cs="宋体" w:eastAsia="宋体" w:hint="default"/>
                            <w:sz w:val="18"/>
                            <w:szCs w:val="18"/>
                          </w:rPr>
                        </w:pPr>
                        <w:r>
                          <w:rPr>
                            <w:rFonts w:ascii="宋体"/>
                            <w:spacing w:val="-1"/>
                            <w:sz w:val="18"/>
                          </w:rPr>
                          <w:t>164,286.66</w:t>
                        </w:r>
                      </w:p>
                    </w:tc>
                    <w:tc>
                      <w:tcPr>
                        <w:tcW w:w="772" w:type="dxa"/>
                        <w:tcBorders>
                          <w:top w:val="nil" w:sz="6" w:space="0" w:color="auto"/>
                          <w:left w:val="nil" w:sz="6" w:space="0" w:color="auto"/>
                          <w:bottom w:val="nil" w:sz="6" w:space="0" w:color="auto"/>
                          <w:right w:val="nil" w:sz="6" w:space="0" w:color="auto"/>
                        </w:tcBorders>
                      </w:tcPr>
                      <w:p>
                        <w:pPr/>
                      </w:p>
                    </w:tc>
                    <w:tc>
                      <w:tcPr>
                        <w:tcW w:w="1638"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right="0"/>
                          <w:jc w:val="right"/>
                          <w:rPr>
                            <w:rFonts w:ascii="宋体" w:hAnsi="宋体" w:cs="宋体" w:eastAsia="宋体" w:hint="default"/>
                            <w:sz w:val="18"/>
                            <w:szCs w:val="18"/>
                          </w:rPr>
                        </w:pPr>
                        <w:r>
                          <w:rPr>
                            <w:rFonts w:ascii="宋体"/>
                            <w:spacing w:val="-1"/>
                            <w:sz w:val="18"/>
                          </w:rPr>
                          <w:t>164,286.66</w:t>
                        </w:r>
                      </w:p>
                    </w:tc>
                    <w:tc>
                      <w:tcPr>
                        <w:tcW w:w="106" w:type="dxa"/>
                        <w:tcBorders>
                          <w:top w:val="nil" w:sz="6" w:space="0" w:color="auto"/>
                          <w:left w:val="nil" w:sz="6" w:space="0" w:color="auto"/>
                          <w:bottom w:val="nil" w:sz="6" w:space="0" w:color="auto"/>
                          <w:right w:val="nil" w:sz="6" w:space="0" w:color="auto"/>
                        </w:tcBorders>
                      </w:tcPr>
                      <w:p>
                        <w:pPr/>
                      </w:p>
                    </w:tc>
                  </w:tr>
                  <w:tr>
                    <w:trPr>
                      <w:trHeight w:val="396" w:hRule="exact"/>
                    </w:trPr>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918" w:type="dxa"/>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r>
                        <w:r>
                          <w:rPr>
                            <w:rFonts w:ascii="宋体"/>
                            <w:spacing w:val="-1"/>
                            <w:sz w:val="18"/>
                            <w:u w:val="single" w:color="000000"/>
                          </w:rPr>
                          <w:t>491,991,910.18</w:t>
                        </w:r>
                        <w:r>
                          <w:rPr>
                            <w:rFonts w:ascii="宋体"/>
                            <w:spacing w:val="-1"/>
                            <w:sz w:val="18"/>
                          </w:rPr>
                        </w:r>
                      </w:p>
                    </w:tc>
                    <w:tc>
                      <w:tcPr>
                        <w:tcW w:w="2016" w:type="dxa"/>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nil" w:sz="6" w:space="0" w:color="auto"/>
                          <w:right w:val="nil" w:sz="6" w:space="0" w:color="auto"/>
                        </w:tcBorders>
                      </w:tcPr>
                      <w:p>
                        <w:pP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r>
                        <w:r>
                          <w:rPr>
                            <w:rFonts w:ascii="宋体"/>
                            <w:spacing w:val="-1"/>
                            <w:sz w:val="18"/>
                            <w:u w:val="single" w:color="000000"/>
                          </w:rPr>
                          <w:t>465,619,866.67</w:t>
                        </w:r>
                        <w:r>
                          <w:rPr>
                            <w:rFonts w:ascii="宋体"/>
                            <w:spacing w:val="-1"/>
                            <w:sz w:val="18"/>
                          </w:rPr>
                        </w:r>
                      </w:p>
                    </w:tc>
                    <w:tc>
                      <w:tcPr>
                        <w:tcW w:w="106" w:type="dxa"/>
                        <w:tcBorders>
                          <w:top w:val="nil" w:sz="6" w:space="0" w:color="auto"/>
                          <w:left w:val="nil" w:sz="6" w:space="0" w:color="auto"/>
                          <w:bottom w:val="nil" w:sz="6" w:space="0" w:color="auto"/>
                          <w:right w:val="nil" w:sz="6" w:space="0" w:color="auto"/>
                        </w:tcBorders>
                      </w:tcPr>
                      <w:p>
                        <w:pPr/>
                      </w:p>
                    </w:tc>
                  </w:tr>
                  <w:tr>
                    <w:trPr>
                      <w:trHeight w:val="397" w:hRule="exact"/>
                    </w:trPr>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2"/>
                          <w:jc w:val="right"/>
                          <w:rPr>
                            <w:rFonts w:ascii="宋体" w:hAnsi="宋体" w:cs="宋体" w:eastAsia="宋体" w:hint="default"/>
                            <w:sz w:val="18"/>
                            <w:szCs w:val="18"/>
                          </w:rPr>
                        </w:pPr>
                        <w:r>
                          <w:rPr>
                            <w:rFonts w:ascii="宋体"/>
                            <w:spacing w:val="-1"/>
                            <w:sz w:val="18"/>
                          </w:rPr>
                          <w:t>491,991,910.18</w:t>
                        </w:r>
                      </w:p>
                    </w:tc>
                    <w:tc>
                      <w:tcPr>
                        <w:tcW w:w="773"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491,991,910.18</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2"/>
                          <w:jc w:val="right"/>
                          <w:rPr>
                            <w:rFonts w:ascii="宋体" w:hAnsi="宋体" w:cs="宋体" w:eastAsia="宋体" w:hint="default"/>
                            <w:sz w:val="18"/>
                            <w:szCs w:val="18"/>
                          </w:rPr>
                        </w:pPr>
                        <w:r>
                          <w:rPr>
                            <w:rFonts w:ascii="宋体"/>
                            <w:spacing w:val="-1"/>
                            <w:sz w:val="18"/>
                          </w:rPr>
                          <w:t>465,619,866.67</w:t>
                        </w:r>
                      </w:p>
                    </w:tc>
                    <w:tc>
                      <w:tcPr>
                        <w:tcW w:w="772" w:type="dxa"/>
                        <w:tcBorders>
                          <w:top w:val="nil" w:sz="6" w:space="0" w:color="auto"/>
                          <w:left w:val="nil" w:sz="6" w:space="0" w:color="auto"/>
                          <w:bottom w:val="nil" w:sz="6" w:space="0" w:color="auto"/>
                          <w:right w:val="nil" w:sz="6" w:space="0" w:color="auto"/>
                        </w:tcBorders>
                      </w:tcPr>
                      <w:p>
                        <w:pP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465,619,866.67</w:t>
                        </w:r>
                      </w:p>
                    </w:tc>
                    <w:tc>
                      <w:tcPr>
                        <w:tcW w:w="106" w:type="dxa"/>
                        <w:tcBorders>
                          <w:top w:val="nil" w:sz="6" w:space="0" w:color="auto"/>
                          <w:left w:val="nil" w:sz="6" w:space="0" w:color="auto"/>
                          <w:bottom w:val="nil" w:sz="6" w:space="0" w:color="auto"/>
                          <w:right w:val="nil" w:sz="6" w:space="0" w:color="auto"/>
                        </w:tcBorders>
                      </w:tcPr>
                      <w:p>
                        <w:pPr/>
                      </w:p>
                    </w:tc>
                  </w:tr>
                  <w:tr>
                    <w:trPr>
                      <w:trHeight w:val="397" w:hRule="exact"/>
                    </w:trPr>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918" w:type="dxa"/>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r>
                        <w:r>
                          <w:rPr>
                            <w:rFonts w:ascii="宋体"/>
                            <w:spacing w:val="-1"/>
                            <w:sz w:val="18"/>
                            <w:u w:val="single" w:color="000000"/>
                          </w:rPr>
                          <w:t>11,372,617.61</w:t>
                        </w:r>
                        <w:r>
                          <w:rPr>
                            <w:rFonts w:ascii="宋体"/>
                            <w:spacing w:val="-1"/>
                            <w:sz w:val="18"/>
                          </w:rPr>
                        </w:r>
                      </w:p>
                    </w:tc>
                    <w:tc>
                      <w:tcPr>
                        <w:tcW w:w="2016" w:type="dxa"/>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nil" w:sz="6" w:space="0" w:color="auto"/>
                          <w:right w:val="nil" w:sz="6" w:space="0" w:color="auto"/>
                        </w:tcBorders>
                      </w:tcPr>
                      <w:p>
                        <w:pP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r>
                        <w:r>
                          <w:rPr>
                            <w:rFonts w:ascii="宋体"/>
                            <w:spacing w:val="-1"/>
                            <w:sz w:val="18"/>
                            <w:u w:val="single" w:color="000000"/>
                          </w:rPr>
                          <w:t>15,221,368.45</w:t>
                        </w:r>
                        <w:r>
                          <w:rPr>
                            <w:rFonts w:ascii="宋体"/>
                            <w:spacing w:val="-1"/>
                            <w:sz w:val="18"/>
                          </w:rPr>
                        </w:r>
                      </w:p>
                    </w:tc>
                    <w:tc>
                      <w:tcPr>
                        <w:tcW w:w="106" w:type="dxa"/>
                        <w:tcBorders>
                          <w:top w:val="nil" w:sz="6" w:space="0" w:color="auto"/>
                          <w:left w:val="nil" w:sz="6" w:space="0" w:color="auto"/>
                          <w:bottom w:val="nil" w:sz="6" w:space="0" w:color="auto"/>
                          <w:right w:val="nil" w:sz="6" w:space="0" w:color="auto"/>
                        </w:tcBorders>
                      </w:tcPr>
                      <w:p>
                        <w:pPr/>
                      </w:p>
                    </w:tc>
                  </w:tr>
                  <w:tr>
                    <w:trPr>
                      <w:trHeight w:val="397" w:hRule="exact"/>
                    </w:trPr>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3"/>
                          <w:jc w:val="right"/>
                          <w:rPr>
                            <w:rFonts w:ascii="宋体" w:hAnsi="宋体" w:cs="宋体" w:eastAsia="宋体" w:hint="default"/>
                            <w:sz w:val="18"/>
                            <w:szCs w:val="18"/>
                          </w:rPr>
                        </w:pPr>
                        <w:r>
                          <w:rPr>
                            <w:rFonts w:ascii="宋体"/>
                            <w:spacing w:val="-1"/>
                            <w:sz w:val="18"/>
                          </w:rPr>
                          <w:t>11,372,617.61</w:t>
                        </w:r>
                      </w:p>
                    </w:tc>
                    <w:tc>
                      <w:tcPr>
                        <w:tcW w:w="773"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pacing w:val="-1"/>
                            <w:sz w:val="18"/>
                          </w:rPr>
                          <w:t>11,372,617.61</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2"/>
                          <w:jc w:val="right"/>
                          <w:rPr>
                            <w:rFonts w:ascii="宋体" w:hAnsi="宋体" w:cs="宋体" w:eastAsia="宋体" w:hint="default"/>
                            <w:sz w:val="18"/>
                            <w:szCs w:val="18"/>
                          </w:rPr>
                        </w:pPr>
                        <w:r>
                          <w:rPr>
                            <w:rFonts w:ascii="宋体"/>
                            <w:spacing w:val="-1"/>
                            <w:sz w:val="18"/>
                          </w:rPr>
                          <w:t>15,221,368.45</w:t>
                        </w:r>
                      </w:p>
                    </w:tc>
                    <w:tc>
                      <w:tcPr>
                        <w:tcW w:w="772" w:type="dxa"/>
                        <w:tcBorders>
                          <w:top w:val="nil" w:sz="6" w:space="0" w:color="auto"/>
                          <w:left w:val="nil" w:sz="6" w:space="0" w:color="auto"/>
                          <w:bottom w:val="nil" w:sz="6" w:space="0" w:color="auto"/>
                          <w:right w:val="nil" w:sz="6" w:space="0" w:color="auto"/>
                        </w:tcBorders>
                      </w:tcPr>
                      <w:p>
                        <w:pP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15,221,368.45</w:t>
                        </w:r>
                      </w:p>
                    </w:tc>
                    <w:tc>
                      <w:tcPr>
                        <w:tcW w:w="106" w:type="dxa"/>
                        <w:tcBorders>
                          <w:top w:val="nil" w:sz="6" w:space="0" w:color="auto"/>
                          <w:left w:val="nil" w:sz="6" w:space="0" w:color="auto"/>
                          <w:bottom w:val="nil" w:sz="6" w:space="0" w:color="auto"/>
                          <w:right w:val="nil" w:sz="6" w:space="0" w:color="auto"/>
                        </w:tcBorders>
                      </w:tcPr>
                      <w:p>
                        <w:pPr/>
                      </w:p>
                    </w:tc>
                  </w:tr>
                  <w:tr>
                    <w:trPr>
                      <w:trHeight w:val="387" w:hRule="exact"/>
                    </w:trPr>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r>
                        <w:r>
                          <w:rPr>
                            <w:rFonts w:ascii="宋体"/>
                            <w:spacing w:val="-1"/>
                            <w:sz w:val="18"/>
                            <w:u w:val="thick" w:color="000000"/>
                          </w:rPr>
                          <w:t>503,498,886.46</w:t>
                        </w:r>
                        <w:r>
                          <w:rPr>
                            <w:rFonts w:ascii="宋体"/>
                            <w:spacing w:val="-1"/>
                            <w:sz w:val="18"/>
                          </w:rPr>
                        </w:r>
                      </w:p>
                    </w:tc>
                    <w:tc>
                      <w:tcPr>
                        <w:tcW w:w="2016" w:type="dxa"/>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nil" w:sz="6" w:space="0" w:color="auto"/>
                          <w:right w:val="nil" w:sz="6" w:space="0" w:color="auto"/>
                        </w:tcBorders>
                      </w:tcPr>
                      <w:p>
                        <w:pP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r>
                        <w:r>
                          <w:rPr>
                            <w:rFonts w:ascii="宋体"/>
                            <w:spacing w:val="-1"/>
                            <w:sz w:val="18"/>
                            <w:u w:val="thick" w:color="000000"/>
                          </w:rPr>
                          <w:t>481,005,521.78</w:t>
                        </w:r>
                        <w:r>
                          <w:rPr>
                            <w:rFonts w:ascii="宋体"/>
                            <w:spacing w:val="-1"/>
                            <w:sz w:val="18"/>
                          </w:rPr>
                        </w:r>
                      </w:p>
                    </w:tc>
                    <w:tc>
                      <w:tcPr>
                        <w:tcW w:w="10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w w:val="95"/>
        </w:rPr>
        <w:t>原币金额</w:t>
        <w:tab/>
      </w:r>
      <w:r>
        <w:rPr>
          <w:position w:val="10"/>
        </w:rPr>
        <w:t>折算汇</w:t>
      </w:r>
      <w:r>
        <w:rPr>
          <w:b w:val="0"/>
          <w:bCs w:val="0"/>
        </w:rPr>
      </w:r>
    </w:p>
    <w:p>
      <w:pPr>
        <w:pStyle w:val="Heading7"/>
        <w:tabs>
          <w:tab w:pos="2441" w:val="left" w:leader="none"/>
          <w:tab w:pos="3844" w:val="left" w:leader="none"/>
        </w:tabs>
        <w:spacing w:line="276" w:lineRule="exact"/>
        <w:ind w:left="550" w:right="-20"/>
        <w:jc w:val="left"/>
        <w:rPr>
          <w:b w:val="0"/>
          <w:bCs w:val="0"/>
        </w:rPr>
      </w:pPr>
      <w:r>
        <w:rPr>
          <w:b w:val="0"/>
          <w:bCs w:val="0"/>
          <w:w w:val="95"/>
        </w:rPr>
        <w:br w:type="column"/>
      </w:r>
      <w:r>
        <w:rPr>
          <w:w w:val="95"/>
        </w:rPr>
        <w:t>折合人民币</w:t>
        <w:tab/>
        <w:t>原币金额</w:t>
        <w:tab/>
      </w:r>
      <w:r>
        <w:rPr>
          <w:position w:val="10"/>
        </w:rPr>
        <w:t>折算汇</w:t>
      </w:r>
      <w:r>
        <w:rPr>
          <w:b w:val="0"/>
          <w:bCs w:val="0"/>
        </w:rPr>
      </w:r>
    </w:p>
    <w:p>
      <w:pPr>
        <w:pStyle w:val="Heading7"/>
        <w:spacing w:line="240" w:lineRule="auto" w:before="40"/>
        <w:ind w:left="550" w:right="0"/>
        <w:jc w:val="left"/>
        <w:rPr>
          <w:b w:val="0"/>
          <w:bCs w:val="0"/>
        </w:rPr>
      </w:pPr>
      <w:r>
        <w:rPr>
          <w:b w:val="0"/>
          <w:bCs w:val="0"/>
        </w:rPr>
        <w:br w:type="column"/>
      </w:r>
      <w:r>
        <w:rPr/>
        <w:t>折合人民币</w:t>
      </w:r>
      <w:r>
        <w:rPr>
          <w:b w:val="0"/>
          <w:bCs w:val="0"/>
        </w:rPr>
      </w:r>
    </w:p>
    <w:p>
      <w:pPr>
        <w:spacing w:after="0" w:line="240" w:lineRule="auto"/>
        <w:jc w:val="left"/>
        <w:sectPr>
          <w:type w:val="continuous"/>
          <w:pgSz w:w="11910" w:h="16840"/>
          <w:pgMar w:top="880" w:bottom="0" w:left="740" w:right="0"/>
          <w:cols w:num="3" w:equalWidth="0">
            <w:col w:w="4234" w:space="40"/>
            <w:col w:w="4387" w:space="40"/>
            <w:col w:w="2469"/>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pStyle w:val="BodyText"/>
        <w:spacing w:line="240" w:lineRule="auto"/>
        <w:ind w:left="753" w:right="0"/>
        <w:jc w:val="left"/>
      </w:pPr>
      <w:r>
        <w:rPr/>
        <w:t>（</w:t>
      </w:r>
      <w:r>
        <w:rPr>
          <w:rFonts w:ascii="宋体" w:hAnsi="宋体" w:cs="宋体" w:eastAsia="宋体" w:hint="default"/>
        </w:rPr>
        <w:t>2</w:t>
      </w:r>
      <w:r>
        <w:rPr/>
        <w:t>）期末其他货币资金中</w:t>
      </w:r>
      <w:r>
        <w:rPr>
          <w:spacing w:val="-49"/>
        </w:rPr>
        <w:t> </w:t>
      </w:r>
      <w:r>
        <w:rPr>
          <w:rFonts w:ascii="宋体" w:hAnsi="宋体" w:cs="宋体" w:eastAsia="宋体" w:hint="default"/>
        </w:rPr>
        <w:t>11,372,617.61</w:t>
      </w:r>
      <w:r>
        <w:rPr>
          <w:rFonts w:ascii="宋体" w:hAnsi="宋体" w:cs="宋体" w:eastAsia="宋体" w:hint="default"/>
          <w:spacing w:val="-47"/>
        </w:rPr>
        <w:t> </w:t>
      </w:r>
      <w:r>
        <w:rPr/>
        <w:t>元，因开具银行承兑汇票及支付银行保函保证金而受限。</w:t>
      </w:r>
    </w:p>
    <w:p>
      <w:pPr>
        <w:spacing w:line="240" w:lineRule="auto" w:before="8"/>
        <w:rPr>
          <w:rFonts w:ascii="宋体" w:hAnsi="宋体" w:cs="宋体" w:eastAsia="宋体" w:hint="default"/>
          <w:sz w:val="21"/>
          <w:szCs w:val="21"/>
        </w:rPr>
      </w:pPr>
    </w:p>
    <w:p>
      <w:pPr>
        <w:pStyle w:val="BodyText"/>
        <w:spacing w:line="240" w:lineRule="auto"/>
        <w:ind w:left="753" w:right="0"/>
        <w:jc w:val="left"/>
      </w:pPr>
      <w:r>
        <w:rPr/>
        <w:t>（</w:t>
      </w:r>
      <w:r>
        <w:rPr>
          <w:rFonts w:ascii="宋体" w:hAnsi="宋体" w:cs="宋体" w:eastAsia="宋体" w:hint="default"/>
        </w:rPr>
        <w:t>3</w:t>
      </w:r>
      <w:r>
        <w:rPr/>
        <w:t>）期末无存放在境外的款项。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pStyle w:val="BodyText"/>
        <w:spacing w:line="240" w:lineRule="auto"/>
        <w:ind w:left="753" w:right="0"/>
        <w:jc w:val="left"/>
      </w:pPr>
      <w:r>
        <w:rPr>
          <w:rFonts w:ascii="宋体" w:hAnsi="宋体" w:cs="宋体" w:eastAsia="宋体" w:hint="default"/>
        </w:rPr>
        <w:t>2.</w:t>
      </w:r>
      <w:r>
        <w:rPr/>
        <w:t>应收票据</w:t>
      </w:r>
    </w:p>
    <w:p>
      <w:pPr>
        <w:spacing w:line="240" w:lineRule="auto" w:before="6"/>
        <w:rPr>
          <w:rFonts w:ascii="宋体" w:hAnsi="宋体" w:cs="宋体" w:eastAsia="宋体" w:hint="default"/>
          <w:sz w:val="21"/>
          <w:szCs w:val="21"/>
        </w:rPr>
      </w:pPr>
    </w:p>
    <w:p>
      <w:pPr>
        <w:pStyle w:val="BodyText"/>
        <w:spacing w:line="240" w:lineRule="auto"/>
        <w:ind w:left="753" w:right="0"/>
        <w:jc w:val="left"/>
      </w:pPr>
      <w:r>
        <w:rPr/>
        <w:t>（</w:t>
      </w:r>
      <w:r>
        <w:rPr>
          <w:rFonts w:ascii="宋体" w:hAnsi="宋体" w:cs="宋体" w:eastAsia="宋体" w:hint="default"/>
        </w:rPr>
        <w:t>1</w:t>
      </w:r>
      <w:r>
        <w:rPr/>
        <w:t>）期末无已质押的应收票据。</w:t>
      </w:r>
    </w:p>
    <w:p>
      <w:pPr>
        <w:spacing w:line="240" w:lineRule="auto" w:before="6"/>
        <w:rPr>
          <w:rFonts w:ascii="宋体" w:hAnsi="宋体" w:cs="宋体" w:eastAsia="宋体" w:hint="default"/>
          <w:sz w:val="21"/>
          <w:szCs w:val="21"/>
        </w:rPr>
      </w:pPr>
    </w:p>
    <w:p>
      <w:pPr>
        <w:pStyle w:val="BodyText"/>
        <w:spacing w:line="240" w:lineRule="auto"/>
        <w:ind w:left="753" w:right="0"/>
        <w:jc w:val="left"/>
      </w:pPr>
      <w:r>
        <w:rPr/>
        <w:t>（</w:t>
      </w:r>
      <w:r>
        <w:rPr>
          <w:rFonts w:ascii="宋体" w:hAnsi="宋体" w:cs="宋体" w:eastAsia="宋体" w:hint="default"/>
        </w:rPr>
        <w:t>2</w:t>
      </w:r>
      <w:r>
        <w:rPr/>
        <w:t>）期末无因出票人无力履约而将票据转为应收账款的票据。</w:t>
      </w:r>
    </w:p>
    <w:p>
      <w:pPr>
        <w:spacing w:line="240" w:lineRule="auto" w:before="6"/>
        <w:rPr>
          <w:rFonts w:ascii="宋体" w:hAnsi="宋体" w:cs="宋体" w:eastAsia="宋体" w:hint="default"/>
          <w:sz w:val="21"/>
          <w:szCs w:val="21"/>
        </w:rPr>
      </w:pPr>
    </w:p>
    <w:p>
      <w:pPr>
        <w:pStyle w:val="BodyText"/>
        <w:spacing w:line="240" w:lineRule="auto"/>
        <w:ind w:left="753" w:right="0"/>
        <w:jc w:val="left"/>
      </w:pPr>
      <w:r>
        <w:rPr/>
        <w:t>（</w:t>
      </w:r>
      <w:r>
        <w:rPr>
          <w:rFonts w:ascii="宋体" w:hAnsi="宋体" w:cs="宋体" w:eastAsia="宋体" w:hint="default"/>
        </w:rPr>
        <w:t>3</w:t>
      </w:r>
      <w:r>
        <w:rPr/>
        <w:t>）已经背书给他方但尚未到期的应收票据金额</w:t>
      </w:r>
      <w:r>
        <w:rPr>
          <w:spacing w:val="-46"/>
        </w:rPr>
        <w:t> </w:t>
      </w:r>
      <w:r>
        <w:rPr>
          <w:rFonts w:ascii="宋体" w:hAnsi="宋体" w:cs="宋体" w:eastAsia="宋体" w:hint="default"/>
        </w:rPr>
        <w:t>4,840,000.00</w:t>
      </w:r>
      <w:r>
        <w:rPr>
          <w:rFonts w:ascii="宋体" w:hAnsi="宋体" w:cs="宋体" w:eastAsia="宋体" w:hint="default"/>
          <w:spacing w:val="-44"/>
        </w:rPr>
        <w:t> </w:t>
      </w:r>
      <w:r>
        <w:rPr/>
        <w:t>元。</w:t>
      </w:r>
    </w:p>
    <w:p>
      <w:pPr>
        <w:spacing w:line="240" w:lineRule="auto" w:before="6"/>
        <w:rPr>
          <w:rFonts w:ascii="宋体" w:hAnsi="宋体" w:cs="宋体" w:eastAsia="宋体" w:hint="default"/>
          <w:sz w:val="21"/>
          <w:szCs w:val="21"/>
        </w:rPr>
      </w:pPr>
    </w:p>
    <w:p>
      <w:pPr>
        <w:pStyle w:val="BodyText"/>
        <w:spacing w:line="240" w:lineRule="auto"/>
        <w:ind w:left="753" w:right="0"/>
        <w:jc w:val="left"/>
      </w:pPr>
      <w:r>
        <w:rPr/>
        <w:t>（</w:t>
      </w:r>
      <w:r>
        <w:rPr>
          <w:rFonts w:ascii="宋体" w:hAnsi="宋体" w:cs="宋体" w:eastAsia="宋体" w:hint="default"/>
        </w:rPr>
        <w:t>4</w:t>
      </w:r>
      <w:r>
        <w:rPr/>
        <w:t>）已经贴现但尚未到期的应收票据金额</w:t>
      </w:r>
      <w:r>
        <w:rPr>
          <w:spacing w:val="-45"/>
        </w:rPr>
        <w:t> </w:t>
      </w:r>
      <w:r>
        <w:rPr>
          <w:rFonts w:ascii="宋体" w:hAnsi="宋体" w:cs="宋体" w:eastAsia="宋体" w:hint="default"/>
        </w:rPr>
        <w:t>210,000.00</w:t>
      </w:r>
      <w:r>
        <w:rPr>
          <w:rFonts w:ascii="宋体" w:hAnsi="宋体" w:cs="宋体" w:eastAsia="宋体" w:hint="default"/>
          <w:spacing w:val="-44"/>
        </w:rPr>
        <w:t>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4"/>
          <w:szCs w:val="24"/>
        </w:rPr>
      </w:pPr>
    </w:p>
    <w:p>
      <w:pPr>
        <w:pStyle w:val="BodyText"/>
        <w:spacing w:line="240" w:lineRule="auto"/>
        <w:ind w:left="753" w:right="0"/>
        <w:jc w:val="left"/>
      </w:pPr>
      <w:r>
        <w:rPr>
          <w:rFonts w:ascii="宋体" w:hAnsi="宋体" w:cs="宋体" w:eastAsia="宋体" w:hint="default"/>
        </w:rPr>
        <w:t>3.</w:t>
      </w:r>
      <w:r>
        <w:rPr/>
        <w:t>应收账款</w:t>
      </w:r>
    </w:p>
    <w:p>
      <w:pPr>
        <w:spacing w:line="240" w:lineRule="auto" w:before="6"/>
        <w:rPr>
          <w:rFonts w:ascii="宋体" w:hAnsi="宋体" w:cs="宋体" w:eastAsia="宋体" w:hint="default"/>
          <w:sz w:val="21"/>
          <w:szCs w:val="21"/>
        </w:rPr>
      </w:pPr>
    </w:p>
    <w:p>
      <w:pPr>
        <w:pStyle w:val="BodyText"/>
        <w:spacing w:line="240" w:lineRule="auto"/>
        <w:ind w:left="753" w:right="0"/>
        <w:jc w:val="left"/>
      </w:pPr>
      <w:r>
        <w:rPr/>
        <w:t>（</w:t>
      </w:r>
      <w:r>
        <w:rPr>
          <w:rFonts w:ascii="宋体" w:hAnsi="宋体" w:cs="宋体" w:eastAsia="宋体" w:hint="default"/>
        </w:rPr>
        <w:t>1</w:t>
      </w:r>
      <w:r>
        <w:rPr/>
        <w:t>）按类别列示</w:t>
      </w:r>
    </w:p>
    <w:p>
      <w:pPr>
        <w:spacing w:line="240" w:lineRule="auto" w:before="13"/>
        <w:rPr>
          <w:rFonts w:ascii="宋体" w:hAnsi="宋体" w:cs="宋体" w:eastAsia="宋体" w:hint="default"/>
          <w:sz w:val="16"/>
          <w:szCs w:val="16"/>
        </w:rPr>
      </w:pPr>
    </w:p>
    <w:p>
      <w:pPr>
        <w:tabs>
          <w:tab w:pos="7978" w:val="left" w:leader="none"/>
        </w:tabs>
        <w:spacing w:before="54"/>
        <w:ind w:left="3809" w:right="0"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880" w:bottom="0" w:left="740" w:right="0"/>
        </w:sectPr>
      </w:pPr>
    </w:p>
    <w:p>
      <w:pPr>
        <w:spacing w:line="240" w:lineRule="auto" w:before="11"/>
        <w:rPr>
          <w:rFonts w:ascii="宋体" w:hAnsi="宋体" w:cs="宋体" w:eastAsia="宋体" w:hint="default"/>
          <w:b/>
          <w:bCs/>
          <w:sz w:val="17"/>
          <w:szCs w:val="17"/>
        </w:rPr>
      </w:pPr>
    </w:p>
    <w:p>
      <w:pPr>
        <w:spacing w:before="0"/>
        <w:ind w:left="494" w:right="984" w:firstLine="0"/>
        <w:jc w:val="center"/>
        <w:rPr>
          <w:rFonts w:ascii="宋体" w:hAnsi="宋体" w:cs="宋体" w:eastAsia="宋体" w:hint="default"/>
          <w:sz w:val="15"/>
          <w:szCs w:val="15"/>
        </w:rPr>
      </w:pPr>
      <w:r>
        <w:rPr>
          <w:rFonts w:ascii="宋体" w:hAnsi="宋体" w:cs="宋体" w:eastAsia="宋体" w:hint="default"/>
          <w:b/>
          <w:bCs/>
          <w:sz w:val="15"/>
          <w:szCs w:val="15"/>
        </w:rPr>
        <w:t>类别</w:t>
      </w:r>
      <w:r>
        <w:rPr>
          <w:rFonts w:ascii="宋体" w:hAnsi="宋体" w:cs="宋体" w:eastAsia="宋体" w:hint="default"/>
          <w:sz w:val="15"/>
          <w:szCs w:val="15"/>
        </w:rPr>
      </w:r>
    </w:p>
    <w:p>
      <w:pPr>
        <w:spacing w:before="3"/>
        <w:ind w:left="2450" w:right="-19" w:firstLine="0"/>
        <w:jc w:val="lef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p>
      <w:pPr>
        <w:spacing w:line="240" w:lineRule="auto" w:before="0"/>
        <w:rPr>
          <w:rFonts w:ascii="宋体" w:hAnsi="宋体" w:cs="宋体" w:eastAsia="宋体" w:hint="default"/>
          <w:b/>
          <w:bCs/>
          <w:sz w:val="14"/>
          <w:szCs w:val="14"/>
        </w:rPr>
      </w:pPr>
    </w:p>
    <w:p>
      <w:pPr>
        <w:spacing w:line="240" w:lineRule="auto" w:before="0"/>
        <w:rPr>
          <w:rFonts w:ascii="宋体" w:hAnsi="宋体" w:cs="宋体" w:eastAsia="宋体" w:hint="default"/>
          <w:b/>
          <w:bCs/>
          <w:sz w:val="15"/>
          <w:szCs w:val="15"/>
        </w:rPr>
      </w:pPr>
    </w:p>
    <w:p>
      <w:pPr>
        <w:spacing w:before="0"/>
        <w:ind w:left="528" w:right="984" w:firstLine="0"/>
        <w:jc w:val="center"/>
        <w:rPr>
          <w:rFonts w:ascii="宋体" w:hAnsi="宋体" w:cs="宋体" w:eastAsia="宋体" w:hint="default"/>
          <w:sz w:val="15"/>
          <w:szCs w:val="15"/>
        </w:rPr>
      </w:pPr>
      <w:r>
        <w:rPr/>
        <w:pict>
          <v:group style="position:absolute;margin-left:56.400002pt;margin-top:-1.200237pt;width:492.35pt;height:.5pt;mso-position-horizontal-relative:page;mso-position-vertical-relative:paragraph;z-index:2032" coordorigin="1128,-24" coordsize="9847,10">
            <v:group style="position:absolute;left:1133;top:-19;width:1472;height:2" coordorigin="1133,-19" coordsize="1472,2">
              <v:shape style="position:absolute;left:1133;top:-19;width:1472;height:2" coordorigin="1133,-19" coordsize="1472,0" path="m1133,-19l2604,-19e" filled="false" stroked="true" strokeweight=".48pt" strokecolor="#000000">
                <v:path arrowok="t"/>
              </v:shape>
            </v:group>
            <v:group style="position:absolute;left:2604;top:-19;width:10;height:2" coordorigin="2604,-19" coordsize="10,2">
              <v:shape style="position:absolute;left:2604;top:-19;width:10;height:2" coordorigin="2604,-19" coordsize="10,0" path="m2604,-19l2614,-19e" filled="false" stroked="true" strokeweight=".48pt" strokecolor="#000000">
                <v:path arrowok="t"/>
              </v:shape>
            </v:group>
            <v:group style="position:absolute;left:2614;top:-19;width:1463;height:2" coordorigin="2614,-19" coordsize="1463,2">
              <v:shape style="position:absolute;left:2614;top:-19;width:1463;height:2" coordorigin="2614,-19" coordsize="1463,0" path="m2614,-19l4076,-19e" filled="false" stroked="true" strokeweight=".48pt" strokecolor="#000000">
                <v:path arrowok="t"/>
              </v:shape>
            </v:group>
            <v:group style="position:absolute;left:4076;top:-19;width:10;height:2" coordorigin="4076,-19" coordsize="10,2">
              <v:shape style="position:absolute;left:4076;top:-19;width:10;height:2" coordorigin="4076,-19" coordsize="10,0" path="m4076,-19l4086,-19e" filled="false" stroked="true" strokeweight=".48pt" strokecolor="#000000">
                <v:path arrowok="t"/>
              </v:shape>
            </v:group>
            <v:group style="position:absolute;left:4086;top:-19;width:804;height:2" coordorigin="4086,-19" coordsize="804,2">
              <v:shape style="position:absolute;left:4086;top:-19;width:804;height:2" coordorigin="4086,-19" coordsize="804,0" path="m4086,-19l4890,-19e" filled="false" stroked="true" strokeweight=".48pt" strokecolor="#000000">
                <v:path arrowok="t"/>
              </v:shape>
            </v:group>
            <v:group style="position:absolute;left:4890;top:-19;width:10;height:2" coordorigin="4890,-19" coordsize="10,2">
              <v:shape style="position:absolute;left:4890;top:-19;width:10;height:2" coordorigin="4890,-19" coordsize="10,0" path="m4890,-19l4899,-19e" filled="false" stroked="true" strokeweight=".48pt" strokecolor="#000000">
                <v:path arrowok="t"/>
              </v:shape>
            </v:group>
            <v:group style="position:absolute;left:4899;top:-19;width:1467;height:2" coordorigin="4899,-19" coordsize="1467,2">
              <v:shape style="position:absolute;left:4899;top:-19;width:1467;height:2" coordorigin="4899,-19" coordsize="1467,0" path="m4899,-19l6366,-19e" filled="false" stroked="true" strokeweight=".48pt" strokecolor="#000000">
                <v:path arrowok="t"/>
              </v:shape>
            </v:group>
            <v:group style="position:absolute;left:6366;top:-19;width:10;height:2" coordorigin="6366,-19" coordsize="10,2">
              <v:shape style="position:absolute;left:6366;top:-19;width:10;height:2" coordorigin="6366,-19" coordsize="10,0" path="m6366,-19l6376,-19e" filled="false" stroked="true" strokeweight=".48pt" strokecolor="#000000">
                <v:path arrowok="t"/>
              </v:shape>
            </v:group>
            <v:group style="position:absolute;left:6376;top:-19;width:680;height:2" coordorigin="6376,-19" coordsize="680,2">
              <v:shape style="position:absolute;left:6376;top:-19;width:680;height:2" coordorigin="6376,-19" coordsize="680,0" path="m6376,-19l7055,-19e" filled="false" stroked="true" strokeweight=".48pt" strokecolor="#000000">
                <v:path arrowok="t"/>
              </v:shape>
            </v:group>
            <v:group style="position:absolute;left:7055;top:-19;width:10;height:2" coordorigin="7055,-19" coordsize="10,2">
              <v:shape style="position:absolute;left:7055;top:-19;width:10;height:2" coordorigin="7055,-19" coordsize="10,0" path="m7055,-19l7065,-19e" filled="false" stroked="true" strokeweight=".48pt" strokecolor="#000000">
                <v:path arrowok="t"/>
              </v:shape>
            </v:group>
            <v:group style="position:absolute;left:7065;top:-19;width:1234;height:2" coordorigin="7065,-19" coordsize="1234,2">
              <v:shape style="position:absolute;left:7065;top:-19;width:1234;height:2" coordorigin="7065,-19" coordsize="1234,0" path="m7065,-19l8298,-19e" filled="false" stroked="true" strokeweight=".48pt" strokecolor="#000000">
                <v:path arrowok="t"/>
              </v:shape>
            </v:group>
            <v:group style="position:absolute;left:8298;top:-19;width:10;height:2" coordorigin="8298,-19" coordsize="10,2">
              <v:shape style="position:absolute;left:8298;top:-19;width:10;height:2" coordorigin="8298,-19" coordsize="10,0" path="m8298,-19l8308,-19e" filled="false" stroked="true" strokeweight=".48pt" strokecolor="#000000">
                <v:path arrowok="t"/>
              </v:shape>
            </v:group>
            <v:group style="position:absolute;left:8308;top:-19;width:678;height:2" coordorigin="8308,-19" coordsize="678,2">
              <v:shape style="position:absolute;left:8308;top:-19;width:678;height:2" coordorigin="8308,-19" coordsize="678,0" path="m8308,-19l8985,-19e" filled="false" stroked="true" strokeweight=".48pt" strokecolor="#000000">
                <v:path arrowok="t"/>
              </v:shape>
            </v:group>
            <v:group style="position:absolute;left:8985;top:-19;width:10;height:2" coordorigin="8985,-19" coordsize="10,2">
              <v:shape style="position:absolute;left:8985;top:-19;width:10;height:2" coordorigin="8985,-19" coordsize="10,0" path="m8985,-19l8995,-19e" filled="false" stroked="true" strokeweight=".48pt" strokecolor="#000000">
                <v:path arrowok="t"/>
              </v:shape>
            </v:group>
            <v:group style="position:absolute;left:8995;top:-19;width:1179;height:2" coordorigin="8995,-19" coordsize="1179,2">
              <v:shape style="position:absolute;left:8995;top:-19;width:1179;height:2" coordorigin="8995,-19" coordsize="1179,0" path="m8995,-19l10173,-19e" filled="false" stroked="true" strokeweight=".48pt" strokecolor="#000000">
                <v:path arrowok="t"/>
              </v:shape>
            </v:group>
            <v:group style="position:absolute;left:10173;top:-19;width:10;height:2" coordorigin="10173,-19" coordsize="10,2">
              <v:shape style="position:absolute;left:10173;top:-19;width:10;height:2" coordorigin="10173,-19" coordsize="10,0" path="m10173,-19l10183,-19e" filled="false" stroked="true" strokeweight=".48pt" strokecolor="#000000">
                <v:path arrowok="t"/>
              </v:shape>
            </v:group>
            <v:group style="position:absolute;left:10183;top:-19;width:788;height:2" coordorigin="10183,-19" coordsize="788,2">
              <v:shape style="position:absolute;left:10183;top:-19;width:788;height:2" coordorigin="10183,-19" coordsize="788,0" path="m10183,-19l10970,-19e" filled="false" stroked="true" strokeweight=".48pt" strokecolor="#000000">
                <v:path arrowok="t"/>
              </v:shape>
            </v:group>
            <w10:wrap type="none"/>
          </v:group>
        </w:pict>
      </w:r>
      <w:r>
        <w:rPr>
          <w:rFonts w:ascii="宋体" w:hAnsi="宋体" w:cs="宋体" w:eastAsia="宋体" w:hint="default"/>
          <w:sz w:val="15"/>
          <w:szCs w:val="15"/>
        </w:rPr>
        <w:t>单项金额重大并单</w:t>
      </w:r>
    </w:p>
    <w:p>
      <w:pPr>
        <w:spacing w:line="240" w:lineRule="auto" w:before="7"/>
        <w:rPr>
          <w:rFonts w:ascii="宋体" w:hAnsi="宋体" w:cs="宋体" w:eastAsia="宋体" w:hint="default"/>
          <w:sz w:val="16"/>
          <w:szCs w:val="16"/>
        </w:rPr>
      </w:pPr>
      <w:r>
        <w:rPr/>
        <w:br w:type="column"/>
      </w:r>
      <w:r>
        <w:rPr>
          <w:rFonts w:ascii="宋体"/>
          <w:sz w:val="16"/>
        </w:rPr>
      </w:r>
    </w:p>
    <w:p>
      <w:pPr>
        <w:spacing w:before="0"/>
        <w:ind w:left="611" w:right="-18" w:hanging="77"/>
        <w:jc w:val="left"/>
        <w:rPr>
          <w:rFonts w:ascii="宋体" w:hAnsi="宋体" w:cs="宋体" w:eastAsia="宋体" w:hint="default"/>
          <w:sz w:val="15"/>
          <w:szCs w:val="15"/>
        </w:rPr>
      </w:pPr>
      <w:r>
        <w:rPr>
          <w:rFonts w:ascii="宋体" w:hAnsi="宋体" w:cs="宋体" w:eastAsia="宋体" w:hint="default"/>
          <w:b/>
          <w:bCs/>
          <w:sz w:val="15"/>
          <w:szCs w:val="15"/>
        </w:rPr>
        <w:t>占总额</w:t>
      </w:r>
      <w:r>
        <w:rPr>
          <w:rFonts w:ascii="宋体" w:hAnsi="宋体" w:cs="宋体" w:eastAsia="宋体" w:hint="default"/>
          <w:b/>
          <w:bCs/>
          <w:w w:val="100"/>
          <w:sz w:val="15"/>
          <w:szCs w:val="15"/>
        </w:rPr>
        <w:t> </w:t>
      </w:r>
      <w:r>
        <w:rPr>
          <w:rFonts w:ascii="宋体" w:hAnsi="宋体" w:cs="宋体" w:eastAsia="宋体" w:hint="default"/>
          <w:b/>
          <w:bCs/>
          <w:sz w:val="15"/>
          <w:szCs w:val="15"/>
        </w:rPr>
        <w:t>比例</w:t>
      </w:r>
      <w:r>
        <w:rPr>
          <w:rFonts w:ascii="宋体" w:hAnsi="宋体" w:cs="宋体" w:eastAsia="宋体" w:hint="default"/>
          <w:sz w:val="15"/>
          <w:szCs w:val="15"/>
        </w:rPr>
      </w:r>
    </w:p>
    <w:p>
      <w:pPr>
        <w:spacing w:before="39"/>
        <w:ind w:left="573" w:right="-18" w:firstLine="0"/>
        <w:jc w:val="left"/>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9"/>
        <w:rPr>
          <w:rFonts w:ascii="宋体" w:hAnsi="宋体" w:cs="宋体" w:eastAsia="宋体" w:hint="default"/>
          <w:b/>
          <w:bCs/>
          <w:sz w:val="10"/>
          <w:szCs w:val="10"/>
        </w:rPr>
      </w:pPr>
      <w:r>
        <w:rPr/>
        <w:br w:type="column"/>
      </w:r>
      <w:r>
        <w:rPr>
          <w:rFonts w:ascii="宋体"/>
          <w:b/>
          <w:sz w:val="10"/>
        </w:rPr>
      </w:r>
    </w:p>
    <w:p>
      <w:pPr>
        <w:spacing w:line="187" w:lineRule="exact" w:before="0"/>
        <w:ind w:left="1540" w:right="0" w:firstLine="0"/>
        <w:jc w:val="left"/>
        <w:rPr>
          <w:rFonts w:ascii="宋体" w:hAnsi="宋体" w:cs="宋体" w:eastAsia="宋体" w:hint="default"/>
          <w:sz w:val="15"/>
          <w:szCs w:val="15"/>
        </w:rPr>
      </w:pPr>
      <w:r>
        <w:rPr>
          <w:rFonts w:ascii="宋体" w:hAnsi="宋体" w:cs="宋体" w:eastAsia="宋体" w:hint="default"/>
          <w:b/>
          <w:bCs/>
          <w:sz w:val="15"/>
          <w:szCs w:val="15"/>
        </w:rPr>
        <w:t>坏账准</w:t>
      </w:r>
      <w:r>
        <w:rPr>
          <w:rFonts w:ascii="宋体" w:hAnsi="宋体" w:cs="宋体" w:eastAsia="宋体" w:hint="default"/>
          <w:sz w:val="15"/>
          <w:szCs w:val="15"/>
        </w:rPr>
      </w:r>
    </w:p>
    <w:p>
      <w:pPr>
        <w:tabs>
          <w:tab w:pos="1540" w:val="left" w:leader="none"/>
        </w:tabs>
        <w:spacing w:line="156" w:lineRule="exact" w:before="0"/>
        <w:ind w:left="534" w:right="0" w:firstLine="0"/>
        <w:jc w:val="left"/>
        <w:rPr>
          <w:rFonts w:ascii="宋体" w:hAnsi="宋体" w:cs="宋体" w:eastAsia="宋体" w:hint="default"/>
          <w:sz w:val="15"/>
          <w:szCs w:val="15"/>
        </w:rPr>
      </w:pPr>
      <w:r>
        <w:rPr>
          <w:rFonts w:ascii="宋体" w:hAnsi="宋体" w:cs="宋体" w:eastAsia="宋体" w:hint="default"/>
          <w:b/>
          <w:bCs/>
          <w:position w:val="2"/>
          <w:sz w:val="15"/>
          <w:szCs w:val="15"/>
        </w:rPr>
        <w:t>坏账</w:t>
        <w:tab/>
      </w:r>
      <w:r>
        <w:rPr>
          <w:rFonts w:ascii="宋体" w:hAnsi="宋体" w:cs="宋体" w:eastAsia="宋体" w:hint="default"/>
          <w:b/>
          <w:bCs/>
          <w:sz w:val="15"/>
          <w:szCs w:val="15"/>
        </w:rPr>
        <w:t>备计提</w:t>
      </w:r>
      <w:r>
        <w:rPr>
          <w:rFonts w:ascii="宋体" w:hAnsi="宋体" w:cs="宋体" w:eastAsia="宋体" w:hint="default"/>
          <w:sz w:val="15"/>
          <w:szCs w:val="15"/>
        </w:rPr>
      </w:r>
    </w:p>
    <w:p>
      <w:pPr>
        <w:spacing w:line="96" w:lineRule="exact" w:before="0"/>
        <w:ind w:left="0" w:right="0" w:firstLine="0"/>
        <w:jc w:val="righ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p>
      <w:pPr>
        <w:tabs>
          <w:tab w:pos="1617" w:val="left" w:leader="none"/>
        </w:tabs>
        <w:spacing w:line="155" w:lineRule="exact" w:before="0"/>
        <w:ind w:left="534" w:right="0" w:firstLine="0"/>
        <w:jc w:val="left"/>
        <w:rPr>
          <w:rFonts w:ascii="宋体" w:hAnsi="宋体" w:cs="宋体" w:eastAsia="宋体" w:hint="default"/>
          <w:sz w:val="15"/>
          <w:szCs w:val="15"/>
        </w:rPr>
      </w:pPr>
      <w:r>
        <w:rPr>
          <w:rFonts w:ascii="宋体" w:hAnsi="宋体" w:cs="宋体" w:eastAsia="宋体" w:hint="default"/>
          <w:b/>
          <w:bCs/>
          <w:sz w:val="15"/>
          <w:szCs w:val="15"/>
        </w:rPr>
        <w:t>准备</w:t>
        <w:tab/>
      </w:r>
      <w:r>
        <w:rPr>
          <w:rFonts w:ascii="宋体" w:hAnsi="宋体" w:cs="宋体" w:eastAsia="宋体" w:hint="default"/>
          <w:b/>
          <w:bCs/>
          <w:position w:val="2"/>
          <w:sz w:val="15"/>
          <w:szCs w:val="15"/>
        </w:rPr>
        <w:t>比例</w:t>
      </w:r>
      <w:r>
        <w:rPr>
          <w:rFonts w:ascii="宋体" w:hAnsi="宋体" w:cs="宋体" w:eastAsia="宋体" w:hint="default"/>
          <w:sz w:val="15"/>
          <w:szCs w:val="15"/>
        </w:rPr>
      </w:r>
    </w:p>
    <w:p>
      <w:pPr>
        <w:spacing w:line="186" w:lineRule="exact" w:before="0"/>
        <w:ind w:left="1579" w:right="0" w:firstLine="0"/>
        <w:jc w:val="left"/>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1"/>
        <w:rPr>
          <w:rFonts w:ascii="宋体" w:hAnsi="宋体" w:cs="宋体" w:eastAsia="宋体" w:hint="default"/>
          <w:b/>
          <w:bCs/>
          <w:sz w:val="15"/>
          <w:szCs w:val="15"/>
        </w:rPr>
      </w:pPr>
      <w:r>
        <w:rPr/>
        <w:br w:type="column"/>
      </w:r>
      <w:r>
        <w:rPr>
          <w:rFonts w:ascii="宋体"/>
          <w:b/>
          <w:sz w:val="15"/>
        </w:rPr>
      </w:r>
    </w:p>
    <w:p>
      <w:pPr>
        <w:spacing w:line="285" w:lineRule="auto" w:before="0"/>
        <w:ind w:left="611" w:right="-18" w:hanging="77"/>
        <w:jc w:val="left"/>
        <w:rPr>
          <w:rFonts w:ascii="宋体" w:hAnsi="宋体" w:cs="宋体" w:eastAsia="宋体" w:hint="default"/>
          <w:sz w:val="15"/>
          <w:szCs w:val="15"/>
        </w:rPr>
      </w:pPr>
      <w:r>
        <w:rPr>
          <w:rFonts w:ascii="宋体" w:hAnsi="宋体" w:cs="宋体" w:eastAsia="宋体" w:hint="default"/>
          <w:b/>
          <w:bCs/>
          <w:sz w:val="15"/>
          <w:szCs w:val="15"/>
        </w:rPr>
        <w:t>占总额</w:t>
      </w:r>
      <w:r>
        <w:rPr>
          <w:rFonts w:ascii="宋体" w:hAnsi="宋体" w:cs="宋体" w:eastAsia="宋体" w:hint="default"/>
          <w:b/>
          <w:bCs/>
          <w:w w:val="100"/>
          <w:sz w:val="15"/>
          <w:szCs w:val="15"/>
        </w:rPr>
        <w:t> </w:t>
      </w:r>
      <w:r>
        <w:rPr>
          <w:rFonts w:ascii="宋体" w:hAnsi="宋体" w:cs="宋体" w:eastAsia="宋体" w:hint="default"/>
          <w:b/>
          <w:bCs/>
          <w:sz w:val="15"/>
          <w:szCs w:val="15"/>
        </w:rPr>
        <w:t>比例</w:t>
      </w:r>
      <w:r>
        <w:rPr>
          <w:rFonts w:ascii="宋体" w:hAnsi="宋体" w:cs="宋体" w:eastAsia="宋体" w:hint="default"/>
          <w:sz w:val="15"/>
          <w:szCs w:val="15"/>
        </w:rPr>
      </w:r>
    </w:p>
    <w:p>
      <w:pPr>
        <w:spacing w:before="10"/>
        <w:ind w:left="573" w:right="-18" w:firstLine="0"/>
        <w:jc w:val="left"/>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0"/>
        <w:rPr>
          <w:rFonts w:ascii="宋体" w:hAnsi="宋体" w:cs="宋体" w:eastAsia="宋体" w:hint="default"/>
          <w:b/>
          <w:bCs/>
          <w:sz w:val="14"/>
          <w:szCs w:val="14"/>
        </w:rPr>
      </w:pPr>
      <w:r>
        <w:rPr/>
        <w:br w:type="column"/>
      </w:r>
      <w:r>
        <w:rPr>
          <w:rFonts w:ascii="宋体"/>
          <w:b/>
          <w:sz w:val="14"/>
        </w:rPr>
      </w:r>
    </w:p>
    <w:p>
      <w:pPr>
        <w:tabs>
          <w:tab w:pos="1436" w:val="left" w:leader="none"/>
        </w:tabs>
        <w:spacing w:line="168" w:lineRule="auto" w:before="107"/>
        <w:ind w:left="1436" w:right="1104" w:hanging="915"/>
        <w:jc w:val="left"/>
        <w:rPr>
          <w:rFonts w:ascii="宋体" w:hAnsi="宋体" w:cs="宋体" w:eastAsia="宋体" w:hint="default"/>
          <w:sz w:val="15"/>
          <w:szCs w:val="15"/>
        </w:rPr>
      </w:pPr>
      <w:r>
        <w:rPr>
          <w:rFonts w:ascii="宋体" w:hAnsi="宋体" w:cs="宋体" w:eastAsia="宋体" w:hint="default"/>
          <w:b/>
          <w:bCs/>
          <w:position w:val="-7"/>
          <w:sz w:val="15"/>
          <w:szCs w:val="15"/>
        </w:rPr>
        <w:t>坏账</w:t>
        <w:tab/>
      </w:r>
      <w:r>
        <w:rPr>
          <w:rFonts w:ascii="宋体" w:hAnsi="宋体" w:cs="宋体" w:eastAsia="宋体" w:hint="default"/>
          <w:b/>
          <w:bCs/>
          <w:sz w:val="15"/>
          <w:szCs w:val="15"/>
        </w:rPr>
        <w:t>坏账准</w:t>
      </w:r>
      <w:r>
        <w:rPr>
          <w:rFonts w:ascii="宋体" w:hAnsi="宋体" w:cs="宋体" w:eastAsia="宋体" w:hint="default"/>
          <w:b/>
          <w:bCs/>
          <w:w w:val="100"/>
          <w:sz w:val="15"/>
          <w:szCs w:val="15"/>
        </w:rPr>
        <w:t> </w:t>
      </w:r>
      <w:r>
        <w:rPr>
          <w:rFonts w:ascii="宋体" w:hAnsi="宋体" w:cs="宋体" w:eastAsia="宋体" w:hint="default"/>
          <w:b/>
          <w:bCs/>
          <w:sz w:val="15"/>
          <w:szCs w:val="15"/>
        </w:rPr>
        <w:t>备计提</w:t>
      </w:r>
      <w:r>
        <w:rPr>
          <w:rFonts w:ascii="宋体" w:hAnsi="宋体" w:cs="宋体" w:eastAsia="宋体" w:hint="default"/>
          <w:sz w:val="15"/>
          <w:szCs w:val="15"/>
        </w:rPr>
      </w:r>
    </w:p>
    <w:p>
      <w:pPr>
        <w:tabs>
          <w:tab w:pos="1374" w:val="left" w:leader="none"/>
        </w:tabs>
        <w:spacing w:line="198" w:lineRule="exact" w:before="0"/>
        <w:ind w:left="522" w:right="0" w:firstLine="0"/>
        <w:jc w:val="left"/>
        <w:rPr>
          <w:rFonts w:ascii="宋体" w:hAnsi="宋体" w:cs="宋体" w:eastAsia="宋体" w:hint="default"/>
          <w:sz w:val="15"/>
          <w:szCs w:val="15"/>
        </w:rPr>
      </w:pPr>
      <w:r>
        <w:rPr>
          <w:rFonts w:ascii="宋体" w:hAnsi="宋体" w:cs="宋体" w:eastAsia="宋体" w:hint="default"/>
          <w:b/>
          <w:bCs/>
          <w:position w:val="8"/>
          <w:sz w:val="15"/>
          <w:szCs w:val="15"/>
        </w:rPr>
        <w:t>准备</w:t>
        <w:tab/>
      </w:r>
      <w:r>
        <w:rPr>
          <w:rFonts w:ascii="宋体" w:hAnsi="宋体" w:cs="宋体" w:eastAsia="宋体" w:hint="default"/>
          <w:b/>
          <w:bCs/>
          <w:spacing w:val="-6"/>
          <w:sz w:val="15"/>
          <w:szCs w:val="15"/>
        </w:rPr>
        <w:t>比例（</w:t>
      </w:r>
      <w:r>
        <w:rPr>
          <w:rFonts w:ascii="宋体" w:hAnsi="宋体" w:cs="宋体" w:eastAsia="宋体" w:hint="default"/>
          <w:b/>
          <w:bCs/>
          <w:spacing w:val="-6"/>
          <w:sz w:val="15"/>
          <w:szCs w:val="15"/>
        </w:rPr>
        <w:t>%</w:t>
      </w:r>
      <w:r>
        <w:rPr>
          <w:rFonts w:ascii="宋体" w:hAnsi="宋体" w:cs="宋体" w:eastAsia="宋体" w:hint="default"/>
          <w:b/>
          <w:bCs/>
          <w:spacing w:val="-6"/>
          <w:sz w:val="15"/>
          <w:szCs w:val="15"/>
        </w:rPr>
        <w:t>）</w:t>
      </w:r>
      <w:r>
        <w:rPr>
          <w:rFonts w:ascii="宋体" w:hAnsi="宋体" w:cs="宋体" w:eastAsia="宋体" w:hint="default"/>
          <w:spacing w:val="-6"/>
          <w:sz w:val="15"/>
          <w:szCs w:val="15"/>
        </w:rPr>
      </w:r>
    </w:p>
    <w:p>
      <w:pPr>
        <w:spacing w:after="0" w:line="198" w:lineRule="exact"/>
        <w:jc w:val="left"/>
        <w:rPr>
          <w:rFonts w:ascii="宋体" w:hAnsi="宋体" w:cs="宋体" w:eastAsia="宋体" w:hint="default"/>
          <w:sz w:val="15"/>
          <w:szCs w:val="15"/>
        </w:rPr>
        <w:sectPr>
          <w:type w:val="continuous"/>
          <w:pgSz w:w="11910" w:h="16840"/>
          <w:pgMar w:top="880" w:bottom="0" w:left="740" w:right="0"/>
          <w:cols w:num="5" w:equalWidth="0">
            <w:col w:w="2753" w:space="228"/>
            <w:col w:w="989" w:space="233"/>
            <w:col w:w="2885" w:space="53"/>
            <w:col w:w="989" w:space="40"/>
            <w:col w:w="3000"/>
          </w:cols>
        </w:sectPr>
      </w:pPr>
    </w:p>
    <w:p>
      <w:pPr>
        <w:spacing w:line="192" w:lineRule="exact" w:before="22"/>
        <w:ind w:left="534" w:right="0" w:firstLine="0"/>
        <w:jc w:val="left"/>
        <w:rPr>
          <w:rFonts w:ascii="宋体" w:hAnsi="宋体" w:cs="宋体" w:eastAsia="宋体" w:hint="default"/>
          <w:sz w:val="15"/>
          <w:szCs w:val="15"/>
        </w:rPr>
      </w:pPr>
      <w:r>
        <w:rPr>
          <w:rFonts w:ascii="宋体" w:hAnsi="宋体" w:cs="宋体" w:eastAsia="宋体" w:hint="default"/>
          <w:sz w:val="15"/>
          <w:szCs w:val="15"/>
        </w:rPr>
        <w:t>项计提坏账准备的</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应收账款</w:t>
      </w:r>
    </w:p>
    <w:p>
      <w:pPr>
        <w:tabs>
          <w:tab w:pos="1868" w:val="left" w:leader="none"/>
          <w:tab w:pos="2967" w:val="left" w:leader="none"/>
          <w:tab w:pos="4108" w:val="left" w:leader="none"/>
        </w:tabs>
        <w:spacing w:line="194" w:lineRule="exact" w:before="0"/>
        <w:ind w:left="454" w:right="0" w:firstLine="0"/>
        <w:jc w:val="left"/>
        <w:rPr>
          <w:rFonts w:ascii="宋体" w:hAnsi="宋体" w:cs="宋体" w:eastAsia="宋体" w:hint="default"/>
          <w:sz w:val="15"/>
          <w:szCs w:val="15"/>
        </w:rPr>
      </w:pPr>
      <w:r>
        <w:rPr>
          <w:spacing w:val="-2"/>
        </w:rPr>
        <w:br w:type="column"/>
      </w:r>
      <w:r>
        <w:rPr>
          <w:rFonts w:ascii="宋体"/>
          <w:spacing w:val="-2"/>
          <w:sz w:val="15"/>
        </w:rPr>
        <w:t>29,691,127.71</w:t>
        <w:tab/>
      </w:r>
      <w:r>
        <w:rPr>
          <w:rFonts w:ascii="宋体"/>
          <w:spacing w:val="-1"/>
          <w:sz w:val="15"/>
        </w:rPr>
        <w:t>19.79</w:t>
        <w:tab/>
        <w:t>890,733.83</w:t>
        <w:tab/>
        <w:t>3.00</w:t>
      </w:r>
    </w:p>
    <w:p>
      <w:pPr>
        <w:spacing w:after="0" w:line="194" w:lineRule="exact"/>
        <w:jc w:val="left"/>
        <w:rPr>
          <w:rFonts w:ascii="宋体" w:hAnsi="宋体" w:cs="宋体" w:eastAsia="宋体" w:hint="default"/>
          <w:sz w:val="15"/>
          <w:szCs w:val="15"/>
        </w:rPr>
        <w:sectPr>
          <w:type w:val="continuous"/>
          <w:pgSz w:w="11910" w:h="16840"/>
          <w:pgMar w:top="880" w:bottom="0" w:left="740" w:right="0"/>
          <w:cols w:num="2" w:equalWidth="0">
            <w:col w:w="1759" w:space="40"/>
            <w:col w:w="9371"/>
          </w:cols>
        </w:sectPr>
      </w:pPr>
    </w:p>
    <w:p>
      <w:pPr>
        <w:spacing w:line="240" w:lineRule="auto" w:before="3"/>
        <w:rPr>
          <w:rFonts w:ascii="宋体" w:hAnsi="宋体" w:cs="宋体" w:eastAsia="宋体" w:hint="default"/>
          <w:sz w:val="26"/>
          <w:szCs w:val="26"/>
        </w:rPr>
      </w:pPr>
    </w:p>
    <w:p>
      <w:pPr>
        <w:tabs>
          <w:tab w:pos="7898" w:val="left" w:leader="none"/>
        </w:tabs>
        <w:spacing w:before="54"/>
        <w:ind w:left="3729" w:right="0"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spacing w:after="0"/>
        <w:jc w:val="left"/>
        <w:rPr>
          <w:rFonts w:ascii="宋体" w:hAnsi="宋体" w:cs="宋体" w:eastAsia="宋体" w:hint="default"/>
          <w:sz w:val="15"/>
          <w:szCs w:val="15"/>
        </w:rPr>
        <w:sectPr>
          <w:pgSz w:w="11910" w:h="16840"/>
          <w:pgMar w:header="877" w:footer="1332" w:top="1100" w:bottom="1540" w:left="820" w:right="0"/>
        </w:sectPr>
      </w:pPr>
    </w:p>
    <w:p>
      <w:pPr>
        <w:spacing w:line="240" w:lineRule="auto" w:before="9"/>
        <w:rPr>
          <w:rFonts w:ascii="宋体" w:hAnsi="宋体" w:cs="宋体" w:eastAsia="宋体" w:hint="default"/>
          <w:b/>
          <w:bCs/>
          <w:sz w:val="17"/>
          <w:szCs w:val="17"/>
        </w:rPr>
      </w:pPr>
    </w:p>
    <w:p>
      <w:pPr>
        <w:spacing w:before="0"/>
        <w:ind w:left="880" w:right="1450" w:firstLine="0"/>
        <w:jc w:val="center"/>
        <w:rPr>
          <w:rFonts w:ascii="宋体" w:hAnsi="宋体" w:cs="宋体" w:eastAsia="宋体" w:hint="default"/>
          <w:sz w:val="15"/>
          <w:szCs w:val="15"/>
        </w:rPr>
      </w:pPr>
      <w:r>
        <w:rPr>
          <w:rFonts w:ascii="宋体" w:hAnsi="宋体" w:cs="宋体" w:eastAsia="宋体" w:hint="default"/>
          <w:b/>
          <w:bCs/>
          <w:sz w:val="15"/>
          <w:szCs w:val="15"/>
        </w:rPr>
        <w:t>类别</w:t>
      </w:r>
      <w:r>
        <w:rPr>
          <w:rFonts w:ascii="宋体" w:hAnsi="宋体" w:cs="宋体" w:eastAsia="宋体" w:hint="default"/>
          <w:sz w:val="15"/>
          <w:szCs w:val="15"/>
        </w:rPr>
      </w:r>
    </w:p>
    <w:p>
      <w:pPr>
        <w:spacing w:before="3"/>
        <w:ind w:left="2370" w:right="-19" w:firstLine="0"/>
        <w:jc w:val="lef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p>
      <w:pPr>
        <w:spacing w:line="240" w:lineRule="auto" w:before="0"/>
        <w:rPr>
          <w:rFonts w:ascii="宋体" w:hAnsi="宋体" w:cs="宋体" w:eastAsia="宋体" w:hint="default"/>
          <w:b/>
          <w:bCs/>
          <w:sz w:val="14"/>
          <w:szCs w:val="14"/>
        </w:rPr>
      </w:pPr>
    </w:p>
    <w:p>
      <w:pPr>
        <w:spacing w:line="240" w:lineRule="auto" w:before="0"/>
        <w:rPr>
          <w:rFonts w:ascii="宋体" w:hAnsi="宋体" w:cs="宋体" w:eastAsia="宋体" w:hint="default"/>
          <w:b/>
          <w:bCs/>
          <w:sz w:val="15"/>
          <w:szCs w:val="15"/>
        </w:rPr>
      </w:pPr>
    </w:p>
    <w:p>
      <w:pPr>
        <w:spacing w:before="0"/>
        <w:ind w:left="420" w:right="188" w:firstLine="0"/>
        <w:jc w:val="left"/>
        <w:rPr>
          <w:rFonts w:ascii="宋体" w:hAnsi="宋体" w:cs="宋体" w:eastAsia="宋体" w:hint="default"/>
          <w:sz w:val="15"/>
          <w:szCs w:val="15"/>
        </w:rPr>
      </w:pPr>
      <w:r>
        <w:rPr/>
        <w:pict>
          <v:group style="position:absolute;margin-left:56.400002pt;margin-top:-1.200242pt;width:492.35pt;height:.5pt;mso-position-horizontal-relative:page;mso-position-vertical-relative:paragraph;z-index:2080" coordorigin="1128,-24" coordsize="9847,10">
            <v:group style="position:absolute;left:1133;top:-19;width:1472;height:2" coordorigin="1133,-19" coordsize="1472,2">
              <v:shape style="position:absolute;left:1133;top:-19;width:1472;height:2" coordorigin="1133,-19" coordsize="1472,0" path="m1133,-19l2604,-19e" filled="false" stroked="true" strokeweight=".48pt" strokecolor="#000000">
                <v:path arrowok="t"/>
              </v:shape>
            </v:group>
            <v:group style="position:absolute;left:2604;top:-19;width:10;height:2" coordorigin="2604,-19" coordsize="10,2">
              <v:shape style="position:absolute;left:2604;top:-19;width:10;height:2" coordorigin="2604,-19" coordsize="10,0" path="m2604,-19l2614,-19e" filled="false" stroked="true" strokeweight=".48pt" strokecolor="#000000">
                <v:path arrowok="t"/>
              </v:shape>
            </v:group>
            <v:group style="position:absolute;left:2614;top:-19;width:1463;height:2" coordorigin="2614,-19" coordsize="1463,2">
              <v:shape style="position:absolute;left:2614;top:-19;width:1463;height:2" coordorigin="2614,-19" coordsize="1463,0" path="m2614,-19l4076,-19e" filled="false" stroked="true" strokeweight=".48pt" strokecolor="#000000">
                <v:path arrowok="t"/>
              </v:shape>
            </v:group>
            <v:group style="position:absolute;left:4076;top:-19;width:10;height:2" coordorigin="4076,-19" coordsize="10,2">
              <v:shape style="position:absolute;left:4076;top:-19;width:10;height:2" coordorigin="4076,-19" coordsize="10,0" path="m4076,-19l4086,-19e" filled="false" stroked="true" strokeweight=".48pt" strokecolor="#000000">
                <v:path arrowok="t"/>
              </v:shape>
            </v:group>
            <v:group style="position:absolute;left:4086;top:-19;width:804;height:2" coordorigin="4086,-19" coordsize="804,2">
              <v:shape style="position:absolute;left:4086;top:-19;width:804;height:2" coordorigin="4086,-19" coordsize="804,0" path="m4086,-19l4890,-19e" filled="false" stroked="true" strokeweight=".48pt" strokecolor="#000000">
                <v:path arrowok="t"/>
              </v:shape>
            </v:group>
            <v:group style="position:absolute;left:4890;top:-19;width:10;height:2" coordorigin="4890,-19" coordsize="10,2">
              <v:shape style="position:absolute;left:4890;top:-19;width:10;height:2" coordorigin="4890,-19" coordsize="10,0" path="m4890,-19l4899,-19e" filled="false" stroked="true" strokeweight=".48pt" strokecolor="#000000">
                <v:path arrowok="t"/>
              </v:shape>
            </v:group>
            <v:group style="position:absolute;left:4899;top:-19;width:1467;height:2" coordorigin="4899,-19" coordsize="1467,2">
              <v:shape style="position:absolute;left:4899;top:-19;width:1467;height:2" coordorigin="4899,-19" coordsize="1467,0" path="m4899,-19l6366,-19e" filled="false" stroked="true" strokeweight=".48pt" strokecolor="#000000">
                <v:path arrowok="t"/>
              </v:shape>
            </v:group>
            <v:group style="position:absolute;left:6366;top:-19;width:10;height:2" coordorigin="6366,-19" coordsize="10,2">
              <v:shape style="position:absolute;left:6366;top:-19;width:10;height:2" coordorigin="6366,-19" coordsize="10,0" path="m6366,-19l6376,-19e" filled="false" stroked="true" strokeweight=".48pt" strokecolor="#000000">
                <v:path arrowok="t"/>
              </v:shape>
            </v:group>
            <v:group style="position:absolute;left:6376;top:-19;width:680;height:2" coordorigin="6376,-19" coordsize="680,2">
              <v:shape style="position:absolute;left:6376;top:-19;width:680;height:2" coordorigin="6376,-19" coordsize="680,0" path="m6376,-19l7055,-19e" filled="false" stroked="true" strokeweight=".48pt" strokecolor="#000000">
                <v:path arrowok="t"/>
              </v:shape>
            </v:group>
            <v:group style="position:absolute;left:7055;top:-19;width:10;height:2" coordorigin="7055,-19" coordsize="10,2">
              <v:shape style="position:absolute;left:7055;top:-19;width:10;height:2" coordorigin="7055,-19" coordsize="10,0" path="m7055,-19l7065,-19e" filled="false" stroked="true" strokeweight=".48pt" strokecolor="#000000">
                <v:path arrowok="t"/>
              </v:shape>
            </v:group>
            <v:group style="position:absolute;left:7065;top:-19;width:1234;height:2" coordorigin="7065,-19" coordsize="1234,2">
              <v:shape style="position:absolute;left:7065;top:-19;width:1234;height:2" coordorigin="7065,-19" coordsize="1234,0" path="m7065,-19l8298,-19e" filled="false" stroked="true" strokeweight=".48pt" strokecolor="#000000">
                <v:path arrowok="t"/>
              </v:shape>
            </v:group>
            <v:group style="position:absolute;left:8298;top:-19;width:10;height:2" coordorigin="8298,-19" coordsize="10,2">
              <v:shape style="position:absolute;left:8298;top:-19;width:10;height:2" coordorigin="8298,-19" coordsize="10,0" path="m8298,-19l8308,-19e" filled="false" stroked="true" strokeweight=".48pt" strokecolor="#000000">
                <v:path arrowok="t"/>
              </v:shape>
            </v:group>
            <v:group style="position:absolute;left:8308;top:-19;width:678;height:2" coordorigin="8308,-19" coordsize="678,2">
              <v:shape style="position:absolute;left:8308;top:-19;width:678;height:2" coordorigin="8308,-19" coordsize="678,0" path="m8308,-19l8985,-19e" filled="false" stroked="true" strokeweight=".48pt" strokecolor="#000000">
                <v:path arrowok="t"/>
              </v:shape>
            </v:group>
            <v:group style="position:absolute;left:8985;top:-19;width:10;height:2" coordorigin="8985,-19" coordsize="10,2">
              <v:shape style="position:absolute;left:8985;top:-19;width:10;height:2" coordorigin="8985,-19" coordsize="10,0" path="m8985,-19l8995,-19e" filled="false" stroked="true" strokeweight=".48pt" strokecolor="#000000">
                <v:path arrowok="t"/>
              </v:shape>
            </v:group>
            <v:group style="position:absolute;left:8995;top:-19;width:1179;height:2" coordorigin="8995,-19" coordsize="1179,2">
              <v:shape style="position:absolute;left:8995;top:-19;width:1179;height:2" coordorigin="8995,-19" coordsize="1179,0" path="m8995,-19l10173,-19e" filled="false" stroked="true" strokeweight=".48pt" strokecolor="#000000">
                <v:path arrowok="t"/>
              </v:shape>
            </v:group>
            <v:group style="position:absolute;left:10173;top:-19;width:10;height:2" coordorigin="10173,-19" coordsize="10,2">
              <v:shape style="position:absolute;left:10173;top:-19;width:10;height:2" coordorigin="10173,-19" coordsize="10,0" path="m10173,-19l10183,-19e" filled="false" stroked="true" strokeweight=".48pt" strokecolor="#000000">
                <v:path arrowok="t"/>
              </v:shape>
            </v:group>
            <v:group style="position:absolute;left:10183;top:-19;width:788;height:2" coordorigin="10183,-19" coordsize="788,2">
              <v:shape style="position:absolute;left:10183;top:-19;width:788;height:2" coordorigin="10183,-19" coordsize="788,0" path="m10183,-19l10970,-19e" filled="false" stroked="true" strokeweight=".48pt" strokecolor="#000000">
                <v:path arrowok="t"/>
              </v:shape>
            </v:group>
            <w10:wrap type="none"/>
          </v:group>
        </w:pict>
      </w:r>
      <w:r>
        <w:rPr>
          <w:rFonts w:ascii="宋体" w:hAnsi="宋体" w:cs="宋体" w:eastAsia="宋体" w:hint="default"/>
          <w:spacing w:val="-2"/>
          <w:sz w:val="15"/>
          <w:szCs w:val="15"/>
        </w:rPr>
        <w:t>按组合计提坏账准</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备的应收账款</w:t>
      </w:r>
    </w:p>
    <w:p>
      <w:pPr>
        <w:spacing w:line="240" w:lineRule="auto" w:before="3"/>
        <w:rPr>
          <w:rFonts w:ascii="宋体" w:hAnsi="宋体" w:cs="宋体" w:eastAsia="宋体" w:hint="default"/>
          <w:sz w:val="18"/>
          <w:szCs w:val="18"/>
        </w:rPr>
      </w:pPr>
      <w:r>
        <w:rPr/>
        <w:br w:type="column"/>
      </w:r>
      <w:r>
        <w:rPr>
          <w:rFonts w:ascii="宋体"/>
          <w:sz w:val="18"/>
        </w:rPr>
      </w:r>
    </w:p>
    <w:p>
      <w:pPr>
        <w:spacing w:line="192" w:lineRule="exact" w:before="0"/>
        <w:ind w:left="497" w:right="-18" w:hanging="77"/>
        <w:jc w:val="left"/>
        <w:rPr>
          <w:rFonts w:ascii="宋体" w:hAnsi="宋体" w:cs="宋体" w:eastAsia="宋体" w:hint="default"/>
          <w:sz w:val="15"/>
          <w:szCs w:val="15"/>
        </w:rPr>
      </w:pPr>
      <w:r>
        <w:rPr>
          <w:rFonts w:ascii="宋体" w:hAnsi="宋体" w:cs="宋体" w:eastAsia="宋体" w:hint="default"/>
          <w:b/>
          <w:bCs/>
          <w:sz w:val="15"/>
          <w:szCs w:val="15"/>
        </w:rPr>
        <w:t>占总额</w:t>
      </w:r>
      <w:r>
        <w:rPr>
          <w:rFonts w:ascii="宋体" w:hAnsi="宋体" w:cs="宋体" w:eastAsia="宋体" w:hint="default"/>
          <w:b/>
          <w:bCs/>
          <w:w w:val="100"/>
          <w:sz w:val="15"/>
          <w:szCs w:val="15"/>
        </w:rPr>
        <w:t> </w:t>
      </w:r>
      <w:r>
        <w:rPr>
          <w:rFonts w:ascii="宋体" w:hAnsi="宋体" w:cs="宋体" w:eastAsia="宋体" w:hint="default"/>
          <w:b/>
          <w:bCs/>
          <w:sz w:val="15"/>
          <w:szCs w:val="15"/>
        </w:rPr>
        <w:t>比例</w:t>
      </w:r>
      <w:r>
        <w:rPr>
          <w:rFonts w:ascii="宋体" w:hAnsi="宋体" w:cs="宋体" w:eastAsia="宋体" w:hint="default"/>
          <w:sz w:val="15"/>
          <w:szCs w:val="15"/>
        </w:rPr>
      </w:r>
    </w:p>
    <w:p>
      <w:pPr>
        <w:spacing w:before="21"/>
        <w:ind w:left="459" w:right="-18" w:firstLine="0"/>
        <w:jc w:val="left"/>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7"/>
        <w:rPr>
          <w:rFonts w:ascii="宋体" w:hAnsi="宋体" w:cs="宋体" w:eastAsia="宋体" w:hint="default"/>
          <w:b/>
          <w:bCs/>
          <w:sz w:val="10"/>
          <w:szCs w:val="10"/>
        </w:rPr>
      </w:pPr>
      <w:r>
        <w:rPr/>
        <w:br w:type="column"/>
      </w:r>
      <w:r>
        <w:rPr>
          <w:rFonts w:ascii="宋体"/>
          <w:b/>
          <w:sz w:val="10"/>
        </w:rPr>
      </w:r>
    </w:p>
    <w:p>
      <w:pPr>
        <w:spacing w:line="187" w:lineRule="exact" w:before="0"/>
        <w:ind w:left="1407" w:right="871" w:firstLine="0"/>
        <w:jc w:val="center"/>
        <w:rPr>
          <w:rFonts w:ascii="宋体" w:hAnsi="宋体" w:cs="宋体" w:eastAsia="宋体" w:hint="default"/>
          <w:sz w:val="15"/>
          <w:szCs w:val="15"/>
        </w:rPr>
      </w:pPr>
      <w:r>
        <w:rPr>
          <w:rFonts w:ascii="宋体" w:hAnsi="宋体" w:cs="宋体" w:eastAsia="宋体" w:hint="default"/>
          <w:b/>
          <w:bCs/>
          <w:sz w:val="15"/>
          <w:szCs w:val="15"/>
        </w:rPr>
        <w:t>坏账准</w:t>
      </w:r>
      <w:r>
        <w:rPr>
          <w:rFonts w:ascii="宋体" w:hAnsi="宋体" w:cs="宋体" w:eastAsia="宋体" w:hint="default"/>
          <w:sz w:val="15"/>
          <w:szCs w:val="15"/>
        </w:rPr>
      </w:r>
    </w:p>
    <w:p>
      <w:pPr>
        <w:tabs>
          <w:tab w:pos="1426" w:val="left" w:leader="none"/>
        </w:tabs>
        <w:spacing w:line="156" w:lineRule="exact" w:before="0"/>
        <w:ind w:left="420" w:right="0" w:firstLine="0"/>
        <w:jc w:val="left"/>
        <w:rPr>
          <w:rFonts w:ascii="宋体" w:hAnsi="宋体" w:cs="宋体" w:eastAsia="宋体" w:hint="default"/>
          <w:sz w:val="15"/>
          <w:szCs w:val="15"/>
        </w:rPr>
      </w:pPr>
      <w:r>
        <w:rPr>
          <w:rFonts w:ascii="宋体" w:hAnsi="宋体" w:cs="宋体" w:eastAsia="宋体" w:hint="default"/>
          <w:b/>
          <w:bCs/>
          <w:position w:val="2"/>
          <w:sz w:val="15"/>
          <w:szCs w:val="15"/>
        </w:rPr>
        <w:t>坏账</w:t>
        <w:tab/>
      </w:r>
      <w:r>
        <w:rPr>
          <w:rFonts w:ascii="宋体" w:hAnsi="宋体" w:cs="宋体" w:eastAsia="宋体" w:hint="default"/>
          <w:b/>
          <w:bCs/>
          <w:sz w:val="15"/>
          <w:szCs w:val="15"/>
        </w:rPr>
        <w:t>备计提</w:t>
      </w:r>
      <w:r>
        <w:rPr>
          <w:rFonts w:ascii="宋体" w:hAnsi="宋体" w:cs="宋体" w:eastAsia="宋体" w:hint="default"/>
          <w:sz w:val="15"/>
          <w:szCs w:val="15"/>
        </w:rPr>
      </w:r>
    </w:p>
    <w:p>
      <w:pPr>
        <w:spacing w:line="97" w:lineRule="exact" w:before="0"/>
        <w:ind w:left="0" w:right="0" w:firstLine="0"/>
        <w:jc w:val="righ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p>
      <w:pPr>
        <w:tabs>
          <w:tab w:pos="1503" w:val="left" w:leader="none"/>
        </w:tabs>
        <w:spacing w:line="155" w:lineRule="exact" w:before="0"/>
        <w:ind w:left="420" w:right="0" w:firstLine="0"/>
        <w:jc w:val="left"/>
        <w:rPr>
          <w:rFonts w:ascii="宋体" w:hAnsi="宋体" w:cs="宋体" w:eastAsia="宋体" w:hint="default"/>
          <w:sz w:val="15"/>
          <w:szCs w:val="15"/>
        </w:rPr>
      </w:pPr>
      <w:r>
        <w:rPr>
          <w:rFonts w:ascii="宋体" w:hAnsi="宋体" w:cs="宋体" w:eastAsia="宋体" w:hint="default"/>
          <w:b/>
          <w:bCs/>
          <w:sz w:val="15"/>
          <w:szCs w:val="15"/>
        </w:rPr>
        <w:t>准备</w:t>
        <w:tab/>
      </w:r>
      <w:r>
        <w:rPr>
          <w:rFonts w:ascii="宋体" w:hAnsi="宋体" w:cs="宋体" w:eastAsia="宋体" w:hint="default"/>
          <w:b/>
          <w:bCs/>
          <w:position w:val="2"/>
          <w:sz w:val="15"/>
          <w:szCs w:val="15"/>
        </w:rPr>
        <w:t>比例</w:t>
      </w:r>
      <w:r>
        <w:rPr>
          <w:rFonts w:ascii="宋体" w:hAnsi="宋体" w:cs="宋体" w:eastAsia="宋体" w:hint="default"/>
          <w:sz w:val="15"/>
          <w:szCs w:val="15"/>
        </w:rPr>
      </w:r>
    </w:p>
    <w:p>
      <w:pPr>
        <w:spacing w:line="185" w:lineRule="exact" w:before="0"/>
        <w:ind w:left="1407" w:right="869" w:firstLine="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12"/>
        <w:rPr>
          <w:rFonts w:ascii="宋体" w:hAnsi="宋体" w:cs="宋体" w:eastAsia="宋体" w:hint="default"/>
          <w:b/>
          <w:bCs/>
          <w:sz w:val="14"/>
          <w:szCs w:val="14"/>
        </w:rPr>
      </w:pPr>
      <w:r>
        <w:rPr/>
        <w:br w:type="column"/>
      </w:r>
      <w:r>
        <w:rPr>
          <w:rFonts w:ascii="宋体"/>
          <w:b/>
          <w:sz w:val="14"/>
        </w:rPr>
      </w:r>
    </w:p>
    <w:p>
      <w:pPr>
        <w:spacing w:line="288" w:lineRule="auto" w:before="0"/>
        <w:ind w:left="497" w:right="-18" w:hanging="77"/>
        <w:jc w:val="left"/>
        <w:rPr>
          <w:rFonts w:ascii="宋体" w:hAnsi="宋体" w:cs="宋体" w:eastAsia="宋体" w:hint="default"/>
          <w:sz w:val="15"/>
          <w:szCs w:val="15"/>
        </w:rPr>
      </w:pPr>
      <w:r>
        <w:rPr>
          <w:rFonts w:ascii="宋体" w:hAnsi="宋体" w:cs="宋体" w:eastAsia="宋体" w:hint="default"/>
          <w:b/>
          <w:bCs/>
          <w:sz w:val="15"/>
          <w:szCs w:val="15"/>
        </w:rPr>
        <w:t>占总额</w:t>
      </w:r>
      <w:r>
        <w:rPr>
          <w:rFonts w:ascii="宋体" w:hAnsi="宋体" w:cs="宋体" w:eastAsia="宋体" w:hint="default"/>
          <w:b/>
          <w:bCs/>
          <w:w w:val="100"/>
          <w:sz w:val="15"/>
          <w:szCs w:val="15"/>
        </w:rPr>
        <w:t> </w:t>
      </w:r>
      <w:r>
        <w:rPr>
          <w:rFonts w:ascii="宋体" w:hAnsi="宋体" w:cs="宋体" w:eastAsia="宋体" w:hint="default"/>
          <w:b/>
          <w:bCs/>
          <w:sz w:val="15"/>
          <w:szCs w:val="15"/>
        </w:rPr>
        <w:t>比例</w:t>
      </w:r>
      <w:r>
        <w:rPr>
          <w:rFonts w:ascii="宋体" w:hAnsi="宋体" w:cs="宋体" w:eastAsia="宋体" w:hint="default"/>
          <w:sz w:val="15"/>
          <w:szCs w:val="15"/>
        </w:rPr>
      </w:r>
    </w:p>
    <w:p>
      <w:pPr>
        <w:spacing w:before="6"/>
        <w:ind w:left="459" w:right="-18" w:firstLine="0"/>
        <w:jc w:val="left"/>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0"/>
        <w:rPr>
          <w:rFonts w:ascii="宋体" w:hAnsi="宋体" w:cs="宋体" w:eastAsia="宋体" w:hint="default"/>
          <w:b/>
          <w:bCs/>
          <w:sz w:val="14"/>
          <w:szCs w:val="14"/>
        </w:rPr>
      </w:pPr>
      <w:r>
        <w:rPr/>
        <w:br w:type="column"/>
      </w:r>
      <w:r>
        <w:rPr>
          <w:rFonts w:ascii="宋体"/>
          <w:b/>
          <w:sz w:val="14"/>
        </w:rPr>
      </w:r>
    </w:p>
    <w:p>
      <w:pPr>
        <w:tabs>
          <w:tab w:pos="1335" w:val="left" w:leader="none"/>
        </w:tabs>
        <w:spacing w:line="170" w:lineRule="auto" w:before="103"/>
        <w:ind w:left="1335" w:right="1104" w:hanging="915"/>
        <w:jc w:val="left"/>
        <w:rPr>
          <w:rFonts w:ascii="宋体" w:hAnsi="宋体" w:cs="宋体" w:eastAsia="宋体" w:hint="default"/>
          <w:sz w:val="15"/>
          <w:szCs w:val="15"/>
        </w:rPr>
      </w:pPr>
      <w:r>
        <w:rPr>
          <w:rFonts w:ascii="宋体" w:hAnsi="宋体" w:cs="宋体" w:eastAsia="宋体" w:hint="default"/>
          <w:b/>
          <w:bCs/>
          <w:position w:val="-7"/>
          <w:sz w:val="15"/>
          <w:szCs w:val="15"/>
        </w:rPr>
        <w:t>坏账</w:t>
        <w:tab/>
      </w:r>
      <w:r>
        <w:rPr>
          <w:rFonts w:ascii="宋体" w:hAnsi="宋体" w:cs="宋体" w:eastAsia="宋体" w:hint="default"/>
          <w:b/>
          <w:bCs/>
          <w:sz w:val="15"/>
          <w:szCs w:val="15"/>
        </w:rPr>
        <w:t>坏账准</w:t>
      </w:r>
      <w:r>
        <w:rPr>
          <w:rFonts w:ascii="宋体" w:hAnsi="宋体" w:cs="宋体" w:eastAsia="宋体" w:hint="default"/>
          <w:b/>
          <w:bCs/>
          <w:w w:val="100"/>
          <w:sz w:val="15"/>
          <w:szCs w:val="15"/>
        </w:rPr>
        <w:t> </w:t>
      </w:r>
      <w:r>
        <w:rPr>
          <w:rFonts w:ascii="宋体" w:hAnsi="宋体" w:cs="宋体" w:eastAsia="宋体" w:hint="default"/>
          <w:b/>
          <w:bCs/>
          <w:sz w:val="15"/>
          <w:szCs w:val="15"/>
        </w:rPr>
        <w:t>备计提</w:t>
      </w:r>
      <w:r>
        <w:rPr>
          <w:rFonts w:ascii="宋体" w:hAnsi="宋体" w:cs="宋体" w:eastAsia="宋体" w:hint="default"/>
          <w:sz w:val="15"/>
          <w:szCs w:val="15"/>
        </w:rPr>
      </w:r>
    </w:p>
    <w:p>
      <w:pPr>
        <w:tabs>
          <w:tab w:pos="1272" w:val="left" w:leader="none"/>
        </w:tabs>
        <w:spacing w:line="198" w:lineRule="exact" w:before="0"/>
        <w:ind w:left="420" w:right="0" w:firstLine="0"/>
        <w:jc w:val="left"/>
        <w:rPr>
          <w:rFonts w:ascii="宋体" w:hAnsi="宋体" w:cs="宋体" w:eastAsia="宋体" w:hint="default"/>
          <w:sz w:val="15"/>
          <w:szCs w:val="15"/>
        </w:rPr>
      </w:pPr>
      <w:r>
        <w:rPr>
          <w:rFonts w:ascii="宋体" w:hAnsi="宋体" w:cs="宋体" w:eastAsia="宋体" w:hint="default"/>
          <w:b/>
          <w:bCs/>
          <w:position w:val="8"/>
          <w:sz w:val="15"/>
          <w:szCs w:val="15"/>
        </w:rPr>
        <w:t>准备</w:t>
        <w:tab/>
      </w:r>
      <w:r>
        <w:rPr>
          <w:rFonts w:ascii="宋体" w:hAnsi="宋体" w:cs="宋体" w:eastAsia="宋体" w:hint="default"/>
          <w:b/>
          <w:bCs/>
          <w:spacing w:val="-6"/>
          <w:sz w:val="15"/>
          <w:szCs w:val="15"/>
        </w:rPr>
        <w:t>比例（</w:t>
      </w:r>
      <w:r>
        <w:rPr>
          <w:rFonts w:ascii="宋体" w:hAnsi="宋体" w:cs="宋体" w:eastAsia="宋体" w:hint="default"/>
          <w:b/>
          <w:bCs/>
          <w:spacing w:val="-6"/>
          <w:sz w:val="15"/>
          <w:szCs w:val="15"/>
        </w:rPr>
        <w:t>%</w:t>
      </w:r>
      <w:r>
        <w:rPr>
          <w:rFonts w:ascii="宋体" w:hAnsi="宋体" w:cs="宋体" w:eastAsia="宋体" w:hint="default"/>
          <w:b/>
          <w:bCs/>
          <w:spacing w:val="-6"/>
          <w:sz w:val="15"/>
          <w:szCs w:val="15"/>
        </w:rPr>
        <w:t>）</w:t>
      </w:r>
      <w:r>
        <w:rPr>
          <w:rFonts w:ascii="宋体" w:hAnsi="宋体" w:cs="宋体" w:eastAsia="宋体" w:hint="default"/>
          <w:spacing w:val="-6"/>
          <w:sz w:val="15"/>
          <w:szCs w:val="15"/>
        </w:rPr>
      </w:r>
    </w:p>
    <w:p>
      <w:pPr>
        <w:spacing w:after="0" w:line="198" w:lineRule="exact"/>
        <w:jc w:val="left"/>
        <w:rPr>
          <w:rFonts w:ascii="宋体" w:hAnsi="宋体" w:cs="宋体" w:eastAsia="宋体" w:hint="default"/>
          <w:sz w:val="15"/>
          <w:szCs w:val="15"/>
        </w:rPr>
        <w:sectPr>
          <w:type w:val="continuous"/>
          <w:pgSz w:w="11910" w:h="16840"/>
          <w:pgMar w:top="880" w:bottom="0" w:left="820" w:right="0"/>
          <w:cols w:num="5" w:equalWidth="0">
            <w:col w:w="2673" w:space="342"/>
            <w:col w:w="875" w:space="347"/>
            <w:col w:w="2771" w:space="167"/>
            <w:col w:w="875" w:space="141"/>
            <w:col w:w="2899"/>
          </w:cols>
        </w:sectPr>
      </w:pPr>
    </w:p>
    <w:p>
      <w:pPr>
        <w:tabs>
          <w:tab w:pos="2096" w:val="left" w:leader="none"/>
          <w:tab w:pos="3587" w:val="left" w:leader="none"/>
          <w:tab w:pos="4537" w:val="left" w:leader="none"/>
          <w:tab w:pos="5826" w:val="left" w:leader="none"/>
          <w:tab w:pos="6395" w:val="left" w:leader="none"/>
          <w:tab w:pos="7607" w:val="left" w:leader="none"/>
          <w:tab w:pos="8347" w:val="left" w:leader="none"/>
          <w:tab w:pos="10043" w:val="right" w:leader="none"/>
        </w:tabs>
        <w:spacing w:before="142"/>
        <w:ind w:left="420" w:right="0" w:firstLine="0"/>
        <w:jc w:val="left"/>
        <w:rPr>
          <w:rFonts w:ascii="宋体" w:hAnsi="宋体" w:cs="宋体" w:eastAsia="宋体" w:hint="default"/>
          <w:sz w:val="15"/>
          <w:szCs w:val="15"/>
        </w:rPr>
      </w:pPr>
      <w:r>
        <w:rPr>
          <w:rFonts w:ascii="宋体" w:hAnsi="宋体" w:cs="宋体" w:eastAsia="宋体" w:hint="default"/>
          <w:spacing w:val="-1"/>
          <w:sz w:val="15"/>
          <w:szCs w:val="15"/>
        </w:rPr>
        <w:t>账龄分析法</w:t>
        <w:tab/>
      </w:r>
      <w:r>
        <w:rPr>
          <w:rFonts w:ascii="宋体" w:hAnsi="宋体" w:cs="宋体" w:eastAsia="宋体" w:hint="default"/>
          <w:spacing w:val="-1"/>
          <w:sz w:val="15"/>
          <w:szCs w:val="15"/>
        </w:rPr>
        <w:t>120,344,054.64</w:t>
        <w:tab/>
        <w:t>80.21</w:t>
        <w:tab/>
        <w:t>9,979,810.14</w:t>
        <w:tab/>
        <w:t>8.29</w:t>
        <w:tab/>
      </w:r>
      <w:r>
        <w:rPr>
          <w:rFonts w:ascii="宋体" w:hAnsi="宋体" w:cs="宋体" w:eastAsia="宋体" w:hint="default"/>
          <w:spacing w:val="-2"/>
          <w:sz w:val="15"/>
          <w:szCs w:val="15"/>
        </w:rPr>
        <w:t>48,512,142.60</w:t>
        <w:tab/>
      </w:r>
      <w:r>
        <w:rPr>
          <w:rFonts w:ascii="宋体" w:hAnsi="宋体" w:cs="宋体" w:eastAsia="宋体" w:hint="default"/>
          <w:spacing w:val="-1"/>
          <w:sz w:val="15"/>
          <w:szCs w:val="15"/>
        </w:rPr>
        <w:t>100.00</w:t>
        <w:tab/>
      </w:r>
      <w:r>
        <w:rPr>
          <w:rFonts w:ascii="宋体" w:hAnsi="宋体" w:cs="宋体" w:eastAsia="宋体" w:hint="default"/>
          <w:spacing w:val="-2"/>
          <w:sz w:val="15"/>
          <w:szCs w:val="15"/>
        </w:rPr>
        <w:t>5,068,703.10</w:t>
        <w:tab/>
      </w:r>
      <w:r>
        <w:rPr>
          <w:rFonts w:ascii="宋体" w:hAnsi="宋体" w:cs="宋体" w:eastAsia="宋体" w:hint="default"/>
          <w:spacing w:val="-1"/>
          <w:sz w:val="15"/>
          <w:szCs w:val="15"/>
        </w:rPr>
        <w:t>10.45</w:t>
      </w:r>
    </w:p>
    <w:p>
      <w:pPr>
        <w:tabs>
          <w:tab w:pos="2096" w:val="left" w:leader="none"/>
          <w:tab w:pos="3736" w:val="left" w:leader="none"/>
          <w:tab w:pos="4463" w:val="left" w:leader="none"/>
          <w:tab w:pos="6395" w:val="left" w:leader="none"/>
          <w:tab w:pos="7833" w:val="left" w:leader="none"/>
          <w:tab w:pos="8347" w:val="left" w:leader="none"/>
        </w:tabs>
        <w:spacing w:before="199"/>
        <w:ind w:left="420" w:right="0" w:firstLine="0"/>
        <w:jc w:val="left"/>
        <w:rPr>
          <w:rFonts w:ascii="宋体" w:hAnsi="宋体" w:cs="宋体" w:eastAsia="宋体" w:hint="default"/>
          <w:sz w:val="15"/>
          <w:szCs w:val="15"/>
        </w:rPr>
      </w:pPr>
      <w:r>
        <w:rPr>
          <w:rFonts w:ascii="宋体" w:hAnsi="宋体" w:cs="宋体" w:eastAsia="宋体" w:hint="default"/>
          <w:sz w:val="15"/>
          <w:szCs w:val="15"/>
        </w:rPr>
        <w:t>合计</w:t>
        <w:tab/>
      </w:r>
      <w:r>
        <w:rPr>
          <w:rFonts w:ascii="宋体" w:hAnsi="宋体" w:cs="宋体" w:eastAsia="宋体" w:hint="default"/>
          <w:sz w:val="15"/>
          <w:szCs w:val="15"/>
        </w:rPr>
      </w:r>
      <w:r>
        <w:rPr>
          <w:rFonts w:ascii="宋体" w:hAnsi="宋体" w:cs="宋体" w:eastAsia="宋体" w:hint="default"/>
          <w:spacing w:val="-1"/>
          <w:sz w:val="15"/>
          <w:szCs w:val="15"/>
          <w:u w:val="thick" w:color="000000"/>
        </w:rPr>
        <w:t>150,035,182.35</w:t>
      </w:r>
      <w:r>
        <w:rPr>
          <w:rFonts w:ascii="宋体" w:hAnsi="宋体" w:cs="宋体" w:eastAsia="宋体" w:hint="default"/>
          <w:spacing w:val="-1"/>
          <w:sz w:val="15"/>
          <w:szCs w:val="15"/>
        </w:rPr>
        <w:tab/>
      </w:r>
      <w:r>
        <w:rPr>
          <w:rFonts w:ascii="宋体" w:hAnsi="宋体" w:cs="宋体" w:eastAsia="宋体" w:hint="default"/>
          <w:spacing w:val="-1"/>
          <w:sz w:val="15"/>
          <w:szCs w:val="15"/>
          <w:u w:val="thick" w:color="000000"/>
        </w:rPr>
        <w:t>100</w:t>
      </w:r>
      <w:r>
        <w:rPr>
          <w:rFonts w:ascii="宋体" w:hAnsi="宋体" w:cs="宋体" w:eastAsia="宋体" w:hint="default"/>
          <w:spacing w:val="-1"/>
          <w:sz w:val="15"/>
          <w:szCs w:val="15"/>
        </w:rPr>
        <w:tab/>
      </w:r>
      <w:r>
        <w:rPr>
          <w:rFonts w:ascii="宋体" w:hAnsi="宋体" w:cs="宋体" w:eastAsia="宋体" w:hint="default"/>
          <w:spacing w:val="-2"/>
          <w:sz w:val="15"/>
          <w:szCs w:val="15"/>
          <w:u w:val="thick" w:color="000000"/>
        </w:rPr>
        <w:t>10,870,543.97</w:t>
      </w:r>
      <w:r>
        <w:rPr>
          <w:rFonts w:ascii="宋体" w:hAnsi="宋体" w:cs="宋体" w:eastAsia="宋体" w:hint="default"/>
          <w:spacing w:val="-2"/>
          <w:sz w:val="15"/>
          <w:szCs w:val="15"/>
        </w:rPr>
        <w:tab/>
      </w:r>
      <w:r>
        <w:rPr>
          <w:rFonts w:ascii="宋体" w:hAnsi="宋体" w:cs="宋体" w:eastAsia="宋体" w:hint="default"/>
          <w:spacing w:val="-2"/>
          <w:sz w:val="15"/>
          <w:szCs w:val="15"/>
          <w:u w:val="thick" w:color="000000"/>
        </w:rPr>
        <w:t>48,512,142.60</w:t>
      </w:r>
      <w:r>
        <w:rPr>
          <w:rFonts w:ascii="宋体" w:hAnsi="宋体" w:cs="宋体" w:eastAsia="宋体" w:hint="default"/>
          <w:spacing w:val="-2"/>
          <w:sz w:val="15"/>
          <w:szCs w:val="15"/>
        </w:rPr>
        <w:tab/>
      </w:r>
      <w:r>
        <w:rPr>
          <w:rFonts w:ascii="宋体" w:hAnsi="宋体" w:cs="宋体" w:eastAsia="宋体" w:hint="default"/>
          <w:spacing w:val="-1"/>
          <w:sz w:val="15"/>
          <w:szCs w:val="15"/>
          <w:u w:val="thick" w:color="000000"/>
        </w:rPr>
        <w:t>100</w:t>
      </w:r>
      <w:r>
        <w:rPr>
          <w:rFonts w:ascii="宋体" w:hAnsi="宋体" w:cs="宋体" w:eastAsia="宋体" w:hint="default"/>
          <w:spacing w:val="-1"/>
          <w:sz w:val="15"/>
          <w:szCs w:val="15"/>
        </w:rPr>
        <w:tab/>
      </w:r>
      <w:r>
        <w:rPr>
          <w:rFonts w:ascii="宋体" w:hAnsi="宋体" w:cs="宋体" w:eastAsia="宋体" w:hint="default"/>
          <w:spacing w:val="-1"/>
          <w:sz w:val="15"/>
          <w:szCs w:val="15"/>
          <w:u w:val="thick" w:color="000000"/>
        </w:rPr>
        <w:t>5,068,703.10</w:t>
      </w:r>
      <w:r>
        <w:rPr>
          <w:rFonts w:ascii="宋体" w:hAnsi="宋体" w:cs="宋体" w:eastAsia="宋体" w:hint="default"/>
          <w:spacing w:val="-1"/>
          <w:sz w:val="15"/>
          <w:szCs w:val="15"/>
        </w:rPr>
      </w:r>
    </w:p>
    <w:p>
      <w:pPr>
        <w:pStyle w:val="BodyText"/>
        <w:spacing w:line="240" w:lineRule="auto" w:before="757"/>
        <w:ind w:left="673" w:right="0"/>
        <w:jc w:val="left"/>
      </w:pPr>
      <w:r>
        <w:rPr/>
        <w:t>（</w:t>
      </w:r>
      <w:r>
        <w:rPr>
          <w:rFonts w:ascii="宋体" w:hAnsi="宋体" w:cs="宋体" w:eastAsia="宋体" w:hint="default"/>
        </w:rPr>
        <w:t>2</w:t>
      </w:r>
      <w:r>
        <w:rPr/>
        <w:t>）组合中按账龄分析法计提坏账准备的应收账款</w:t>
      </w:r>
    </w:p>
    <w:p>
      <w:pPr>
        <w:spacing w:line="240" w:lineRule="auto" w:before="3"/>
        <w:rPr>
          <w:rFonts w:ascii="宋体" w:hAnsi="宋体" w:cs="宋体" w:eastAsia="宋体" w:hint="default"/>
          <w:sz w:val="19"/>
          <w:szCs w:val="19"/>
        </w:rPr>
      </w:pPr>
    </w:p>
    <w:p>
      <w:pPr>
        <w:pStyle w:val="Heading7"/>
        <w:tabs>
          <w:tab w:pos="6834" w:val="left" w:leader="none"/>
        </w:tabs>
        <w:spacing w:line="240" w:lineRule="auto"/>
        <w:ind w:left="2727" w:right="0"/>
        <w:jc w:val="left"/>
        <w:rPr>
          <w:b w:val="0"/>
          <w:bCs w:val="0"/>
        </w:rPr>
      </w:pPr>
      <w:r>
        <w:rPr>
          <w:w w:val="95"/>
        </w:rPr>
        <w:t>期末余额</w:t>
        <w:tab/>
      </w:r>
      <w:r>
        <w:rPr/>
        <w:t>期初余额</w:t>
      </w:r>
      <w:r>
        <w:rPr>
          <w:b w:val="0"/>
          <w:bCs w:val="0"/>
        </w:rPr>
      </w:r>
    </w:p>
    <w:p>
      <w:pPr>
        <w:pStyle w:val="Heading7"/>
        <w:tabs>
          <w:tab w:pos="8777" w:val="left" w:leader="none"/>
        </w:tabs>
        <w:spacing w:line="235" w:lineRule="exact" w:before="120"/>
        <w:ind w:left="4677" w:right="0"/>
        <w:jc w:val="left"/>
        <w:rPr>
          <w:b w:val="0"/>
          <w:bCs w:val="0"/>
        </w:rPr>
      </w:pPr>
      <w:r>
        <w:rPr/>
        <w:t>坏账</w:t>
        <w:tab/>
        <w:t>坏账</w:t>
      </w:r>
      <w:r>
        <w:rPr>
          <w:b w:val="0"/>
          <w:bCs w:val="0"/>
        </w:rPr>
      </w:r>
    </w:p>
    <w:p>
      <w:pPr>
        <w:pStyle w:val="Heading7"/>
        <w:tabs>
          <w:tab w:pos="4676" w:val="left" w:leader="none"/>
          <w:tab w:pos="8777" w:val="left" w:leader="none"/>
        </w:tabs>
        <w:spacing w:line="171" w:lineRule="exact"/>
        <w:ind w:left="490" w:right="0"/>
        <w:jc w:val="left"/>
        <w:rPr>
          <w:b w:val="0"/>
          <w:bCs w:val="0"/>
        </w:rPr>
      </w:pPr>
      <w:r>
        <w:rPr>
          <w:position w:val="-2"/>
        </w:rPr>
        <w:t>账龄</w:t>
        <w:tab/>
      </w:r>
      <w:r>
        <w:rPr/>
        <w:t>准备</w:t>
        <w:tab/>
        <w:t>准备</w:t>
      </w:r>
      <w:r>
        <w:rPr>
          <w:b w:val="0"/>
          <w:bCs w:val="0"/>
        </w:rPr>
      </w:r>
    </w:p>
    <w:p>
      <w:pPr>
        <w:spacing w:after="0" w:line="171" w:lineRule="exact"/>
        <w:jc w:val="left"/>
        <w:sectPr>
          <w:type w:val="continuous"/>
          <w:pgSz w:w="11910" w:h="16840"/>
          <w:pgMar w:top="880" w:bottom="0" w:left="820" w:right="0"/>
        </w:sectPr>
      </w:pPr>
    </w:p>
    <w:p>
      <w:pPr>
        <w:pStyle w:val="Heading7"/>
        <w:spacing w:line="122" w:lineRule="exact"/>
        <w:ind w:left="2644" w:right="1996"/>
        <w:jc w:val="center"/>
        <w:rPr>
          <w:b w:val="0"/>
          <w:bCs w:val="0"/>
        </w:rPr>
      </w:pPr>
      <w:r>
        <w:rPr/>
        <w:pict>
          <v:shape style="position:absolute;margin-left:120.5pt;margin-top:5.88pt;width:18.25pt;height:9pt;mso-position-horizontal-relative:page;mso-position-vertical-relative:paragraph;z-index:210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xbxContent>
            </v:textbox>
            <w10:wrap type="none"/>
          </v:shape>
        </w:pict>
      </w:r>
      <w:r>
        <w:rPr/>
        <w:t>比例</w:t>
      </w:r>
      <w:r>
        <w:rPr>
          <w:b w:val="0"/>
          <w:bCs w:val="0"/>
        </w:rPr>
      </w:r>
    </w:p>
    <w:p>
      <w:pPr>
        <w:pStyle w:val="Heading7"/>
        <w:tabs>
          <w:tab w:pos="3464" w:val="left" w:leader="none"/>
          <w:tab w:pos="4676" w:val="left" w:leader="none"/>
        </w:tabs>
        <w:spacing w:line="288" w:lineRule="exact"/>
        <w:ind w:left="2617" w:right="-16"/>
        <w:jc w:val="left"/>
        <w:rPr>
          <w:b w:val="0"/>
          <w:bCs w:val="0"/>
        </w:rPr>
      </w:pPr>
      <w:r>
        <w:rPr/>
        <w:pict>
          <v:shape style="position:absolute;margin-left:56.639999pt;margin-top:11.528677pt;width:446.75pt;height:138.35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8"/>
                    <w:gridCol w:w="670"/>
                    <w:gridCol w:w="1298"/>
                    <w:gridCol w:w="670"/>
                    <w:gridCol w:w="1386"/>
                    <w:gridCol w:w="669"/>
                    <w:gridCol w:w="1336"/>
                    <w:gridCol w:w="708"/>
                  </w:tblGrid>
                  <w:tr>
                    <w:trPr>
                      <w:trHeight w:val="486" w:hRule="exact"/>
                    </w:trPr>
                    <w:tc>
                      <w:tcPr>
                        <w:tcW w:w="4166" w:type="dxa"/>
                        <w:gridSpan w:val="3"/>
                        <w:tcBorders>
                          <w:top w:val="nil" w:sz="6" w:space="0" w:color="auto"/>
                          <w:left w:val="nil" w:sz="6" w:space="0" w:color="auto"/>
                          <w:bottom w:val="single" w:sz="4" w:space="0" w:color="000000"/>
                          <w:right w:val="nil" w:sz="6" w:space="0" w:color="auto"/>
                        </w:tcBorders>
                      </w:tcPr>
                      <w:p>
                        <w:pPr/>
                      </w:p>
                    </w:tc>
                    <w:tc>
                      <w:tcPr>
                        <w:tcW w:w="670" w:type="dxa"/>
                        <w:tcBorders>
                          <w:top w:val="nil" w:sz="6" w:space="0" w:color="auto"/>
                          <w:left w:val="nil" w:sz="6" w:space="0" w:color="auto"/>
                          <w:bottom w:val="single" w:sz="4" w:space="0" w:color="000000"/>
                          <w:right w:val="nil" w:sz="6" w:space="0" w:color="auto"/>
                        </w:tcBorders>
                      </w:tcPr>
                      <w:p>
                        <w:pPr>
                          <w:pStyle w:val="TableParagraph"/>
                          <w:spacing w:line="177" w:lineRule="exact"/>
                          <w:ind w:left="198"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33" w:lineRule="exact"/>
                          <w:ind w:left="109"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86" w:type="dxa"/>
                        <w:tcBorders>
                          <w:top w:val="nil" w:sz="6" w:space="0" w:color="auto"/>
                          <w:left w:val="nil" w:sz="6" w:space="0" w:color="auto"/>
                          <w:bottom w:val="single" w:sz="4" w:space="0" w:color="000000"/>
                          <w:right w:val="nil" w:sz="6" w:space="0" w:color="auto"/>
                        </w:tcBorders>
                      </w:tcPr>
                      <w:p>
                        <w:pPr/>
                      </w:p>
                    </w:tc>
                    <w:tc>
                      <w:tcPr>
                        <w:tcW w:w="669" w:type="dxa"/>
                        <w:tcBorders>
                          <w:top w:val="nil" w:sz="6" w:space="0" w:color="auto"/>
                          <w:left w:val="nil" w:sz="6" w:space="0" w:color="auto"/>
                          <w:bottom w:val="single" w:sz="4" w:space="0" w:color="000000"/>
                          <w:right w:val="nil" w:sz="6" w:space="0" w:color="auto"/>
                        </w:tcBorders>
                      </w:tcPr>
                      <w:p>
                        <w:pPr/>
                      </w:p>
                    </w:tc>
                    <w:tc>
                      <w:tcPr>
                        <w:tcW w:w="1336" w:type="dxa"/>
                        <w:tcBorders>
                          <w:top w:val="nil" w:sz="6" w:space="0" w:color="auto"/>
                          <w:left w:val="nil" w:sz="6" w:space="0" w:color="auto"/>
                          <w:bottom w:val="single" w:sz="4" w:space="0" w:color="000000"/>
                          <w:right w:val="nil" w:sz="6" w:space="0" w:color="auto"/>
                        </w:tcBorders>
                      </w:tcPr>
                      <w:p>
                        <w:pPr/>
                      </w:p>
                    </w:tc>
                    <w:tc>
                      <w:tcPr>
                        <w:tcW w:w="708" w:type="dxa"/>
                        <w:tcBorders>
                          <w:top w:val="nil" w:sz="6" w:space="0" w:color="auto"/>
                          <w:left w:val="nil" w:sz="6" w:space="0" w:color="auto"/>
                          <w:bottom w:val="single" w:sz="4" w:space="0" w:color="000000"/>
                          <w:right w:val="nil" w:sz="6" w:space="0" w:color="auto"/>
                        </w:tcBorders>
                      </w:tcPr>
                      <w:p>
                        <w:pPr>
                          <w:pStyle w:val="TableParagraph"/>
                          <w:spacing w:line="177" w:lineRule="exact"/>
                          <w:ind w:left="23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33" w:lineRule="exact"/>
                          <w:ind w:left="148"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514" w:hRule="exact"/>
                    </w:trPr>
                    <w:tc>
                      <w:tcPr>
                        <w:tcW w:w="2198" w:type="dxa"/>
                        <w:tcBorders>
                          <w:top w:val="single" w:sz="4" w:space="0" w:color="000000"/>
                          <w:left w:val="nil" w:sz="6" w:space="0" w:color="auto"/>
                          <w:bottom w:val="nil" w:sz="6" w:space="0" w:color="auto"/>
                          <w:right w:val="nil" w:sz="6" w:space="0" w:color="auto"/>
                        </w:tcBorders>
                      </w:tcPr>
                      <w:p>
                        <w:pPr>
                          <w:pStyle w:val="TableParagraph"/>
                          <w:spacing w:line="178" w:lineRule="exact" w:before="8"/>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6"/>
                            <w:sz w:val="18"/>
                            <w:szCs w:val="18"/>
                          </w:rPr>
                          <w:t> </w:t>
                        </w:r>
                        <w:r>
                          <w:rPr>
                            <w:rFonts w:ascii="宋体" w:hAnsi="宋体" w:cs="宋体" w:eastAsia="宋体" w:hint="default"/>
                            <w:sz w:val="18"/>
                            <w:szCs w:val="18"/>
                          </w:rPr>
                          <w:t>年以</w:t>
                        </w:r>
                      </w:p>
                      <w:p>
                        <w:pPr>
                          <w:pStyle w:val="TableParagraph"/>
                          <w:tabs>
                            <w:tab w:pos="917" w:val="left" w:leader="none"/>
                          </w:tabs>
                          <w:spacing w:line="288" w:lineRule="exact"/>
                          <w:ind w:left="107" w:right="0"/>
                          <w:jc w:val="left"/>
                          <w:rPr>
                            <w:rFonts w:ascii="宋体" w:hAnsi="宋体" w:cs="宋体" w:eastAsia="宋体" w:hint="default"/>
                            <w:sz w:val="18"/>
                            <w:szCs w:val="18"/>
                          </w:rPr>
                        </w:pPr>
                        <w:r>
                          <w:rPr>
                            <w:rFonts w:ascii="宋体" w:hAnsi="宋体" w:cs="宋体" w:eastAsia="宋体" w:hint="default"/>
                            <w:position w:val="-10"/>
                            <w:sz w:val="18"/>
                            <w:szCs w:val="18"/>
                          </w:rPr>
                          <w:t>内</w:t>
                          <w:tab/>
                        </w:r>
                        <w:r>
                          <w:rPr>
                            <w:rFonts w:ascii="宋体" w:hAnsi="宋体" w:cs="宋体" w:eastAsia="宋体" w:hint="default"/>
                            <w:sz w:val="18"/>
                            <w:szCs w:val="18"/>
                          </w:rPr>
                          <w:t>97,356,527.57</w:t>
                        </w:r>
                      </w:p>
                    </w:tc>
                    <w:tc>
                      <w:tcPr>
                        <w:tcW w:w="670"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80.90</w:t>
                        </w:r>
                      </w:p>
                    </w:tc>
                    <w:tc>
                      <w:tcPr>
                        <w:tcW w:w="1298"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4,867,826.38</w:t>
                        </w:r>
                      </w:p>
                    </w:tc>
                    <w:tc>
                      <w:tcPr>
                        <w:tcW w:w="670"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left="92" w:right="0"/>
                          <w:jc w:val="center"/>
                          <w:rPr>
                            <w:rFonts w:ascii="宋体" w:hAnsi="宋体" w:cs="宋体" w:eastAsia="宋体" w:hint="default"/>
                            <w:sz w:val="18"/>
                            <w:szCs w:val="18"/>
                          </w:rPr>
                        </w:pPr>
                        <w:r>
                          <w:rPr>
                            <w:rFonts w:ascii="宋体"/>
                            <w:sz w:val="18"/>
                          </w:rPr>
                          <w:t>5.00</w:t>
                        </w:r>
                      </w:p>
                    </w:tc>
                    <w:tc>
                      <w:tcPr>
                        <w:tcW w:w="1386"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34,788,868.49</w:t>
                        </w:r>
                      </w:p>
                    </w:tc>
                    <w:tc>
                      <w:tcPr>
                        <w:tcW w:w="669"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106"/>
                          <w:jc w:val="right"/>
                          <w:rPr>
                            <w:rFonts w:ascii="宋体" w:hAnsi="宋体" w:cs="宋体" w:eastAsia="宋体" w:hint="default"/>
                            <w:sz w:val="18"/>
                            <w:szCs w:val="18"/>
                          </w:rPr>
                        </w:pPr>
                        <w:r>
                          <w:rPr>
                            <w:rFonts w:ascii="宋体"/>
                            <w:sz w:val="18"/>
                          </w:rPr>
                          <w:t>71.71</w:t>
                        </w:r>
                      </w:p>
                    </w:tc>
                    <w:tc>
                      <w:tcPr>
                        <w:tcW w:w="1336"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147"/>
                          <w:jc w:val="right"/>
                          <w:rPr>
                            <w:rFonts w:ascii="宋体" w:hAnsi="宋体" w:cs="宋体" w:eastAsia="宋体" w:hint="default"/>
                            <w:sz w:val="18"/>
                            <w:szCs w:val="18"/>
                          </w:rPr>
                        </w:pPr>
                        <w:r>
                          <w:rPr>
                            <w:rFonts w:ascii="宋体"/>
                            <w:spacing w:val="-1"/>
                            <w:sz w:val="18"/>
                          </w:rPr>
                          <w:t>1,739,443.42</w:t>
                        </w:r>
                      </w:p>
                    </w:tc>
                    <w:tc>
                      <w:tcPr>
                        <w:tcW w:w="708"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105"/>
                          <w:jc w:val="right"/>
                          <w:rPr>
                            <w:rFonts w:ascii="宋体" w:hAnsi="宋体" w:cs="宋体" w:eastAsia="宋体" w:hint="default"/>
                            <w:sz w:val="18"/>
                            <w:szCs w:val="18"/>
                          </w:rPr>
                        </w:pPr>
                        <w:r>
                          <w:rPr>
                            <w:rFonts w:ascii="宋体"/>
                            <w:sz w:val="18"/>
                          </w:rPr>
                          <w:t>5.00</w:t>
                        </w:r>
                      </w:p>
                    </w:tc>
                  </w:tr>
                  <w:tr>
                    <w:trPr>
                      <w:trHeight w:val="434" w:hRule="exact"/>
                    </w:trPr>
                    <w:tc>
                      <w:tcPr>
                        <w:tcW w:w="2198" w:type="dxa"/>
                        <w:tcBorders>
                          <w:top w:val="nil" w:sz="6" w:space="0" w:color="auto"/>
                          <w:left w:val="nil" w:sz="6" w:space="0" w:color="auto"/>
                          <w:bottom w:val="nil" w:sz="6" w:space="0" w:color="auto"/>
                          <w:right w:val="nil" w:sz="6" w:space="0" w:color="auto"/>
                        </w:tcBorders>
                      </w:tcPr>
                      <w:p>
                        <w:pPr>
                          <w:pStyle w:val="TableParagraph"/>
                          <w:tabs>
                            <w:tab w:pos="917" w:val="left" w:leader="none"/>
                          </w:tabs>
                          <w:spacing w:line="240" w:lineRule="auto" w:before="89"/>
                          <w:ind w:left="107"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tab/>
                        </w:r>
                        <w:r>
                          <w:rPr>
                            <w:rFonts w:ascii="宋体" w:hAnsi="宋体" w:cs="宋体" w:eastAsia="宋体" w:hint="default"/>
                            <w:sz w:val="18"/>
                            <w:szCs w:val="18"/>
                          </w:rPr>
                          <w:t>13,610,090.24</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11.31</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
                          <w:jc w:val="center"/>
                          <w:rPr>
                            <w:rFonts w:ascii="宋体" w:hAnsi="宋体" w:cs="宋体" w:eastAsia="宋体" w:hint="default"/>
                            <w:sz w:val="18"/>
                            <w:szCs w:val="18"/>
                          </w:rPr>
                        </w:pPr>
                        <w:r>
                          <w:rPr>
                            <w:rFonts w:ascii="宋体"/>
                            <w:sz w:val="18"/>
                          </w:rPr>
                          <w:t>1,361,009.02</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10.00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89" w:right="0"/>
                          <w:jc w:val="center"/>
                          <w:rPr>
                            <w:rFonts w:ascii="宋体" w:hAnsi="宋体" w:cs="宋体" w:eastAsia="宋体" w:hint="default"/>
                            <w:sz w:val="18"/>
                            <w:szCs w:val="18"/>
                          </w:rPr>
                        </w:pPr>
                        <w:r>
                          <w:rPr>
                            <w:rFonts w:ascii="宋体"/>
                            <w:sz w:val="18"/>
                          </w:rPr>
                          <w:t>1,557,575.35</w:t>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8"/>
                          <w:jc w:val="right"/>
                          <w:rPr>
                            <w:rFonts w:ascii="宋体" w:hAnsi="宋体" w:cs="宋体" w:eastAsia="宋体" w:hint="default"/>
                            <w:sz w:val="18"/>
                            <w:szCs w:val="18"/>
                          </w:rPr>
                        </w:pPr>
                        <w:r>
                          <w:rPr>
                            <w:rFonts w:ascii="宋体"/>
                            <w:sz w:val="18"/>
                          </w:rPr>
                          <w:t>3.21</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46"/>
                          <w:jc w:val="right"/>
                          <w:rPr>
                            <w:rFonts w:ascii="宋体" w:hAnsi="宋体" w:cs="宋体" w:eastAsia="宋体" w:hint="default"/>
                            <w:sz w:val="18"/>
                            <w:szCs w:val="18"/>
                          </w:rPr>
                        </w:pPr>
                        <w:r>
                          <w:rPr>
                            <w:rFonts w:ascii="宋体"/>
                            <w:spacing w:val="-1"/>
                            <w:sz w:val="18"/>
                          </w:rPr>
                          <w:t>155,757.54</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4"/>
                          <w:jc w:val="right"/>
                          <w:rPr>
                            <w:rFonts w:ascii="宋体" w:hAnsi="宋体" w:cs="宋体" w:eastAsia="宋体" w:hint="default"/>
                            <w:sz w:val="18"/>
                            <w:szCs w:val="18"/>
                          </w:rPr>
                        </w:pPr>
                        <w:r>
                          <w:rPr>
                            <w:rFonts w:ascii="宋体"/>
                            <w:sz w:val="18"/>
                          </w:rPr>
                          <w:t>10.00</w:t>
                        </w:r>
                      </w:p>
                    </w:tc>
                  </w:tr>
                  <w:tr>
                    <w:trPr>
                      <w:trHeight w:val="434" w:hRule="exact"/>
                    </w:trPr>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670"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9" w:right="0"/>
                          <w:jc w:val="center"/>
                          <w:rPr>
                            <w:rFonts w:ascii="宋体" w:hAnsi="宋体" w:cs="宋体" w:eastAsia="宋体" w:hint="default"/>
                            <w:sz w:val="18"/>
                            <w:szCs w:val="18"/>
                          </w:rPr>
                        </w:pPr>
                        <w:r>
                          <w:rPr>
                            <w:rFonts w:ascii="宋体"/>
                            <w:sz w:val="18"/>
                          </w:rPr>
                          <w:t>8,463,886.83</w:t>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17.45</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7"/>
                          <w:jc w:val="right"/>
                          <w:rPr>
                            <w:rFonts w:ascii="宋体" w:hAnsi="宋体" w:cs="宋体" w:eastAsia="宋体" w:hint="default"/>
                            <w:sz w:val="18"/>
                            <w:szCs w:val="18"/>
                          </w:rPr>
                        </w:pPr>
                        <w:r>
                          <w:rPr>
                            <w:rFonts w:ascii="宋体"/>
                            <w:spacing w:val="-1"/>
                            <w:sz w:val="18"/>
                          </w:rPr>
                          <w:t>1,692,777.37</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t>20.00</w:t>
                        </w:r>
                      </w:p>
                    </w:tc>
                  </w:tr>
                  <w:tr>
                    <w:trPr>
                      <w:trHeight w:val="472" w:hRule="exact"/>
                    </w:trPr>
                    <w:tc>
                      <w:tcPr>
                        <w:tcW w:w="2198" w:type="dxa"/>
                        <w:tcBorders>
                          <w:top w:val="nil" w:sz="6" w:space="0" w:color="auto"/>
                          <w:left w:val="nil" w:sz="6" w:space="0" w:color="auto"/>
                          <w:bottom w:val="nil" w:sz="6" w:space="0" w:color="auto"/>
                          <w:right w:val="nil" w:sz="6" w:space="0" w:color="auto"/>
                        </w:tcBorders>
                      </w:tcPr>
                      <w:p>
                        <w:pPr>
                          <w:pStyle w:val="TableParagraph"/>
                          <w:spacing w:line="149" w:lineRule="exact"/>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6"/>
                            <w:sz w:val="18"/>
                            <w:szCs w:val="18"/>
                          </w:rPr>
                          <w:t> </w:t>
                        </w:r>
                        <w:r>
                          <w:rPr>
                            <w:rFonts w:ascii="宋体" w:hAnsi="宋体" w:cs="宋体" w:eastAsia="宋体" w:hint="default"/>
                            <w:sz w:val="18"/>
                            <w:szCs w:val="18"/>
                          </w:rPr>
                          <w:t>年以</w:t>
                        </w:r>
                      </w:p>
                      <w:p>
                        <w:pPr>
                          <w:pStyle w:val="TableParagraph"/>
                          <w:tabs>
                            <w:tab w:pos="1008" w:val="left" w:leader="none"/>
                          </w:tabs>
                          <w:spacing w:line="297" w:lineRule="exact"/>
                          <w:ind w:left="107" w:right="0"/>
                          <w:jc w:val="left"/>
                          <w:rPr>
                            <w:rFonts w:ascii="宋体" w:hAnsi="宋体" w:cs="宋体" w:eastAsia="宋体" w:hint="default"/>
                            <w:sz w:val="18"/>
                            <w:szCs w:val="18"/>
                          </w:rPr>
                        </w:pPr>
                        <w:r>
                          <w:rPr>
                            <w:rFonts w:ascii="宋体" w:hAnsi="宋体" w:cs="宋体" w:eastAsia="宋体" w:hint="default"/>
                            <w:position w:val="-11"/>
                            <w:sz w:val="18"/>
                            <w:szCs w:val="18"/>
                          </w:rPr>
                          <w:t>上</w:t>
                          <w:tab/>
                        </w:r>
                        <w:r>
                          <w:rPr>
                            <w:rFonts w:ascii="宋体" w:hAnsi="宋体" w:cs="宋体" w:eastAsia="宋体" w:hint="default"/>
                            <w:sz w:val="18"/>
                            <w:szCs w:val="18"/>
                          </w:rPr>
                          <w:t>9,377,436.83</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91" w:right="0"/>
                          <w:jc w:val="center"/>
                          <w:rPr>
                            <w:rFonts w:ascii="宋体" w:hAnsi="宋体" w:cs="宋体" w:eastAsia="宋体" w:hint="default"/>
                            <w:sz w:val="18"/>
                            <w:szCs w:val="18"/>
                          </w:rPr>
                        </w:pPr>
                        <w:r>
                          <w:rPr>
                            <w:rFonts w:ascii="宋体"/>
                            <w:sz w:val="18"/>
                          </w:rPr>
                          <w:t>7.79</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3,750,974.74</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 w:right="0"/>
                          <w:jc w:val="center"/>
                          <w:rPr>
                            <w:rFonts w:ascii="宋体" w:hAnsi="宋体" w:cs="宋体" w:eastAsia="宋体" w:hint="default"/>
                            <w:sz w:val="18"/>
                            <w:szCs w:val="18"/>
                          </w:rPr>
                        </w:pPr>
                        <w:r>
                          <w:rPr>
                            <w:rFonts w:ascii="宋体"/>
                            <w:sz w:val="18"/>
                          </w:rPr>
                          <w:t>40.00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89" w:right="0"/>
                          <w:jc w:val="center"/>
                          <w:rPr>
                            <w:rFonts w:ascii="宋体" w:hAnsi="宋体" w:cs="宋体" w:eastAsia="宋体" w:hint="default"/>
                            <w:sz w:val="18"/>
                            <w:szCs w:val="18"/>
                          </w:rPr>
                        </w:pPr>
                        <w:r>
                          <w:rPr>
                            <w:rFonts w:ascii="宋体"/>
                            <w:sz w:val="18"/>
                          </w:rPr>
                          <w:t>3,701,811.93</w:t>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8"/>
                          <w:jc w:val="right"/>
                          <w:rPr>
                            <w:rFonts w:ascii="宋体" w:hAnsi="宋体" w:cs="宋体" w:eastAsia="宋体" w:hint="default"/>
                            <w:sz w:val="18"/>
                            <w:szCs w:val="18"/>
                          </w:rPr>
                        </w:pPr>
                        <w:r>
                          <w:rPr>
                            <w:rFonts w:ascii="宋体"/>
                            <w:sz w:val="18"/>
                          </w:rPr>
                          <w:t>7.63</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47"/>
                          <w:jc w:val="right"/>
                          <w:rPr>
                            <w:rFonts w:ascii="宋体" w:hAnsi="宋体" w:cs="宋体" w:eastAsia="宋体" w:hint="default"/>
                            <w:sz w:val="18"/>
                            <w:szCs w:val="18"/>
                          </w:rPr>
                        </w:pPr>
                        <w:r>
                          <w:rPr>
                            <w:rFonts w:ascii="宋体"/>
                            <w:spacing w:val="-1"/>
                            <w:sz w:val="18"/>
                          </w:rPr>
                          <w:t>1,480,724.77</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5"/>
                          <w:jc w:val="right"/>
                          <w:rPr>
                            <w:rFonts w:ascii="宋体" w:hAnsi="宋体" w:cs="宋体" w:eastAsia="宋体" w:hint="default"/>
                            <w:sz w:val="18"/>
                            <w:szCs w:val="18"/>
                          </w:rPr>
                        </w:pPr>
                        <w:r>
                          <w:rPr>
                            <w:rFonts w:ascii="宋体"/>
                            <w:sz w:val="18"/>
                          </w:rPr>
                          <w:t>40.00</w:t>
                        </w:r>
                      </w:p>
                    </w:tc>
                  </w:tr>
                  <w:tr>
                    <w:trPr>
                      <w:trHeight w:val="426" w:hRule="exact"/>
                    </w:trPr>
                    <w:tc>
                      <w:tcPr>
                        <w:tcW w:w="2198" w:type="dxa"/>
                        <w:tcBorders>
                          <w:top w:val="nil" w:sz="6" w:space="0" w:color="auto"/>
                          <w:left w:val="nil" w:sz="6" w:space="0" w:color="auto"/>
                          <w:bottom w:val="nil" w:sz="6" w:space="0" w:color="auto"/>
                          <w:right w:val="nil" w:sz="6" w:space="0" w:color="auto"/>
                        </w:tcBorders>
                      </w:tcPr>
                      <w:p>
                        <w:pPr>
                          <w:pStyle w:val="TableParagraph"/>
                          <w:tabs>
                            <w:tab w:pos="828" w:val="left" w:leader="none"/>
                          </w:tabs>
                          <w:spacing w:line="240" w:lineRule="auto" w:before="91"/>
                          <w:ind w:left="107" w:right="0"/>
                          <w:jc w:val="left"/>
                          <w:rPr>
                            <w:rFonts w:ascii="宋体" w:hAnsi="宋体" w:cs="宋体" w:eastAsia="宋体" w:hint="default"/>
                            <w:sz w:val="18"/>
                            <w:szCs w:val="18"/>
                          </w:rPr>
                        </w:pPr>
                        <w:r>
                          <w:rPr>
                            <w:rFonts w:ascii="宋体" w:hAnsi="宋体" w:cs="宋体" w:eastAsia="宋体" w:hint="default"/>
                            <w:sz w:val="18"/>
                            <w:szCs w:val="18"/>
                          </w:rPr>
                          <w:t>合计</w:t>
                          <w:tab/>
                        </w:r>
                        <w:r>
                          <w:rPr>
                            <w:rFonts w:ascii="宋体" w:hAnsi="宋体" w:cs="宋体" w:eastAsia="宋体" w:hint="default"/>
                            <w:sz w:val="18"/>
                            <w:szCs w:val="18"/>
                          </w:rPr>
                        </w:r>
                        <w:r>
                          <w:rPr>
                            <w:rFonts w:ascii="宋体" w:hAnsi="宋体" w:cs="宋体" w:eastAsia="宋体" w:hint="default"/>
                            <w:sz w:val="18"/>
                            <w:szCs w:val="18"/>
                            <w:u w:val="thick" w:color="000000"/>
                          </w:rPr>
                          <w:t>120,344,054.64</w:t>
                        </w:r>
                        <w:r>
                          <w:rPr>
                            <w:rFonts w:ascii="宋体" w:hAnsi="宋体" w:cs="宋体" w:eastAsia="宋体" w:hint="default"/>
                            <w:sz w:val="18"/>
                            <w:szCs w:val="18"/>
                          </w:rPr>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82" w:right="0"/>
                          <w:jc w:val="center"/>
                          <w:rPr>
                            <w:rFonts w:ascii="宋体" w:hAnsi="宋体" w:cs="宋体" w:eastAsia="宋体" w:hint="default"/>
                            <w:sz w:val="18"/>
                            <w:szCs w:val="18"/>
                          </w:rPr>
                        </w:pPr>
                        <w:r>
                          <w:rPr>
                            <w:rFonts w:ascii="宋体"/>
                            <w:sz w:val="18"/>
                          </w:rPr>
                        </w:r>
                        <w:r>
                          <w:rPr>
                            <w:rFonts w:ascii="宋体"/>
                            <w:sz w:val="18"/>
                            <w:u w:val="thick" w:color="000000"/>
                          </w:rPr>
                          <w:t>100</w:t>
                        </w:r>
                        <w:r>
                          <w:rPr>
                            <w:rFonts w:ascii="宋体"/>
                            <w:sz w:val="18"/>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center"/>
                          <w:rPr>
                            <w:rFonts w:ascii="宋体" w:hAnsi="宋体" w:cs="宋体" w:eastAsia="宋体" w:hint="default"/>
                            <w:sz w:val="18"/>
                            <w:szCs w:val="18"/>
                          </w:rPr>
                        </w:pPr>
                        <w:r>
                          <w:rPr>
                            <w:rFonts w:ascii="宋体"/>
                            <w:sz w:val="18"/>
                          </w:rPr>
                        </w:r>
                        <w:r>
                          <w:rPr>
                            <w:rFonts w:ascii="宋体"/>
                            <w:sz w:val="18"/>
                            <w:u w:val="thick" w:color="000000"/>
                          </w:rPr>
                          <w:t>9,979,810.14</w:t>
                        </w:r>
                        <w:r>
                          <w:rPr>
                            <w:rFonts w:ascii="宋体"/>
                            <w:sz w:val="18"/>
                          </w:rPr>
                        </w:r>
                      </w:p>
                    </w:tc>
                    <w:tc>
                      <w:tcPr>
                        <w:tcW w:w="670"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
                          <w:jc w:val="center"/>
                          <w:rPr>
                            <w:rFonts w:ascii="宋体" w:hAnsi="宋体" w:cs="宋体" w:eastAsia="宋体" w:hint="default"/>
                            <w:sz w:val="18"/>
                            <w:szCs w:val="18"/>
                          </w:rPr>
                        </w:pPr>
                        <w:r>
                          <w:rPr>
                            <w:rFonts w:ascii="宋体"/>
                            <w:sz w:val="18"/>
                          </w:rPr>
                        </w:r>
                        <w:r>
                          <w:rPr>
                            <w:rFonts w:ascii="宋体"/>
                            <w:sz w:val="18"/>
                            <w:u w:val="thick" w:color="000000"/>
                          </w:rPr>
                          <w:t>48,512,142.60</w:t>
                        </w:r>
                        <w:r>
                          <w:rPr>
                            <w:rFonts w:ascii="宋体"/>
                            <w:sz w:val="18"/>
                          </w:rPr>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4"/>
                          <w:jc w:val="right"/>
                          <w:rPr>
                            <w:rFonts w:ascii="宋体" w:hAnsi="宋体" w:cs="宋体" w:eastAsia="宋体" w:hint="default"/>
                            <w:sz w:val="18"/>
                            <w:szCs w:val="18"/>
                          </w:rPr>
                        </w:pPr>
                        <w:r>
                          <w:rPr>
                            <w:rFonts w:ascii="宋体"/>
                            <w:sz w:val="18"/>
                          </w:rPr>
                        </w:r>
                        <w:r>
                          <w:rPr>
                            <w:rFonts w:ascii="宋体"/>
                            <w:sz w:val="18"/>
                            <w:u w:val="thick" w:color="000000"/>
                          </w:rPr>
                          <w:t>100</w:t>
                        </w:r>
                        <w:r>
                          <w:rPr>
                            <w:rFonts w:ascii="宋体"/>
                            <w:sz w:val="18"/>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47"/>
                          <w:jc w:val="right"/>
                          <w:rPr>
                            <w:rFonts w:ascii="宋体" w:hAnsi="宋体" w:cs="宋体" w:eastAsia="宋体" w:hint="default"/>
                            <w:sz w:val="18"/>
                            <w:szCs w:val="18"/>
                          </w:rPr>
                        </w:pPr>
                        <w:r>
                          <w:rPr>
                            <w:rFonts w:ascii="宋体"/>
                            <w:sz w:val="18"/>
                          </w:rPr>
                        </w:r>
                        <w:r>
                          <w:rPr>
                            <w:rFonts w:ascii="宋体"/>
                            <w:spacing w:val="-1"/>
                            <w:sz w:val="18"/>
                            <w:u w:val="thick" w:color="000000"/>
                          </w:rPr>
                          <w:t>5,068,703.10</w:t>
                        </w:r>
                        <w:r>
                          <w:rPr>
                            <w:rFonts w:ascii="宋体"/>
                            <w:spacing w:val="-1"/>
                            <w:sz w:val="18"/>
                          </w:rPr>
                        </w:r>
                      </w:p>
                    </w:tc>
                    <w:tc>
                      <w:tcPr>
                        <w:tcW w:w="70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w w:val="95"/>
          <w:position w:val="-10"/>
        </w:rPr>
        <w:t>（</w:t>
      </w:r>
      <w:r>
        <w:rPr>
          <w:rFonts w:ascii="宋体" w:hAnsi="宋体" w:cs="宋体" w:eastAsia="宋体" w:hint="default"/>
          <w:w w:val="95"/>
          <w:position w:val="-10"/>
        </w:rPr>
        <w:t>%</w:t>
      </w:r>
      <w:r>
        <w:rPr>
          <w:w w:val="95"/>
          <w:position w:val="-10"/>
        </w:rPr>
        <w:t>）</w:t>
        <w:tab/>
      </w:r>
      <w:r>
        <w:rPr>
          <w:w w:val="95"/>
        </w:rPr>
        <w:t>坏账准备</w:t>
        <w:tab/>
      </w:r>
      <w:r>
        <w:rPr/>
        <w:t>计提</w:t>
      </w:r>
      <w:r>
        <w:rPr>
          <w:b w:val="0"/>
          <w:bCs w:val="0"/>
        </w:rPr>
      </w:r>
    </w:p>
    <w:p>
      <w:pPr>
        <w:spacing w:line="122" w:lineRule="exact" w:before="0"/>
        <w:ind w:left="1604"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比例</w:t>
      </w:r>
      <w:r>
        <w:rPr>
          <w:rFonts w:ascii="宋体" w:hAnsi="宋体" w:cs="宋体" w:eastAsia="宋体" w:hint="default"/>
          <w:sz w:val="18"/>
          <w:szCs w:val="18"/>
        </w:rPr>
      </w:r>
    </w:p>
    <w:p>
      <w:pPr>
        <w:pStyle w:val="Heading7"/>
        <w:tabs>
          <w:tab w:pos="1558" w:val="left" w:leader="none"/>
          <w:tab w:pos="2405" w:val="left" w:leader="none"/>
          <w:tab w:pos="3695" w:val="left" w:leader="none"/>
        </w:tabs>
        <w:spacing w:line="288" w:lineRule="exact"/>
        <w:ind w:left="577" w:right="0"/>
        <w:jc w:val="left"/>
        <w:rPr>
          <w:b w:val="0"/>
          <w:bCs w:val="0"/>
        </w:rPr>
      </w:pPr>
      <w:r>
        <w:rPr/>
        <w:t>余额</w:t>
        <w:tab/>
      </w:r>
      <w:r>
        <w:rPr>
          <w:w w:val="95"/>
          <w:position w:val="-10"/>
        </w:rPr>
        <w:t>（</w:t>
      </w:r>
      <w:r>
        <w:rPr>
          <w:rFonts w:ascii="宋体" w:hAnsi="宋体" w:cs="宋体" w:eastAsia="宋体" w:hint="default"/>
          <w:w w:val="95"/>
          <w:position w:val="-10"/>
        </w:rPr>
        <w:t>%</w:t>
      </w:r>
      <w:r>
        <w:rPr>
          <w:w w:val="95"/>
          <w:position w:val="-10"/>
        </w:rPr>
        <w:t>）</w:t>
        <w:tab/>
      </w:r>
      <w:r>
        <w:rPr>
          <w:w w:val="95"/>
        </w:rPr>
        <w:t>坏账准备</w:t>
        <w:tab/>
      </w:r>
      <w:r>
        <w:rPr/>
        <w:t>计提</w:t>
      </w:r>
      <w:r>
        <w:rPr>
          <w:b w:val="0"/>
          <w:bCs w:val="0"/>
        </w:rPr>
      </w:r>
    </w:p>
    <w:p>
      <w:pPr>
        <w:spacing w:after="0" w:line="288" w:lineRule="exact"/>
        <w:jc w:val="left"/>
        <w:sectPr>
          <w:type w:val="continuous"/>
          <w:pgSz w:w="11910" w:h="16840"/>
          <w:pgMar w:top="880" w:bottom="0" w:left="820" w:right="0"/>
          <w:cols w:num="2" w:equalWidth="0">
            <w:col w:w="5042" w:space="40"/>
            <w:col w:w="6008"/>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BodyText"/>
        <w:spacing w:line="240" w:lineRule="auto"/>
        <w:ind w:left="673" w:right="0"/>
        <w:jc w:val="left"/>
      </w:pPr>
      <w:r>
        <w:rPr/>
        <w:t>（</w:t>
      </w:r>
      <w:r>
        <w:rPr>
          <w:rFonts w:ascii="宋体" w:hAnsi="宋体" w:cs="宋体" w:eastAsia="宋体" w:hint="default"/>
        </w:rPr>
        <w:t>3</w:t>
      </w:r>
      <w:r>
        <w:rPr/>
        <w:t>）期末单项金额重大并单项计提坏账准备的应收账款</w:t>
      </w:r>
    </w:p>
    <w:p>
      <w:pPr>
        <w:spacing w:line="240" w:lineRule="auto" w:before="9"/>
        <w:rPr>
          <w:rFonts w:ascii="宋体" w:hAnsi="宋体" w:cs="宋体" w:eastAsia="宋体" w:hint="default"/>
          <w:sz w:val="23"/>
          <w:szCs w:val="23"/>
        </w:rPr>
      </w:pPr>
    </w:p>
    <w:tbl>
      <w:tblPr>
        <w:tblW w:w="0" w:type="auto"/>
        <w:jc w:val="left"/>
        <w:tblInd w:w="312" w:type="dxa"/>
        <w:tblLayout w:type="fixed"/>
        <w:tblCellMar>
          <w:top w:w="0" w:type="dxa"/>
          <w:left w:w="0" w:type="dxa"/>
          <w:bottom w:w="0" w:type="dxa"/>
          <w:right w:w="0" w:type="dxa"/>
        </w:tblCellMar>
        <w:tblLook w:val="01E0"/>
      </w:tblPr>
      <w:tblGrid>
        <w:gridCol w:w="1965"/>
        <w:gridCol w:w="1813"/>
        <w:gridCol w:w="1630"/>
        <w:gridCol w:w="1631"/>
        <w:gridCol w:w="1928"/>
      </w:tblGrid>
      <w:tr>
        <w:trPr>
          <w:trHeight w:val="294" w:hRule="exact"/>
        </w:trPr>
        <w:tc>
          <w:tcPr>
            <w:tcW w:w="1965" w:type="dxa"/>
            <w:tcBorders>
              <w:top w:val="nil" w:sz="6" w:space="0" w:color="auto"/>
              <w:left w:val="nil" w:sz="6" w:space="0" w:color="auto"/>
              <w:bottom w:val="single" w:sz="4" w:space="0" w:color="000000"/>
              <w:right w:val="nil" w:sz="6" w:space="0" w:color="auto"/>
            </w:tcBorders>
          </w:tcPr>
          <w:p>
            <w:pPr>
              <w:pStyle w:val="TableParagraph"/>
              <w:spacing w:line="180" w:lineRule="exact"/>
              <w:ind w:right="24"/>
              <w:jc w:val="center"/>
              <w:rPr>
                <w:rFonts w:ascii="宋体" w:hAnsi="宋体" w:cs="宋体" w:eastAsia="宋体" w:hint="default"/>
                <w:sz w:val="18"/>
                <w:szCs w:val="18"/>
              </w:rPr>
            </w:pPr>
            <w:r>
              <w:rPr>
                <w:rFonts w:ascii="宋体" w:hAnsi="宋体" w:cs="宋体" w:eastAsia="宋体" w:hint="default"/>
                <w:b/>
                <w:bCs/>
                <w:sz w:val="18"/>
                <w:szCs w:val="18"/>
              </w:rPr>
              <w:t>应收账款内容</w:t>
            </w:r>
            <w:r>
              <w:rPr>
                <w:rFonts w:ascii="宋体" w:hAnsi="宋体" w:cs="宋体" w:eastAsia="宋体" w:hint="default"/>
                <w:sz w:val="18"/>
                <w:szCs w:val="18"/>
              </w:rPr>
            </w:r>
          </w:p>
        </w:tc>
        <w:tc>
          <w:tcPr>
            <w:tcW w:w="1813" w:type="dxa"/>
            <w:tcBorders>
              <w:top w:val="nil" w:sz="6" w:space="0" w:color="auto"/>
              <w:left w:val="nil" w:sz="6" w:space="0" w:color="auto"/>
              <w:bottom w:val="single" w:sz="4" w:space="0" w:color="000000"/>
              <w:right w:val="nil" w:sz="6" w:space="0" w:color="auto"/>
            </w:tcBorders>
          </w:tcPr>
          <w:p>
            <w:pPr>
              <w:pStyle w:val="TableParagraph"/>
              <w:spacing w:line="180" w:lineRule="exact"/>
              <w:ind w:right="163"/>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630" w:type="dxa"/>
            <w:tcBorders>
              <w:top w:val="nil" w:sz="6" w:space="0" w:color="auto"/>
              <w:left w:val="nil" w:sz="6" w:space="0" w:color="auto"/>
              <w:bottom w:val="single" w:sz="4" w:space="0" w:color="000000"/>
              <w:right w:val="nil" w:sz="6" w:space="0" w:color="auto"/>
            </w:tcBorders>
          </w:tcPr>
          <w:p>
            <w:pPr>
              <w:pStyle w:val="TableParagraph"/>
              <w:spacing w:line="180" w:lineRule="exact"/>
              <w:ind w:left="78" w:right="0"/>
              <w:jc w:val="center"/>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631" w:type="dxa"/>
            <w:tcBorders>
              <w:top w:val="nil" w:sz="6" w:space="0" w:color="auto"/>
              <w:left w:val="nil" w:sz="6" w:space="0" w:color="auto"/>
              <w:bottom w:val="single" w:sz="4" w:space="0" w:color="000000"/>
              <w:right w:val="nil" w:sz="6" w:space="0" w:color="auto"/>
            </w:tcBorders>
          </w:tcPr>
          <w:p>
            <w:pPr>
              <w:pStyle w:val="TableParagraph"/>
              <w:spacing w:line="180" w:lineRule="exact"/>
              <w:ind w:left="325"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928" w:type="dxa"/>
            <w:tcBorders>
              <w:top w:val="nil" w:sz="6" w:space="0" w:color="auto"/>
              <w:left w:val="nil" w:sz="6" w:space="0" w:color="auto"/>
              <w:bottom w:val="single" w:sz="4" w:space="0" w:color="000000"/>
              <w:right w:val="nil" w:sz="6" w:space="0" w:color="auto"/>
            </w:tcBorders>
          </w:tcPr>
          <w:p>
            <w:pPr>
              <w:pStyle w:val="TableParagraph"/>
              <w:spacing w:line="180" w:lineRule="exact"/>
              <w:ind w:right="46"/>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664" w:hRule="exact"/>
        </w:trPr>
        <w:tc>
          <w:tcPr>
            <w:tcW w:w="1965" w:type="dxa"/>
            <w:tcBorders>
              <w:top w:val="single" w:sz="4" w:space="0" w:color="000000"/>
              <w:left w:val="nil" w:sz="6" w:space="0" w:color="auto"/>
              <w:bottom w:val="nil" w:sz="6" w:space="0" w:color="auto"/>
              <w:right w:val="nil" w:sz="6" w:space="0" w:color="auto"/>
            </w:tcBorders>
          </w:tcPr>
          <w:p>
            <w:pPr>
              <w:pStyle w:val="TableParagraph"/>
              <w:spacing w:line="314" w:lineRule="auto" w:before="51"/>
              <w:ind w:left="107" w:right="234"/>
              <w:jc w:val="left"/>
              <w:rPr>
                <w:rFonts w:ascii="宋体" w:hAnsi="宋体" w:cs="宋体" w:eastAsia="宋体" w:hint="default"/>
                <w:sz w:val="18"/>
                <w:szCs w:val="18"/>
              </w:rPr>
            </w:pPr>
            <w:r>
              <w:rPr>
                <w:rFonts w:ascii="宋体" w:hAnsi="宋体" w:cs="宋体" w:eastAsia="宋体" w:hint="default"/>
                <w:sz w:val="18"/>
                <w:szCs w:val="18"/>
              </w:rPr>
              <w:t>云南某一机电工程项 目</w:t>
            </w:r>
          </w:p>
        </w:tc>
        <w:tc>
          <w:tcPr>
            <w:tcW w:w="1813" w:type="dxa"/>
            <w:tcBorders>
              <w:top w:val="single" w:sz="4" w:space="0" w:color="000000"/>
              <w:left w:val="nil" w:sz="6" w:space="0" w:color="auto"/>
              <w:bottom w:val="nil" w:sz="6" w:space="0" w:color="auto"/>
              <w:right w:val="nil" w:sz="6" w:space="0" w:color="auto"/>
            </w:tcBorders>
          </w:tcPr>
          <w:p>
            <w:pPr>
              <w:pStyle w:val="TableParagraph"/>
              <w:spacing w:line="240" w:lineRule="auto" w:before="161"/>
              <w:ind w:right="166"/>
              <w:jc w:val="center"/>
              <w:rPr>
                <w:rFonts w:ascii="宋体" w:hAnsi="宋体" w:cs="宋体" w:eastAsia="宋体" w:hint="default"/>
                <w:sz w:val="18"/>
                <w:szCs w:val="18"/>
              </w:rPr>
            </w:pPr>
            <w:r>
              <w:rPr>
                <w:rFonts w:ascii="宋体"/>
                <w:sz w:val="18"/>
              </w:rPr>
              <w:t>29,691,127.71</w:t>
            </w:r>
          </w:p>
        </w:tc>
        <w:tc>
          <w:tcPr>
            <w:tcW w:w="1630" w:type="dxa"/>
            <w:tcBorders>
              <w:top w:val="single" w:sz="4" w:space="0" w:color="000000"/>
              <w:left w:val="nil" w:sz="6" w:space="0" w:color="auto"/>
              <w:bottom w:val="nil" w:sz="6" w:space="0" w:color="auto"/>
              <w:right w:val="nil" w:sz="6" w:space="0" w:color="auto"/>
            </w:tcBorders>
          </w:tcPr>
          <w:p>
            <w:pPr>
              <w:pStyle w:val="TableParagraph"/>
              <w:spacing w:line="240" w:lineRule="auto" w:before="161"/>
              <w:ind w:left="79" w:right="0"/>
              <w:jc w:val="center"/>
              <w:rPr>
                <w:rFonts w:ascii="宋体" w:hAnsi="宋体" w:cs="宋体" w:eastAsia="宋体" w:hint="default"/>
                <w:sz w:val="18"/>
                <w:szCs w:val="18"/>
              </w:rPr>
            </w:pPr>
            <w:r>
              <w:rPr>
                <w:rFonts w:ascii="宋体"/>
                <w:sz w:val="18"/>
              </w:rPr>
              <w:t>890,733.83</w:t>
            </w:r>
          </w:p>
        </w:tc>
        <w:tc>
          <w:tcPr>
            <w:tcW w:w="1631" w:type="dxa"/>
            <w:tcBorders>
              <w:top w:val="single" w:sz="4" w:space="0" w:color="000000"/>
              <w:left w:val="nil" w:sz="6" w:space="0" w:color="auto"/>
              <w:bottom w:val="nil" w:sz="6" w:space="0" w:color="auto"/>
              <w:right w:val="nil" w:sz="6" w:space="0" w:color="auto"/>
            </w:tcBorders>
          </w:tcPr>
          <w:p>
            <w:pPr>
              <w:pStyle w:val="TableParagraph"/>
              <w:spacing w:line="240" w:lineRule="auto" w:before="161"/>
              <w:ind w:left="901" w:right="0"/>
              <w:jc w:val="left"/>
              <w:rPr>
                <w:rFonts w:ascii="宋体" w:hAnsi="宋体" w:cs="宋体" w:eastAsia="宋体" w:hint="default"/>
                <w:sz w:val="18"/>
                <w:szCs w:val="18"/>
              </w:rPr>
            </w:pPr>
            <w:r>
              <w:rPr>
                <w:rFonts w:ascii="宋体"/>
                <w:sz w:val="18"/>
              </w:rPr>
              <w:t>3.00</w:t>
            </w:r>
          </w:p>
        </w:tc>
        <w:tc>
          <w:tcPr>
            <w:tcW w:w="1928" w:type="dxa"/>
            <w:tcBorders>
              <w:top w:val="single" w:sz="4" w:space="0" w:color="000000"/>
              <w:left w:val="nil" w:sz="6" w:space="0" w:color="auto"/>
              <w:bottom w:val="nil" w:sz="6" w:space="0" w:color="auto"/>
              <w:right w:val="nil" w:sz="6" w:space="0" w:color="auto"/>
            </w:tcBorders>
          </w:tcPr>
          <w:p>
            <w:pPr>
              <w:pStyle w:val="TableParagraph"/>
              <w:spacing w:line="240" w:lineRule="auto" w:before="161"/>
              <w:ind w:right="46"/>
              <w:jc w:val="center"/>
              <w:rPr>
                <w:rFonts w:ascii="宋体" w:hAnsi="宋体" w:cs="宋体" w:eastAsia="宋体" w:hint="default"/>
                <w:sz w:val="18"/>
                <w:szCs w:val="18"/>
              </w:rPr>
            </w:pPr>
            <w:r>
              <w:rPr>
                <w:rFonts w:ascii="宋体" w:hAnsi="宋体" w:cs="宋体" w:eastAsia="宋体" w:hint="default"/>
                <w:sz w:val="18"/>
                <w:szCs w:val="18"/>
              </w:rPr>
              <w:t>不存在较大信用风险</w:t>
            </w:r>
          </w:p>
        </w:tc>
      </w:tr>
      <w:tr>
        <w:trPr>
          <w:trHeight w:val="242" w:hRule="exact"/>
        </w:trPr>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7"/>
              <w:jc w:val="center"/>
              <w:rPr>
                <w:rFonts w:ascii="宋体" w:hAnsi="宋体" w:cs="宋体" w:eastAsia="宋体" w:hint="default"/>
                <w:sz w:val="18"/>
                <w:szCs w:val="18"/>
              </w:rPr>
            </w:pPr>
            <w:r>
              <w:rPr>
                <w:rFonts w:ascii="宋体" w:hAnsi="宋体" w:cs="宋体" w:eastAsia="宋体" w:hint="default"/>
                <w:sz w:val="18"/>
                <w:szCs w:val="18"/>
              </w:rPr>
              <w:t>合计</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6"/>
              <w:jc w:val="center"/>
              <w:rPr>
                <w:rFonts w:ascii="宋体" w:hAnsi="宋体" w:cs="宋体" w:eastAsia="宋体" w:hint="default"/>
                <w:sz w:val="18"/>
                <w:szCs w:val="18"/>
              </w:rPr>
            </w:pPr>
            <w:r>
              <w:rPr>
                <w:rFonts w:ascii="宋体"/>
                <w:sz w:val="18"/>
              </w:rPr>
            </w:r>
            <w:r>
              <w:rPr>
                <w:rFonts w:ascii="宋体"/>
                <w:sz w:val="18"/>
                <w:u w:val="thick" w:color="000000"/>
              </w:rPr>
              <w:t>29,691,127.71</w:t>
            </w:r>
            <w:r>
              <w:rPr>
                <w:rFonts w:ascii="宋体"/>
                <w:sz w:val="18"/>
              </w:rPr>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7"/>
              <w:ind w:left="79" w:right="0"/>
              <w:jc w:val="center"/>
              <w:rPr>
                <w:rFonts w:ascii="宋体" w:hAnsi="宋体" w:cs="宋体" w:eastAsia="宋体" w:hint="default"/>
                <w:sz w:val="18"/>
                <w:szCs w:val="18"/>
              </w:rPr>
            </w:pPr>
            <w:r>
              <w:rPr>
                <w:rFonts w:ascii="宋体"/>
                <w:sz w:val="18"/>
              </w:rPr>
            </w:r>
            <w:r>
              <w:rPr>
                <w:rFonts w:ascii="宋体"/>
                <w:sz w:val="18"/>
                <w:u w:val="thick" w:color="000000"/>
              </w:rPr>
              <w:t>890,733.83</w:t>
            </w:r>
            <w:r>
              <w:rPr>
                <w:rFonts w:ascii="宋体"/>
                <w:sz w:val="18"/>
              </w:rPr>
            </w:r>
          </w:p>
        </w:tc>
        <w:tc>
          <w:tcPr>
            <w:tcW w:w="1631"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673" w:right="0"/>
        <w:jc w:val="left"/>
      </w:pPr>
      <w:r>
        <w:rPr/>
        <w:t>（</w:t>
      </w:r>
      <w:r>
        <w:rPr>
          <w:rFonts w:ascii="宋体" w:hAnsi="宋体" w:cs="宋体" w:eastAsia="宋体" w:hint="default"/>
        </w:rPr>
        <w:t>4</w:t>
      </w:r>
      <w:r>
        <w:rPr/>
        <w:t>）本期未发生实际核销的应收账款。</w:t>
      </w:r>
    </w:p>
    <w:p>
      <w:pPr>
        <w:spacing w:line="240" w:lineRule="auto" w:before="6"/>
        <w:rPr>
          <w:rFonts w:ascii="宋体" w:hAnsi="宋体" w:cs="宋体" w:eastAsia="宋体" w:hint="default"/>
          <w:sz w:val="21"/>
          <w:szCs w:val="21"/>
        </w:rPr>
      </w:pPr>
    </w:p>
    <w:p>
      <w:pPr>
        <w:pStyle w:val="BodyText"/>
        <w:spacing w:line="240" w:lineRule="auto"/>
        <w:ind w:left="673" w:right="0"/>
        <w:jc w:val="left"/>
      </w:pPr>
      <w:r>
        <w:rPr/>
        <w:t>（</w:t>
      </w:r>
      <w:r>
        <w:rPr>
          <w:rFonts w:ascii="宋体" w:hAnsi="宋体" w:cs="宋体" w:eastAsia="宋体" w:hint="default"/>
        </w:rPr>
        <w:t>5</w:t>
      </w:r>
      <w:r>
        <w:rPr/>
        <w:t>）期末应收账款中无持本公司</w:t>
      </w:r>
      <w:r>
        <w:rPr>
          <w:spacing w:val="-43"/>
        </w:rPr>
        <w:t> </w:t>
      </w:r>
      <w:r>
        <w:rPr>
          <w:rFonts w:ascii="宋体" w:hAnsi="宋体" w:cs="宋体" w:eastAsia="宋体" w:hint="default"/>
        </w:rPr>
        <w:t>5%</w:t>
      </w:r>
      <w:r>
        <w:rPr/>
        <w:t>以上（含</w:t>
      </w:r>
      <w:r>
        <w:rPr>
          <w:spacing w:val="-47"/>
        </w:rPr>
        <w:t> </w:t>
      </w:r>
      <w:r>
        <w:rPr>
          <w:rFonts w:ascii="宋体" w:hAnsi="宋体" w:cs="宋体" w:eastAsia="宋体" w:hint="default"/>
        </w:rPr>
        <w:t>5%</w:t>
      </w:r>
      <w:r>
        <w:rPr/>
        <w:t>）表决权股份的股东单位款项。</w:t>
      </w:r>
    </w:p>
    <w:p>
      <w:pPr>
        <w:spacing w:line="240" w:lineRule="auto" w:before="6"/>
        <w:rPr>
          <w:rFonts w:ascii="宋体" w:hAnsi="宋体" w:cs="宋体" w:eastAsia="宋体" w:hint="default"/>
          <w:sz w:val="21"/>
          <w:szCs w:val="21"/>
        </w:rPr>
      </w:pPr>
    </w:p>
    <w:p>
      <w:pPr>
        <w:pStyle w:val="BodyText"/>
        <w:spacing w:line="240" w:lineRule="auto"/>
        <w:ind w:left="673" w:right="0"/>
        <w:jc w:val="left"/>
      </w:pPr>
      <w:r>
        <w:rPr/>
        <w:t>（</w:t>
      </w:r>
      <w:r>
        <w:rPr>
          <w:rFonts w:ascii="宋体" w:hAnsi="宋体" w:cs="宋体" w:eastAsia="宋体" w:hint="default"/>
        </w:rPr>
        <w:t>6</w:t>
      </w:r>
      <w:r>
        <w:rPr/>
        <w:t>）期末应收账款余额前五名</w:t>
      </w:r>
    </w:p>
    <w:p>
      <w:pPr>
        <w:spacing w:line="240" w:lineRule="auto" w:before="6"/>
        <w:rPr>
          <w:rFonts w:ascii="宋体" w:hAnsi="宋体" w:cs="宋体" w:eastAsia="宋体" w:hint="default"/>
          <w:sz w:val="23"/>
          <w:szCs w:val="23"/>
        </w:rPr>
      </w:pPr>
    </w:p>
    <w:tbl>
      <w:tblPr>
        <w:tblW w:w="0" w:type="auto"/>
        <w:jc w:val="left"/>
        <w:tblInd w:w="112" w:type="dxa"/>
        <w:tblLayout w:type="fixed"/>
        <w:tblCellMar>
          <w:top w:w="0" w:type="dxa"/>
          <w:left w:w="0" w:type="dxa"/>
          <w:bottom w:w="0" w:type="dxa"/>
          <w:right w:w="0" w:type="dxa"/>
        </w:tblCellMar>
        <w:tblLook w:val="01E0"/>
      </w:tblPr>
      <w:tblGrid>
        <w:gridCol w:w="1763"/>
        <w:gridCol w:w="2266"/>
        <w:gridCol w:w="2282"/>
        <w:gridCol w:w="1524"/>
        <w:gridCol w:w="1587"/>
      </w:tblGrid>
      <w:tr>
        <w:trPr>
          <w:trHeight w:val="553" w:hRule="exact"/>
        </w:trPr>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48"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5"/>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722"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21"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587" w:type="dxa"/>
            <w:tcBorders>
              <w:top w:val="nil" w:sz="6" w:space="0" w:color="auto"/>
              <w:left w:val="nil" w:sz="6" w:space="0" w:color="auto"/>
              <w:bottom w:val="nil" w:sz="6" w:space="0" w:color="auto"/>
              <w:right w:val="nil" w:sz="6" w:space="0" w:color="auto"/>
            </w:tcBorders>
          </w:tcPr>
          <w:p>
            <w:pPr>
              <w:pStyle w:val="TableParagraph"/>
              <w:spacing w:line="180" w:lineRule="exact"/>
              <w:ind w:left="111" w:right="0"/>
              <w:jc w:val="left"/>
              <w:rPr>
                <w:rFonts w:ascii="宋体" w:hAnsi="宋体" w:cs="宋体" w:eastAsia="宋体" w:hint="default"/>
                <w:sz w:val="18"/>
                <w:szCs w:val="18"/>
              </w:rPr>
            </w:pPr>
            <w:r>
              <w:rPr>
                <w:rFonts w:ascii="宋体" w:hAnsi="宋体" w:cs="宋体" w:eastAsia="宋体" w:hint="default"/>
                <w:b/>
                <w:bCs/>
                <w:sz w:val="18"/>
                <w:szCs w:val="18"/>
              </w:rPr>
              <w:t>占应收账款总额</w:t>
            </w:r>
            <w:r>
              <w:rPr>
                <w:rFonts w:ascii="宋体" w:hAnsi="宋体" w:cs="宋体" w:eastAsia="宋体" w:hint="default"/>
                <w:sz w:val="18"/>
                <w:szCs w:val="18"/>
              </w:rPr>
            </w:r>
          </w:p>
          <w:p>
            <w:pPr>
              <w:pStyle w:val="TableParagraph"/>
              <w:tabs>
                <w:tab w:pos="246" w:val="left" w:leader="none"/>
                <w:tab w:pos="1491" w:val="left" w:leader="none"/>
              </w:tabs>
              <w:spacing w:line="240" w:lineRule="auto" w:before="76"/>
              <w:ind w:left="-774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u w:val="single" w:color="000000"/>
              </w:rPr>
              <w:t> </w:t>
              <w:tab/>
            </w:r>
            <w:r>
              <w:rPr>
                <w:rFonts w:ascii="宋体" w:hAnsi="宋体" w:cs="宋体" w:eastAsia="宋体" w:hint="default"/>
                <w:b/>
                <w:bCs/>
                <w:sz w:val="18"/>
                <w:szCs w:val="18"/>
                <w:u w:val="single" w:color="000000"/>
              </w:rPr>
              <w:t>的比例（</w:t>
            </w:r>
            <w:r>
              <w:rPr>
                <w:rFonts w:ascii="宋体" w:hAnsi="宋体" w:cs="宋体" w:eastAsia="宋体" w:hint="default"/>
                <w:b/>
                <w:bCs/>
                <w:sz w:val="18"/>
                <w:szCs w:val="18"/>
                <w:u w:val="single" w:color="000000"/>
              </w:rPr>
              <w:t>%</w:t>
            </w:r>
            <w:r>
              <w:rPr>
                <w:rFonts w:ascii="宋体" w:hAnsi="宋体" w:cs="宋体" w:eastAsia="宋体" w:hint="default"/>
                <w:b/>
                <w:bCs/>
                <w:sz w:val="18"/>
                <w:szCs w:val="18"/>
                <w:u w:val="single" w:color="000000"/>
              </w:rPr>
              <w:t>）</w:t>
              <w:tab/>
            </w:r>
            <w:r>
              <w:rPr>
                <w:rFonts w:ascii="宋体" w:hAnsi="宋体" w:cs="宋体" w:eastAsia="宋体" w:hint="default"/>
                <w:b/>
                <w:bCs/>
                <w:sz w:val="18"/>
                <w:szCs w:val="18"/>
              </w:rPr>
            </w:r>
            <w:r>
              <w:rPr>
                <w:rFonts w:ascii="宋体" w:hAnsi="宋体" w:cs="宋体" w:eastAsia="宋体" w:hint="default"/>
                <w:sz w:val="18"/>
                <w:szCs w:val="18"/>
              </w:rPr>
            </w:r>
          </w:p>
        </w:tc>
      </w:tr>
      <w:tr>
        <w:trPr>
          <w:trHeight w:val="335" w:hRule="exact"/>
        </w:trPr>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5"/>
              <w:ind w:left="200"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94"/>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5"/>
              <w:ind w:left="689" w:right="0"/>
              <w:jc w:val="left"/>
              <w:rPr>
                <w:rFonts w:ascii="宋体" w:hAnsi="宋体" w:cs="宋体" w:eastAsia="宋体" w:hint="default"/>
                <w:sz w:val="18"/>
                <w:szCs w:val="18"/>
              </w:rPr>
            </w:pPr>
            <w:r>
              <w:rPr>
                <w:rFonts w:ascii="宋体"/>
                <w:sz w:val="18"/>
              </w:rPr>
              <w:t>30,474,186.55</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98"/>
              <w:jc w:val="right"/>
              <w:rPr>
                <w:rFonts w:ascii="宋体" w:hAnsi="宋体" w:cs="宋体" w:eastAsia="宋体" w:hint="default"/>
                <w:sz w:val="18"/>
                <w:szCs w:val="18"/>
              </w:rPr>
            </w:pPr>
            <w:r>
              <w:rPr>
                <w:rFonts w:ascii="宋体"/>
                <w:sz w:val="18"/>
              </w:rPr>
              <w:t>20.31</w:t>
            </w:r>
          </w:p>
        </w:tc>
      </w:tr>
      <w:tr>
        <w:trPr>
          <w:trHeight w:val="382" w:hRule="exact"/>
        </w:trPr>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00"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4"/>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689" w:right="0"/>
              <w:jc w:val="left"/>
              <w:rPr>
                <w:rFonts w:ascii="宋体" w:hAnsi="宋体" w:cs="宋体" w:eastAsia="宋体" w:hint="default"/>
                <w:sz w:val="18"/>
                <w:szCs w:val="18"/>
              </w:rPr>
            </w:pPr>
            <w:r>
              <w:rPr>
                <w:rFonts w:ascii="宋体"/>
                <w:sz w:val="18"/>
              </w:rPr>
              <w:t>19,307,581.61</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8"/>
              <w:jc w:val="right"/>
              <w:rPr>
                <w:rFonts w:ascii="宋体" w:hAnsi="宋体" w:cs="宋体" w:eastAsia="宋体" w:hint="default"/>
                <w:sz w:val="18"/>
                <w:szCs w:val="18"/>
              </w:rPr>
            </w:pPr>
            <w:r>
              <w:rPr>
                <w:rFonts w:ascii="宋体"/>
                <w:sz w:val="18"/>
              </w:rPr>
              <w:t>12.87</w:t>
            </w:r>
          </w:p>
        </w:tc>
      </w:tr>
      <w:tr>
        <w:trPr>
          <w:trHeight w:val="288" w:hRule="exact"/>
        </w:trPr>
        <w:tc>
          <w:tcPr>
            <w:tcW w:w="176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780" w:right="0"/>
              <w:jc w:val="left"/>
              <w:rPr>
                <w:rFonts w:ascii="宋体" w:hAnsi="宋体" w:cs="宋体" w:eastAsia="宋体" w:hint="default"/>
                <w:sz w:val="18"/>
                <w:szCs w:val="18"/>
              </w:rPr>
            </w:pPr>
            <w:r>
              <w:rPr>
                <w:rFonts w:ascii="宋体"/>
                <w:sz w:val="18"/>
              </w:rPr>
              <w:t>5,128,670.35</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9"/>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9"/>
              <w:jc w:val="right"/>
              <w:rPr>
                <w:rFonts w:ascii="宋体" w:hAnsi="宋体" w:cs="宋体" w:eastAsia="宋体" w:hint="default"/>
                <w:sz w:val="18"/>
                <w:szCs w:val="18"/>
              </w:rPr>
            </w:pPr>
            <w:r>
              <w:rPr>
                <w:rFonts w:ascii="宋体"/>
                <w:sz w:val="18"/>
              </w:rPr>
              <w:t>3.42</w:t>
            </w:r>
          </w:p>
        </w:tc>
      </w:tr>
    </w:tbl>
    <w:p>
      <w:pPr>
        <w:spacing w:after="0" w:line="240" w:lineRule="auto"/>
        <w:jc w:val="right"/>
        <w:rPr>
          <w:rFonts w:ascii="宋体" w:hAnsi="宋体" w:cs="宋体" w:eastAsia="宋体" w:hint="default"/>
          <w:sz w:val="18"/>
          <w:szCs w:val="18"/>
        </w:rPr>
        <w:sectPr>
          <w:type w:val="continuous"/>
          <w:pgSz w:w="11910" w:h="16840"/>
          <w:pgMar w:top="880" w:bottom="0" w:left="82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1763"/>
        <w:gridCol w:w="2266"/>
        <w:gridCol w:w="2282"/>
        <w:gridCol w:w="1524"/>
        <w:gridCol w:w="1587"/>
      </w:tblGrid>
      <w:tr>
        <w:trPr>
          <w:trHeight w:val="555" w:hRule="exact"/>
        </w:trPr>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48"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5"/>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22"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21"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587" w:type="dxa"/>
            <w:tcBorders>
              <w:top w:val="nil" w:sz="6" w:space="0" w:color="auto"/>
              <w:left w:val="nil" w:sz="6" w:space="0" w:color="auto"/>
              <w:bottom w:val="nil" w:sz="6" w:space="0" w:color="auto"/>
              <w:right w:val="nil" w:sz="6" w:space="0" w:color="auto"/>
            </w:tcBorders>
          </w:tcPr>
          <w:p>
            <w:pPr>
              <w:pStyle w:val="TableParagraph"/>
              <w:spacing w:line="180" w:lineRule="exact"/>
              <w:ind w:left="111" w:right="0"/>
              <w:jc w:val="left"/>
              <w:rPr>
                <w:rFonts w:ascii="宋体" w:hAnsi="宋体" w:cs="宋体" w:eastAsia="宋体" w:hint="default"/>
                <w:sz w:val="18"/>
                <w:szCs w:val="18"/>
              </w:rPr>
            </w:pPr>
            <w:r>
              <w:rPr>
                <w:rFonts w:ascii="宋体" w:hAnsi="宋体" w:cs="宋体" w:eastAsia="宋体" w:hint="default"/>
                <w:b/>
                <w:bCs/>
                <w:sz w:val="18"/>
                <w:szCs w:val="18"/>
              </w:rPr>
              <w:t>占应收账款总额</w:t>
            </w:r>
            <w:r>
              <w:rPr>
                <w:rFonts w:ascii="宋体" w:hAnsi="宋体" w:cs="宋体" w:eastAsia="宋体" w:hint="default"/>
                <w:sz w:val="18"/>
                <w:szCs w:val="18"/>
              </w:rPr>
            </w:r>
          </w:p>
          <w:p>
            <w:pPr>
              <w:pStyle w:val="TableParagraph"/>
              <w:tabs>
                <w:tab w:pos="246" w:val="left" w:leader="none"/>
                <w:tab w:pos="1491" w:val="left" w:leader="none"/>
              </w:tabs>
              <w:spacing w:line="240" w:lineRule="auto" w:before="77"/>
              <w:ind w:left="-774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u w:val="single" w:color="000000"/>
              </w:rPr>
              <w:t> </w:t>
              <w:tab/>
            </w:r>
            <w:r>
              <w:rPr>
                <w:rFonts w:ascii="宋体" w:hAnsi="宋体" w:cs="宋体" w:eastAsia="宋体" w:hint="default"/>
                <w:b/>
                <w:bCs/>
                <w:sz w:val="18"/>
                <w:szCs w:val="18"/>
                <w:u w:val="single" w:color="000000"/>
              </w:rPr>
              <w:t>的比例（</w:t>
            </w:r>
            <w:r>
              <w:rPr>
                <w:rFonts w:ascii="宋体" w:hAnsi="宋体" w:cs="宋体" w:eastAsia="宋体" w:hint="default"/>
                <w:b/>
                <w:bCs/>
                <w:sz w:val="18"/>
                <w:szCs w:val="18"/>
                <w:u w:val="single" w:color="000000"/>
              </w:rPr>
              <w:t>%</w:t>
            </w:r>
            <w:r>
              <w:rPr>
                <w:rFonts w:ascii="宋体" w:hAnsi="宋体" w:cs="宋体" w:eastAsia="宋体" w:hint="default"/>
                <w:b/>
                <w:bCs/>
                <w:sz w:val="18"/>
                <w:szCs w:val="18"/>
                <w:u w:val="single" w:color="000000"/>
              </w:rPr>
              <w:t>）</w:t>
              <w:tab/>
            </w:r>
            <w:r>
              <w:rPr>
                <w:rFonts w:ascii="宋体" w:hAnsi="宋体" w:cs="宋体" w:eastAsia="宋体" w:hint="default"/>
                <w:b/>
                <w:bCs/>
                <w:sz w:val="18"/>
                <w:szCs w:val="18"/>
              </w:rPr>
            </w:r>
            <w:r>
              <w:rPr>
                <w:rFonts w:ascii="宋体" w:hAnsi="宋体" w:cs="宋体" w:eastAsia="宋体" w:hint="default"/>
                <w:sz w:val="18"/>
                <w:szCs w:val="18"/>
              </w:rPr>
            </w:r>
          </w:p>
        </w:tc>
      </w:tr>
      <w:tr>
        <w:trPr>
          <w:trHeight w:val="350" w:hRule="exact"/>
        </w:trPr>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7"/>
              <w:ind w:left="200"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4"/>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7"/>
              <w:ind w:left="780" w:right="0"/>
              <w:jc w:val="left"/>
              <w:rPr>
                <w:rFonts w:ascii="宋体" w:hAnsi="宋体" w:cs="宋体" w:eastAsia="宋体" w:hint="default"/>
                <w:sz w:val="18"/>
                <w:szCs w:val="18"/>
              </w:rPr>
            </w:pPr>
            <w:r>
              <w:rPr>
                <w:rFonts w:ascii="宋体"/>
                <w:sz w:val="18"/>
              </w:rPr>
              <w:t>9,826,728.41</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9"/>
              <w:jc w:val="right"/>
              <w:rPr>
                <w:rFonts w:ascii="宋体" w:hAnsi="宋体" w:cs="宋体" w:eastAsia="宋体" w:hint="default"/>
                <w:sz w:val="18"/>
                <w:szCs w:val="18"/>
              </w:rPr>
            </w:pPr>
            <w:r>
              <w:rPr>
                <w:rFonts w:ascii="宋体"/>
                <w:sz w:val="18"/>
              </w:rPr>
              <w:t>6.55</w:t>
            </w:r>
          </w:p>
        </w:tc>
      </w:tr>
      <w:tr>
        <w:trPr>
          <w:trHeight w:val="396" w:hRule="exact"/>
        </w:trPr>
        <w:tc>
          <w:tcPr>
            <w:tcW w:w="1763" w:type="dxa"/>
            <w:tcBorders>
              <w:top w:val="nil" w:sz="6" w:space="0" w:color="auto"/>
              <w:left w:val="nil" w:sz="6" w:space="0" w:color="auto"/>
              <w:bottom w:val="nil" w:sz="6" w:space="0" w:color="auto"/>
              <w:right w:val="nil" w:sz="6" w:space="0" w:color="auto"/>
            </w:tcBorders>
          </w:tcPr>
          <w:p>
            <w:pPr/>
          </w:p>
        </w:tc>
        <w:tc>
          <w:tcPr>
            <w:tcW w:w="2266"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780" w:right="0"/>
              <w:jc w:val="left"/>
              <w:rPr>
                <w:rFonts w:ascii="宋体" w:hAnsi="宋体" w:cs="宋体" w:eastAsia="宋体" w:hint="default"/>
                <w:sz w:val="18"/>
                <w:szCs w:val="18"/>
              </w:rPr>
            </w:pPr>
            <w:r>
              <w:rPr>
                <w:rFonts w:ascii="宋体"/>
                <w:sz w:val="18"/>
              </w:rPr>
              <w:t>5,006,179.25</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9"/>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9"/>
              <w:jc w:val="right"/>
              <w:rPr>
                <w:rFonts w:ascii="宋体" w:hAnsi="宋体" w:cs="宋体" w:eastAsia="宋体" w:hint="default"/>
                <w:sz w:val="18"/>
                <w:szCs w:val="18"/>
              </w:rPr>
            </w:pPr>
            <w:r>
              <w:rPr>
                <w:rFonts w:ascii="宋体"/>
                <w:sz w:val="18"/>
              </w:rPr>
              <w:t>3.34</w:t>
            </w:r>
          </w:p>
        </w:tc>
      </w:tr>
      <w:tr>
        <w:trPr>
          <w:trHeight w:val="386" w:hRule="exact"/>
        </w:trPr>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4"/>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89" w:right="0"/>
              <w:jc w:val="left"/>
              <w:rPr>
                <w:rFonts w:ascii="宋体" w:hAnsi="宋体" w:cs="宋体" w:eastAsia="宋体" w:hint="default"/>
                <w:sz w:val="18"/>
                <w:szCs w:val="18"/>
              </w:rPr>
            </w:pPr>
            <w:r>
              <w:rPr>
                <w:rFonts w:ascii="宋体"/>
                <w:sz w:val="18"/>
              </w:rPr>
              <w:t>13,744,633.95</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9"/>
              <w:jc w:val="right"/>
              <w:rPr>
                <w:rFonts w:ascii="宋体" w:hAnsi="宋体" w:cs="宋体" w:eastAsia="宋体" w:hint="default"/>
                <w:sz w:val="18"/>
                <w:szCs w:val="18"/>
              </w:rPr>
            </w:pPr>
            <w:r>
              <w:rPr>
                <w:rFonts w:ascii="宋体"/>
                <w:sz w:val="18"/>
              </w:rPr>
              <w:t>9.16</w:t>
            </w:r>
          </w:p>
        </w:tc>
      </w:tr>
      <w:tr>
        <w:trPr>
          <w:trHeight w:val="331" w:hRule="exact"/>
        </w:trPr>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00"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4"/>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780" w:right="0"/>
              <w:jc w:val="left"/>
              <w:rPr>
                <w:rFonts w:ascii="宋体" w:hAnsi="宋体" w:cs="宋体" w:eastAsia="宋体" w:hint="default"/>
                <w:sz w:val="18"/>
                <w:szCs w:val="18"/>
              </w:rPr>
            </w:pPr>
            <w:r>
              <w:rPr>
                <w:rFonts w:ascii="宋体"/>
                <w:sz w:val="18"/>
              </w:rPr>
              <w:t>9,353,703.59</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9"/>
              <w:jc w:val="right"/>
              <w:rPr>
                <w:rFonts w:ascii="宋体" w:hAnsi="宋体" w:cs="宋体" w:eastAsia="宋体" w:hint="default"/>
                <w:sz w:val="18"/>
                <w:szCs w:val="18"/>
              </w:rPr>
            </w:pPr>
            <w:r>
              <w:rPr>
                <w:rFonts w:ascii="宋体"/>
                <w:sz w:val="18"/>
              </w:rPr>
              <w:t>6.23</w:t>
            </w:r>
          </w:p>
        </w:tc>
      </w:tr>
      <w:tr>
        <w:trPr>
          <w:trHeight w:val="233" w:hRule="exact"/>
        </w:trPr>
        <w:tc>
          <w:tcPr>
            <w:tcW w:w="1763" w:type="dxa"/>
            <w:tcBorders>
              <w:top w:val="nil" w:sz="6" w:space="0" w:color="auto"/>
              <w:left w:val="nil" w:sz="6" w:space="0" w:color="auto"/>
              <w:bottom w:val="nil" w:sz="6" w:space="0" w:color="auto"/>
              <w:right w:val="nil" w:sz="6" w:space="0" w:color="auto"/>
            </w:tcBorders>
          </w:tcPr>
          <w:p>
            <w:pPr>
              <w:pStyle w:val="TableParagraph"/>
              <w:spacing w:line="233" w:lineRule="exact"/>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6"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Style w:val="TableParagraph"/>
              <w:spacing w:line="233" w:lineRule="exact"/>
              <w:ind w:left="689" w:right="0"/>
              <w:jc w:val="left"/>
              <w:rPr>
                <w:rFonts w:ascii="宋体" w:hAnsi="宋体" w:cs="宋体" w:eastAsia="宋体" w:hint="default"/>
                <w:sz w:val="18"/>
                <w:szCs w:val="18"/>
              </w:rPr>
            </w:pPr>
            <w:r>
              <w:rPr>
                <w:rFonts w:ascii="宋体"/>
                <w:sz w:val="18"/>
              </w:rPr>
            </w:r>
            <w:r>
              <w:rPr>
                <w:rFonts w:ascii="宋体"/>
                <w:sz w:val="18"/>
                <w:u w:val="thick" w:color="000000"/>
              </w:rPr>
              <w:t>92,841,683.71</w:t>
            </w:r>
            <w:r>
              <w:rPr>
                <w:rFonts w:ascii="宋体"/>
                <w:sz w:val="18"/>
              </w:rPr>
            </w:r>
          </w:p>
        </w:tc>
        <w:tc>
          <w:tcPr>
            <w:tcW w:w="1524"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33" w:lineRule="exact"/>
              <w:ind w:right="198"/>
              <w:jc w:val="right"/>
              <w:rPr>
                <w:rFonts w:ascii="宋体" w:hAnsi="宋体" w:cs="宋体" w:eastAsia="宋体" w:hint="default"/>
                <w:sz w:val="18"/>
                <w:szCs w:val="18"/>
              </w:rPr>
            </w:pPr>
            <w:r>
              <w:rPr>
                <w:rFonts w:ascii="宋体"/>
                <w:sz w:val="18"/>
              </w:rPr>
            </w:r>
            <w:r>
              <w:rPr>
                <w:rFonts w:ascii="宋体"/>
                <w:sz w:val="18"/>
                <w:u w:val="thick" w:color="000000"/>
              </w:rPr>
              <w:t>61.88</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673" w:right="0"/>
        <w:jc w:val="left"/>
      </w:pPr>
      <w:r>
        <w:rPr/>
        <w:t>（</w:t>
      </w:r>
      <w:r>
        <w:rPr>
          <w:rFonts w:ascii="宋体" w:hAnsi="宋体" w:cs="宋体" w:eastAsia="宋体" w:hint="default"/>
        </w:rPr>
        <w:t>7</w:t>
      </w:r>
      <w:r>
        <w:rPr/>
        <w:t>）期末应收账款中无应收关联方款项。</w:t>
      </w:r>
    </w:p>
    <w:p>
      <w:pPr>
        <w:spacing w:line="240" w:lineRule="auto" w:before="6"/>
        <w:rPr>
          <w:rFonts w:ascii="宋体" w:hAnsi="宋体" w:cs="宋体" w:eastAsia="宋体" w:hint="default"/>
          <w:sz w:val="21"/>
          <w:szCs w:val="21"/>
        </w:rPr>
      </w:pPr>
    </w:p>
    <w:p>
      <w:pPr>
        <w:pStyle w:val="BodyText"/>
        <w:spacing w:line="367" w:lineRule="auto"/>
        <w:ind w:left="312" w:right="1125" w:firstLine="360"/>
        <w:jc w:val="left"/>
      </w:pPr>
      <w:r>
        <w:rPr/>
        <w:t>（</w:t>
      </w:r>
      <w:r>
        <w:rPr>
          <w:rFonts w:ascii="宋体" w:hAnsi="宋体" w:cs="宋体" w:eastAsia="宋体" w:hint="default"/>
        </w:rPr>
        <w:t>8</w:t>
      </w:r>
      <w:r>
        <w:rPr/>
        <w:t>）期末应收账款较期初增加</w:t>
      </w:r>
      <w:r>
        <w:rPr>
          <w:spacing w:val="-31"/>
        </w:rPr>
        <w:t> </w:t>
      </w:r>
      <w:r>
        <w:rPr>
          <w:rFonts w:ascii="宋体" w:hAnsi="宋体" w:cs="宋体" w:eastAsia="宋体" w:hint="default"/>
        </w:rPr>
        <w:t>101,523,039.75</w:t>
      </w:r>
      <w:r>
        <w:rPr>
          <w:rFonts w:ascii="宋体" w:hAnsi="宋体" w:cs="宋体" w:eastAsia="宋体" w:hint="default"/>
          <w:spacing w:val="-29"/>
        </w:rPr>
        <w:t> </w:t>
      </w:r>
      <w:r>
        <w:rPr/>
        <w:t>元，增长</w:t>
      </w:r>
      <w:r>
        <w:rPr>
          <w:spacing w:val="-31"/>
        </w:rPr>
        <w:t> </w:t>
      </w:r>
      <w:r>
        <w:rPr>
          <w:rFonts w:ascii="宋体" w:hAnsi="宋体" w:cs="宋体" w:eastAsia="宋体" w:hint="default"/>
        </w:rPr>
        <w:t>209.27%</w:t>
      </w:r>
      <w:r>
        <w:rPr/>
        <w:t>，主要系受国家宏观调控影响</w:t>
      </w:r>
      <w:r>
        <w:rPr>
          <w:rFonts w:ascii="宋体" w:hAnsi="宋体" w:cs="宋体" w:eastAsia="宋体" w:hint="default"/>
        </w:rPr>
        <w:t>,</w:t>
      </w:r>
      <w:r>
        <w:rPr/>
        <w:t>部分项目业主因资金 紧张</w:t>
      </w:r>
      <w:r>
        <w:rPr>
          <w:rFonts w:ascii="宋体" w:hAnsi="宋体" w:cs="宋体" w:eastAsia="宋体" w:hint="default"/>
        </w:rPr>
        <w:t>,</w:t>
      </w:r>
      <w:r>
        <w:rPr/>
        <w:t>付款延滞所致。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673" w:right="0"/>
        <w:jc w:val="left"/>
      </w:pPr>
      <w:r>
        <w:rPr>
          <w:rFonts w:ascii="宋体" w:hAnsi="宋体" w:cs="宋体" w:eastAsia="宋体" w:hint="default"/>
        </w:rPr>
        <w:t>4.</w:t>
      </w:r>
      <w:r>
        <w:rPr/>
        <w:t>预付款项</w:t>
      </w:r>
    </w:p>
    <w:p>
      <w:pPr>
        <w:spacing w:line="240" w:lineRule="auto" w:before="6"/>
        <w:rPr>
          <w:rFonts w:ascii="宋体" w:hAnsi="宋体" w:cs="宋体" w:eastAsia="宋体" w:hint="default"/>
          <w:sz w:val="21"/>
          <w:szCs w:val="21"/>
        </w:rPr>
      </w:pPr>
    </w:p>
    <w:p>
      <w:pPr>
        <w:pStyle w:val="BodyText"/>
        <w:spacing w:line="240" w:lineRule="auto"/>
        <w:ind w:left="673" w:right="0"/>
        <w:jc w:val="left"/>
      </w:pPr>
      <w:r>
        <w:rPr/>
        <w:t>（</w:t>
      </w:r>
      <w:r>
        <w:rPr>
          <w:rFonts w:ascii="宋体" w:hAnsi="宋体" w:cs="宋体" w:eastAsia="宋体" w:hint="default"/>
        </w:rPr>
        <w:t>1</w:t>
      </w:r>
      <w:r>
        <w:rPr/>
        <w:t>）按账龄列示</w:t>
      </w:r>
    </w:p>
    <w:p>
      <w:pPr>
        <w:spacing w:line="240" w:lineRule="auto" w:before="0"/>
        <w:rPr>
          <w:rFonts w:ascii="宋体" w:hAnsi="宋体" w:cs="宋体" w:eastAsia="宋体" w:hint="default"/>
          <w:sz w:val="16"/>
          <w:szCs w:val="16"/>
        </w:rPr>
      </w:pPr>
    </w:p>
    <w:p>
      <w:pPr>
        <w:pStyle w:val="Heading7"/>
        <w:tabs>
          <w:tab w:pos="7478" w:val="left" w:leader="none"/>
        </w:tabs>
        <w:spacing w:line="217" w:lineRule="exact" w:before="44"/>
        <w:ind w:left="3381" w:right="0"/>
        <w:jc w:val="left"/>
        <w:rPr>
          <w:b w:val="0"/>
          <w:bCs w:val="0"/>
        </w:rPr>
      </w:pPr>
      <w:r>
        <w:rPr>
          <w:w w:val="95"/>
        </w:rPr>
        <w:t>期末余额</w:t>
        <w:tab/>
      </w:r>
      <w:r>
        <w:rPr/>
        <w:t>期初余额</w:t>
      </w:r>
      <w:r>
        <w:rPr>
          <w:b w:val="0"/>
          <w:bCs w:val="0"/>
        </w:rPr>
      </w:r>
    </w:p>
    <w:p>
      <w:pPr>
        <w:pStyle w:val="Heading7"/>
        <w:spacing w:line="198" w:lineRule="exact"/>
        <w:ind w:left="898" w:right="0"/>
        <w:jc w:val="left"/>
        <w:rPr>
          <w:b w:val="0"/>
          <w:bCs w:val="0"/>
        </w:rPr>
      </w:pPr>
      <w:r>
        <w:rPr/>
        <w:t>账龄</w:t>
      </w:r>
      <w:r>
        <w:rPr>
          <w:b w:val="0"/>
          <w:bCs w:val="0"/>
        </w:rPr>
      </w:r>
    </w:p>
    <w:p>
      <w:pPr>
        <w:pStyle w:val="Heading7"/>
        <w:tabs>
          <w:tab w:pos="4708" w:val="left" w:leader="none"/>
          <w:tab w:pos="6806" w:val="left" w:leader="none"/>
          <w:tab w:pos="8813" w:val="left" w:leader="none"/>
        </w:tabs>
        <w:spacing w:line="216" w:lineRule="exact"/>
        <w:ind w:left="2708" w:right="0"/>
        <w:jc w:val="left"/>
        <w:rPr>
          <w:rFonts w:ascii="宋体" w:hAnsi="宋体" w:cs="宋体" w:eastAsia="宋体" w:hint="default"/>
          <w:b w:val="0"/>
          <w:bCs w:val="0"/>
        </w:rPr>
      </w:pPr>
      <w:r>
        <w:rPr/>
        <w:t>金额</w:t>
        <w:tab/>
      </w:r>
      <w:r>
        <w:rPr>
          <w:w w:val="95"/>
        </w:rPr>
        <w:t>比例</w:t>
      </w:r>
      <w:r>
        <w:rPr>
          <w:rFonts w:ascii="宋体" w:hAnsi="宋体" w:cs="宋体" w:eastAsia="宋体" w:hint="default"/>
          <w:w w:val="95"/>
        </w:rPr>
        <w:t>%</w:t>
        <w:tab/>
      </w:r>
      <w:r>
        <w:rPr/>
        <w:t>金额</w:t>
        <w:tab/>
        <w:t>比例</w:t>
      </w:r>
      <w:r>
        <w:rPr>
          <w:rFonts w:ascii="宋体" w:hAnsi="宋体" w:cs="宋体" w:eastAsia="宋体" w:hint="default"/>
        </w:rPr>
        <w:t>%</w:t>
      </w:r>
      <w:r>
        <w:rPr>
          <w:rFonts w:ascii="宋体" w:hAnsi="宋体" w:cs="宋体" w:eastAsia="宋体" w:hint="default"/>
          <w:b w:val="0"/>
          <w:bCs w:val="0"/>
        </w:rPr>
      </w:r>
    </w:p>
    <w:p>
      <w:pPr>
        <w:spacing w:line="240" w:lineRule="auto" w:before="7"/>
        <w:rPr>
          <w:rFonts w:ascii="宋体" w:hAnsi="宋体" w:cs="宋体" w:eastAsia="宋体" w:hint="default"/>
          <w:b/>
          <w:bCs/>
          <w:sz w:val="8"/>
          <w:szCs w:val="8"/>
        </w:rPr>
      </w:pPr>
    </w:p>
    <w:p>
      <w:pPr>
        <w:spacing w:line="20" w:lineRule="exact"/>
        <w:ind w:left="450" w:right="0" w:firstLine="0"/>
        <w:rPr>
          <w:rFonts w:ascii="宋体" w:hAnsi="宋体" w:cs="宋体" w:eastAsia="宋体" w:hint="default"/>
          <w:sz w:val="2"/>
          <w:szCs w:val="2"/>
        </w:rPr>
      </w:pPr>
      <w:r>
        <w:rPr>
          <w:rFonts w:ascii="宋体" w:hAnsi="宋体" w:cs="宋体" w:eastAsia="宋体" w:hint="default"/>
          <w:sz w:val="2"/>
          <w:szCs w:val="2"/>
        </w:rPr>
        <w:pict>
          <v:group style="width:472.3pt;height:.5pt;mso-position-horizontal-relative:char;mso-position-vertical-relative:line" coordorigin="0,0" coordsize="9446,10">
            <v:group style="position:absolute;left:5;top:5;width:1248;height:2" coordorigin="5,5" coordsize="1248,2">
              <v:shape style="position:absolute;left:5;top:5;width:1248;height:2" coordorigin="5,5" coordsize="1248,0" path="m5,5l1253,5e" filled="false" stroked="true" strokeweight=".48pt" strokecolor="#000000">
                <v:path arrowok="t"/>
              </v:shape>
            </v:group>
            <v:group style="position:absolute;left:1253;top:5;width:10;height:2" coordorigin="1253,5" coordsize="10,2">
              <v:shape style="position:absolute;left:1253;top:5;width:10;height:2" coordorigin="1253,5" coordsize="10,0" path="m1253,5l1262,5e" filled="false" stroked="true" strokeweight=".48pt" strokecolor="#000000">
                <v:path arrowok="t"/>
              </v:shape>
            </v:group>
            <v:group style="position:absolute;left:1262;top:5;width:2367;height:2" coordorigin="1262,5" coordsize="2367,2">
              <v:shape style="position:absolute;left:1262;top:5;width:2367;height:2" coordorigin="1262,5" coordsize="2367,0" path="m1262,5l3629,5e" filled="false" stroked="true" strokeweight=".48pt" strokecolor="#000000">
                <v:path arrowok="t"/>
              </v:shape>
            </v:group>
            <v:group style="position:absolute;left:3629;top:5;width:10;height:2" coordorigin="3629,5" coordsize="10,2">
              <v:shape style="position:absolute;left:3629;top:5;width:10;height:2" coordorigin="3629,5" coordsize="10,0" path="m3629,5l3639,5e" filled="false" stroked="true" strokeweight=".48pt" strokecolor="#000000">
                <v:path arrowok="t"/>
              </v:shape>
            </v:group>
            <v:group style="position:absolute;left:3639;top:5;width:1695;height:2" coordorigin="3639,5" coordsize="1695,2">
              <v:shape style="position:absolute;left:3639;top:5;width:1695;height:2" coordorigin="3639,5" coordsize="1695,0" path="m3639,5l5334,5e" filled="false" stroked="true" strokeweight=".48pt" strokecolor="#000000">
                <v:path arrowok="t"/>
              </v:shape>
            </v:group>
            <v:group style="position:absolute;left:5334;top:5;width:10;height:2" coordorigin="5334,5" coordsize="10,2">
              <v:shape style="position:absolute;left:5334;top:5;width:10;height:2" coordorigin="5334,5" coordsize="10,0" path="m5334,5l5343,5e" filled="false" stroked="true" strokeweight=".48pt" strokecolor="#000000">
                <v:path arrowok="t"/>
              </v:shape>
            </v:group>
            <v:group style="position:absolute;left:5343;top:5;width:2396;height:2" coordorigin="5343,5" coordsize="2396,2">
              <v:shape style="position:absolute;left:5343;top:5;width:2396;height:2" coordorigin="5343,5" coordsize="2396,0" path="m5343,5l7739,5e" filled="false" stroked="true" strokeweight=".48pt" strokecolor="#000000">
                <v:path arrowok="t"/>
              </v:shape>
            </v:group>
            <v:group style="position:absolute;left:7739;top:5;width:10;height:2" coordorigin="7739,5" coordsize="10,2">
              <v:shape style="position:absolute;left:7739;top:5;width:10;height:2" coordorigin="7739,5" coordsize="10,0" path="m7739,5l7749,5e" filled="false" stroked="true" strokeweight=".48pt" strokecolor="#000000">
                <v:path arrowok="t"/>
              </v:shape>
            </v:group>
            <v:group style="position:absolute;left:7749;top:5;width:1692;height:2" coordorigin="7749,5" coordsize="1692,2">
              <v:shape style="position:absolute;left:7749;top:5;width:1692;height:2" coordorigin="7749,5" coordsize="1692,0" path="m7749,5l9441,5e" filled="false" stroked="true" strokeweight=".48pt" strokecolor="#000000">
                <v:path arrowok="t"/>
              </v:shape>
            </v:group>
          </v:group>
        </w:pict>
      </w:r>
      <w:r>
        <w:rPr>
          <w:rFonts w:ascii="宋体" w:hAnsi="宋体" w:cs="宋体" w:eastAsia="宋体" w:hint="default"/>
          <w:sz w:val="2"/>
          <w:szCs w:val="2"/>
        </w:rPr>
      </w:r>
    </w:p>
    <w:p>
      <w:pPr>
        <w:pStyle w:val="BodyText"/>
        <w:tabs>
          <w:tab w:pos="2890" w:val="left" w:leader="none"/>
          <w:tab w:pos="5226" w:val="left" w:leader="none"/>
          <w:tab w:pos="6911" w:val="left" w:leader="none"/>
          <w:tab w:pos="9783" w:val="right" w:leader="none"/>
        </w:tabs>
        <w:spacing w:line="240" w:lineRule="auto" w:before="38"/>
        <w:ind w:left="565"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44"/>
        </w:rPr>
        <w:t> </w:t>
      </w:r>
      <w:r>
        <w:rPr/>
        <w:t>年以内</w:t>
        <w:tab/>
      </w:r>
      <w:r>
        <w:rPr>
          <w:rFonts w:ascii="宋体" w:hAnsi="宋体" w:cs="宋体" w:eastAsia="宋体" w:hint="default"/>
          <w:spacing w:val="-1"/>
        </w:rPr>
        <w:t>9,197,193.47</w:t>
        <w:tab/>
      </w:r>
      <w:r>
        <w:rPr>
          <w:rFonts w:ascii="宋体" w:hAnsi="宋体" w:cs="宋体" w:eastAsia="宋体" w:hint="default"/>
        </w:rPr>
        <w:t>54.35</w:t>
        <w:tab/>
      </w:r>
      <w:r>
        <w:rPr>
          <w:rFonts w:ascii="宋体" w:hAnsi="宋体" w:cs="宋体" w:eastAsia="宋体" w:hint="default"/>
          <w:spacing w:val="-1"/>
        </w:rPr>
        <w:t>49,054,908.54</w:t>
        <w:tab/>
      </w:r>
      <w:r>
        <w:rPr>
          <w:rFonts w:ascii="宋体" w:hAnsi="宋体" w:cs="宋体" w:eastAsia="宋体" w:hint="default"/>
        </w:rPr>
        <w:t>98.41</w:t>
      </w:r>
    </w:p>
    <w:p>
      <w:pPr>
        <w:pStyle w:val="BodyText"/>
        <w:tabs>
          <w:tab w:pos="2890" w:val="left" w:leader="none"/>
          <w:tab w:pos="5226" w:val="left" w:leader="none"/>
          <w:tab w:pos="7182" w:val="left" w:leader="none"/>
          <w:tab w:pos="9420" w:val="left" w:leader="none"/>
        </w:tabs>
        <w:spacing w:line="240" w:lineRule="auto" w:before="153"/>
        <w:ind w:left="565" w:right="0"/>
        <w:jc w:val="left"/>
        <w:rPr>
          <w:rFonts w:ascii="宋体" w:hAnsi="宋体" w:cs="宋体" w:eastAsia="宋体" w:hint="default"/>
        </w:rPr>
      </w:pPr>
      <w:r>
        <w:rPr>
          <w:rFonts w:ascii="宋体" w:hAnsi="宋体" w:cs="宋体" w:eastAsia="宋体" w:hint="default"/>
          <w:spacing w:val="-1"/>
        </w:rPr>
        <w:t>1-2</w:t>
      </w:r>
      <w:r>
        <w:rPr>
          <w:rFonts w:ascii="宋体" w:hAnsi="宋体" w:cs="宋体" w:eastAsia="宋体" w:hint="default"/>
          <w:spacing w:val="-42"/>
        </w:rPr>
        <w:t> </w:t>
      </w:r>
      <w:r>
        <w:rPr/>
        <w:t>年</w:t>
        <w:tab/>
      </w:r>
      <w:r>
        <w:rPr>
          <w:rFonts w:ascii="宋体" w:hAnsi="宋体" w:cs="宋体" w:eastAsia="宋体" w:hint="default"/>
          <w:spacing w:val="-1"/>
        </w:rPr>
        <w:t>7,575,013.10</w:t>
        <w:tab/>
      </w:r>
      <w:r>
        <w:rPr>
          <w:rFonts w:ascii="宋体" w:hAnsi="宋体" w:cs="宋体" w:eastAsia="宋体" w:hint="default"/>
        </w:rPr>
        <w:t>44.77</w:t>
        <w:tab/>
      </w:r>
      <w:r>
        <w:rPr>
          <w:rFonts w:ascii="宋体" w:hAnsi="宋体" w:cs="宋体" w:eastAsia="宋体" w:hint="default"/>
          <w:spacing w:val="-1"/>
        </w:rPr>
        <w:t>761,103.40</w:t>
        <w:tab/>
      </w:r>
      <w:r>
        <w:rPr>
          <w:rFonts w:ascii="宋体" w:hAnsi="宋体" w:cs="宋体" w:eastAsia="宋体" w:hint="default"/>
        </w:rPr>
        <w:t>1.53</w:t>
      </w:r>
    </w:p>
    <w:p>
      <w:pPr>
        <w:pStyle w:val="BodyText"/>
        <w:tabs>
          <w:tab w:pos="3071" w:val="left" w:leader="none"/>
          <w:tab w:pos="5317" w:val="left" w:leader="none"/>
          <w:tab w:pos="7271" w:val="left" w:leader="none"/>
          <w:tab w:pos="9420" w:val="left" w:leader="none"/>
        </w:tabs>
        <w:spacing w:line="240" w:lineRule="auto" w:before="161"/>
        <w:ind w:left="565" w:right="0"/>
        <w:jc w:val="left"/>
        <w:rPr>
          <w:rFonts w:ascii="宋体" w:hAnsi="宋体" w:cs="宋体" w:eastAsia="宋体" w:hint="default"/>
        </w:rPr>
      </w:pPr>
      <w:r>
        <w:rPr>
          <w:rFonts w:ascii="宋体" w:hAnsi="宋体" w:cs="宋体" w:eastAsia="宋体" w:hint="default"/>
          <w:spacing w:val="-1"/>
        </w:rPr>
        <w:t>2-3</w:t>
      </w:r>
      <w:r>
        <w:rPr>
          <w:rFonts w:ascii="宋体" w:hAnsi="宋体" w:cs="宋体" w:eastAsia="宋体" w:hint="default"/>
          <w:spacing w:val="-42"/>
        </w:rPr>
        <w:t> </w:t>
      </w:r>
      <w:r>
        <w:rPr/>
        <w:t>年</w:t>
        <w:tab/>
      </w:r>
      <w:r>
        <w:rPr>
          <w:rFonts w:ascii="宋体" w:hAnsi="宋体" w:cs="宋体" w:eastAsia="宋体" w:hint="default"/>
          <w:spacing w:val="-1"/>
        </w:rPr>
        <w:t>118,503.40</w:t>
        <w:tab/>
      </w:r>
      <w:r>
        <w:rPr>
          <w:rFonts w:ascii="宋体" w:hAnsi="宋体" w:cs="宋体" w:eastAsia="宋体" w:hint="default"/>
        </w:rPr>
        <w:t>0.70</w:t>
        <w:tab/>
      </w:r>
      <w:r>
        <w:rPr>
          <w:rFonts w:ascii="宋体" w:hAnsi="宋体" w:cs="宋体" w:eastAsia="宋体" w:hint="default"/>
          <w:spacing w:val="-1"/>
        </w:rPr>
        <w:t>30,000.00</w:t>
        <w:tab/>
      </w:r>
      <w:r>
        <w:rPr>
          <w:rFonts w:ascii="宋体" w:hAnsi="宋体" w:cs="宋体" w:eastAsia="宋体" w:hint="default"/>
        </w:rPr>
        <w:t>0.06</w:t>
      </w:r>
    </w:p>
    <w:p>
      <w:pPr>
        <w:pStyle w:val="BodyText"/>
        <w:tabs>
          <w:tab w:pos="3160" w:val="left" w:leader="none"/>
          <w:tab w:pos="5317" w:val="left" w:leader="none"/>
        </w:tabs>
        <w:spacing w:line="240" w:lineRule="auto" w:before="163"/>
        <w:ind w:left="565" w:right="0"/>
        <w:jc w:val="left"/>
        <w:rPr>
          <w:rFonts w:ascii="宋体" w:hAnsi="宋体" w:cs="宋体" w:eastAsia="宋体" w:hint="default"/>
        </w:rPr>
      </w:pPr>
      <w:r>
        <w:rPr>
          <w:rFonts w:ascii="宋体" w:hAnsi="宋体" w:cs="宋体" w:eastAsia="宋体" w:hint="default"/>
          <w:spacing w:val="-1"/>
        </w:rPr>
        <w:t>3-4</w:t>
      </w:r>
      <w:r>
        <w:rPr>
          <w:rFonts w:ascii="宋体" w:hAnsi="宋体" w:cs="宋体" w:eastAsia="宋体" w:hint="default"/>
          <w:spacing w:val="-42"/>
        </w:rPr>
        <w:t> </w:t>
      </w:r>
      <w:r>
        <w:rPr/>
        <w:t>年</w:t>
        <w:tab/>
      </w:r>
      <w:r>
        <w:rPr>
          <w:rFonts w:ascii="宋体" w:hAnsi="宋体" w:cs="宋体" w:eastAsia="宋体" w:hint="default"/>
          <w:spacing w:val="-1"/>
        </w:rPr>
        <w:t>30,000.00</w:t>
        <w:tab/>
      </w:r>
      <w:r>
        <w:rPr>
          <w:rFonts w:ascii="宋体" w:hAnsi="宋体" w:cs="宋体" w:eastAsia="宋体" w:hint="default"/>
        </w:rPr>
        <w:t>0.18</w:t>
      </w:r>
    </w:p>
    <w:p>
      <w:pPr>
        <w:pStyle w:val="BodyText"/>
        <w:tabs>
          <w:tab w:pos="2799" w:val="left" w:leader="none"/>
          <w:tab w:pos="5406" w:val="left" w:leader="none"/>
          <w:tab w:pos="6911" w:val="left" w:leader="none"/>
          <w:tab w:pos="9511" w:val="left" w:leader="none"/>
        </w:tabs>
        <w:spacing w:line="240" w:lineRule="auto" w:before="160"/>
        <w:ind w:left="565" w:right="0"/>
        <w:jc w:val="left"/>
        <w:rPr>
          <w:rFonts w:ascii="宋体" w:hAnsi="宋体" w:cs="宋体" w:eastAsia="宋体" w:hint="default"/>
        </w:rPr>
      </w:pPr>
      <w:r>
        <w:rPr/>
        <w:t>合计</w:t>
        <w:tab/>
      </w:r>
      <w:r>
        <w:rPr>
          <w:rFonts w:ascii="宋体" w:hAnsi="宋体" w:cs="宋体" w:eastAsia="宋体" w:hint="default"/>
        </w:rPr>
      </w:r>
      <w:r>
        <w:rPr>
          <w:rFonts w:ascii="宋体" w:hAnsi="宋体" w:cs="宋体" w:eastAsia="宋体" w:hint="default"/>
          <w:spacing w:val="-1"/>
          <w:u w:val="thick" w:color="000000"/>
        </w:rPr>
        <w:t>16,920,709.97</w:t>
      </w:r>
      <w:r>
        <w:rPr>
          <w:rFonts w:ascii="宋体" w:hAnsi="宋体" w:cs="宋体" w:eastAsia="宋体" w:hint="default"/>
          <w:spacing w:val="-1"/>
        </w:rPr>
        <w:tab/>
      </w:r>
      <w:r>
        <w:rPr>
          <w:rFonts w:ascii="宋体" w:hAnsi="宋体" w:cs="宋体" w:eastAsia="宋体" w:hint="default"/>
          <w:u w:val="thick" w:color="000000"/>
        </w:rPr>
        <w:t>100</w:t>
      </w:r>
      <w:r>
        <w:rPr>
          <w:rFonts w:ascii="宋体" w:hAnsi="宋体" w:cs="宋体" w:eastAsia="宋体" w:hint="default"/>
        </w:rPr>
        <w:tab/>
      </w:r>
      <w:r>
        <w:rPr>
          <w:rFonts w:ascii="宋体" w:hAnsi="宋体" w:cs="宋体" w:eastAsia="宋体" w:hint="default"/>
          <w:spacing w:val="-1"/>
          <w:u w:val="thick" w:color="000000"/>
        </w:rPr>
        <w:t>49,846,011.94</w:t>
      </w:r>
      <w:r>
        <w:rPr>
          <w:rFonts w:ascii="宋体" w:hAnsi="宋体" w:cs="宋体" w:eastAsia="宋体" w:hint="default"/>
          <w:spacing w:val="-1"/>
        </w:rPr>
        <w:tab/>
      </w:r>
      <w:r>
        <w:rPr>
          <w:rFonts w:ascii="宋体" w:hAnsi="宋体" w:cs="宋体" w:eastAsia="宋体" w:hint="default"/>
          <w:spacing w:val="1"/>
          <w:u w:val="thick" w:color="000000"/>
        </w:rPr>
        <w:t>100</w:t>
      </w:r>
      <w:r>
        <w:rPr>
          <w:rFonts w:ascii="宋体" w:hAnsi="宋体" w:cs="宋体" w:eastAsia="宋体" w:hint="default"/>
          <w:spacing w:val="1"/>
        </w:rPr>
      </w:r>
      <w:r>
        <w:rPr>
          <w:rFonts w:ascii="宋体" w:hAnsi="宋体" w:cs="宋体" w:eastAsia="宋体" w:hint="default"/>
        </w:rPr>
      </w:r>
    </w:p>
    <w:p>
      <w:pPr>
        <w:pStyle w:val="BodyText"/>
        <w:spacing w:line="240" w:lineRule="auto" w:before="628"/>
        <w:ind w:left="673" w:right="0"/>
        <w:jc w:val="left"/>
      </w:pPr>
      <w:r>
        <w:rPr/>
        <w:t>（</w:t>
      </w:r>
      <w:r>
        <w:rPr>
          <w:rFonts w:ascii="宋体" w:hAnsi="宋体" w:cs="宋体" w:eastAsia="宋体" w:hint="default"/>
        </w:rPr>
        <w:t>2</w:t>
      </w:r>
      <w:r>
        <w:rPr/>
        <w:t>）期末预付款项余额前五名</w:t>
      </w:r>
    </w:p>
    <w:p>
      <w:pPr>
        <w:spacing w:line="240" w:lineRule="auto" w:before="5"/>
        <w:rPr>
          <w:rFonts w:ascii="宋体" w:hAnsi="宋体" w:cs="宋体" w:eastAsia="宋体" w:hint="default"/>
          <w:sz w:val="20"/>
          <w:szCs w:val="20"/>
        </w:rPr>
      </w:pPr>
    </w:p>
    <w:tbl>
      <w:tblPr>
        <w:tblW w:w="0" w:type="auto"/>
        <w:jc w:val="left"/>
        <w:tblInd w:w="243" w:type="dxa"/>
        <w:tblLayout w:type="fixed"/>
        <w:tblCellMar>
          <w:top w:w="0" w:type="dxa"/>
          <w:left w:w="0" w:type="dxa"/>
          <w:bottom w:w="0" w:type="dxa"/>
          <w:right w:w="0" w:type="dxa"/>
        </w:tblCellMar>
        <w:tblLook w:val="01E0"/>
      </w:tblPr>
      <w:tblGrid>
        <w:gridCol w:w="1316"/>
        <w:gridCol w:w="1752"/>
        <w:gridCol w:w="1541"/>
        <w:gridCol w:w="2022"/>
        <w:gridCol w:w="1515"/>
        <w:gridCol w:w="1631"/>
      </w:tblGrid>
      <w:tr>
        <w:trPr>
          <w:trHeight w:val="488" w:hRule="exact"/>
        </w:trPr>
        <w:tc>
          <w:tcPr>
            <w:tcW w:w="1316"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360"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752"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348" w:right="0"/>
              <w:jc w:val="left"/>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27"/>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022" w:type="dxa"/>
            <w:tcBorders>
              <w:top w:val="nil" w:sz="6" w:space="0" w:color="auto"/>
              <w:left w:val="nil" w:sz="6" w:space="0" w:color="auto"/>
              <w:bottom w:val="single" w:sz="4" w:space="0" w:color="000000"/>
              <w:right w:val="nil" w:sz="6" w:space="0" w:color="auto"/>
            </w:tcBorders>
          </w:tcPr>
          <w:p>
            <w:pPr>
              <w:pStyle w:val="TableParagraph"/>
              <w:spacing w:line="179" w:lineRule="exact"/>
              <w:ind w:right="292"/>
              <w:jc w:val="center"/>
              <w:rPr>
                <w:rFonts w:ascii="宋体" w:hAnsi="宋体" w:cs="宋体" w:eastAsia="宋体" w:hint="default"/>
                <w:sz w:val="18"/>
                <w:szCs w:val="18"/>
              </w:rPr>
            </w:pPr>
            <w:r>
              <w:rPr>
                <w:rFonts w:ascii="宋体" w:hAnsi="宋体" w:cs="宋体" w:eastAsia="宋体" w:hint="default"/>
                <w:b/>
                <w:bCs/>
                <w:sz w:val="18"/>
                <w:szCs w:val="18"/>
              </w:rPr>
              <w:t>占预付账款期末总</w:t>
            </w:r>
            <w:r>
              <w:rPr>
                <w:rFonts w:ascii="宋体" w:hAnsi="宋体" w:cs="宋体" w:eastAsia="宋体" w:hint="default"/>
                <w:sz w:val="18"/>
                <w:szCs w:val="18"/>
              </w:rPr>
            </w:r>
          </w:p>
          <w:p>
            <w:pPr>
              <w:pStyle w:val="TableParagraph"/>
              <w:spacing w:line="234" w:lineRule="exact"/>
              <w:ind w:right="291"/>
              <w:jc w:val="center"/>
              <w:rPr>
                <w:rFonts w:ascii="宋体" w:hAnsi="宋体" w:cs="宋体" w:eastAsia="宋体" w:hint="default"/>
                <w:sz w:val="18"/>
                <w:szCs w:val="18"/>
              </w:rPr>
            </w:pPr>
            <w:r>
              <w:rPr>
                <w:rFonts w:ascii="宋体" w:hAnsi="宋体" w:cs="宋体" w:eastAsia="宋体" w:hint="default"/>
                <w:b/>
                <w:bCs/>
                <w:sz w:val="18"/>
                <w:szCs w:val="18"/>
              </w:rPr>
              <w:t>额的比例（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515"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366"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631"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284" w:right="0"/>
              <w:jc w:val="left"/>
              <w:rPr>
                <w:rFonts w:ascii="宋体" w:hAnsi="宋体" w:cs="宋体" w:eastAsia="宋体" w:hint="default"/>
                <w:sz w:val="18"/>
                <w:szCs w:val="18"/>
              </w:rPr>
            </w:pPr>
            <w:r>
              <w:rPr>
                <w:rFonts w:ascii="宋体" w:hAnsi="宋体" w:cs="宋体" w:eastAsia="宋体" w:hint="default"/>
                <w:b/>
                <w:bCs/>
                <w:sz w:val="18"/>
                <w:szCs w:val="18"/>
              </w:rPr>
              <w:t>未结算原因</w:t>
            </w:r>
            <w:r>
              <w:rPr>
                <w:rFonts w:ascii="宋体" w:hAnsi="宋体" w:cs="宋体" w:eastAsia="宋体" w:hint="default"/>
                <w:sz w:val="18"/>
                <w:szCs w:val="18"/>
              </w:rPr>
            </w:r>
          </w:p>
        </w:tc>
      </w:tr>
      <w:tr>
        <w:trPr>
          <w:trHeight w:val="401" w:hRule="exact"/>
        </w:trPr>
        <w:tc>
          <w:tcPr>
            <w:tcW w:w="131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75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39"/>
              <w:jc w:val="right"/>
              <w:rPr>
                <w:rFonts w:ascii="宋体" w:hAnsi="宋体" w:cs="宋体" w:eastAsia="宋体" w:hint="default"/>
                <w:sz w:val="18"/>
                <w:szCs w:val="18"/>
              </w:rPr>
            </w:pPr>
            <w:r>
              <w:rPr>
                <w:rFonts w:ascii="宋体"/>
                <w:spacing w:val="-1"/>
                <w:sz w:val="18"/>
              </w:rPr>
              <w:t>5,265,909.30</w:t>
            </w:r>
          </w:p>
        </w:tc>
        <w:tc>
          <w:tcPr>
            <w:tcW w:w="202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65"/>
              <w:jc w:val="right"/>
              <w:rPr>
                <w:rFonts w:ascii="宋体" w:hAnsi="宋体" w:cs="宋体" w:eastAsia="宋体" w:hint="default"/>
                <w:sz w:val="18"/>
                <w:szCs w:val="18"/>
              </w:rPr>
            </w:pPr>
            <w:r>
              <w:rPr>
                <w:rFonts w:ascii="宋体"/>
                <w:sz w:val="18"/>
              </w:rPr>
              <w:t>31.12</w:t>
            </w:r>
          </w:p>
        </w:tc>
        <w:tc>
          <w:tcPr>
            <w:tcW w:w="151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61"/>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63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hAnsi="宋体" w:cs="宋体" w:eastAsia="宋体" w:hint="default"/>
                <w:sz w:val="18"/>
                <w:szCs w:val="18"/>
              </w:rPr>
              <w:t>预付购房款</w:t>
            </w:r>
          </w:p>
        </w:tc>
      </w:tr>
      <w:tr>
        <w:trPr>
          <w:trHeight w:val="398"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9"/>
              <w:jc w:val="right"/>
              <w:rPr>
                <w:rFonts w:ascii="宋体" w:hAnsi="宋体" w:cs="宋体" w:eastAsia="宋体" w:hint="default"/>
                <w:sz w:val="18"/>
                <w:szCs w:val="18"/>
              </w:rPr>
            </w:pPr>
            <w:r>
              <w:rPr>
                <w:rFonts w:ascii="宋体"/>
                <w:spacing w:val="-1"/>
                <w:sz w:val="18"/>
              </w:rPr>
              <w:t>1,950,000.00</w:t>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4"/>
              <w:jc w:val="right"/>
              <w:rPr>
                <w:rFonts w:ascii="宋体" w:hAnsi="宋体" w:cs="宋体" w:eastAsia="宋体" w:hint="default"/>
                <w:sz w:val="18"/>
                <w:szCs w:val="18"/>
              </w:rPr>
            </w:pPr>
            <w:r>
              <w:rPr>
                <w:rFonts w:ascii="宋体"/>
                <w:sz w:val="18"/>
              </w:rPr>
              <w:t>11.53</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1"/>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hAnsi="宋体" w:cs="宋体" w:eastAsia="宋体" w:hint="default"/>
                <w:sz w:val="18"/>
                <w:szCs w:val="18"/>
              </w:rPr>
              <w:t>预付工程款</w:t>
            </w:r>
          </w:p>
        </w:tc>
      </w:tr>
      <w:tr>
        <w:trPr>
          <w:trHeight w:val="396"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9"/>
              <w:jc w:val="right"/>
              <w:rPr>
                <w:rFonts w:ascii="宋体" w:hAnsi="宋体" w:cs="宋体" w:eastAsia="宋体" w:hint="default"/>
                <w:sz w:val="18"/>
                <w:szCs w:val="18"/>
              </w:rPr>
            </w:pPr>
            <w:r>
              <w:rPr>
                <w:rFonts w:ascii="宋体"/>
                <w:spacing w:val="-1"/>
                <w:sz w:val="18"/>
              </w:rPr>
              <w:t>1,000,000.00</w:t>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4"/>
              <w:jc w:val="right"/>
              <w:rPr>
                <w:rFonts w:ascii="宋体" w:hAnsi="宋体" w:cs="宋体" w:eastAsia="宋体" w:hint="default"/>
                <w:sz w:val="18"/>
                <w:szCs w:val="18"/>
              </w:rPr>
            </w:pPr>
            <w:r>
              <w:rPr>
                <w:rFonts w:ascii="宋体"/>
                <w:sz w:val="18"/>
              </w:rPr>
              <w:t>5.91</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hAnsi="宋体" w:cs="宋体" w:eastAsia="宋体" w:hint="default"/>
                <w:sz w:val="18"/>
                <w:szCs w:val="18"/>
              </w:rPr>
              <w:t>预付工程款</w:t>
            </w:r>
          </w:p>
        </w:tc>
      </w:tr>
      <w:tr>
        <w:trPr>
          <w:trHeight w:val="397"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9"/>
              <w:jc w:val="right"/>
              <w:rPr>
                <w:rFonts w:ascii="宋体" w:hAnsi="宋体" w:cs="宋体" w:eastAsia="宋体" w:hint="default"/>
                <w:sz w:val="18"/>
                <w:szCs w:val="18"/>
              </w:rPr>
            </w:pPr>
            <w:r>
              <w:rPr>
                <w:rFonts w:ascii="宋体"/>
                <w:spacing w:val="-1"/>
                <w:sz w:val="18"/>
              </w:rPr>
              <w:t>957,986.00</w:t>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4"/>
              <w:jc w:val="right"/>
              <w:rPr>
                <w:rFonts w:ascii="宋体" w:hAnsi="宋体" w:cs="宋体" w:eastAsia="宋体" w:hint="default"/>
                <w:sz w:val="18"/>
                <w:szCs w:val="18"/>
              </w:rPr>
            </w:pPr>
            <w:r>
              <w:rPr>
                <w:rFonts w:ascii="宋体"/>
                <w:sz w:val="18"/>
              </w:rPr>
              <w:t>5.66</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hAnsi="宋体" w:cs="宋体" w:eastAsia="宋体" w:hint="default"/>
                <w:sz w:val="18"/>
                <w:szCs w:val="18"/>
              </w:rPr>
              <w:t>预付材料设备款</w:t>
            </w:r>
          </w:p>
        </w:tc>
      </w:tr>
      <w:tr>
        <w:trPr>
          <w:trHeight w:val="397"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9"/>
              <w:jc w:val="right"/>
              <w:rPr>
                <w:rFonts w:ascii="宋体" w:hAnsi="宋体" w:cs="宋体" w:eastAsia="宋体" w:hint="default"/>
                <w:sz w:val="18"/>
                <w:szCs w:val="18"/>
              </w:rPr>
            </w:pPr>
            <w:r>
              <w:rPr>
                <w:rFonts w:ascii="宋体"/>
                <w:spacing w:val="-1"/>
                <w:sz w:val="18"/>
              </w:rPr>
              <w:t>870,000.00</w:t>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4"/>
              <w:jc w:val="right"/>
              <w:rPr>
                <w:rFonts w:ascii="宋体" w:hAnsi="宋体" w:cs="宋体" w:eastAsia="宋体" w:hint="default"/>
                <w:sz w:val="18"/>
                <w:szCs w:val="18"/>
              </w:rPr>
            </w:pPr>
            <w:r>
              <w:rPr>
                <w:rFonts w:ascii="宋体"/>
                <w:sz w:val="18"/>
              </w:rPr>
              <w:t>5.14</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hAnsi="宋体" w:cs="宋体" w:eastAsia="宋体" w:hint="default"/>
                <w:sz w:val="18"/>
                <w:szCs w:val="18"/>
              </w:rPr>
              <w:t>预付材料设备款</w:t>
            </w:r>
          </w:p>
        </w:tc>
      </w:tr>
      <w:tr>
        <w:trPr>
          <w:trHeight w:val="288"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52"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9"/>
              <w:jc w:val="right"/>
              <w:rPr>
                <w:rFonts w:ascii="宋体" w:hAnsi="宋体" w:cs="宋体" w:eastAsia="宋体" w:hint="default"/>
                <w:sz w:val="18"/>
                <w:szCs w:val="18"/>
              </w:rPr>
            </w:pPr>
            <w:r>
              <w:rPr>
                <w:rFonts w:ascii="宋体"/>
                <w:sz w:val="18"/>
              </w:rPr>
            </w:r>
            <w:r>
              <w:rPr>
                <w:rFonts w:ascii="宋体"/>
                <w:spacing w:val="-1"/>
                <w:sz w:val="18"/>
                <w:u w:val="thick" w:color="000000"/>
              </w:rPr>
              <w:t>10,043,895.30</w:t>
            </w:r>
            <w:r>
              <w:rPr>
                <w:rFonts w:ascii="宋体"/>
                <w:spacing w:val="-1"/>
                <w:sz w:val="18"/>
              </w:rPr>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5"/>
              <w:jc w:val="right"/>
              <w:rPr>
                <w:rFonts w:ascii="宋体" w:hAnsi="宋体" w:cs="宋体" w:eastAsia="宋体" w:hint="default"/>
                <w:sz w:val="18"/>
                <w:szCs w:val="18"/>
              </w:rPr>
            </w:pPr>
            <w:r>
              <w:rPr>
                <w:rFonts w:ascii="宋体"/>
                <w:sz w:val="18"/>
              </w:rPr>
            </w:r>
            <w:r>
              <w:rPr>
                <w:rFonts w:ascii="宋体"/>
                <w:sz w:val="18"/>
                <w:u w:val="thick" w:color="000000"/>
              </w:rPr>
              <w:t>59.36</w:t>
            </w:r>
            <w:r>
              <w:rPr>
                <w:rFonts w:ascii="宋体"/>
                <w:sz w:val="18"/>
              </w:rPr>
            </w:r>
          </w:p>
        </w:tc>
        <w:tc>
          <w:tcPr>
            <w:tcW w:w="1515"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left="673" w:right="0"/>
        <w:jc w:val="left"/>
      </w:pPr>
      <w:r>
        <w:rPr/>
        <w:t>（</w:t>
      </w:r>
      <w:r>
        <w:rPr>
          <w:rFonts w:ascii="宋体" w:hAnsi="宋体" w:cs="宋体" w:eastAsia="宋体" w:hint="default"/>
        </w:rPr>
        <w:t>3</w:t>
      </w:r>
      <w:r>
        <w:rPr/>
        <w:t>）期末预付款项中无持本公司</w:t>
      </w:r>
      <w:r>
        <w:rPr>
          <w:spacing w:val="-43"/>
        </w:rPr>
        <w:t> </w:t>
      </w:r>
      <w:r>
        <w:rPr>
          <w:rFonts w:ascii="宋体" w:hAnsi="宋体" w:cs="宋体" w:eastAsia="宋体" w:hint="default"/>
        </w:rPr>
        <w:t>5%</w:t>
      </w:r>
      <w:r>
        <w:rPr/>
        <w:t>以上（含</w:t>
      </w:r>
      <w:r>
        <w:rPr>
          <w:spacing w:val="-47"/>
        </w:rPr>
        <w:t> </w:t>
      </w:r>
      <w:r>
        <w:rPr>
          <w:rFonts w:ascii="宋体" w:hAnsi="宋体" w:cs="宋体" w:eastAsia="宋体" w:hint="default"/>
        </w:rPr>
        <w:t>5%</w:t>
      </w:r>
      <w:r>
        <w:rPr/>
        <w:t>）表决权股份的股东单位款项。</w:t>
      </w:r>
    </w:p>
    <w:p>
      <w:pPr>
        <w:spacing w:after="0" w:line="240" w:lineRule="auto"/>
        <w:jc w:val="left"/>
        <w:sectPr>
          <w:pgSz w:w="11910" w:h="16840"/>
          <w:pgMar w:header="877" w:footer="1332" w:top="1100" w:bottom="1540" w:left="820" w:right="0"/>
        </w:sectPr>
      </w:pPr>
    </w:p>
    <w:p>
      <w:pPr>
        <w:spacing w:line="240" w:lineRule="auto" w:before="2"/>
        <w:rPr>
          <w:rFonts w:ascii="宋体" w:hAnsi="宋体" w:cs="宋体" w:eastAsia="宋体" w:hint="default"/>
          <w:sz w:val="27"/>
          <w:szCs w:val="27"/>
        </w:rPr>
      </w:pPr>
    </w:p>
    <w:p>
      <w:pPr>
        <w:pStyle w:val="BodyText"/>
        <w:spacing w:line="240" w:lineRule="auto" w:before="44"/>
        <w:ind w:left="613" w:right="1086"/>
        <w:jc w:val="left"/>
      </w:pPr>
      <w:r>
        <w:rPr/>
        <w:t>（</w:t>
      </w:r>
      <w:r>
        <w:rPr>
          <w:rFonts w:ascii="宋体" w:hAnsi="宋体" w:cs="宋体" w:eastAsia="宋体" w:hint="default"/>
        </w:rPr>
        <w:t>4</w:t>
      </w:r>
      <w:r>
        <w:rPr/>
        <w:t>）期末预付款项中无预付关联方款项。</w:t>
      </w:r>
    </w:p>
    <w:p>
      <w:pPr>
        <w:spacing w:line="240" w:lineRule="auto" w:before="6"/>
        <w:rPr>
          <w:rFonts w:ascii="宋体" w:hAnsi="宋体" w:cs="宋体" w:eastAsia="宋体" w:hint="default"/>
          <w:sz w:val="21"/>
          <w:szCs w:val="21"/>
        </w:rPr>
      </w:pPr>
    </w:p>
    <w:p>
      <w:pPr>
        <w:pStyle w:val="BodyText"/>
        <w:spacing w:line="367" w:lineRule="auto"/>
        <w:ind w:left="252" w:right="1086" w:firstLine="360"/>
        <w:jc w:val="left"/>
      </w:pPr>
      <w:r>
        <w:rPr/>
        <w:t>（</w:t>
      </w:r>
      <w:r>
        <w:rPr>
          <w:rFonts w:ascii="宋体" w:hAnsi="宋体" w:cs="宋体" w:eastAsia="宋体" w:hint="default"/>
        </w:rPr>
        <w:t>5</w:t>
      </w:r>
      <w:r>
        <w:rPr/>
        <w:t>）期末预付账款较期初减少</w:t>
      </w:r>
      <w:r>
        <w:rPr>
          <w:spacing w:val="-47"/>
        </w:rPr>
        <w:t> </w:t>
      </w:r>
      <w:r>
        <w:rPr>
          <w:rFonts w:ascii="宋体" w:hAnsi="宋体" w:cs="宋体" w:eastAsia="宋体" w:hint="default"/>
        </w:rPr>
        <w:t>32,925,301.97</w:t>
      </w:r>
      <w:r>
        <w:rPr>
          <w:rFonts w:ascii="宋体" w:hAnsi="宋体" w:cs="宋体" w:eastAsia="宋体" w:hint="default"/>
          <w:spacing w:val="-46"/>
        </w:rPr>
        <w:t> </w:t>
      </w:r>
      <w:r>
        <w:rPr/>
        <w:t>元，减少</w:t>
      </w:r>
      <w:r>
        <w:rPr>
          <w:spacing w:val="-49"/>
        </w:rPr>
        <w:t> </w:t>
      </w:r>
      <w:r>
        <w:rPr>
          <w:rFonts w:ascii="宋体" w:hAnsi="宋体" w:cs="宋体" w:eastAsia="宋体" w:hint="default"/>
        </w:rPr>
        <w:t>66.05%</w:t>
      </w:r>
      <w:r>
        <w:rPr/>
        <w:t>，主要原因系本期主要工程项目集中于下半年度开工， 预付材料设备款项减少所致。</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BodyText"/>
        <w:spacing w:line="240" w:lineRule="auto"/>
        <w:ind w:left="613" w:right="1086"/>
        <w:jc w:val="left"/>
      </w:pPr>
      <w:r>
        <w:rPr>
          <w:rFonts w:ascii="宋体" w:hAnsi="宋体" w:cs="宋体" w:eastAsia="宋体" w:hint="default"/>
        </w:rPr>
        <w:t>5.</w:t>
      </w:r>
      <w:r>
        <w:rPr/>
        <w:t>应收利息</w:t>
      </w:r>
    </w:p>
    <w:p>
      <w:pPr>
        <w:spacing w:line="240" w:lineRule="auto" w:before="6"/>
        <w:rPr>
          <w:rFonts w:ascii="宋体" w:hAnsi="宋体" w:cs="宋体" w:eastAsia="宋体" w:hint="default"/>
          <w:sz w:val="21"/>
          <w:szCs w:val="21"/>
        </w:rPr>
      </w:pPr>
    </w:p>
    <w:p>
      <w:pPr>
        <w:pStyle w:val="BodyText"/>
        <w:spacing w:line="240" w:lineRule="auto"/>
        <w:ind w:left="613" w:right="1086"/>
        <w:jc w:val="left"/>
      </w:pPr>
      <w:r>
        <w:rPr/>
        <w:t>（</w:t>
      </w:r>
      <w:r>
        <w:rPr>
          <w:rFonts w:ascii="宋体" w:hAnsi="宋体" w:cs="宋体" w:eastAsia="宋体" w:hint="default"/>
        </w:rPr>
        <w:t>1</w:t>
      </w:r>
      <w:r>
        <w:rPr/>
        <w:t>）按账龄列示</w:t>
      </w:r>
    </w:p>
    <w:p>
      <w:pPr>
        <w:spacing w:line="240" w:lineRule="auto" w:before="5"/>
        <w:rPr>
          <w:rFonts w:ascii="宋体" w:hAnsi="宋体" w:cs="宋体" w:eastAsia="宋体" w:hint="default"/>
          <w:sz w:val="20"/>
          <w:szCs w:val="20"/>
        </w:rPr>
      </w:pPr>
    </w:p>
    <w:tbl>
      <w:tblPr>
        <w:tblW w:w="0" w:type="auto"/>
        <w:jc w:val="left"/>
        <w:tblInd w:w="144" w:type="dxa"/>
        <w:tblLayout w:type="fixed"/>
        <w:tblCellMar>
          <w:top w:w="0" w:type="dxa"/>
          <w:left w:w="0" w:type="dxa"/>
          <w:bottom w:w="0" w:type="dxa"/>
          <w:right w:w="0" w:type="dxa"/>
        </w:tblCellMar>
        <w:tblLook w:val="01E0"/>
      </w:tblPr>
      <w:tblGrid>
        <w:gridCol w:w="1542"/>
        <w:gridCol w:w="1720"/>
        <w:gridCol w:w="1651"/>
        <w:gridCol w:w="1597"/>
        <w:gridCol w:w="1461"/>
        <w:gridCol w:w="999"/>
        <w:gridCol w:w="1097"/>
      </w:tblGrid>
      <w:tr>
        <w:trPr>
          <w:trHeight w:val="527" w:hRule="exact"/>
        </w:trPr>
        <w:tc>
          <w:tcPr>
            <w:tcW w:w="1542"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4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20"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43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651"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285"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597"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285"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461"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28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999" w:type="dxa"/>
            <w:tcBorders>
              <w:top w:val="nil" w:sz="6" w:space="0" w:color="auto"/>
              <w:left w:val="nil" w:sz="6" w:space="0" w:color="auto"/>
              <w:bottom w:val="single" w:sz="4" w:space="0" w:color="000000"/>
              <w:right w:val="nil" w:sz="6" w:space="0" w:color="auto"/>
            </w:tcBorders>
          </w:tcPr>
          <w:p>
            <w:pPr>
              <w:pStyle w:val="TableParagraph"/>
              <w:spacing w:line="180" w:lineRule="exact"/>
              <w:ind w:left="237" w:right="0" w:hanging="89"/>
              <w:jc w:val="left"/>
              <w:rPr>
                <w:rFonts w:ascii="宋体" w:hAnsi="宋体" w:cs="宋体" w:eastAsia="宋体" w:hint="default"/>
                <w:sz w:val="18"/>
                <w:szCs w:val="18"/>
              </w:rPr>
            </w:pPr>
            <w:r>
              <w:rPr>
                <w:rFonts w:ascii="宋体" w:hAnsi="宋体" w:cs="宋体" w:eastAsia="宋体" w:hint="default"/>
                <w:b/>
                <w:bCs/>
                <w:sz w:val="18"/>
                <w:szCs w:val="18"/>
              </w:rPr>
              <w:t>未收回</w:t>
            </w:r>
            <w:r>
              <w:rPr>
                <w:rFonts w:ascii="宋体" w:hAnsi="宋体" w:cs="宋体" w:eastAsia="宋体" w:hint="default"/>
                <w:sz w:val="18"/>
                <w:szCs w:val="18"/>
              </w:rPr>
            </w:r>
          </w:p>
          <w:p>
            <w:pPr>
              <w:pStyle w:val="TableParagraph"/>
              <w:spacing w:line="240" w:lineRule="auto" w:before="35"/>
              <w:ind w:left="237" w:right="0"/>
              <w:jc w:val="left"/>
              <w:rPr>
                <w:rFonts w:ascii="宋体" w:hAnsi="宋体" w:cs="宋体" w:eastAsia="宋体" w:hint="default"/>
                <w:sz w:val="18"/>
                <w:szCs w:val="18"/>
              </w:rPr>
            </w:pPr>
            <w:r>
              <w:rPr>
                <w:rFonts w:ascii="宋体" w:hAnsi="宋体" w:cs="宋体" w:eastAsia="宋体" w:hint="default"/>
                <w:b/>
                <w:bCs/>
                <w:sz w:val="18"/>
                <w:szCs w:val="18"/>
              </w:rPr>
              <w:t>原因</w:t>
            </w:r>
            <w:r>
              <w:rPr>
                <w:rFonts w:ascii="宋体" w:hAnsi="宋体" w:cs="宋体" w:eastAsia="宋体" w:hint="default"/>
                <w:sz w:val="18"/>
                <w:szCs w:val="18"/>
              </w:rPr>
            </w:r>
          </w:p>
        </w:tc>
        <w:tc>
          <w:tcPr>
            <w:tcW w:w="1097" w:type="dxa"/>
            <w:tcBorders>
              <w:top w:val="nil" w:sz="6" w:space="0" w:color="auto"/>
              <w:left w:val="nil" w:sz="6" w:space="0" w:color="auto"/>
              <w:bottom w:val="single" w:sz="4" w:space="0" w:color="000000"/>
              <w:right w:val="nil" w:sz="6" w:space="0" w:color="auto"/>
            </w:tcBorders>
          </w:tcPr>
          <w:p>
            <w:pPr>
              <w:pStyle w:val="TableParagraph"/>
              <w:spacing w:line="198" w:lineRule="exact"/>
              <w:ind w:left="38" w:right="0"/>
              <w:jc w:val="left"/>
              <w:rPr>
                <w:rFonts w:ascii="宋体" w:hAnsi="宋体" w:cs="宋体" w:eastAsia="宋体" w:hint="default"/>
                <w:sz w:val="18"/>
                <w:szCs w:val="18"/>
              </w:rPr>
            </w:pPr>
            <w:r>
              <w:rPr>
                <w:rFonts w:ascii="宋体" w:hAnsi="宋体" w:cs="宋体" w:eastAsia="宋体" w:hint="default"/>
                <w:b/>
                <w:bCs/>
                <w:sz w:val="18"/>
                <w:szCs w:val="18"/>
              </w:rPr>
              <w:t>相关款项是</w:t>
            </w:r>
            <w:r>
              <w:rPr>
                <w:rFonts w:ascii="宋体" w:hAnsi="宋体" w:cs="宋体" w:eastAsia="宋体" w:hint="default"/>
                <w:sz w:val="18"/>
                <w:szCs w:val="18"/>
              </w:rPr>
            </w:r>
          </w:p>
          <w:p>
            <w:pPr>
              <w:pStyle w:val="TableParagraph"/>
              <w:spacing w:line="234" w:lineRule="exact"/>
              <w:ind w:left="38" w:right="0"/>
              <w:jc w:val="left"/>
              <w:rPr>
                <w:rFonts w:ascii="宋体" w:hAnsi="宋体" w:cs="宋体" w:eastAsia="宋体" w:hint="default"/>
                <w:sz w:val="18"/>
                <w:szCs w:val="18"/>
              </w:rPr>
            </w:pPr>
            <w:r>
              <w:rPr>
                <w:rFonts w:ascii="宋体" w:hAnsi="宋体" w:cs="宋体" w:eastAsia="宋体" w:hint="default"/>
                <w:b/>
                <w:bCs/>
                <w:sz w:val="18"/>
                <w:szCs w:val="18"/>
              </w:rPr>
              <w:t>否发生减值</w:t>
            </w:r>
            <w:r>
              <w:rPr>
                <w:rFonts w:ascii="宋体" w:hAnsi="宋体" w:cs="宋体" w:eastAsia="宋体" w:hint="default"/>
                <w:sz w:val="18"/>
                <w:szCs w:val="18"/>
              </w:rPr>
            </w:r>
          </w:p>
        </w:tc>
      </w:tr>
      <w:tr>
        <w:trPr>
          <w:trHeight w:val="400" w:hRule="exact"/>
        </w:trPr>
        <w:tc>
          <w:tcPr>
            <w:tcW w:w="10068" w:type="dxa"/>
            <w:gridSpan w:val="7"/>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年以内的应收利息</w:t>
            </w:r>
          </w:p>
        </w:tc>
      </w:tr>
      <w:tr>
        <w:trPr>
          <w:trHeight w:val="399" w:hRule="exact"/>
        </w:trPr>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4" w:right="0"/>
              <w:jc w:val="left"/>
              <w:rPr>
                <w:rFonts w:ascii="宋体" w:hAnsi="宋体" w:cs="宋体" w:eastAsia="宋体" w:hint="default"/>
                <w:sz w:val="18"/>
                <w:szCs w:val="18"/>
              </w:rPr>
            </w:pPr>
            <w:r>
              <w:rPr>
                <w:rFonts w:ascii="宋体"/>
                <w:sz w:val="18"/>
              </w:rPr>
              <w:t>1,233,580.43</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85" w:right="0"/>
              <w:jc w:val="left"/>
              <w:rPr>
                <w:rFonts w:ascii="宋体" w:hAnsi="宋体" w:cs="宋体" w:eastAsia="宋体" w:hint="default"/>
                <w:sz w:val="18"/>
                <w:szCs w:val="18"/>
              </w:rPr>
            </w:pPr>
            <w:r>
              <w:rPr>
                <w:rFonts w:ascii="宋体"/>
                <w:sz w:val="18"/>
              </w:rPr>
              <w:t>5,744,042.64</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85" w:right="0"/>
              <w:jc w:val="left"/>
              <w:rPr>
                <w:rFonts w:ascii="宋体" w:hAnsi="宋体" w:cs="宋体" w:eastAsia="宋体" w:hint="default"/>
                <w:sz w:val="18"/>
                <w:szCs w:val="18"/>
              </w:rPr>
            </w:pPr>
            <w:r>
              <w:rPr>
                <w:rFonts w:ascii="宋体"/>
                <w:sz w:val="18"/>
              </w:rPr>
              <w:t>2,226,720.91</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31" w:right="0"/>
              <w:jc w:val="left"/>
              <w:rPr>
                <w:rFonts w:ascii="宋体" w:hAnsi="宋体" w:cs="宋体" w:eastAsia="宋体" w:hint="default"/>
                <w:sz w:val="18"/>
                <w:szCs w:val="18"/>
              </w:rPr>
            </w:pPr>
            <w:r>
              <w:rPr>
                <w:rFonts w:ascii="宋体"/>
                <w:sz w:val="18"/>
              </w:rPr>
              <w:t>4,750,902.16</w:t>
            </w: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40" w:right="0"/>
              <w:jc w:val="left"/>
              <w:rPr>
                <w:rFonts w:ascii="宋体" w:hAnsi="宋体" w:cs="宋体" w:eastAsia="宋体" w:hint="default"/>
                <w:sz w:val="18"/>
                <w:szCs w:val="18"/>
              </w:rPr>
            </w:pPr>
            <w:r>
              <w:rPr>
                <w:rFonts w:ascii="宋体" w:hAnsi="宋体" w:cs="宋体" w:eastAsia="宋体" w:hint="default"/>
                <w:sz w:val="18"/>
                <w:szCs w:val="18"/>
              </w:rPr>
              <w:t>尚未结算</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288" w:hRule="exact"/>
        </w:trPr>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4" w:right="0"/>
              <w:jc w:val="left"/>
              <w:rPr>
                <w:rFonts w:ascii="宋体" w:hAnsi="宋体" w:cs="宋体" w:eastAsia="宋体" w:hint="default"/>
                <w:sz w:val="18"/>
                <w:szCs w:val="18"/>
              </w:rPr>
            </w:pPr>
            <w:r>
              <w:rPr>
                <w:rFonts w:ascii="宋体"/>
                <w:sz w:val="18"/>
              </w:rPr>
            </w:r>
            <w:r>
              <w:rPr>
                <w:rFonts w:ascii="宋体"/>
                <w:sz w:val="18"/>
                <w:u w:val="thick" w:color="000000"/>
              </w:rPr>
              <w:t>1,233,580.43</w:t>
            </w:r>
            <w:r>
              <w:rPr>
                <w:rFonts w:ascii="宋体"/>
                <w:sz w:val="18"/>
              </w:rPr>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5" w:right="0"/>
              <w:jc w:val="left"/>
              <w:rPr>
                <w:rFonts w:ascii="宋体" w:hAnsi="宋体" w:cs="宋体" w:eastAsia="宋体" w:hint="default"/>
                <w:sz w:val="18"/>
                <w:szCs w:val="18"/>
              </w:rPr>
            </w:pPr>
            <w:r>
              <w:rPr>
                <w:rFonts w:ascii="宋体"/>
                <w:sz w:val="18"/>
              </w:rPr>
            </w:r>
            <w:r>
              <w:rPr>
                <w:rFonts w:ascii="宋体"/>
                <w:sz w:val="18"/>
                <w:u w:val="thick" w:color="000000"/>
              </w:rPr>
              <w:t>5,744,042.64</w:t>
            </w:r>
            <w:r>
              <w:rPr>
                <w:rFonts w:ascii="宋体"/>
                <w:sz w:val="18"/>
              </w:rPr>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5" w:right="0"/>
              <w:jc w:val="left"/>
              <w:rPr>
                <w:rFonts w:ascii="宋体" w:hAnsi="宋体" w:cs="宋体" w:eastAsia="宋体" w:hint="default"/>
                <w:sz w:val="18"/>
                <w:szCs w:val="18"/>
              </w:rPr>
            </w:pPr>
            <w:r>
              <w:rPr>
                <w:rFonts w:ascii="宋体"/>
                <w:sz w:val="18"/>
              </w:rPr>
            </w:r>
            <w:r>
              <w:rPr>
                <w:rFonts w:ascii="宋体"/>
                <w:sz w:val="18"/>
                <w:u w:val="thick" w:color="000000"/>
              </w:rPr>
              <w:t>2,226,720.91</w:t>
            </w:r>
            <w:r>
              <w:rPr>
                <w:rFonts w:ascii="宋体"/>
                <w:sz w:val="18"/>
              </w:rPr>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31" w:right="0"/>
              <w:jc w:val="left"/>
              <w:rPr>
                <w:rFonts w:ascii="宋体" w:hAnsi="宋体" w:cs="宋体" w:eastAsia="宋体" w:hint="default"/>
                <w:sz w:val="18"/>
                <w:szCs w:val="18"/>
              </w:rPr>
            </w:pPr>
            <w:r>
              <w:rPr>
                <w:rFonts w:ascii="宋体"/>
                <w:sz w:val="18"/>
              </w:rPr>
            </w:r>
            <w:r>
              <w:rPr>
                <w:rFonts w:ascii="宋体"/>
                <w:sz w:val="18"/>
                <w:u w:val="thick" w:color="000000"/>
              </w:rPr>
              <w:t>4,750,902.16</w:t>
            </w:r>
            <w:r>
              <w:rPr>
                <w:rFonts w:ascii="宋体"/>
                <w:sz w:val="18"/>
              </w:rPr>
            </w:r>
          </w:p>
        </w:tc>
        <w:tc>
          <w:tcPr>
            <w:tcW w:w="999"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367" w:lineRule="auto"/>
        <w:ind w:left="252" w:right="1123" w:firstLine="199"/>
        <w:jc w:val="left"/>
      </w:pPr>
      <w:r>
        <w:rPr/>
        <w:t>（</w:t>
      </w:r>
      <w:r>
        <w:rPr>
          <w:rFonts w:ascii="宋体" w:hAnsi="宋体" w:cs="宋体" w:eastAsia="宋体" w:hint="default"/>
        </w:rPr>
        <w:t>2</w:t>
      </w:r>
      <w:r>
        <w:rPr/>
        <w:t>）期末应收利息较期初增加</w:t>
      </w:r>
      <w:r>
        <w:rPr>
          <w:spacing w:val="-32"/>
        </w:rPr>
        <w:t> </w:t>
      </w:r>
      <w:r>
        <w:rPr>
          <w:rFonts w:ascii="宋体" w:hAnsi="宋体" w:cs="宋体" w:eastAsia="宋体" w:hint="default"/>
        </w:rPr>
        <w:t>3,517,321.73</w:t>
      </w:r>
      <w:r>
        <w:rPr>
          <w:rFonts w:ascii="宋体" w:hAnsi="宋体" w:cs="宋体" w:eastAsia="宋体" w:hint="default"/>
          <w:spacing w:val="-31"/>
        </w:rPr>
        <w:t> </w:t>
      </w:r>
      <w:r>
        <w:rPr/>
        <w:t>元，增长</w:t>
      </w:r>
      <w:r>
        <w:rPr>
          <w:spacing w:val="-33"/>
        </w:rPr>
        <w:t> </w:t>
      </w:r>
      <w:r>
        <w:rPr>
          <w:rFonts w:ascii="宋体" w:hAnsi="宋体" w:cs="宋体" w:eastAsia="宋体" w:hint="default"/>
        </w:rPr>
        <w:t>285.13%</w:t>
      </w:r>
      <w:r>
        <w:rPr/>
        <w:t>，主要系本期公司将部分</w:t>
      </w:r>
      <w:r>
        <w:rPr>
          <w:spacing w:val="-35"/>
        </w:rPr>
        <w:t> </w:t>
      </w:r>
      <w:r>
        <w:rPr>
          <w:rFonts w:ascii="宋体" w:hAnsi="宋体" w:cs="宋体" w:eastAsia="宋体" w:hint="default"/>
        </w:rPr>
        <w:t>3-6</w:t>
      </w:r>
      <w:r>
        <w:rPr>
          <w:rFonts w:ascii="宋体" w:hAnsi="宋体" w:cs="宋体" w:eastAsia="宋体" w:hint="default"/>
          <w:spacing w:val="-32"/>
        </w:rPr>
        <w:t> </w:t>
      </w:r>
      <w:r>
        <w:rPr/>
        <w:t>个月的定期存款延长为</w:t>
      </w:r>
      <w:r>
        <w:rPr>
          <w:spacing w:val="-35"/>
        </w:rPr>
        <w:t> </w:t>
      </w:r>
      <w:r>
        <w:rPr>
          <w:rFonts w:ascii="宋体" w:hAnsi="宋体" w:cs="宋体" w:eastAsia="宋体" w:hint="default"/>
        </w:rPr>
        <w:t>12</w:t>
      </w:r>
      <w:r>
        <w:rPr>
          <w:rFonts w:ascii="宋体" w:hAnsi="宋体" w:cs="宋体" w:eastAsia="宋体" w:hint="default"/>
          <w:spacing w:val="1"/>
        </w:rPr>
        <w:t> </w:t>
      </w:r>
      <w:r>
        <w:rPr/>
        <w:t>个月，计提的至期末定期存款利息增加所致。</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BodyText"/>
        <w:spacing w:line="240" w:lineRule="auto"/>
        <w:ind w:left="613" w:right="1086"/>
        <w:jc w:val="left"/>
      </w:pPr>
      <w:r>
        <w:rPr>
          <w:rFonts w:ascii="宋体" w:hAnsi="宋体" w:cs="宋体" w:eastAsia="宋体" w:hint="default"/>
        </w:rPr>
        <w:t>6.</w:t>
      </w:r>
      <w:r>
        <w:rPr/>
        <w:t>其他应收款</w:t>
      </w:r>
    </w:p>
    <w:p>
      <w:pPr>
        <w:spacing w:line="240" w:lineRule="auto" w:before="6"/>
        <w:rPr>
          <w:rFonts w:ascii="宋体" w:hAnsi="宋体" w:cs="宋体" w:eastAsia="宋体" w:hint="default"/>
          <w:sz w:val="21"/>
          <w:szCs w:val="21"/>
        </w:rPr>
      </w:pPr>
    </w:p>
    <w:p>
      <w:pPr>
        <w:pStyle w:val="BodyText"/>
        <w:spacing w:line="240" w:lineRule="auto"/>
        <w:ind w:left="613" w:right="1086"/>
        <w:jc w:val="left"/>
      </w:pPr>
      <w:r>
        <w:rPr/>
        <w:t>（</w:t>
      </w:r>
      <w:r>
        <w:rPr>
          <w:rFonts w:ascii="宋体" w:hAnsi="宋体" w:cs="宋体" w:eastAsia="宋体" w:hint="default"/>
        </w:rPr>
        <w:t>1</w:t>
      </w:r>
      <w:r>
        <w:rPr/>
        <w:t>）按类别列示</w:t>
      </w:r>
    </w:p>
    <w:p>
      <w:pPr>
        <w:spacing w:line="240" w:lineRule="auto" w:before="3"/>
        <w:rPr>
          <w:rFonts w:ascii="宋体" w:hAnsi="宋体" w:cs="宋体" w:eastAsia="宋体" w:hint="default"/>
          <w:sz w:val="17"/>
          <w:szCs w:val="17"/>
        </w:rPr>
      </w:pPr>
    </w:p>
    <w:p>
      <w:pPr>
        <w:tabs>
          <w:tab w:pos="7283" w:val="left" w:leader="none"/>
        </w:tabs>
        <w:spacing w:before="54"/>
        <w:ind w:left="3385" w:right="1086"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spacing w:after="0"/>
        <w:jc w:val="left"/>
        <w:rPr>
          <w:rFonts w:ascii="宋体" w:hAnsi="宋体" w:cs="宋体" w:eastAsia="宋体" w:hint="default"/>
          <w:sz w:val="15"/>
          <w:szCs w:val="15"/>
        </w:rPr>
        <w:sectPr>
          <w:pgSz w:w="11910" w:h="16840"/>
          <w:pgMar w:header="877" w:footer="1332" w:top="1100" w:bottom="1540" w:left="880" w:right="0"/>
        </w:sectPr>
      </w:pPr>
    </w:p>
    <w:p>
      <w:pPr>
        <w:spacing w:line="240" w:lineRule="auto" w:before="11"/>
        <w:rPr>
          <w:rFonts w:ascii="宋体" w:hAnsi="宋体" w:cs="宋体" w:eastAsia="宋体" w:hint="default"/>
          <w:b/>
          <w:bCs/>
          <w:sz w:val="17"/>
          <w:szCs w:val="17"/>
        </w:rPr>
      </w:pPr>
    </w:p>
    <w:p>
      <w:pPr>
        <w:spacing w:before="0"/>
        <w:ind w:left="682" w:right="0" w:firstLine="0"/>
        <w:jc w:val="center"/>
        <w:rPr>
          <w:rFonts w:ascii="宋体" w:hAnsi="宋体" w:cs="宋体" w:eastAsia="宋体" w:hint="default"/>
          <w:sz w:val="15"/>
          <w:szCs w:val="15"/>
        </w:rPr>
      </w:pPr>
      <w:r>
        <w:rPr>
          <w:rFonts w:ascii="宋体" w:hAnsi="宋体" w:cs="宋体" w:eastAsia="宋体" w:hint="default"/>
          <w:b/>
          <w:bCs/>
          <w:sz w:val="15"/>
          <w:szCs w:val="15"/>
        </w:rPr>
        <w:t>类别</w:t>
      </w:r>
      <w:r>
        <w:rPr>
          <w:rFonts w:ascii="宋体" w:hAnsi="宋体" w:cs="宋体" w:eastAsia="宋体" w:hint="default"/>
          <w:sz w:val="15"/>
          <w:szCs w:val="15"/>
        </w:rPr>
      </w:r>
    </w:p>
    <w:p>
      <w:pPr>
        <w:spacing w:line="240" w:lineRule="auto" w:before="0"/>
        <w:rPr>
          <w:rFonts w:ascii="宋体" w:hAnsi="宋体" w:cs="宋体" w:eastAsia="宋体" w:hint="default"/>
          <w:b/>
          <w:bCs/>
          <w:sz w:val="14"/>
          <w:szCs w:val="14"/>
        </w:rPr>
      </w:pPr>
    </w:p>
    <w:p>
      <w:pPr>
        <w:spacing w:line="240" w:lineRule="auto" w:before="0"/>
        <w:rPr>
          <w:rFonts w:ascii="宋体" w:hAnsi="宋体" w:cs="宋体" w:eastAsia="宋体" w:hint="default"/>
          <w:b/>
          <w:bCs/>
          <w:sz w:val="14"/>
          <w:szCs w:val="14"/>
        </w:rPr>
      </w:pPr>
    </w:p>
    <w:p>
      <w:pPr>
        <w:spacing w:line="240" w:lineRule="auto" w:before="3"/>
        <w:rPr>
          <w:rFonts w:ascii="宋体" w:hAnsi="宋体" w:cs="宋体" w:eastAsia="宋体" w:hint="default"/>
          <w:b/>
          <w:bCs/>
          <w:sz w:val="16"/>
          <w:szCs w:val="16"/>
        </w:rPr>
      </w:pPr>
    </w:p>
    <w:p>
      <w:pPr>
        <w:spacing w:before="0"/>
        <w:ind w:left="682" w:right="0" w:firstLine="0"/>
        <w:jc w:val="center"/>
        <w:rPr>
          <w:rFonts w:ascii="宋体" w:hAnsi="宋体" w:cs="宋体" w:eastAsia="宋体" w:hint="default"/>
          <w:sz w:val="15"/>
          <w:szCs w:val="15"/>
        </w:rPr>
      </w:pPr>
      <w:r>
        <w:rPr/>
        <w:pict>
          <v:group style="position:absolute;margin-left:72.503998pt;margin-top:-1.200243pt;width:450.35pt;height:.5pt;mso-position-horizontal-relative:page;mso-position-vertical-relative:paragraph;z-index:2176" coordorigin="1450,-24" coordsize="9007,10">
            <v:group style="position:absolute;left:1455;top:-19;width:1196;height:2" coordorigin="1455,-19" coordsize="1196,2">
              <v:shape style="position:absolute;left:1455;top:-19;width:1196;height:2" coordorigin="1455,-19" coordsize="1196,0" path="m1455,-19l2650,-19e" filled="false" stroked="true" strokeweight=".48pt" strokecolor="#000000">
                <v:path arrowok="t"/>
              </v:shape>
            </v:group>
            <v:group style="position:absolute;left:2650;top:-19;width:10;height:2" coordorigin="2650,-19" coordsize="10,2">
              <v:shape style="position:absolute;left:2650;top:-19;width:10;height:2" coordorigin="2650,-19" coordsize="10,0" path="m2650,-19l2660,-19e" filled="false" stroked="true" strokeweight=".48pt" strokecolor="#000000">
                <v:path arrowok="t"/>
              </v:shape>
            </v:group>
            <v:group style="position:absolute;left:2660;top:-19;width:1268;height:2" coordorigin="2660,-19" coordsize="1268,2">
              <v:shape style="position:absolute;left:2660;top:-19;width:1268;height:2" coordorigin="2660,-19" coordsize="1268,0" path="m2660,-19l3927,-19e" filled="false" stroked="true" strokeweight=".48pt" strokecolor="#000000">
                <v:path arrowok="t"/>
              </v:shape>
            </v:group>
            <v:group style="position:absolute;left:3927;top:-19;width:10;height:2" coordorigin="3927,-19" coordsize="10,2">
              <v:shape style="position:absolute;left:3927;top:-19;width:10;height:2" coordorigin="3927,-19" coordsize="10,0" path="m3927,-19l3937,-19e" filled="false" stroked="true" strokeweight=".48pt" strokecolor="#000000">
                <v:path arrowok="t"/>
              </v:shape>
            </v:group>
            <v:group style="position:absolute;left:3937;top:-19;width:699;height:2" coordorigin="3937,-19" coordsize="699,2">
              <v:shape style="position:absolute;left:3937;top:-19;width:699;height:2" coordorigin="3937,-19" coordsize="699,0" path="m3937,-19l4635,-19e" filled="false" stroked="true" strokeweight=".48pt" strokecolor="#000000">
                <v:path arrowok="t"/>
              </v:shape>
            </v:group>
            <v:group style="position:absolute;left:4635;top:-19;width:10;height:2" coordorigin="4635,-19" coordsize="10,2">
              <v:shape style="position:absolute;left:4635;top:-19;width:10;height:2" coordorigin="4635,-19" coordsize="10,0" path="m4635,-19l4645,-19e" filled="false" stroked="true" strokeweight=".48pt" strokecolor="#000000">
                <v:path arrowok="t"/>
              </v:shape>
            </v:group>
            <v:group style="position:absolute;left:4645;top:-19;width:1124;height:2" coordorigin="4645,-19" coordsize="1124,2">
              <v:shape style="position:absolute;left:4645;top:-19;width:1124;height:2" coordorigin="4645,-19" coordsize="1124,0" path="m4645,-19l5768,-19e" filled="false" stroked="true" strokeweight=".48pt" strokecolor="#000000">
                <v:path arrowok="t"/>
              </v:shape>
            </v:group>
            <v:group style="position:absolute;left:5768;top:-19;width:10;height:2" coordorigin="5768,-19" coordsize="10,2">
              <v:shape style="position:absolute;left:5768;top:-19;width:10;height:2" coordorigin="5768,-19" coordsize="10,0" path="m5768,-19l5778,-19e" filled="false" stroked="true" strokeweight=".48pt" strokecolor="#000000">
                <v:path arrowok="t"/>
              </v:shape>
            </v:group>
            <v:group style="position:absolute;left:5778;top:-19;width:702;height:2" coordorigin="5778,-19" coordsize="702,2">
              <v:shape style="position:absolute;left:5778;top:-19;width:702;height:2" coordorigin="5778,-19" coordsize="702,0" path="m5778,-19l6479,-19e" filled="false" stroked="true" strokeweight=".48pt" strokecolor="#000000">
                <v:path arrowok="t"/>
              </v:shape>
            </v:group>
            <v:group style="position:absolute;left:6479;top:-19;width:10;height:2" coordorigin="6479,-19" coordsize="10,2">
              <v:shape style="position:absolute;left:6479;top:-19;width:10;height:2" coordorigin="6479,-19" coordsize="10,0" path="m6479,-19l6489,-19e" filled="false" stroked="true" strokeweight=".48pt" strokecolor="#000000">
                <v:path arrowok="t"/>
              </v:shape>
            </v:group>
            <v:group style="position:absolute;left:6489;top:-19;width:1265;height:2" coordorigin="6489,-19" coordsize="1265,2">
              <v:shape style="position:absolute;left:6489;top:-19;width:1265;height:2" coordorigin="6489,-19" coordsize="1265,0" path="m6489,-19l7753,-19e" filled="false" stroked="true" strokeweight=".48pt" strokecolor="#000000">
                <v:path arrowok="t"/>
              </v:shape>
            </v:group>
            <v:group style="position:absolute;left:7753;top:-19;width:10;height:2" coordorigin="7753,-19" coordsize="10,2">
              <v:shape style="position:absolute;left:7753;top:-19;width:10;height:2" coordorigin="7753,-19" coordsize="10,0" path="m7753,-19l7763,-19e" filled="false" stroked="true" strokeweight=".48pt" strokecolor="#000000">
                <v:path arrowok="t"/>
              </v:shape>
            </v:group>
            <v:group style="position:absolute;left:7763;top:-19;width:701;height:2" coordorigin="7763,-19" coordsize="701,2">
              <v:shape style="position:absolute;left:7763;top:-19;width:701;height:2" coordorigin="7763,-19" coordsize="701,0" path="m7763,-19l8464,-19e" filled="false" stroked="true" strokeweight=".48pt" strokecolor="#000000">
                <v:path arrowok="t"/>
              </v:shape>
            </v:group>
            <v:group style="position:absolute;left:8464;top:-19;width:10;height:2" coordorigin="8464,-19" coordsize="10,2">
              <v:shape style="position:absolute;left:8464;top:-19;width:10;height:2" coordorigin="8464,-19" coordsize="10,0" path="m8464,-19l8473,-19e" filled="false" stroked="true" strokeweight=".48pt" strokecolor="#000000">
                <v:path arrowok="t"/>
              </v:shape>
            </v:group>
            <v:group style="position:absolute;left:8473;top:-19;width:1124;height:2" coordorigin="8473,-19" coordsize="1124,2">
              <v:shape style="position:absolute;left:8473;top:-19;width:1124;height:2" coordorigin="8473,-19" coordsize="1124,0" path="m8473,-19l9597,-19e" filled="false" stroked="true" strokeweight=".48pt" strokecolor="#000000">
                <v:path arrowok="t"/>
              </v:shape>
            </v:group>
            <v:group style="position:absolute;left:9597;top:-19;width:10;height:2" coordorigin="9597,-19" coordsize="10,2">
              <v:shape style="position:absolute;left:9597;top:-19;width:10;height:2" coordorigin="9597,-19" coordsize="10,0" path="m9597,-19l9607,-19e" filled="false" stroked="true" strokeweight=".48pt" strokecolor="#000000">
                <v:path arrowok="t"/>
              </v:shape>
            </v:group>
            <v:group style="position:absolute;left:9607;top:-19;width:845;height:2" coordorigin="9607,-19" coordsize="845,2">
              <v:shape style="position:absolute;left:9607;top:-19;width:845;height:2" coordorigin="9607,-19" coordsize="845,0" path="m9607,-19l10452,-19e" filled="false" stroked="true" strokeweight=".48pt" strokecolor="#000000">
                <v:path arrowok="t"/>
              </v:shape>
            </v:group>
            <w10:wrap type="none"/>
          </v:group>
        </w:pict>
      </w:r>
      <w:r>
        <w:rPr>
          <w:rFonts w:ascii="宋体" w:hAnsi="宋体" w:cs="宋体" w:eastAsia="宋体" w:hint="default"/>
          <w:spacing w:val="-1"/>
          <w:sz w:val="15"/>
          <w:szCs w:val="15"/>
        </w:rPr>
        <w:t>单项金额重大</w:t>
      </w:r>
    </w:p>
    <w:p>
      <w:pPr>
        <w:spacing w:line="240" w:lineRule="auto" w:before="3"/>
        <w:rPr>
          <w:rFonts w:ascii="宋体" w:hAnsi="宋体" w:cs="宋体" w:eastAsia="宋体" w:hint="default"/>
          <w:sz w:val="18"/>
          <w:szCs w:val="18"/>
        </w:rPr>
      </w:pPr>
      <w:r>
        <w:rPr/>
        <w:br w:type="column"/>
      </w:r>
      <w:r>
        <w:rPr>
          <w:rFonts w:ascii="宋体"/>
          <w:sz w:val="18"/>
        </w:rPr>
      </w:r>
    </w:p>
    <w:p>
      <w:pPr>
        <w:tabs>
          <w:tab w:pos="2545" w:val="left" w:leader="none"/>
        </w:tabs>
        <w:spacing w:line="237" w:lineRule="exact" w:before="0"/>
        <w:ind w:left="1549" w:right="-19" w:firstLine="0"/>
        <w:jc w:val="left"/>
        <w:rPr>
          <w:rFonts w:ascii="宋体" w:hAnsi="宋体" w:cs="宋体" w:eastAsia="宋体" w:hint="default"/>
          <w:sz w:val="15"/>
          <w:szCs w:val="15"/>
        </w:rPr>
      </w:pPr>
      <w:r>
        <w:rPr>
          <w:rFonts w:ascii="宋体" w:hAnsi="宋体" w:cs="宋体" w:eastAsia="宋体" w:hint="default"/>
          <w:b/>
          <w:bCs/>
          <w:sz w:val="15"/>
          <w:szCs w:val="15"/>
        </w:rPr>
        <w:t>占总额</w:t>
        <w:tab/>
      </w:r>
      <w:r>
        <w:rPr>
          <w:rFonts w:ascii="宋体" w:hAnsi="宋体" w:cs="宋体" w:eastAsia="宋体" w:hint="default"/>
          <w:b/>
          <w:bCs/>
          <w:position w:val="-7"/>
          <w:sz w:val="15"/>
          <w:szCs w:val="15"/>
        </w:rPr>
        <w:t>坏账</w:t>
      </w:r>
      <w:r>
        <w:rPr>
          <w:rFonts w:ascii="宋体" w:hAnsi="宋体" w:cs="宋体" w:eastAsia="宋体" w:hint="default"/>
          <w:sz w:val="15"/>
          <w:szCs w:val="15"/>
        </w:rPr>
      </w:r>
    </w:p>
    <w:p>
      <w:pPr>
        <w:tabs>
          <w:tab w:pos="1626" w:val="left" w:leader="none"/>
        </w:tabs>
        <w:spacing w:line="114" w:lineRule="exact" w:before="0"/>
        <w:ind w:left="634" w:right="-19" w:firstLine="0"/>
        <w:jc w:val="left"/>
        <w:rPr>
          <w:rFonts w:ascii="宋体" w:hAnsi="宋体" w:cs="宋体" w:eastAsia="宋体" w:hint="default"/>
          <w:sz w:val="15"/>
          <w:szCs w:val="15"/>
        </w:rPr>
      </w:pPr>
      <w:r>
        <w:rPr>
          <w:rFonts w:ascii="宋体" w:hAnsi="宋体" w:cs="宋体" w:eastAsia="宋体" w:hint="default"/>
          <w:b/>
          <w:bCs/>
          <w:sz w:val="15"/>
          <w:szCs w:val="15"/>
        </w:rPr>
        <w:t>金额</w:t>
        <w:tab/>
        <w:t>比例</w:t>
      </w:r>
      <w:r>
        <w:rPr>
          <w:rFonts w:ascii="宋体" w:hAnsi="宋体" w:cs="宋体" w:eastAsia="宋体" w:hint="default"/>
          <w:sz w:val="15"/>
          <w:szCs w:val="15"/>
        </w:rPr>
      </w:r>
    </w:p>
    <w:p>
      <w:pPr>
        <w:tabs>
          <w:tab w:pos="2545" w:val="left" w:leader="none"/>
        </w:tabs>
        <w:spacing w:line="234" w:lineRule="exact" w:before="0"/>
        <w:ind w:left="1587" w:right="-19" w:firstLine="0"/>
        <w:jc w:val="left"/>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b/>
          <w:bCs/>
          <w:sz w:val="15"/>
          <w:szCs w:val="15"/>
        </w:rPr>
        <w:t>）</w:t>
        <w:tab/>
      </w:r>
      <w:r>
        <w:rPr>
          <w:rFonts w:ascii="宋体" w:hAnsi="宋体" w:cs="宋体" w:eastAsia="宋体" w:hint="default"/>
          <w:b/>
          <w:bCs/>
          <w:position w:val="8"/>
          <w:sz w:val="15"/>
          <w:szCs w:val="15"/>
        </w:rPr>
        <w:t>准备</w:t>
      </w:r>
      <w:r>
        <w:rPr>
          <w:rFonts w:ascii="宋体" w:hAnsi="宋体" w:cs="宋体" w:eastAsia="宋体" w:hint="default"/>
          <w:sz w:val="15"/>
          <w:szCs w:val="15"/>
        </w:rPr>
      </w:r>
    </w:p>
    <w:p>
      <w:pPr>
        <w:spacing w:line="240" w:lineRule="auto" w:before="11"/>
        <w:rPr>
          <w:rFonts w:ascii="宋体" w:hAnsi="宋体" w:cs="宋体" w:eastAsia="宋体" w:hint="default"/>
          <w:b/>
          <w:bCs/>
          <w:sz w:val="10"/>
          <w:szCs w:val="10"/>
        </w:rPr>
      </w:pPr>
      <w:r>
        <w:rPr/>
        <w:br w:type="column"/>
      </w:r>
      <w:r>
        <w:rPr>
          <w:rFonts w:ascii="宋体"/>
          <w:b/>
          <w:sz w:val="10"/>
        </w:rPr>
      </w:r>
    </w:p>
    <w:p>
      <w:pPr>
        <w:spacing w:before="0"/>
        <w:ind w:left="504" w:right="0" w:firstLine="0"/>
        <w:jc w:val="both"/>
        <w:rPr>
          <w:rFonts w:ascii="宋体" w:hAnsi="宋体" w:cs="宋体" w:eastAsia="宋体" w:hint="default"/>
          <w:sz w:val="15"/>
          <w:szCs w:val="15"/>
        </w:rPr>
      </w:pPr>
      <w:r>
        <w:rPr>
          <w:rFonts w:ascii="宋体" w:hAnsi="宋体" w:cs="宋体" w:eastAsia="宋体" w:hint="default"/>
          <w:b/>
          <w:bCs/>
          <w:sz w:val="15"/>
          <w:szCs w:val="15"/>
        </w:rPr>
        <w:t>坏账准</w:t>
      </w:r>
      <w:r>
        <w:rPr>
          <w:rFonts w:ascii="宋体" w:hAnsi="宋体" w:cs="宋体" w:eastAsia="宋体" w:hint="default"/>
          <w:b/>
          <w:bCs/>
          <w:w w:val="100"/>
          <w:sz w:val="15"/>
          <w:szCs w:val="15"/>
        </w:rPr>
        <w:t> </w:t>
      </w:r>
      <w:r>
        <w:rPr>
          <w:rFonts w:ascii="宋体" w:hAnsi="宋体" w:cs="宋体" w:eastAsia="宋体" w:hint="default"/>
          <w:b/>
          <w:bCs/>
          <w:sz w:val="15"/>
          <w:szCs w:val="15"/>
        </w:rPr>
        <w:t>备计提</w:t>
      </w:r>
      <w:r>
        <w:rPr>
          <w:rFonts w:ascii="宋体" w:hAnsi="宋体" w:cs="宋体" w:eastAsia="宋体" w:hint="default"/>
          <w:b/>
          <w:bCs/>
          <w:w w:val="100"/>
          <w:sz w:val="15"/>
          <w:szCs w:val="15"/>
        </w:rPr>
        <w:t> </w:t>
      </w:r>
      <w:r>
        <w:rPr>
          <w:rFonts w:ascii="宋体" w:hAnsi="宋体" w:cs="宋体" w:eastAsia="宋体" w:hint="default"/>
          <w:b/>
          <w:bCs/>
          <w:sz w:val="15"/>
          <w:szCs w:val="15"/>
        </w:rPr>
        <w:t>比例</w:t>
      </w:r>
      <w:r>
        <w:rPr>
          <w:rFonts w:ascii="宋体" w:hAnsi="宋体" w:cs="宋体" w:eastAsia="宋体" w:hint="default"/>
          <w:sz w:val="15"/>
          <w:szCs w:val="15"/>
        </w:rPr>
      </w:r>
    </w:p>
    <w:p>
      <w:pPr>
        <w:spacing w:line="192" w:lineRule="exact" w:before="0"/>
        <w:ind w:left="543" w:right="0" w:firstLine="0"/>
        <w:jc w:val="both"/>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3"/>
        <w:rPr>
          <w:rFonts w:ascii="宋体" w:hAnsi="宋体" w:cs="宋体" w:eastAsia="宋体" w:hint="default"/>
          <w:b/>
          <w:bCs/>
          <w:sz w:val="18"/>
          <w:szCs w:val="18"/>
        </w:rPr>
      </w:pPr>
      <w:r>
        <w:rPr/>
        <w:br w:type="column"/>
      </w:r>
      <w:r>
        <w:rPr>
          <w:rFonts w:ascii="宋体"/>
          <w:b/>
          <w:sz w:val="18"/>
        </w:rPr>
      </w:r>
    </w:p>
    <w:p>
      <w:pPr>
        <w:spacing w:before="0"/>
        <w:ind w:left="0" w:right="0" w:firstLine="0"/>
        <w:jc w:val="right"/>
        <w:rPr>
          <w:rFonts w:ascii="宋体" w:hAnsi="宋体" w:cs="宋体" w:eastAsia="宋体" w:hint="default"/>
          <w:sz w:val="15"/>
          <w:szCs w:val="15"/>
        </w:rPr>
      </w:pPr>
      <w:r>
        <w:rPr>
          <w:rFonts w:ascii="宋体" w:hAnsi="宋体" w:cs="宋体" w:eastAsia="宋体" w:hint="default"/>
          <w:b/>
          <w:bCs/>
          <w:sz w:val="15"/>
          <w:szCs w:val="15"/>
        </w:rPr>
        <w:t>占总额</w:t>
      </w:r>
      <w:r>
        <w:rPr>
          <w:rFonts w:ascii="宋体" w:hAnsi="宋体" w:cs="宋体" w:eastAsia="宋体" w:hint="default"/>
          <w:sz w:val="15"/>
          <w:szCs w:val="15"/>
        </w:rPr>
      </w:r>
    </w:p>
    <w:p>
      <w:pPr>
        <w:tabs>
          <w:tab w:pos="993" w:val="left" w:leader="none"/>
        </w:tabs>
        <w:spacing w:line="194" w:lineRule="exact" w:before="0"/>
        <w:ind w:left="0" w:right="72" w:firstLine="0"/>
        <w:jc w:val="right"/>
        <w:rPr>
          <w:rFonts w:ascii="宋体" w:hAnsi="宋体" w:cs="宋体" w:eastAsia="宋体" w:hint="default"/>
          <w:sz w:val="15"/>
          <w:szCs w:val="15"/>
        </w:rPr>
      </w:pPr>
      <w:r>
        <w:rPr>
          <w:rFonts w:ascii="宋体" w:hAnsi="宋体" w:cs="宋体" w:eastAsia="宋体" w:hint="default"/>
          <w:b/>
          <w:bCs/>
          <w:sz w:val="15"/>
          <w:szCs w:val="15"/>
        </w:rPr>
        <w:t>金额</w:t>
        <w:tab/>
        <w:t>比例</w:t>
      </w:r>
      <w:r>
        <w:rPr>
          <w:rFonts w:ascii="宋体" w:hAnsi="宋体" w:cs="宋体" w:eastAsia="宋体" w:hint="default"/>
          <w:sz w:val="15"/>
          <w:szCs w:val="15"/>
        </w:rPr>
      </w:r>
    </w:p>
    <w:p>
      <w:pPr>
        <w:spacing w:line="194" w:lineRule="exact" w:before="0"/>
        <w:ind w:left="0" w:right="34" w:firstLine="0"/>
        <w:jc w:val="right"/>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0"/>
        <w:rPr>
          <w:rFonts w:ascii="宋体" w:hAnsi="宋体" w:cs="宋体" w:eastAsia="宋体" w:hint="default"/>
          <w:b/>
          <w:bCs/>
          <w:sz w:val="14"/>
          <w:szCs w:val="14"/>
        </w:rPr>
      </w:pPr>
      <w:r>
        <w:rPr/>
        <w:br w:type="column"/>
      </w:r>
      <w:r>
        <w:rPr>
          <w:rFonts w:ascii="宋体"/>
          <w:b/>
          <w:sz w:val="14"/>
        </w:rPr>
      </w:r>
    </w:p>
    <w:p>
      <w:pPr>
        <w:tabs>
          <w:tab w:pos="1347" w:val="left" w:leader="none"/>
        </w:tabs>
        <w:spacing w:line="170" w:lineRule="auto" w:before="105"/>
        <w:ind w:left="1347" w:right="1575" w:hanging="845"/>
        <w:jc w:val="left"/>
        <w:rPr>
          <w:rFonts w:ascii="宋体" w:hAnsi="宋体" w:cs="宋体" w:eastAsia="宋体" w:hint="default"/>
          <w:sz w:val="15"/>
          <w:szCs w:val="15"/>
        </w:rPr>
      </w:pPr>
      <w:r>
        <w:rPr>
          <w:rFonts w:ascii="宋体" w:hAnsi="宋体" w:cs="宋体" w:eastAsia="宋体" w:hint="default"/>
          <w:b/>
          <w:bCs/>
          <w:position w:val="-7"/>
          <w:sz w:val="15"/>
          <w:szCs w:val="15"/>
        </w:rPr>
        <w:t>坏账</w:t>
        <w:tab/>
      </w:r>
      <w:r>
        <w:rPr>
          <w:rFonts w:ascii="宋体" w:hAnsi="宋体" w:cs="宋体" w:eastAsia="宋体" w:hint="default"/>
          <w:b/>
          <w:bCs/>
          <w:sz w:val="15"/>
          <w:szCs w:val="15"/>
        </w:rPr>
        <w:t>坏账准备</w:t>
      </w:r>
      <w:r>
        <w:rPr>
          <w:rFonts w:ascii="宋体" w:hAnsi="宋体" w:cs="宋体" w:eastAsia="宋体" w:hint="default"/>
          <w:b/>
          <w:bCs/>
          <w:spacing w:val="-74"/>
          <w:sz w:val="15"/>
          <w:szCs w:val="15"/>
        </w:rPr>
        <w:t> </w:t>
      </w:r>
      <w:r>
        <w:rPr>
          <w:rFonts w:ascii="宋体" w:hAnsi="宋体" w:cs="宋体" w:eastAsia="宋体" w:hint="default"/>
          <w:b/>
          <w:bCs/>
          <w:spacing w:val="-74"/>
          <w:sz w:val="15"/>
          <w:szCs w:val="15"/>
        </w:rPr>
      </w:r>
      <w:r>
        <w:rPr>
          <w:rFonts w:ascii="宋体" w:hAnsi="宋体" w:cs="宋体" w:eastAsia="宋体" w:hint="default"/>
          <w:b/>
          <w:bCs/>
          <w:sz w:val="15"/>
          <w:szCs w:val="15"/>
        </w:rPr>
        <w:t>计提比例</w:t>
      </w:r>
      <w:r>
        <w:rPr>
          <w:rFonts w:ascii="宋体" w:hAnsi="宋体" w:cs="宋体" w:eastAsia="宋体" w:hint="default"/>
          <w:sz w:val="15"/>
          <w:szCs w:val="15"/>
        </w:rPr>
      </w:r>
    </w:p>
    <w:p>
      <w:pPr>
        <w:tabs>
          <w:tab w:pos="1460" w:val="left" w:leader="none"/>
        </w:tabs>
        <w:spacing w:line="198" w:lineRule="exact" w:before="0"/>
        <w:ind w:left="502" w:right="1575" w:firstLine="0"/>
        <w:jc w:val="left"/>
        <w:rPr>
          <w:rFonts w:ascii="宋体" w:hAnsi="宋体" w:cs="宋体" w:eastAsia="宋体" w:hint="default"/>
          <w:sz w:val="15"/>
          <w:szCs w:val="15"/>
        </w:rPr>
      </w:pPr>
      <w:r>
        <w:rPr>
          <w:rFonts w:ascii="宋体" w:hAnsi="宋体" w:cs="宋体" w:eastAsia="宋体" w:hint="default"/>
          <w:b/>
          <w:bCs/>
          <w:position w:val="8"/>
          <w:sz w:val="15"/>
          <w:szCs w:val="15"/>
        </w:rPr>
        <w:t>准备</w:t>
        <w:tab/>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after="0" w:line="198" w:lineRule="exact"/>
        <w:jc w:val="left"/>
        <w:rPr>
          <w:rFonts w:ascii="宋体" w:hAnsi="宋体" w:cs="宋体" w:eastAsia="宋体" w:hint="default"/>
          <w:sz w:val="15"/>
          <w:szCs w:val="15"/>
        </w:rPr>
        <w:sectPr>
          <w:type w:val="continuous"/>
          <w:pgSz w:w="11910" w:h="16840"/>
          <w:pgMar w:top="880" w:bottom="0" w:left="880" w:right="0"/>
          <w:cols w:num="5" w:equalWidth="0">
            <w:col w:w="1586" w:space="40"/>
            <w:col w:w="2848" w:space="40"/>
            <w:col w:w="959" w:space="40"/>
            <w:col w:w="1946" w:space="40"/>
            <w:col w:w="3531"/>
          </w:cols>
        </w:sectPr>
      </w:pPr>
    </w:p>
    <w:p>
      <w:pPr>
        <w:spacing w:line="235" w:lineRule="auto" w:before="4"/>
        <w:ind w:left="682" w:right="0" w:firstLine="0"/>
        <w:jc w:val="both"/>
        <w:rPr>
          <w:rFonts w:ascii="宋体" w:hAnsi="宋体" w:cs="宋体" w:eastAsia="宋体" w:hint="default"/>
          <w:sz w:val="15"/>
          <w:szCs w:val="15"/>
        </w:rPr>
      </w:pPr>
      <w:r>
        <w:rPr>
          <w:rFonts w:ascii="宋体" w:hAnsi="宋体" w:cs="宋体" w:eastAsia="宋体" w:hint="default"/>
          <w:spacing w:val="-1"/>
          <w:sz w:val="15"/>
          <w:szCs w:val="15"/>
        </w:rPr>
        <w:t>并单项计提坏</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2"/>
          <w:sz w:val="15"/>
          <w:szCs w:val="15"/>
        </w:rPr>
        <w:t>账准备的其他</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应收款</w:t>
      </w:r>
    </w:p>
    <w:p>
      <w:pPr>
        <w:spacing w:line="237" w:lineRule="auto" w:before="98"/>
        <w:ind w:left="682" w:right="0" w:firstLine="0"/>
        <w:jc w:val="both"/>
        <w:rPr>
          <w:rFonts w:ascii="宋体" w:hAnsi="宋体" w:cs="宋体" w:eastAsia="宋体" w:hint="default"/>
          <w:sz w:val="15"/>
          <w:szCs w:val="15"/>
        </w:rPr>
      </w:pPr>
      <w:r>
        <w:rPr>
          <w:rFonts w:ascii="宋体" w:hAnsi="宋体" w:cs="宋体" w:eastAsia="宋体" w:hint="default"/>
          <w:spacing w:val="-1"/>
          <w:sz w:val="15"/>
          <w:szCs w:val="15"/>
        </w:rPr>
        <w:t>按组合计提坏</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1"/>
          <w:sz w:val="15"/>
          <w:szCs w:val="15"/>
        </w:rPr>
        <w:t>账准备的其他</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应收款</w:t>
      </w:r>
    </w:p>
    <w:p>
      <w:pPr>
        <w:spacing w:line="240" w:lineRule="auto" w:before="13"/>
        <w:rPr>
          <w:rFonts w:ascii="宋体" w:hAnsi="宋体" w:cs="宋体" w:eastAsia="宋体" w:hint="default"/>
          <w:sz w:val="11"/>
          <w:szCs w:val="11"/>
        </w:rPr>
      </w:pPr>
    </w:p>
    <w:p>
      <w:pPr>
        <w:spacing w:before="0"/>
        <w:ind w:left="682" w:right="0" w:firstLine="0"/>
        <w:jc w:val="both"/>
        <w:rPr>
          <w:rFonts w:ascii="宋体" w:hAnsi="宋体" w:cs="宋体" w:eastAsia="宋体" w:hint="default"/>
          <w:sz w:val="15"/>
          <w:szCs w:val="15"/>
        </w:rPr>
      </w:pPr>
      <w:r>
        <w:rPr>
          <w:rFonts w:ascii="宋体" w:hAnsi="宋体" w:cs="宋体" w:eastAsia="宋体" w:hint="default"/>
          <w:sz w:val="15"/>
          <w:szCs w:val="15"/>
        </w:rPr>
        <w:t>账龄分析法</w:t>
      </w:r>
    </w:p>
    <w:p>
      <w:pPr>
        <w:tabs>
          <w:tab w:pos="1647" w:val="left" w:leader="none"/>
          <w:tab w:pos="2403" w:val="left" w:leader="none"/>
          <w:tab w:pos="3565" w:val="left" w:leader="none"/>
          <w:tab w:pos="4168" w:val="left" w:leader="none"/>
          <w:tab w:pos="5476" w:val="left" w:leader="none"/>
          <w:tab w:pos="6083" w:val="left" w:leader="none"/>
          <w:tab w:pos="7538" w:val="left" w:leader="none"/>
        </w:tabs>
        <w:spacing w:before="96"/>
        <w:ind w:left="341" w:right="0" w:firstLine="0"/>
        <w:jc w:val="left"/>
        <w:rPr>
          <w:rFonts w:ascii="宋体" w:hAnsi="宋体" w:cs="宋体" w:eastAsia="宋体" w:hint="default"/>
          <w:sz w:val="15"/>
          <w:szCs w:val="15"/>
        </w:rPr>
      </w:pPr>
      <w:r>
        <w:rPr>
          <w:spacing w:val="-2"/>
        </w:rPr>
        <w:br w:type="column"/>
      </w:r>
      <w:r>
        <w:rPr>
          <w:rFonts w:ascii="宋体"/>
          <w:spacing w:val="-2"/>
          <w:sz w:val="15"/>
        </w:rPr>
        <w:t>34,582,547.05</w:t>
        <w:tab/>
      </w:r>
      <w:r>
        <w:rPr>
          <w:rFonts w:ascii="宋体"/>
          <w:spacing w:val="-1"/>
          <w:sz w:val="15"/>
        </w:rPr>
        <w:t>58.41</w:t>
        <w:tab/>
        <w:t>946,976.41</w:t>
        <w:tab/>
        <w:t>2.74</w:t>
        <w:tab/>
      </w:r>
      <w:r>
        <w:rPr>
          <w:rFonts w:ascii="宋体"/>
          <w:spacing w:val="-2"/>
          <w:sz w:val="15"/>
        </w:rPr>
        <w:t>43,811,868.00</w:t>
        <w:tab/>
      </w:r>
      <w:r>
        <w:rPr>
          <w:rFonts w:ascii="宋体"/>
          <w:spacing w:val="-1"/>
          <w:sz w:val="15"/>
        </w:rPr>
        <w:t>69.32</w:t>
        <w:tab/>
      </w:r>
      <w:r>
        <w:rPr>
          <w:rFonts w:ascii="宋体"/>
          <w:spacing w:val="-2"/>
          <w:sz w:val="15"/>
        </w:rPr>
        <w:t>1,365,701.21</w:t>
        <w:tab/>
      </w:r>
      <w:r>
        <w:rPr>
          <w:rFonts w:ascii="宋体"/>
          <w:spacing w:val="-1"/>
          <w:sz w:val="15"/>
        </w:rPr>
        <w:t>3.12</w:t>
      </w:r>
    </w:p>
    <w:p>
      <w:pPr>
        <w:spacing w:after="0"/>
        <w:jc w:val="left"/>
        <w:rPr>
          <w:rFonts w:ascii="宋体" w:hAnsi="宋体" w:cs="宋体" w:eastAsia="宋体" w:hint="default"/>
          <w:sz w:val="15"/>
          <w:szCs w:val="15"/>
        </w:rPr>
        <w:sectPr>
          <w:type w:val="continuous"/>
          <w:pgSz w:w="11910" w:h="16840"/>
          <w:pgMar w:top="880" w:bottom="0" w:left="880" w:right="0"/>
          <w:cols w:num="2" w:equalWidth="0">
            <w:col w:w="1586" w:space="40"/>
            <w:col w:w="9404"/>
          </w:cols>
        </w:sectPr>
      </w:pPr>
    </w:p>
    <w:p>
      <w:pPr>
        <w:spacing w:line="240" w:lineRule="auto" w:before="6"/>
        <w:rPr>
          <w:rFonts w:ascii="宋体" w:hAnsi="宋体" w:cs="宋体" w:eastAsia="宋体" w:hint="default"/>
          <w:sz w:val="10"/>
          <w:szCs w:val="10"/>
        </w:rPr>
      </w:pPr>
    </w:p>
    <w:p>
      <w:pPr>
        <w:spacing w:line="237" w:lineRule="auto" w:before="0"/>
        <w:ind w:left="682" w:right="9439" w:firstLine="0"/>
        <w:jc w:val="both"/>
        <w:rPr>
          <w:rFonts w:ascii="宋体" w:hAnsi="宋体" w:cs="宋体" w:eastAsia="宋体" w:hint="default"/>
          <w:sz w:val="15"/>
          <w:szCs w:val="15"/>
        </w:rPr>
      </w:pPr>
      <w:r>
        <w:rPr/>
        <w:pict>
          <v:shape style="position:absolute;margin-left:140.589996pt;margin-top:-19.384703pt;width:378.4pt;height:43.95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76"/>
                    <w:gridCol w:w="731"/>
                    <w:gridCol w:w="1148"/>
                    <w:gridCol w:w="656"/>
                    <w:gridCol w:w="1292"/>
                    <w:gridCol w:w="732"/>
                    <w:gridCol w:w="1219"/>
                    <w:gridCol w:w="613"/>
                  </w:tblGrid>
                  <w:tr>
                    <w:trPr>
                      <w:trHeight w:val="489"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3"/>
                          <w:jc w:val="right"/>
                          <w:rPr>
                            <w:rFonts w:ascii="宋体" w:hAnsi="宋体" w:cs="宋体" w:eastAsia="宋体" w:hint="default"/>
                            <w:sz w:val="15"/>
                            <w:szCs w:val="15"/>
                          </w:rPr>
                        </w:pPr>
                        <w:r>
                          <w:rPr>
                            <w:rFonts w:ascii="宋体"/>
                            <w:spacing w:val="-2"/>
                            <w:sz w:val="15"/>
                          </w:rPr>
                          <w:t>15,056,966.63</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
                          <w:jc w:val="center"/>
                          <w:rPr>
                            <w:rFonts w:ascii="宋体" w:hAnsi="宋体" w:cs="宋体" w:eastAsia="宋体" w:hint="default"/>
                            <w:sz w:val="15"/>
                            <w:szCs w:val="15"/>
                          </w:rPr>
                        </w:pPr>
                        <w:r>
                          <w:rPr>
                            <w:rFonts w:ascii="宋体"/>
                            <w:sz w:val="15"/>
                          </w:rPr>
                          <w:t>25.43</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
                          <w:jc w:val="center"/>
                          <w:rPr>
                            <w:rFonts w:ascii="宋体" w:hAnsi="宋体" w:cs="宋体" w:eastAsia="宋体" w:hint="default"/>
                            <w:sz w:val="15"/>
                            <w:szCs w:val="15"/>
                          </w:rPr>
                        </w:pPr>
                        <w:r>
                          <w:rPr>
                            <w:rFonts w:ascii="宋体"/>
                            <w:sz w:val="15"/>
                          </w:rPr>
                          <w:t>800,848.33</w:t>
                        </w:r>
                      </w:p>
                    </w:tc>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8"/>
                          <w:jc w:val="right"/>
                          <w:rPr>
                            <w:rFonts w:ascii="宋体" w:hAnsi="宋体" w:cs="宋体" w:eastAsia="宋体" w:hint="default"/>
                            <w:sz w:val="15"/>
                            <w:szCs w:val="15"/>
                          </w:rPr>
                        </w:pPr>
                        <w:r>
                          <w:rPr>
                            <w:rFonts w:ascii="宋体"/>
                            <w:spacing w:val="-1"/>
                            <w:sz w:val="15"/>
                          </w:rPr>
                          <w:t>5.32</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4"/>
                          <w:jc w:val="right"/>
                          <w:rPr>
                            <w:rFonts w:ascii="宋体" w:hAnsi="宋体" w:cs="宋体" w:eastAsia="宋体" w:hint="default"/>
                            <w:sz w:val="15"/>
                            <w:szCs w:val="15"/>
                          </w:rPr>
                        </w:pPr>
                        <w:r>
                          <w:rPr>
                            <w:rFonts w:ascii="宋体"/>
                            <w:spacing w:val="-2"/>
                            <w:sz w:val="15"/>
                          </w:rPr>
                          <w:t>5,419,357.43</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8"/>
                          <w:jc w:val="right"/>
                          <w:rPr>
                            <w:rFonts w:ascii="宋体" w:hAnsi="宋体" w:cs="宋体" w:eastAsia="宋体" w:hint="default"/>
                            <w:sz w:val="15"/>
                            <w:szCs w:val="15"/>
                          </w:rPr>
                        </w:pPr>
                        <w:r>
                          <w:rPr>
                            <w:rFonts w:ascii="宋体"/>
                            <w:spacing w:val="-1"/>
                            <w:sz w:val="15"/>
                          </w:rPr>
                          <w:t>8.57</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90" w:right="0"/>
                          <w:jc w:val="left"/>
                          <w:rPr>
                            <w:rFonts w:ascii="宋体" w:hAnsi="宋体" w:cs="宋体" w:eastAsia="宋体" w:hint="default"/>
                            <w:sz w:val="15"/>
                            <w:szCs w:val="15"/>
                          </w:rPr>
                        </w:pPr>
                        <w:r>
                          <w:rPr>
                            <w:rFonts w:ascii="宋体"/>
                            <w:sz w:val="15"/>
                          </w:rPr>
                          <w:t>278,841.33</w:t>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5"/>
                            <w:szCs w:val="15"/>
                          </w:rPr>
                        </w:pPr>
                        <w:r>
                          <w:rPr>
                            <w:rFonts w:ascii="宋体"/>
                            <w:spacing w:val="-1"/>
                            <w:sz w:val="15"/>
                          </w:rPr>
                          <w:t>5.15</w:t>
                        </w:r>
                      </w:p>
                    </w:tc>
                  </w:tr>
                  <w:tr>
                    <w:trPr>
                      <w:trHeight w:val="389" w:hRule="exact"/>
                    </w:trPr>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63"/>
                          <w:jc w:val="right"/>
                          <w:rPr>
                            <w:rFonts w:ascii="宋体" w:hAnsi="宋体" w:cs="宋体" w:eastAsia="宋体" w:hint="default"/>
                            <w:sz w:val="15"/>
                            <w:szCs w:val="15"/>
                          </w:rPr>
                        </w:pPr>
                        <w:r>
                          <w:rPr>
                            <w:rFonts w:ascii="宋体"/>
                            <w:spacing w:val="-2"/>
                            <w:sz w:val="15"/>
                          </w:rPr>
                          <w:t>9,571,676.45</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center"/>
                          <w:rPr>
                            <w:rFonts w:ascii="宋体" w:hAnsi="宋体" w:cs="宋体" w:eastAsia="宋体" w:hint="default"/>
                            <w:sz w:val="15"/>
                            <w:szCs w:val="15"/>
                          </w:rPr>
                        </w:pPr>
                        <w:r>
                          <w:rPr>
                            <w:rFonts w:ascii="宋体"/>
                            <w:sz w:val="15"/>
                          </w:rPr>
                          <w:t>16.16</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1"/>
                          <w:jc w:val="center"/>
                          <w:rPr>
                            <w:rFonts w:ascii="宋体" w:hAnsi="宋体" w:cs="宋体" w:eastAsia="宋体" w:hint="default"/>
                            <w:sz w:val="15"/>
                            <w:szCs w:val="15"/>
                          </w:rPr>
                        </w:pPr>
                        <w:r>
                          <w:rPr>
                            <w:rFonts w:ascii="宋体"/>
                            <w:sz w:val="15"/>
                          </w:rPr>
                          <w:t>106,991.30</w:t>
                        </w:r>
                      </w:p>
                    </w:tc>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48"/>
                          <w:jc w:val="right"/>
                          <w:rPr>
                            <w:rFonts w:ascii="宋体" w:hAnsi="宋体" w:cs="宋体" w:eastAsia="宋体" w:hint="default"/>
                            <w:sz w:val="15"/>
                            <w:szCs w:val="15"/>
                          </w:rPr>
                        </w:pPr>
                        <w:r>
                          <w:rPr>
                            <w:rFonts w:ascii="宋体"/>
                            <w:spacing w:val="-1"/>
                            <w:sz w:val="15"/>
                          </w:rPr>
                          <w:t>1.12</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64"/>
                          <w:jc w:val="right"/>
                          <w:rPr>
                            <w:rFonts w:ascii="宋体" w:hAnsi="宋体" w:cs="宋体" w:eastAsia="宋体" w:hint="default"/>
                            <w:sz w:val="15"/>
                            <w:szCs w:val="15"/>
                          </w:rPr>
                        </w:pPr>
                        <w:r>
                          <w:rPr>
                            <w:rFonts w:ascii="宋体"/>
                            <w:spacing w:val="-2"/>
                            <w:sz w:val="15"/>
                          </w:rPr>
                          <w:t>13,973,672.50</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88"/>
                          <w:jc w:val="right"/>
                          <w:rPr>
                            <w:rFonts w:ascii="宋体" w:hAnsi="宋体" w:cs="宋体" w:eastAsia="宋体" w:hint="default"/>
                            <w:sz w:val="15"/>
                            <w:szCs w:val="15"/>
                          </w:rPr>
                        </w:pPr>
                        <w:r>
                          <w:rPr>
                            <w:rFonts w:ascii="宋体"/>
                            <w:spacing w:val="-1"/>
                            <w:sz w:val="15"/>
                          </w:rPr>
                          <w:t>22.11</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90" w:right="0"/>
                          <w:jc w:val="left"/>
                          <w:rPr>
                            <w:rFonts w:ascii="宋体" w:hAnsi="宋体" w:cs="宋体" w:eastAsia="宋体" w:hint="default"/>
                            <w:sz w:val="15"/>
                            <w:szCs w:val="15"/>
                          </w:rPr>
                        </w:pPr>
                        <w:r>
                          <w:rPr>
                            <w:rFonts w:ascii="宋体"/>
                            <w:sz w:val="15"/>
                          </w:rPr>
                          <w:t>457,307.18</w:t>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5"/>
                            <w:szCs w:val="15"/>
                          </w:rPr>
                        </w:pPr>
                        <w:r>
                          <w:rPr>
                            <w:rFonts w:ascii="宋体"/>
                            <w:spacing w:val="-1"/>
                            <w:sz w:val="15"/>
                          </w:rPr>
                          <w:t>3.27</w:t>
                        </w:r>
                      </w:p>
                    </w:tc>
                  </w:tr>
                </w:tbl>
                <w:p>
                  <w:pPr/>
                </w:p>
              </w:txbxContent>
            </v:textbox>
            <w10:wrap type="none"/>
          </v:shape>
        </w:pict>
      </w:r>
      <w:r>
        <w:rPr>
          <w:rFonts w:ascii="宋体" w:hAnsi="宋体" w:cs="宋体" w:eastAsia="宋体" w:hint="default"/>
          <w:spacing w:val="-1"/>
          <w:sz w:val="15"/>
          <w:szCs w:val="15"/>
        </w:rPr>
        <w:t>单项金额虽不</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1"/>
          <w:sz w:val="15"/>
          <w:szCs w:val="15"/>
        </w:rPr>
        <w:t>重大但单项计</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1"/>
          <w:sz w:val="15"/>
          <w:szCs w:val="15"/>
        </w:rPr>
        <w:t>提坏账准备的</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其他应收款</w:t>
      </w:r>
    </w:p>
    <w:p>
      <w:pPr>
        <w:spacing w:line="240" w:lineRule="auto" w:before="1"/>
        <w:rPr>
          <w:rFonts w:ascii="宋体" w:hAnsi="宋体" w:cs="宋体" w:eastAsia="宋体" w:hint="default"/>
          <w:sz w:val="11"/>
          <w:szCs w:val="11"/>
        </w:rPr>
      </w:pPr>
    </w:p>
    <w:p>
      <w:pPr>
        <w:tabs>
          <w:tab w:pos="1966" w:val="left" w:leader="none"/>
          <w:tab w:pos="3421" w:val="left" w:leader="none"/>
          <w:tab w:pos="3880" w:val="left" w:leader="none"/>
          <w:tab w:pos="5793" w:val="left" w:leader="none"/>
          <w:tab w:pos="7250" w:val="left" w:leader="none"/>
          <w:tab w:pos="7708" w:val="left" w:leader="none"/>
        </w:tabs>
        <w:spacing w:before="0"/>
        <w:ind w:left="682" w:right="1086" w:firstLine="0"/>
        <w:jc w:val="left"/>
        <w:rPr>
          <w:rFonts w:ascii="宋体" w:hAnsi="宋体" w:cs="宋体" w:eastAsia="宋体" w:hint="default"/>
          <w:sz w:val="15"/>
          <w:szCs w:val="15"/>
        </w:rPr>
      </w:pPr>
      <w:r>
        <w:rPr>
          <w:rFonts w:ascii="宋体" w:hAnsi="宋体" w:cs="宋体" w:eastAsia="宋体" w:hint="default"/>
          <w:sz w:val="15"/>
          <w:szCs w:val="15"/>
        </w:rPr>
        <w:t>合计</w:t>
        <w:tab/>
      </w:r>
      <w:r>
        <w:rPr>
          <w:rFonts w:ascii="宋体" w:hAnsi="宋体" w:cs="宋体" w:eastAsia="宋体" w:hint="default"/>
          <w:sz w:val="15"/>
          <w:szCs w:val="15"/>
        </w:rPr>
      </w:r>
      <w:r>
        <w:rPr>
          <w:rFonts w:ascii="宋体" w:hAnsi="宋体" w:cs="宋体" w:eastAsia="宋体" w:hint="default"/>
          <w:spacing w:val="-2"/>
          <w:sz w:val="15"/>
          <w:szCs w:val="15"/>
          <w:u w:val="thick" w:color="000000"/>
        </w:rPr>
        <w:t>59,211,190.13</w:t>
      </w:r>
      <w:r>
        <w:rPr>
          <w:rFonts w:ascii="宋体" w:hAnsi="宋体" w:cs="宋体" w:eastAsia="宋体" w:hint="default"/>
          <w:spacing w:val="-2"/>
          <w:sz w:val="15"/>
          <w:szCs w:val="15"/>
        </w:rPr>
        <w:tab/>
      </w:r>
      <w:r>
        <w:rPr>
          <w:rFonts w:ascii="宋体" w:hAnsi="宋体" w:cs="宋体" w:eastAsia="宋体" w:hint="default"/>
          <w:spacing w:val="-1"/>
          <w:sz w:val="15"/>
          <w:szCs w:val="15"/>
          <w:u w:val="thick" w:color="000000"/>
        </w:rPr>
        <w:t>100</w:t>
      </w:r>
      <w:r>
        <w:rPr>
          <w:rFonts w:ascii="宋体" w:hAnsi="宋体" w:cs="宋体" w:eastAsia="宋体" w:hint="default"/>
          <w:spacing w:val="-1"/>
          <w:sz w:val="15"/>
          <w:szCs w:val="15"/>
        </w:rPr>
        <w:tab/>
      </w:r>
      <w:r>
        <w:rPr>
          <w:rFonts w:ascii="宋体" w:hAnsi="宋体" w:cs="宋体" w:eastAsia="宋体" w:hint="default"/>
          <w:spacing w:val="-2"/>
          <w:sz w:val="15"/>
          <w:szCs w:val="15"/>
          <w:u w:val="thick" w:color="000000"/>
        </w:rPr>
        <w:t>1,854,816.04</w:t>
      </w:r>
      <w:r>
        <w:rPr>
          <w:rFonts w:ascii="宋体" w:hAnsi="宋体" w:cs="宋体" w:eastAsia="宋体" w:hint="default"/>
          <w:spacing w:val="-2"/>
          <w:sz w:val="15"/>
          <w:szCs w:val="15"/>
        </w:rPr>
        <w:tab/>
      </w:r>
      <w:r>
        <w:rPr>
          <w:rFonts w:ascii="宋体" w:hAnsi="宋体" w:cs="宋体" w:eastAsia="宋体" w:hint="default"/>
          <w:spacing w:val="-2"/>
          <w:sz w:val="15"/>
          <w:szCs w:val="15"/>
          <w:u w:val="thick" w:color="000000"/>
        </w:rPr>
        <w:t>63,204,897.93</w:t>
      </w:r>
      <w:r>
        <w:rPr>
          <w:rFonts w:ascii="宋体" w:hAnsi="宋体" w:cs="宋体" w:eastAsia="宋体" w:hint="default"/>
          <w:spacing w:val="-2"/>
          <w:sz w:val="15"/>
          <w:szCs w:val="15"/>
        </w:rPr>
        <w:tab/>
      </w:r>
      <w:r>
        <w:rPr>
          <w:rFonts w:ascii="宋体" w:hAnsi="宋体" w:cs="宋体" w:eastAsia="宋体" w:hint="default"/>
          <w:spacing w:val="-1"/>
          <w:sz w:val="15"/>
          <w:szCs w:val="15"/>
          <w:u w:val="thick" w:color="000000"/>
        </w:rPr>
        <w:t>100</w:t>
      </w:r>
      <w:r>
        <w:rPr>
          <w:rFonts w:ascii="宋体" w:hAnsi="宋体" w:cs="宋体" w:eastAsia="宋体" w:hint="default"/>
          <w:spacing w:val="-1"/>
          <w:sz w:val="15"/>
          <w:szCs w:val="15"/>
        </w:rPr>
        <w:tab/>
      </w:r>
      <w:r>
        <w:rPr>
          <w:rFonts w:ascii="宋体" w:hAnsi="宋体" w:cs="宋体" w:eastAsia="宋体" w:hint="default"/>
          <w:spacing w:val="-2"/>
          <w:sz w:val="15"/>
          <w:szCs w:val="15"/>
          <w:u w:val="thick" w:color="000000"/>
        </w:rPr>
        <w:t>2,101,849.72</w:t>
      </w:r>
      <w:r>
        <w:rPr>
          <w:rFonts w:ascii="宋体" w:hAnsi="宋体" w:cs="宋体" w:eastAsia="宋体" w:hint="default"/>
          <w:spacing w:val="-2"/>
          <w:sz w:val="15"/>
          <w:szCs w:val="15"/>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before="44"/>
        <w:ind w:left="613" w:right="1086"/>
        <w:jc w:val="left"/>
      </w:pPr>
      <w:r>
        <w:rPr/>
        <w:t>（</w:t>
      </w:r>
      <w:r>
        <w:rPr>
          <w:rFonts w:ascii="宋体" w:hAnsi="宋体" w:cs="宋体" w:eastAsia="宋体" w:hint="default"/>
        </w:rPr>
        <w:t>2</w:t>
      </w:r>
      <w:r>
        <w:rPr/>
        <w:t>）期末单项金额重大并单项计提减值准备的其他应收款</w:t>
      </w:r>
    </w:p>
    <w:p>
      <w:pPr>
        <w:spacing w:line="240" w:lineRule="auto" w:before="9"/>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2347"/>
        <w:gridCol w:w="2215"/>
        <w:gridCol w:w="1739"/>
        <w:gridCol w:w="1599"/>
        <w:gridCol w:w="2026"/>
      </w:tblGrid>
      <w:tr>
        <w:trPr>
          <w:trHeight w:val="296" w:hRule="exact"/>
        </w:trPr>
        <w:tc>
          <w:tcPr>
            <w:tcW w:w="2347" w:type="dxa"/>
            <w:tcBorders>
              <w:top w:val="nil" w:sz="6" w:space="0" w:color="auto"/>
              <w:left w:val="nil" w:sz="6" w:space="0" w:color="auto"/>
              <w:bottom w:val="single" w:sz="4" w:space="0" w:color="000000"/>
              <w:right w:val="nil" w:sz="6" w:space="0" w:color="auto"/>
            </w:tcBorders>
          </w:tcPr>
          <w:p>
            <w:pPr>
              <w:pStyle w:val="TableParagraph"/>
              <w:spacing w:line="180" w:lineRule="exact"/>
              <w:ind w:right="162"/>
              <w:jc w:val="center"/>
              <w:rPr>
                <w:rFonts w:ascii="宋体" w:hAnsi="宋体" w:cs="宋体" w:eastAsia="宋体" w:hint="default"/>
                <w:sz w:val="18"/>
                <w:szCs w:val="18"/>
              </w:rPr>
            </w:pPr>
            <w:r>
              <w:rPr>
                <w:rFonts w:ascii="宋体" w:hAnsi="宋体" w:cs="宋体" w:eastAsia="宋体" w:hint="default"/>
                <w:b/>
                <w:bCs/>
                <w:sz w:val="18"/>
                <w:szCs w:val="18"/>
              </w:rPr>
              <w:t>其他应收款内容</w:t>
            </w:r>
            <w:r>
              <w:rPr>
                <w:rFonts w:ascii="宋体" w:hAnsi="宋体" w:cs="宋体" w:eastAsia="宋体" w:hint="default"/>
                <w:sz w:val="18"/>
                <w:szCs w:val="18"/>
              </w:rPr>
            </w:r>
          </w:p>
        </w:tc>
        <w:tc>
          <w:tcPr>
            <w:tcW w:w="2215" w:type="dxa"/>
            <w:tcBorders>
              <w:top w:val="nil" w:sz="6" w:space="0" w:color="auto"/>
              <w:left w:val="nil" w:sz="6" w:space="0" w:color="auto"/>
              <w:bottom w:val="single" w:sz="4" w:space="0" w:color="000000"/>
              <w:right w:val="nil" w:sz="6" w:space="0" w:color="auto"/>
            </w:tcBorders>
          </w:tcPr>
          <w:p>
            <w:pPr>
              <w:pStyle w:val="TableParagraph"/>
              <w:spacing w:line="180" w:lineRule="exact"/>
              <w:ind w:left="53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739" w:type="dxa"/>
            <w:tcBorders>
              <w:top w:val="nil" w:sz="6" w:space="0" w:color="auto"/>
              <w:left w:val="nil" w:sz="6" w:space="0" w:color="auto"/>
              <w:bottom w:val="single" w:sz="4" w:space="0" w:color="000000"/>
              <w:right w:val="nil" w:sz="6" w:space="0" w:color="auto"/>
            </w:tcBorders>
          </w:tcPr>
          <w:p>
            <w:pPr>
              <w:pStyle w:val="TableParagraph"/>
              <w:spacing w:line="180" w:lineRule="exact"/>
              <w:ind w:left="368" w:right="0"/>
              <w:jc w:val="left"/>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599" w:type="dxa"/>
            <w:tcBorders>
              <w:top w:val="nil" w:sz="6" w:space="0" w:color="auto"/>
              <w:left w:val="nil" w:sz="6" w:space="0" w:color="auto"/>
              <w:bottom w:val="single" w:sz="4" w:space="0" w:color="000000"/>
              <w:right w:val="nil" w:sz="6" w:space="0" w:color="auto"/>
            </w:tcBorders>
          </w:tcPr>
          <w:p>
            <w:pPr>
              <w:pStyle w:val="TableParagraph"/>
              <w:spacing w:line="180" w:lineRule="exact"/>
              <w:ind w:right="17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026" w:type="dxa"/>
            <w:tcBorders>
              <w:top w:val="nil" w:sz="6" w:space="0" w:color="auto"/>
              <w:left w:val="nil" w:sz="6" w:space="0" w:color="auto"/>
              <w:bottom w:val="single" w:sz="4" w:space="0" w:color="000000"/>
              <w:right w:val="nil" w:sz="6" w:space="0" w:color="auto"/>
            </w:tcBorders>
          </w:tcPr>
          <w:p>
            <w:pPr>
              <w:pStyle w:val="TableParagraph"/>
              <w:spacing w:line="180" w:lineRule="exact"/>
              <w:ind w:left="576" w:right="0"/>
              <w:jc w:val="left"/>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321" w:hRule="exact"/>
        </w:trPr>
        <w:tc>
          <w:tcPr>
            <w:tcW w:w="2347"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59"/>
              <w:jc w:val="center"/>
              <w:rPr>
                <w:rFonts w:ascii="宋体" w:hAnsi="宋体" w:cs="宋体" w:eastAsia="宋体" w:hint="default"/>
                <w:sz w:val="18"/>
                <w:szCs w:val="18"/>
              </w:rPr>
            </w:pPr>
            <w:r>
              <w:rPr>
                <w:rFonts w:ascii="宋体" w:hAnsi="宋体" w:cs="宋体" w:eastAsia="宋体" w:hint="default"/>
                <w:sz w:val="18"/>
                <w:szCs w:val="18"/>
              </w:rPr>
              <w:t>履约及投标保证金</w:t>
            </w:r>
          </w:p>
        </w:tc>
        <w:tc>
          <w:tcPr>
            <w:tcW w:w="2215"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left="675" w:right="0"/>
              <w:jc w:val="left"/>
              <w:rPr>
                <w:rFonts w:ascii="宋体" w:hAnsi="宋体" w:cs="宋体" w:eastAsia="宋体" w:hint="default"/>
                <w:sz w:val="18"/>
                <w:szCs w:val="18"/>
              </w:rPr>
            </w:pPr>
            <w:r>
              <w:rPr>
                <w:rFonts w:ascii="宋体"/>
                <w:sz w:val="18"/>
              </w:rPr>
              <w:t>34,582,547.05</w:t>
            </w:r>
          </w:p>
        </w:tc>
        <w:tc>
          <w:tcPr>
            <w:tcW w:w="1739"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left="711" w:right="0"/>
              <w:jc w:val="left"/>
              <w:rPr>
                <w:rFonts w:ascii="宋体" w:hAnsi="宋体" w:cs="宋体" w:eastAsia="宋体" w:hint="default"/>
                <w:sz w:val="18"/>
                <w:szCs w:val="18"/>
              </w:rPr>
            </w:pPr>
            <w:r>
              <w:rPr>
                <w:rFonts w:ascii="宋体"/>
                <w:sz w:val="18"/>
              </w:rPr>
              <w:t>946,976.41</w:t>
            </w:r>
          </w:p>
        </w:tc>
        <w:tc>
          <w:tcPr>
            <w:tcW w:w="1599"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69"/>
              <w:jc w:val="center"/>
              <w:rPr>
                <w:rFonts w:ascii="宋体" w:hAnsi="宋体" w:cs="宋体" w:eastAsia="宋体" w:hint="default"/>
                <w:sz w:val="18"/>
                <w:szCs w:val="18"/>
              </w:rPr>
            </w:pPr>
            <w:r>
              <w:rPr>
                <w:rFonts w:ascii="宋体"/>
                <w:sz w:val="18"/>
              </w:rPr>
              <w:t>2.74</w:t>
            </w:r>
          </w:p>
        </w:tc>
        <w:tc>
          <w:tcPr>
            <w:tcW w:w="2026"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left="297" w:right="0"/>
              <w:jc w:val="left"/>
              <w:rPr>
                <w:rFonts w:ascii="宋体" w:hAnsi="宋体" w:cs="宋体" w:eastAsia="宋体" w:hint="default"/>
                <w:sz w:val="18"/>
                <w:szCs w:val="18"/>
              </w:rPr>
            </w:pPr>
            <w:r>
              <w:rPr>
                <w:rFonts w:ascii="宋体" w:hAnsi="宋体" w:cs="宋体" w:eastAsia="宋体" w:hint="default"/>
                <w:sz w:val="18"/>
                <w:szCs w:val="18"/>
              </w:rPr>
              <w:t>不存在较大信用风险</w:t>
            </w:r>
          </w:p>
        </w:tc>
      </w:tr>
    </w:tbl>
    <w:p>
      <w:pPr>
        <w:spacing w:after="0" w:line="240" w:lineRule="auto"/>
        <w:jc w:val="left"/>
        <w:rPr>
          <w:rFonts w:ascii="宋体" w:hAnsi="宋体" w:cs="宋体" w:eastAsia="宋体" w:hint="default"/>
          <w:sz w:val="18"/>
          <w:szCs w:val="18"/>
        </w:rPr>
        <w:sectPr>
          <w:type w:val="continuous"/>
          <w:pgSz w:w="11910" w:h="16840"/>
          <w:pgMar w:top="880" w:bottom="0" w:left="8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tbl>
      <w:tblPr>
        <w:tblW w:w="0" w:type="auto"/>
        <w:jc w:val="left"/>
        <w:tblInd w:w="790" w:type="dxa"/>
        <w:tblLayout w:type="fixed"/>
        <w:tblCellMar>
          <w:top w:w="0" w:type="dxa"/>
          <w:left w:w="0" w:type="dxa"/>
          <w:bottom w:w="0" w:type="dxa"/>
          <w:right w:w="0" w:type="dxa"/>
        </w:tblCellMar>
        <w:tblLook w:val="01E0"/>
      </w:tblPr>
      <w:tblGrid>
        <w:gridCol w:w="2401"/>
        <w:gridCol w:w="1172"/>
        <w:gridCol w:w="1079"/>
        <w:gridCol w:w="902"/>
      </w:tblGrid>
      <w:tr>
        <w:trPr>
          <w:trHeight w:val="198" w:hRule="exact"/>
        </w:trPr>
        <w:tc>
          <w:tcPr>
            <w:tcW w:w="2401" w:type="dxa"/>
            <w:tcBorders>
              <w:top w:val="nil" w:sz="6" w:space="0" w:color="auto"/>
              <w:left w:val="nil" w:sz="6" w:space="0" w:color="auto"/>
              <w:bottom w:val="nil" w:sz="6" w:space="0" w:color="auto"/>
              <w:right w:val="nil" w:sz="6" w:space="0" w:color="auto"/>
            </w:tcBorders>
          </w:tcPr>
          <w:p>
            <w:pPr>
              <w:pStyle w:val="TableParagraph"/>
              <w:spacing w:line="194" w:lineRule="exact"/>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2" w:type="dxa"/>
            <w:tcBorders>
              <w:top w:val="nil" w:sz="6" w:space="0" w:color="auto"/>
              <w:left w:val="nil" w:sz="6" w:space="0" w:color="auto"/>
              <w:bottom w:val="single" w:sz="12" w:space="0" w:color="000000"/>
              <w:right w:val="nil" w:sz="6" w:space="0" w:color="auto"/>
            </w:tcBorders>
          </w:tcPr>
          <w:p>
            <w:pPr>
              <w:pStyle w:val="TableParagraph"/>
              <w:spacing w:line="180" w:lineRule="exact"/>
              <w:ind w:right="0"/>
              <w:jc w:val="left"/>
              <w:rPr>
                <w:rFonts w:ascii="宋体" w:hAnsi="宋体" w:cs="宋体" w:eastAsia="宋体" w:hint="default"/>
                <w:sz w:val="18"/>
                <w:szCs w:val="18"/>
              </w:rPr>
            </w:pPr>
            <w:r>
              <w:rPr>
                <w:rFonts w:ascii="宋体"/>
                <w:sz w:val="18"/>
              </w:rPr>
              <w:t>34,582,547.05</w:t>
            </w:r>
          </w:p>
        </w:tc>
        <w:tc>
          <w:tcPr>
            <w:tcW w:w="1079" w:type="dxa"/>
            <w:tcBorders>
              <w:top w:val="nil" w:sz="6" w:space="0" w:color="auto"/>
              <w:left w:val="nil" w:sz="6" w:space="0" w:color="auto"/>
              <w:bottom w:val="nil" w:sz="6" w:space="0" w:color="auto"/>
              <w:right w:val="nil" w:sz="6" w:space="0" w:color="auto"/>
            </w:tcBorders>
          </w:tcPr>
          <w:p>
            <w:pPr/>
          </w:p>
        </w:tc>
        <w:tc>
          <w:tcPr>
            <w:tcW w:w="902" w:type="dxa"/>
            <w:tcBorders>
              <w:top w:val="nil" w:sz="6" w:space="0" w:color="auto"/>
              <w:left w:val="nil" w:sz="6" w:space="0" w:color="auto"/>
              <w:bottom w:val="single" w:sz="12" w:space="0" w:color="000000"/>
              <w:right w:val="nil" w:sz="6" w:space="0" w:color="auto"/>
            </w:tcBorders>
          </w:tcPr>
          <w:p>
            <w:pPr>
              <w:pStyle w:val="TableParagraph"/>
              <w:spacing w:line="180" w:lineRule="exact"/>
              <w:ind w:right="0"/>
              <w:jc w:val="left"/>
              <w:rPr>
                <w:rFonts w:ascii="宋体" w:hAnsi="宋体" w:cs="宋体" w:eastAsia="宋体" w:hint="default"/>
                <w:sz w:val="18"/>
                <w:szCs w:val="18"/>
              </w:rPr>
            </w:pPr>
            <w:r>
              <w:rPr>
                <w:rFonts w:ascii="宋体"/>
                <w:sz w:val="18"/>
              </w:rPr>
              <w:t>946,976.41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ind w:left="673" w:right="0"/>
        <w:jc w:val="left"/>
      </w:pPr>
      <w:r>
        <w:rPr/>
        <w:t>（</w:t>
      </w:r>
      <w:r>
        <w:rPr>
          <w:rFonts w:ascii="宋体" w:hAnsi="宋体" w:cs="宋体" w:eastAsia="宋体" w:hint="default"/>
        </w:rPr>
        <w:t>3</w:t>
      </w:r>
      <w:r>
        <w:rPr/>
        <w:t>）组合中按账龄分析法计提坏账准备的其他应收款</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tabs>
          <w:tab w:pos="7674" w:val="left" w:leader="none"/>
        </w:tabs>
        <w:spacing w:before="0"/>
        <w:ind w:left="3126" w:right="0"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spacing w:line="146" w:lineRule="exact" w:before="36"/>
        <w:ind w:left="432" w:right="0" w:firstLine="0"/>
        <w:jc w:val="left"/>
        <w:rPr>
          <w:rFonts w:ascii="宋体" w:hAnsi="宋体" w:cs="宋体" w:eastAsia="宋体" w:hint="default"/>
          <w:sz w:val="15"/>
          <w:szCs w:val="15"/>
        </w:rPr>
      </w:pPr>
      <w:r>
        <w:rPr>
          <w:rFonts w:ascii="宋体" w:hAnsi="宋体" w:cs="宋体" w:eastAsia="宋体" w:hint="default"/>
          <w:b/>
          <w:bCs/>
          <w:sz w:val="15"/>
          <w:szCs w:val="15"/>
        </w:rPr>
        <w:t>账龄</w:t>
      </w:r>
      <w:r>
        <w:rPr>
          <w:rFonts w:ascii="宋体" w:hAnsi="宋体" w:cs="宋体" w:eastAsia="宋体" w:hint="default"/>
          <w:sz w:val="15"/>
          <w:szCs w:val="15"/>
        </w:rPr>
      </w:r>
    </w:p>
    <w:p>
      <w:pPr>
        <w:tabs>
          <w:tab w:pos="2638" w:val="left" w:leader="none"/>
          <w:tab w:pos="3772" w:val="left" w:leader="none"/>
          <w:tab w:pos="4926" w:val="left" w:leader="none"/>
          <w:tab w:pos="6302" w:val="left" w:leader="none"/>
          <w:tab w:pos="7216" w:val="left" w:leader="none"/>
          <w:tab w:pos="8229" w:val="left" w:leader="none"/>
          <w:tab w:pos="9295" w:val="left" w:leader="none"/>
        </w:tabs>
        <w:spacing w:line="249" w:lineRule="exact" w:before="0"/>
        <w:ind w:left="1645" w:right="0" w:firstLine="0"/>
        <w:jc w:val="left"/>
        <w:rPr>
          <w:rFonts w:ascii="宋体" w:hAnsi="宋体" w:cs="宋体" w:eastAsia="宋体" w:hint="default"/>
          <w:sz w:val="15"/>
          <w:szCs w:val="15"/>
        </w:rPr>
      </w:pPr>
      <w:r>
        <w:rPr/>
        <w:pict>
          <v:shape style="position:absolute;margin-left:46.439999pt;margin-top:9.720pt;width:502.45pt;height:109.2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77"/>
                    <w:gridCol w:w="1429"/>
                    <w:gridCol w:w="896"/>
                    <w:gridCol w:w="1296"/>
                    <w:gridCol w:w="1116"/>
                    <w:gridCol w:w="1280"/>
                    <w:gridCol w:w="814"/>
                    <w:gridCol w:w="1204"/>
                    <w:gridCol w:w="1036"/>
                  </w:tblGrid>
                  <w:tr>
                    <w:trPr>
                      <w:trHeight w:val="221" w:hRule="exact"/>
                    </w:trPr>
                    <w:tc>
                      <w:tcPr>
                        <w:tcW w:w="4597" w:type="dxa"/>
                        <w:gridSpan w:val="4"/>
                        <w:tcBorders>
                          <w:top w:val="nil" w:sz="6" w:space="0" w:color="auto"/>
                          <w:left w:val="nil" w:sz="6" w:space="0" w:color="auto"/>
                          <w:bottom w:val="single" w:sz="4" w:space="0" w:color="000000"/>
                          <w:right w:val="nil" w:sz="6" w:space="0" w:color="auto"/>
                        </w:tcBorders>
                      </w:tcPr>
                      <w:p>
                        <w:pPr/>
                      </w:p>
                    </w:tc>
                    <w:tc>
                      <w:tcPr>
                        <w:tcW w:w="1116" w:type="dxa"/>
                        <w:tcBorders>
                          <w:top w:val="nil" w:sz="6" w:space="0" w:color="auto"/>
                          <w:left w:val="nil" w:sz="6" w:space="0" w:color="auto"/>
                          <w:bottom w:val="single" w:sz="4" w:space="0" w:color="000000"/>
                          <w:right w:val="nil" w:sz="6" w:space="0" w:color="auto"/>
                        </w:tcBorders>
                      </w:tcPr>
                      <w:p>
                        <w:pPr>
                          <w:pStyle w:val="TableParagraph"/>
                          <w:spacing w:line="151" w:lineRule="exact"/>
                          <w:ind w:left="76" w:right="0"/>
                          <w:jc w:val="center"/>
                          <w:rPr>
                            <w:rFonts w:ascii="宋体" w:hAnsi="宋体" w:cs="宋体" w:eastAsia="宋体" w:hint="default"/>
                            <w:sz w:val="15"/>
                            <w:szCs w:val="15"/>
                          </w:rPr>
                        </w:pPr>
                        <w:r>
                          <w:rPr>
                            <w:rFonts w:ascii="宋体" w:hAnsi="宋体" w:cs="宋体" w:eastAsia="宋体" w:hint="default"/>
                            <w:b/>
                            <w:bCs/>
                            <w:sz w:val="15"/>
                            <w:szCs w:val="15"/>
                          </w:rPr>
                          <w:t>提比例</w:t>
                        </w:r>
                        <w:r>
                          <w:rPr>
                            <w:rFonts w:ascii="宋体" w:hAnsi="宋体" w:cs="宋体" w:eastAsia="宋体" w:hint="default"/>
                            <w:b/>
                            <w:bCs/>
                            <w:sz w:val="15"/>
                            <w:szCs w:val="15"/>
                          </w:rPr>
                          <w:t>(%)</w:t>
                        </w:r>
                        <w:r>
                          <w:rPr>
                            <w:rFonts w:ascii="宋体" w:hAnsi="宋体" w:cs="宋体" w:eastAsia="宋体" w:hint="default"/>
                            <w:sz w:val="15"/>
                            <w:szCs w:val="15"/>
                          </w:rPr>
                        </w:r>
                      </w:p>
                    </w:tc>
                    <w:tc>
                      <w:tcPr>
                        <w:tcW w:w="1280" w:type="dxa"/>
                        <w:tcBorders>
                          <w:top w:val="nil" w:sz="6" w:space="0" w:color="auto"/>
                          <w:left w:val="nil" w:sz="6" w:space="0" w:color="auto"/>
                          <w:bottom w:val="single" w:sz="4" w:space="0" w:color="000000"/>
                          <w:right w:val="nil" w:sz="6" w:space="0" w:color="auto"/>
                        </w:tcBorders>
                      </w:tcPr>
                      <w:p>
                        <w:pPr/>
                      </w:p>
                    </w:tc>
                    <w:tc>
                      <w:tcPr>
                        <w:tcW w:w="814" w:type="dxa"/>
                        <w:tcBorders>
                          <w:top w:val="nil" w:sz="6" w:space="0" w:color="auto"/>
                          <w:left w:val="nil" w:sz="6" w:space="0" w:color="auto"/>
                          <w:bottom w:val="single" w:sz="4" w:space="0" w:color="000000"/>
                          <w:right w:val="nil" w:sz="6" w:space="0" w:color="auto"/>
                        </w:tcBorders>
                      </w:tcPr>
                      <w:p>
                        <w:pPr/>
                      </w:p>
                    </w:tc>
                    <w:tc>
                      <w:tcPr>
                        <w:tcW w:w="1204" w:type="dxa"/>
                        <w:tcBorders>
                          <w:top w:val="nil" w:sz="6" w:space="0" w:color="auto"/>
                          <w:left w:val="nil" w:sz="6" w:space="0" w:color="auto"/>
                          <w:bottom w:val="single" w:sz="4" w:space="0" w:color="000000"/>
                          <w:right w:val="nil" w:sz="6" w:space="0" w:color="auto"/>
                        </w:tcBorders>
                      </w:tcPr>
                      <w:p>
                        <w:pPr/>
                      </w:p>
                    </w:tc>
                    <w:tc>
                      <w:tcPr>
                        <w:tcW w:w="1036" w:type="dxa"/>
                        <w:tcBorders>
                          <w:top w:val="nil" w:sz="6" w:space="0" w:color="auto"/>
                          <w:left w:val="nil" w:sz="6" w:space="0" w:color="auto"/>
                          <w:bottom w:val="single" w:sz="4" w:space="0" w:color="000000"/>
                          <w:right w:val="nil" w:sz="6" w:space="0" w:color="auto"/>
                        </w:tcBorders>
                      </w:tcPr>
                      <w:p>
                        <w:pPr>
                          <w:pStyle w:val="TableParagraph"/>
                          <w:spacing w:line="151" w:lineRule="exact"/>
                          <w:ind w:left="70" w:right="0"/>
                          <w:jc w:val="center"/>
                          <w:rPr>
                            <w:rFonts w:ascii="宋体" w:hAnsi="宋体" w:cs="宋体" w:eastAsia="宋体" w:hint="default"/>
                            <w:sz w:val="15"/>
                            <w:szCs w:val="15"/>
                          </w:rPr>
                        </w:pPr>
                        <w:r>
                          <w:rPr>
                            <w:rFonts w:ascii="宋体" w:hAnsi="宋体" w:cs="宋体" w:eastAsia="宋体" w:hint="default"/>
                            <w:b/>
                            <w:bCs/>
                            <w:sz w:val="15"/>
                            <w:szCs w:val="15"/>
                          </w:rPr>
                          <w:t>提比例</w:t>
                        </w:r>
                        <w:r>
                          <w:rPr>
                            <w:rFonts w:ascii="宋体" w:hAnsi="宋体" w:cs="宋体" w:eastAsia="宋体" w:hint="default"/>
                            <w:b/>
                            <w:bCs/>
                            <w:sz w:val="15"/>
                            <w:szCs w:val="15"/>
                          </w:rPr>
                          <w:t>(%)</w:t>
                        </w:r>
                        <w:r>
                          <w:rPr>
                            <w:rFonts w:ascii="宋体" w:hAnsi="宋体" w:cs="宋体" w:eastAsia="宋体" w:hint="default"/>
                            <w:sz w:val="15"/>
                            <w:szCs w:val="15"/>
                          </w:rPr>
                        </w:r>
                      </w:p>
                    </w:tc>
                  </w:tr>
                  <w:tr>
                    <w:trPr>
                      <w:trHeight w:val="400" w:hRule="exact"/>
                    </w:trPr>
                    <w:tc>
                      <w:tcPr>
                        <w:tcW w:w="97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92"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年以内</w:t>
                        </w:r>
                      </w:p>
                    </w:tc>
                    <w:tc>
                      <w:tcPr>
                        <w:tcW w:w="142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9"/>
                          <w:jc w:val="center"/>
                          <w:rPr>
                            <w:rFonts w:ascii="宋体" w:hAnsi="宋体" w:cs="宋体" w:eastAsia="宋体" w:hint="default"/>
                            <w:sz w:val="15"/>
                            <w:szCs w:val="15"/>
                          </w:rPr>
                        </w:pPr>
                        <w:r>
                          <w:rPr>
                            <w:rFonts w:ascii="宋体"/>
                            <w:sz w:val="15"/>
                          </w:rPr>
                          <w:t>14,276,966.63</w:t>
                        </w:r>
                      </w:p>
                    </w:tc>
                    <w:tc>
                      <w:tcPr>
                        <w:tcW w:w="89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232" w:right="0"/>
                          <w:jc w:val="left"/>
                          <w:rPr>
                            <w:rFonts w:ascii="宋体" w:hAnsi="宋体" w:cs="宋体" w:eastAsia="宋体" w:hint="default"/>
                            <w:sz w:val="15"/>
                            <w:szCs w:val="15"/>
                          </w:rPr>
                        </w:pPr>
                        <w:r>
                          <w:rPr>
                            <w:rFonts w:ascii="宋体"/>
                            <w:sz w:val="15"/>
                          </w:rPr>
                          <w:t>94.82</w:t>
                        </w:r>
                      </w:p>
                    </w:tc>
                    <w:tc>
                      <w:tcPr>
                        <w:tcW w:w="129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287" w:right="0"/>
                          <w:jc w:val="left"/>
                          <w:rPr>
                            <w:rFonts w:ascii="宋体" w:hAnsi="宋体" w:cs="宋体" w:eastAsia="宋体" w:hint="default"/>
                            <w:sz w:val="15"/>
                            <w:szCs w:val="15"/>
                          </w:rPr>
                        </w:pPr>
                        <w:r>
                          <w:rPr>
                            <w:rFonts w:ascii="宋体"/>
                            <w:sz w:val="15"/>
                          </w:rPr>
                          <w:t>713,848.33</w:t>
                        </w:r>
                      </w:p>
                    </w:tc>
                    <w:tc>
                      <w:tcPr>
                        <w:tcW w:w="111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76" w:right="0"/>
                          <w:jc w:val="center"/>
                          <w:rPr>
                            <w:rFonts w:ascii="宋体" w:hAnsi="宋体" w:cs="宋体" w:eastAsia="宋体" w:hint="default"/>
                            <w:sz w:val="15"/>
                            <w:szCs w:val="15"/>
                          </w:rPr>
                        </w:pPr>
                        <w:r>
                          <w:rPr>
                            <w:rFonts w:ascii="宋体"/>
                            <w:sz w:val="15"/>
                          </w:rPr>
                          <w:t>5.00</w:t>
                        </w:r>
                      </w:p>
                    </w:tc>
                    <w:tc>
                      <w:tcPr>
                        <w:tcW w:w="128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8"/>
                          <w:jc w:val="center"/>
                          <w:rPr>
                            <w:rFonts w:ascii="宋体" w:hAnsi="宋体" w:cs="宋体" w:eastAsia="宋体" w:hint="default"/>
                            <w:sz w:val="15"/>
                            <w:szCs w:val="15"/>
                          </w:rPr>
                        </w:pPr>
                        <w:r>
                          <w:rPr>
                            <w:rFonts w:ascii="宋体"/>
                            <w:sz w:val="15"/>
                          </w:rPr>
                          <w:t>5,321,888.20</w:t>
                        </w:r>
                      </w:p>
                    </w:tc>
                    <w:tc>
                      <w:tcPr>
                        <w:tcW w:w="814"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36"/>
                          <w:jc w:val="center"/>
                          <w:rPr>
                            <w:rFonts w:ascii="宋体" w:hAnsi="宋体" w:cs="宋体" w:eastAsia="宋体" w:hint="default"/>
                            <w:sz w:val="15"/>
                            <w:szCs w:val="15"/>
                          </w:rPr>
                        </w:pPr>
                        <w:r>
                          <w:rPr>
                            <w:rFonts w:ascii="宋体"/>
                            <w:sz w:val="15"/>
                          </w:rPr>
                          <w:t>98.20</w:t>
                        </w:r>
                      </w:p>
                    </w:tc>
                    <w:tc>
                      <w:tcPr>
                        <w:tcW w:w="1204"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25" w:right="0"/>
                          <w:jc w:val="center"/>
                          <w:rPr>
                            <w:rFonts w:ascii="宋体" w:hAnsi="宋体" w:cs="宋体" w:eastAsia="宋体" w:hint="default"/>
                            <w:sz w:val="15"/>
                            <w:szCs w:val="15"/>
                          </w:rPr>
                        </w:pPr>
                        <w:r>
                          <w:rPr>
                            <w:rFonts w:ascii="宋体"/>
                            <w:sz w:val="15"/>
                          </w:rPr>
                          <w:t>266,094.41</w:t>
                        </w:r>
                      </w:p>
                    </w:tc>
                    <w:tc>
                      <w:tcPr>
                        <w:tcW w:w="103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70" w:right="0"/>
                          <w:jc w:val="center"/>
                          <w:rPr>
                            <w:rFonts w:ascii="宋体" w:hAnsi="宋体" w:cs="宋体" w:eastAsia="宋体" w:hint="default"/>
                            <w:sz w:val="15"/>
                            <w:szCs w:val="15"/>
                          </w:rPr>
                        </w:pPr>
                        <w:r>
                          <w:rPr>
                            <w:rFonts w:ascii="宋体"/>
                            <w:sz w:val="15"/>
                          </w:rPr>
                          <w:t>5.00</w:t>
                        </w:r>
                      </w:p>
                    </w:tc>
                  </w:tr>
                  <w:tr>
                    <w:trPr>
                      <w:trHeight w:val="396" w:hRule="exact"/>
                    </w:trPr>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66" w:right="0"/>
                          <w:jc w:val="left"/>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6"/>
                            <w:sz w:val="15"/>
                            <w:szCs w:val="15"/>
                          </w:rPr>
                          <w:t> </w:t>
                        </w:r>
                        <w:r>
                          <w:rPr>
                            <w:rFonts w:ascii="宋体" w:hAnsi="宋体" w:cs="宋体" w:eastAsia="宋体" w:hint="default"/>
                            <w:sz w:val="15"/>
                            <w:szCs w:val="15"/>
                          </w:rPr>
                          <w:t>年</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
                          <w:jc w:val="center"/>
                          <w:rPr>
                            <w:rFonts w:ascii="宋体" w:hAnsi="宋体" w:cs="宋体" w:eastAsia="宋体" w:hint="default"/>
                            <w:sz w:val="15"/>
                            <w:szCs w:val="15"/>
                          </w:rPr>
                        </w:pPr>
                        <w:r>
                          <w:rPr>
                            <w:rFonts w:ascii="宋体"/>
                            <w:sz w:val="15"/>
                          </w:rPr>
                          <w:t>750,000.00</w:t>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70" w:right="0"/>
                          <w:jc w:val="left"/>
                          <w:rPr>
                            <w:rFonts w:ascii="宋体" w:hAnsi="宋体" w:cs="宋体" w:eastAsia="宋体" w:hint="default"/>
                            <w:sz w:val="15"/>
                            <w:szCs w:val="15"/>
                          </w:rPr>
                        </w:pPr>
                        <w:r>
                          <w:rPr>
                            <w:rFonts w:ascii="宋体"/>
                            <w:sz w:val="15"/>
                          </w:rPr>
                          <w:t>4.98</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25" w:right="0"/>
                          <w:jc w:val="left"/>
                          <w:rPr>
                            <w:rFonts w:ascii="宋体" w:hAnsi="宋体" w:cs="宋体" w:eastAsia="宋体" w:hint="default"/>
                            <w:sz w:val="15"/>
                            <w:szCs w:val="15"/>
                          </w:rPr>
                        </w:pPr>
                        <w:r>
                          <w:rPr>
                            <w:rFonts w:ascii="宋体"/>
                            <w:sz w:val="15"/>
                          </w:rPr>
                          <w:t>75,000.00</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79" w:right="0"/>
                          <w:jc w:val="center"/>
                          <w:rPr>
                            <w:rFonts w:ascii="宋体" w:hAnsi="宋体" w:cs="宋体" w:eastAsia="宋体" w:hint="default"/>
                            <w:sz w:val="15"/>
                            <w:szCs w:val="15"/>
                          </w:rPr>
                        </w:pPr>
                        <w:r>
                          <w:rPr>
                            <w:rFonts w:ascii="宋体"/>
                            <w:sz w:val="15"/>
                          </w:rPr>
                          <w:t>10.00</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8"/>
                          <w:jc w:val="center"/>
                          <w:rPr>
                            <w:rFonts w:ascii="宋体" w:hAnsi="宋体" w:cs="宋体" w:eastAsia="宋体" w:hint="default"/>
                            <w:sz w:val="15"/>
                            <w:szCs w:val="15"/>
                          </w:rPr>
                        </w:pPr>
                        <w:r>
                          <w:rPr>
                            <w:rFonts w:ascii="宋体"/>
                            <w:sz w:val="15"/>
                          </w:rPr>
                          <w:t>67,469.23</w:t>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center"/>
                          <w:rPr>
                            <w:rFonts w:ascii="宋体" w:hAnsi="宋体" w:cs="宋体" w:eastAsia="宋体" w:hint="default"/>
                            <w:sz w:val="15"/>
                            <w:szCs w:val="15"/>
                          </w:rPr>
                        </w:pPr>
                        <w:r>
                          <w:rPr>
                            <w:rFonts w:ascii="宋体"/>
                            <w:sz w:val="15"/>
                          </w:rPr>
                          <w:t>1.25</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3" w:right="0"/>
                          <w:jc w:val="center"/>
                          <w:rPr>
                            <w:rFonts w:ascii="宋体" w:hAnsi="宋体" w:cs="宋体" w:eastAsia="宋体" w:hint="default"/>
                            <w:sz w:val="15"/>
                            <w:szCs w:val="15"/>
                          </w:rPr>
                        </w:pPr>
                        <w:r>
                          <w:rPr>
                            <w:rFonts w:ascii="宋体"/>
                            <w:sz w:val="15"/>
                          </w:rPr>
                          <w:t>6,746.92</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66" w:right="0"/>
                          <w:jc w:val="center"/>
                          <w:rPr>
                            <w:rFonts w:ascii="宋体" w:hAnsi="宋体" w:cs="宋体" w:eastAsia="宋体" w:hint="default"/>
                            <w:sz w:val="15"/>
                            <w:szCs w:val="15"/>
                          </w:rPr>
                        </w:pPr>
                        <w:r>
                          <w:rPr>
                            <w:rFonts w:ascii="宋体"/>
                            <w:sz w:val="15"/>
                          </w:rPr>
                          <w:t>10.00</w:t>
                        </w:r>
                      </w:p>
                    </w:tc>
                  </w:tr>
                  <w:tr>
                    <w:trPr>
                      <w:trHeight w:val="398" w:hRule="exact"/>
                    </w:trPr>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66" w:right="0"/>
                          <w:jc w:val="left"/>
                          <w:rPr>
                            <w:rFonts w:ascii="宋体" w:hAnsi="宋体" w:cs="宋体" w:eastAsia="宋体" w:hint="default"/>
                            <w:sz w:val="15"/>
                            <w:szCs w:val="15"/>
                          </w:rPr>
                        </w:pPr>
                        <w:r>
                          <w:rPr>
                            <w:rFonts w:ascii="宋体" w:hAnsi="宋体" w:cs="宋体" w:eastAsia="宋体" w:hint="default"/>
                            <w:sz w:val="15"/>
                            <w:szCs w:val="15"/>
                          </w:rPr>
                          <w:t>2-3</w:t>
                        </w:r>
                        <w:r>
                          <w:rPr>
                            <w:rFonts w:ascii="宋体" w:hAnsi="宋体" w:cs="宋体" w:eastAsia="宋体" w:hint="default"/>
                            <w:spacing w:val="-36"/>
                            <w:sz w:val="15"/>
                            <w:szCs w:val="15"/>
                          </w:rPr>
                          <w:t> </w:t>
                        </w:r>
                        <w:r>
                          <w:rPr>
                            <w:rFonts w:ascii="宋体" w:hAnsi="宋体" w:cs="宋体" w:eastAsia="宋体" w:hint="default"/>
                            <w:sz w:val="15"/>
                            <w:szCs w:val="15"/>
                          </w:rPr>
                          <w:t>年</w:t>
                        </w:r>
                      </w:p>
                    </w:tc>
                    <w:tc>
                      <w:tcPr>
                        <w:tcW w:w="1429" w:type="dxa"/>
                        <w:tcBorders>
                          <w:top w:val="nil" w:sz="6" w:space="0" w:color="auto"/>
                          <w:left w:val="nil" w:sz="6" w:space="0" w:color="auto"/>
                          <w:bottom w:val="nil" w:sz="6" w:space="0" w:color="auto"/>
                          <w:right w:val="nil" w:sz="6" w:space="0" w:color="auto"/>
                        </w:tcBorders>
                      </w:tcPr>
                      <w:p>
                        <w:pPr/>
                      </w:p>
                    </w:tc>
                    <w:tc>
                      <w:tcPr>
                        <w:tcW w:w="896"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8"/>
                          <w:jc w:val="center"/>
                          <w:rPr>
                            <w:rFonts w:ascii="宋体" w:hAnsi="宋体" w:cs="宋体" w:eastAsia="宋体" w:hint="default"/>
                            <w:sz w:val="15"/>
                            <w:szCs w:val="15"/>
                          </w:rPr>
                        </w:pPr>
                        <w:r>
                          <w:rPr>
                            <w:rFonts w:ascii="宋体"/>
                            <w:sz w:val="15"/>
                          </w:rPr>
                          <w:t>30,000.00</w:t>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4"/>
                          <w:jc w:val="center"/>
                          <w:rPr>
                            <w:rFonts w:ascii="宋体" w:hAnsi="宋体" w:cs="宋体" w:eastAsia="宋体" w:hint="default"/>
                            <w:sz w:val="15"/>
                            <w:szCs w:val="15"/>
                          </w:rPr>
                        </w:pPr>
                        <w:r>
                          <w:rPr>
                            <w:rFonts w:ascii="宋体"/>
                            <w:sz w:val="15"/>
                          </w:rPr>
                          <w:t>0.55</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3" w:right="0"/>
                          <w:jc w:val="center"/>
                          <w:rPr>
                            <w:rFonts w:ascii="宋体" w:hAnsi="宋体" w:cs="宋体" w:eastAsia="宋体" w:hint="default"/>
                            <w:sz w:val="15"/>
                            <w:szCs w:val="15"/>
                          </w:rPr>
                        </w:pPr>
                        <w:r>
                          <w:rPr>
                            <w:rFonts w:ascii="宋体"/>
                            <w:sz w:val="15"/>
                          </w:rPr>
                          <w:t>6,000.00</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7" w:right="0"/>
                          <w:jc w:val="center"/>
                          <w:rPr>
                            <w:rFonts w:ascii="宋体" w:hAnsi="宋体" w:cs="宋体" w:eastAsia="宋体" w:hint="default"/>
                            <w:sz w:val="15"/>
                            <w:szCs w:val="15"/>
                          </w:rPr>
                        </w:pPr>
                        <w:r>
                          <w:rPr>
                            <w:rFonts w:ascii="宋体"/>
                            <w:sz w:val="15"/>
                          </w:rPr>
                          <w:t>20.00</w:t>
                        </w:r>
                      </w:p>
                    </w:tc>
                  </w:tr>
                  <w:tr>
                    <w:trPr>
                      <w:trHeight w:val="394" w:hRule="exact"/>
                    </w:trPr>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92"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年以上</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
                          <w:jc w:val="center"/>
                          <w:rPr>
                            <w:rFonts w:ascii="宋体" w:hAnsi="宋体" w:cs="宋体" w:eastAsia="宋体" w:hint="default"/>
                            <w:sz w:val="15"/>
                            <w:szCs w:val="15"/>
                          </w:rPr>
                        </w:pPr>
                        <w:r>
                          <w:rPr>
                            <w:rFonts w:ascii="宋体"/>
                            <w:sz w:val="15"/>
                          </w:rPr>
                          <w:t>30,000.00</w:t>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70" w:right="0"/>
                          <w:jc w:val="left"/>
                          <w:rPr>
                            <w:rFonts w:ascii="宋体" w:hAnsi="宋体" w:cs="宋体" w:eastAsia="宋体" w:hint="default"/>
                            <w:sz w:val="15"/>
                            <w:szCs w:val="15"/>
                          </w:rPr>
                        </w:pPr>
                        <w:r>
                          <w:rPr>
                            <w:rFonts w:ascii="宋体"/>
                            <w:sz w:val="15"/>
                          </w:rPr>
                          <w:t>0.20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25" w:right="0"/>
                          <w:jc w:val="left"/>
                          <w:rPr>
                            <w:rFonts w:ascii="宋体" w:hAnsi="宋体" w:cs="宋体" w:eastAsia="宋体" w:hint="default"/>
                            <w:sz w:val="15"/>
                            <w:szCs w:val="15"/>
                          </w:rPr>
                        </w:pPr>
                        <w:r>
                          <w:rPr>
                            <w:rFonts w:ascii="宋体"/>
                            <w:sz w:val="15"/>
                          </w:rPr>
                          <w:t>12,000.00</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79" w:right="0"/>
                          <w:jc w:val="center"/>
                          <w:rPr>
                            <w:rFonts w:ascii="宋体" w:hAnsi="宋体" w:cs="宋体" w:eastAsia="宋体" w:hint="default"/>
                            <w:sz w:val="15"/>
                            <w:szCs w:val="15"/>
                          </w:rPr>
                        </w:pPr>
                        <w:r>
                          <w:rPr>
                            <w:rFonts w:ascii="宋体"/>
                            <w:sz w:val="15"/>
                          </w:rPr>
                          <w:t>40.00</w:t>
                        </w:r>
                      </w:p>
                    </w:tc>
                    <w:tc>
                      <w:tcPr>
                        <w:tcW w:w="1280" w:type="dxa"/>
                        <w:tcBorders>
                          <w:top w:val="nil" w:sz="6" w:space="0" w:color="auto"/>
                          <w:left w:val="nil" w:sz="6" w:space="0" w:color="auto"/>
                          <w:bottom w:val="nil" w:sz="6" w:space="0" w:color="auto"/>
                          <w:right w:val="nil" w:sz="6" w:space="0" w:color="auto"/>
                        </w:tcBorders>
                      </w:tcPr>
                      <w:p>
                        <w:pPr/>
                      </w:p>
                    </w:tc>
                    <w:tc>
                      <w:tcPr>
                        <w:tcW w:w="814"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nil" w:sz="6" w:space="0" w:color="auto"/>
                          <w:right w:val="nil" w:sz="6" w:space="0" w:color="auto"/>
                        </w:tcBorders>
                      </w:tcPr>
                      <w:p>
                        <w:pPr/>
                      </w:p>
                    </w:tc>
                  </w:tr>
                  <w:tr>
                    <w:trPr>
                      <w:trHeight w:val="375" w:hRule="exact"/>
                    </w:trPr>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24"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
                          <w:jc w:val="center"/>
                          <w:rPr>
                            <w:rFonts w:ascii="宋体" w:hAnsi="宋体" w:cs="宋体" w:eastAsia="宋体" w:hint="default"/>
                            <w:sz w:val="15"/>
                            <w:szCs w:val="15"/>
                          </w:rPr>
                        </w:pPr>
                        <w:r>
                          <w:rPr>
                            <w:rFonts w:ascii="宋体"/>
                            <w:w w:val="100"/>
                            <w:sz w:val="15"/>
                          </w:rPr>
                        </w:r>
                        <w:r>
                          <w:rPr>
                            <w:rFonts w:ascii="宋体"/>
                            <w:sz w:val="15"/>
                            <w:u w:val="thick" w:color="000000"/>
                          </w:rPr>
                          <w:t>15,056,966.63</w:t>
                        </w:r>
                        <w:r>
                          <w:rPr>
                            <w:rFonts w:ascii="宋体"/>
                            <w:sz w:val="15"/>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06" w:right="0"/>
                          <w:jc w:val="left"/>
                          <w:rPr>
                            <w:rFonts w:ascii="宋体" w:hAnsi="宋体" w:cs="宋体" w:eastAsia="宋体" w:hint="default"/>
                            <w:sz w:val="15"/>
                            <w:szCs w:val="15"/>
                          </w:rPr>
                        </w:pPr>
                        <w:r>
                          <w:rPr>
                            <w:rFonts w:ascii="宋体"/>
                            <w:w w:val="100"/>
                            <w:sz w:val="15"/>
                          </w:rPr>
                        </w:r>
                        <w:r>
                          <w:rPr>
                            <w:rFonts w:ascii="宋体"/>
                            <w:sz w:val="15"/>
                            <w:u w:val="thick" w:color="000000"/>
                          </w:rPr>
                          <w:t>100</w:t>
                        </w:r>
                        <w:r>
                          <w:rPr>
                            <w:rFonts w:ascii="宋体"/>
                            <w:sz w:val="15"/>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87" w:right="0"/>
                          <w:jc w:val="left"/>
                          <w:rPr>
                            <w:rFonts w:ascii="宋体" w:hAnsi="宋体" w:cs="宋体" w:eastAsia="宋体" w:hint="default"/>
                            <w:sz w:val="15"/>
                            <w:szCs w:val="15"/>
                          </w:rPr>
                        </w:pPr>
                        <w:r>
                          <w:rPr>
                            <w:rFonts w:ascii="宋体"/>
                            <w:w w:val="100"/>
                            <w:sz w:val="15"/>
                          </w:rPr>
                        </w:r>
                        <w:r>
                          <w:rPr>
                            <w:rFonts w:ascii="宋体"/>
                            <w:sz w:val="15"/>
                            <w:u w:val="thick" w:color="000000"/>
                          </w:rPr>
                          <w:t>800,848.33</w:t>
                        </w:r>
                        <w:r>
                          <w:rPr>
                            <w:rFonts w:ascii="宋体"/>
                            <w:sz w:val="15"/>
                          </w:rPr>
                        </w:r>
                      </w:p>
                    </w:tc>
                    <w:tc>
                      <w:tcPr>
                        <w:tcW w:w="1116"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8"/>
                          <w:jc w:val="center"/>
                          <w:rPr>
                            <w:rFonts w:ascii="宋体" w:hAnsi="宋体" w:cs="宋体" w:eastAsia="宋体" w:hint="default"/>
                            <w:sz w:val="15"/>
                            <w:szCs w:val="15"/>
                          </w:rPr>
                        </w:pPr>
                        <w:r>
                          <w:rPr>
                            <w:rFonts w:ascii="宋体"/>
                            <w:w w:val="100"/>
                            <w:sz w:val="15"/>
                          </w:rPr>
                        </w:r>
                        <w:r>
                          <w:rPr>
                            <w:rFonts w:ascii="宋体"/>
                            <w:sz w:val="15"/>
                            <w:u w:val="thick" w:color="000000"/>
                          </w:rPr>
                          <w:t>5,419,357.43</w:t>
                        </w:r>
                        <w:r>
                          <w:rPr>
                            <w:rFonts w:ascii="宋体"/>
                            <w:sz w:val="15"/>
                          </w:rPr>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6"/>
                          <w:jc w:val="center"/>
                          <w:rPr>
                            <w:rFonts w:ascii="宋体" w:hAnsi="宋体" w:cs="宋体" w:eastAsia="宋体" w:hint="default"/>
                            <w:sz w:val="15"/>
                            <w:szCs w:val="15"/>
                          </w:rPr>
                        </w:pPr>
                        <w:r>
                          <w:rPr>
                            <w:rFonts w:ascii="宋体"/>
                            <w:w w:val="100"/>
                            <w:sz w:val="15"/>
                          </w:rPr>
                        </w:r>
                        <w:r>
                          <w:rPr>
                            <w:rFonts w:ascii="宋体"/>
                            <w:sz w:val="15"/>
                            <w:u w:val="thick" w:color="000000"/>
                          </w:rPr>
                          <w:t>100</w:t>
                        </w:r>
                        <w:r>
                          <w:rPr>
                            <w:rFonts w:ascii="宋体"/>
                            <w:sz w:val="15"/>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5" w:right="0"/>
                          <w:jc w:val="center"/>
                          <w:rPr>
                            <w:rFonts w:ascii="宋体" w:hAnsi="宋体" w:cs="宋体" w:eastAsia="宋体" w:hint="default"/>
                            <w:sz w:val="15"/>
                            <w:szCs w:val="15"/>
                          </w:rPr>
                        </w:pPr>
                        <w:r>
                          <w:rPr>
                            <w:rFonts w:ascii="宋体"/>
                            <w:w w:val="100"/>
                            <w:sz w:val="15"/>
                          </w:rPr>
                        </w:r>
                        <w:r>
                          <w:rPr>
                            <w:rFonts w:ascii="宋体"/>
                            <w:sz w:val="15"/>
                            <w:u w:val="thick" w:color="000000"/>
                          </w:rPr>
                          <w:t>278,841.33</w:t>
                        </w:r>
                        <w:r>
                          <w:rPr>
                            <w:rFonts w:ascii="宋体"/>
                            <w:sz w:val="15"/>
                          </w:rPr>
                        </w:r>
                      </w:p>
                    </w:tc>
                    <w:tc>
                      <w:tcPr>
                        <w:tcW w:w="103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b/>
          <w:bCs/>
          <w:sz w:val="15"/>
          <w:szCs w:val="15"/>
        </w:rPr>
        <w:t>余额</w:t>
        <w:tab/>
      </w:r>
      <w:r>
        <w:rPr>
          <w:rFonts w:ascii="宋体" w:hAnsi="宋体" w:cs="宋体" w:eastAsia="宋体" w:hint="default"/>
          <w:b/>
          <w:bCs/>
          <w:spacing w:val="-3"/>
          <w:sz w:val="15"/>
          <w:szCs w:val="15"/>
        </w:rPr>
        <w:t>比例（</w:t>
      </w:r>
      <w:r>
        <w:rPr>
          <w:rFonts w:ascii="宋体" w:hAnsi="宋体" w:cs="宋体" w:eastAsia="宋体" w:hint="default"/>
          <w:b/>
          <w:bCs/>
          <w:spacing w:val="-3"/>
          <w:sz w:val="15"/>
          <w:szCs w:val="15"/>
        </w:rPr>
        <w:t>%</w:t>
      </w:r>
      <w:r>
        <w:rPr>
          <w:rFonts w:ascii="宋体" w:hAnsi="宋体" w:cs="宋体" w:eastAsia="宋体" w:hint="default"/>
          <w:b/>
          <w:bCs/>
          <w:spacing w:val="-3"/>
          <w:sz w:val="15"/>
          <w:szCs w:val="15"/>
        </w:rPr>
        <w:t>）</w:t>
        <w:tab/>
      </w:r>
      <w:r>
        <w:rPr>
          <w:rFonts w:ascii="宋体" w:hAnsi="宋体" w:cs="宋体" w:eastAsia="宋体" w:hint="default"/>
          <w:b/>
          <w:bCs/>
          <w:sz w:val="15"/>
          <w:szCs w:val="15"/>
        </w:rPr>
        <w:t>坏账准备</w:t>
        <w:tab/>
      </w:r>
      <w:r>
        <w:rPr>
          <w:rFonts w:ascii="宋体" w:hAnsi="宋体" w:cs="宋体" w:eastAsia="宋体" w:hint="default"/>
          <w:b/>
          <w:bCs/>
          <w:position w:val="10"/>
          <w:sz w:val="15"/>
          <w:szCs w:val="15"/>
        </w:rPr>
        <w:t>坏账准备计</w:t>
        <w:tab/>
      </w:r>
      <w:r>
        <w:rPr>
          <w:rFonts w:ascii="宋体" w:hAnsi="宋体" w:cs="宋体" w:eastAsia="宋体" w:hint="default"/>
          <w:b/>
          <w:bCs/>
          <w:sz w:val="15"/>
          <w:szCs w:val="15"/>
        </w:rPr>
        <w:t>余额</w:t>
        <w:tab/>
      </w:r>
      <w:r>
        <w:rPr>
          <w:rFonts w:ascii="宋体" w:hAnsi="宋体" w:cs="宋体" w:eastAsia="宋体" w:hint="default"/>
          <w:b/>
          <w:bCs/>
          <w:spacing w:val="-12"/>
          <w:sz w:val="15"/>
          <w:szCs w:val="15"/>
        </w:rPr>
        <w:t>比例（</w:t>
      </w:r>
      <w:r>
        <w:rPr>
          <w:rFonts w:ascii="宋体" w:hAnsi="宋体" w:cs="宋体" w:eastAsia="宋体" w:hint="default"/>
          <w:b/>
          <w:bCs/>
          <w:spacing w:val="-12"/>
          <w:sz w:val="15"/>
          <w:szCs w:val="15"/>
        </w:rPr>
        <w:t>%</w:t>
      </w:r>
      <w:r>
        <w:rPr>
          <w:rFonts w:ascii="宋体" w:hAnsi="宋体" w:cs="宋体" w:eastAsia="宋体" w:hint="default"/>
          <w:b/>
          <w:bCs/>
          <w:spacing w:val="-12"/>
          <w:sz w:val="15"/>
          <w:szCs w:val="15"/>
        </w:rPr>
        <w:t>）</w:t>
        <w:tab/>
      </w:r>
      <w:r>
        <w:rPr>
          <w:rFonts w:ascii="宋体" w:hAnsi="宋体" w:cs="宋体" w:eastAsia="宋体" w:hint="default"/>
          <w:b/>
          <w:bCs/>
          <w:sz w:val="15"/>
          <w:szCs w:val="15"/>
        </w:rPr>
        <w:t>坏账准备</w:t>
        <w:tab/>
      </w:r>
      <w:r>
        <w:rPr>
          <w:rFonts w:ascii="宋体" w:hAnsi="宋体" w:cs="宋体" w:eastAsia="宋体" w:hint="default"/>
          <w:b/>
          <w:bCs/>
          <w:position w:val="10"/>
          <w:sz w:val="15"/>
          <w:szCs w:val="15"/>
        </w:rPr>
        <w:t>坏账准备计</w:t>
      </w:r>
      <w:r>
        <w:rPr>
          <w:rFonts w:ascii="宋体" w:hAnsi="宋体" w:cs="宋体" w:eastAsia="宋体" w:hint="default"/>
          <w:sz w:val="15"/>
          <w:szCs w:val="15"/>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p>
      <w:pPr>
        <w:pStyle w:val="BodyText"/>
        <w:spacing w:line="240" w:lineRule="auto" w:before="44"/>
        <w:ind w:left="673" w:right="0"/>
        <w:jc w:val="left"/>
      </w:pPr>
      <w:r>
        <w:rPr/>
        <w:t>（</w:t>
      </w:r>
      <w:r>
        <w:rPr>
          <w:rFonts w:ascii="宋体" w:hAnsi="宋体" w:cs="宋体" w:eastAsia="宋体" w:hint="default"/>
        </w:rPr>
        <w:t>4</w:t>
      </w:r>
      <w:r>
        <w:rPr/>
        <w:t>）期末单项金额不重大但单独计提减值准备的其他应收款</w:t>
      </w:r>
    </w:p>
    <w:p>
      <w:pPr>
        <w:spacing w:line="240" w:lineRule="auto" w:before="6"/>
        <w:rPr>
          <w:rFonts w:ascii="宋体" w:hAnsi="宋体" w:cs="宋体" w:eastAsia="宋体" w:hint="default"/>
          <w:sz w:val="23"/>
          <w:szCs w:val="23"/>
        </w:rPr>
      </w:pPr>
    </w:p>
    <w:tbl>
      <w:tblPr>
        <w:tblW w:w="0" w:type="auto"/>
        <w:jc w:val="left"/>
        <w:tblInd w:w="204" w:type="dxa"/>
        <w:tblLayout w:type="fixed"/>
        <w:tblCellMar>
          <w:top w:w="0" w:type="dxa"/>
          <w:left w:w="0" w:type="dxa"/>
          <w:bottom w:w="0" w:type="dxa"/>
          <w:right w:w="0" w:type="dxa"/>
        </w:tblCellMar>
        <w:tblLook w:val="01E0"/>
      </w:tblPr>
      <w:tblGrid>
        <w:gridCol w:w="2166"/>
        <w:gridCol w:w="1999"/>
        <w:gridCol w:w="1634"/>
        <w:gridCol w:w="1033"/>
        <w:gridCol w:w="2221"/>
      </w:tblGrid>
      <w:tr>
        <w:trPr>
          <w:trHeight w:val="603" w:hRule="exact"/>
        </w:trPr>
        <w:tc>
          <w:tcPr>
            <w:tcW w:w="2166"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413" w:right="0"/>
              <w:jc w:val="left"/>
              <w:rPr>
                <w:rFonts w:ascii="宋体" w:hAnsi="宋体" w:cs="宋体" w:eastAsia="宋体" w:hint="default"/>
                <w:sz w:val="18"/>
                <w:szCs w:val="18"/>
              </w:rPr>
            </w:pPr>
            <w:r>
              <w:rPr>
                <w:rFonts w:ascii="宋体" w:hAnsi="宋体" w:cs="宋体" w:eastAsia="宋体" w:hint="default"/>
                <w:b/>
                <w:bCs/>
                <w:sz w:val="18"/>
                <w:szCs w:val="18"/>
              </w:rPr>
              <w:t>其他应收款内容</w:t>
            </w:r>
            <w:r>
              <w:rPr>
                <w:rFonts w:ascii="宋体" w:hAnsi="宋体" w:cs="宋体" w:eastAsia="宋体" w:hint="default"/>
                <w:sz w:val="18"/>
                <w:szCs w:val="18"/>
              </w:rPr>
            </w:r>
          </w:p>
        </w:tc>
        <w:tc>
          <w:tcPr>
            <w:tcW w:w="1999"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488"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634"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333" w:right="0"/>
              <w:jc w:val="left"/>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033" w:type="dxa"/>
            <w:tcBorders>
              <w:top w:val="nil" w:sz="6" w:space="0" w:color="auto"/>
              <w:left w:val="nil" w:sz="6" w:space="0" w:color="auto"/>
              <w:bottom w:val="single" w:sz="4" w:space="0" w:color="000000"/>
              <w:right w:val="nil" w:sz="6" w:space="0" w:color="auto"/>
            </w:tcBorders>
          </w:tcPr>
          <w:p>
            <w:pPr>
              <w:pStyle w:val="TableParagraph"/>
              <w:spacing w:line="180" w:lineRule="exact"/>
              <w:ind w:left="171" w:right="0"/>
              <w:jc w:val="left"/>
              <w:rPr>
                <w:rFonts w:ascii="宋体" w:hAnsi="宋体" w:cs="宋体" w:eastAsia="宋体" w:hint="default"/>
                <w:sz w:val="18"/>
                <w:szCs w:val="18"/>
              </w:rPr>
            </w:pPr>
            <w:r>
              <w:rPr>
                <w:rFonts w:ascii="宋体" w:hAnsi="宋体" w:cs="宋体" w:eastAsia="宋体" w:hint="default"/>
                <w:b/>
                <w:bCs/>
                <w:sz w:val="18"/>
                <w:szCs w:val="18"/>
              </w:rPr>
              <w:t>计提比</w:t>
            </w:r>
            <w:r>
              <w:rPr>
                <w:rFonts w:ascii="宋体" w:hAnsi="宋体" w:cs="宋体" w:eastAsia="宋体" w:hint="default"/>
                <w:sz w:val="18"/>
                <w:szCs w:val="18"/>
              </w:rPr>
            </w:r>
          </w:p>
          <w:p>
            <w:pPr>
              <w:pStyle w:val="TableParagraph"/>
              <w:spacing w:line="240" w:lineRule="auto" w:before="74"/>
              <w:ind w:left="125" w:right="0"/>
              <w:jc w:val="left"/>
              <w:rPr>
                <w:rFonts w:ascii="宋体" w:hAnsi="宋体" w:cs="宋体" w:eastAsia="宋体" w:hint="default"/>
                <w:sz w:val="18"/>
                <w:szCs w:val="18"/>
              </w:rPr>
            </w:pP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221"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26"/>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399" w:hRule="exact"/>
        </w:trPr>
        <w:tc>
          <w:tcPr>
            <w:tcW w:w="216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履约及投标保证金</w:t>
            </w:r>
          </w:p>
        </w:tc>
        <w:tc>
          <w:tcPr>
            <w:tcW w:w="199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31"/>
              <w:jc w:val="right"/>
              <w:rPr>
                <w:rFonts w:ascii="宋体" w:hAnsi="宋体" w:cs="宋体" w:eastAsia="宋体" w:hint="default"/>
                <w:sz w:val="18"/>
                <w:szCs w:val="18"/>
              </w:rPr>
            </w:pPr>
            <w:r>
              <w:rPr>
                <w:rFonts w:ascii="宋体"/>
                <w:spacing w:val="-1"/>
                <w:sz w:val="18"/>
              </w:rPr>
              <w:t>9,571,676.45</w:t>
            </w:r>
          </w:p>
        </w:tc>
        <w:tc>
          <w:tcPr>
            <w:tcW w:w="163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25"/>
              <w:jc w:val="right"/>
              <w:rPr>
                <w:rFonts w:ascii="宋体" w:hAnsi="宋体" w:cs="宋体" w:eastAsia="宋体" w:hint="default"/>
                <w:sz w:val="18"/>
                <w:szCs w:val="18"/>
              </w:rPr>
            </w:pPr>
            <w:r>
              <w:rPr>
                <w:rFonts w:ascii="宋体"/>
                <w:spacing w:val="-1"/>
                <w:sz w:val="18"/>
              </w:rPr>
              <w:t>106,991.30</w:t>
            </w:r>
            <w:r>
              <w:rPr>
                <w:rFonts w:ascii="宋体"/>
                <w:sz w:val="18"/>
              </w:rPr>
            </w:r>
          </w:p>
        </w:tc>
        <w:tc>
          <w:tcPr>
            <w:tcW w:w="103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435" w:right="0"/>
              <w:jc w:val="left"/>
              <w:rPr>
                <w:rFonts w:ascii="宋体" w:hAnsi="宋体" w:cs="宋体" w:eastAsia="宋体" w:hint="default"/>
                <w:sz w:val="18"/>
                <w:szCs w:val="18"/>
              </w:rPr>
            </w:pPr>
            <w:r>
              <w:rPr>
                <w:rFonts w:ascii="宋体"/>
                <w:sz w:val="18"/>
              </w:rPr>
              <w:t>1.12</w:t>
            </w:r>
          </w:p>
        </w:tc>
        <w:tc>
          <w:tcPr>
            <w:tcW w:w="222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26"/>
              <w:jc w:val="center"/>
              <w:rPr>
                <w:rFonts w:ascii="宋体" w:hAnsi="宋体" w:cs="宋体" w:eastAsia="宋体" w:hint="default"/>
                <w:sz w:val="18"/>
                <w:szCs w:val="18"/>
              </w:rPr>
            </w:pPr>
            <w:r>
              <w:rPr>
                <w:rFonts w:ascii="宋体" w:hAnsi="宋体" w:cs="宋体" w:eastAsia="宋体" w:hint="default"/>
                <w:sz w:val="18"/>
                <w:szCs w:val="18"/>
              </w:rPr>
              <w:t>不存在较大信用风险</w:t>
            </w:r>
          </w:p>
        </w:tc>
      </w:tr>
      <w:tr>
        <w:trPr>
          <w:trHeight w:val="289" w:hRule="exact"/>
        </w:trPr>
        <w:tc>
          <w:tcPr>
            <w:tcW w:w="216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1"/>
              <w:jc w:val="right"/>
              <w:rPr>
                <w:rFonts w:ascii="宋体" w:hAnsi="宋体" w:cs="宋体" w:eastAsia="宋体" w:hint="default"/>
                <w:sz w:val="18"/>
                <w:szCs w:val="18"/>
              </w:rPr>
            </w:pPr>
            <w:r>
              <w:rPr>
                <w:rFonts w:ascii="宋体"/>
                <w:sz w:val="18"/>
              </w:rPr>
            </w:r>
            <w:r>
              <w:rPr>
                <w:rFonts w:ascii="宋体"/>
                <w:spacing w:val="-1"/>
                <w:sz w:val="18"/>
                <w:u w:val="thick" w:color="000000"/>
              </w:rPr>
              <w:t>9,571,676.45</w:t>
            </w:r>
            <w:r>
              <w:rPr>
                <w:rFonts w:ascii="宋体"/>
                <w:spacing w:val="-1"/>
                <w:sz w:val="18"/>
              </w:rPr>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5"/>
              <w:jc w:val="right"/>
              <w:rPr>
                <w:rFonts w:ascii="宋体" w:hAnsi="宋体" w:cs="宋体" w:eastAsia="宋体" w:hint="default"/>
                <w:sz w:val="18"/>
                <w:szCs w:val="18"/>
              </w:rPr>
            </w:pPr>
            <w:r>
              <w:rPr>
                <w:rFonts w:ascii="宋体"/>
                <w:sz w:val="18"/>
              </w:rPr>
            </w:r>
            <w:r>
              <w:rPr>
                <w:rFonts w:ascii="宋体"/>
                <w:spacing w:val="-1"/>
                <w:sz w:val="18"/>
                <w:u w:val="thick" w:color="000000"/>
              </w:rPr>
              <w:t>106,991.30</w:t>
            </w:r>
            <w:r>
              <w:rPr>
                <w:rFonts w:ascii="宋体"/>
                <w:spacing w:val="-1"/>
                <w:sz w:val="18"/>
              </w:rPr>
            </w:r>
            <w:r>
              <w:rPr>
                <w:rFonts w:ascii="宋体"/>
                <w:sz w:val="18"/>
              </w:rPr>
            </w:r>
          </w:p>
        </w:tc>
        <w:tc>
          <w:tcPr>
            <w:tcW w:w="1033" w:type="dxa"/>
            <w:tcBorders>
              <w:top w:val="nil" w:sz="6" w:space="0" w:color="auto"/>
              <w:left w:val="nil" w:sz="6" w:space="0" w:color="auto"/>
              <w:bottom w:val="nil" w:sz="6" w:space="0" w:color="auto"/>
              <w:right w:val="nil" w:sz="6" w:space="0" w:color="auto"/>
            </w:tcBorders>
          </w:tcPr>
          <w:p>
            <w:pPr/>
          </w:p>
        </w:tc>
        <w:tc>
          <w:tcPr>
            <w:tcW w:w="2221"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673" w:right="0"/>
        <w:jc w:val="left"/>
      </w:pPr>
      <w:r>
        <w:rPr/>
        <w:t>（</w:t>
      </w:r>
      <w:r>
        <w:rPr>
          <w:rFonts w:ascii="宋体" w:hAnsi="宋体" w:cs="宋体" w:eastAsia="宋体" w:hint="default"/>
        </w:rPr>
        <w:t>5</w:t>
      </w:r>
      <w:r>
        <w:rPr/>
        <w:t>）期末其他应收款中无持本公司</w:t>
      </w:r>
      <w:r>
        <w:rPr>
          <w:spacing w:val="-43"/>
        </w:rPr>
        <w:t> </w:t>
      </w:r>
      <w:r>
        <w:rPr>
          <w:rFonts w:ascii="宋体" w:hAnsi="宋体" w:cs="宋体" w:eastAsia="宋体" w:hint="default"/>
        </w:rPr>
        <w:t>5%</w:t>
      </w:r>
      <w:r>
        <w:rPr/>
        <w:t>以上（含</w:t>
      </w:r>
      <w:r>
        <w:rPr>
          <w:spacing w:val="-47"/>
        </w:rPr>
        <w:t> </w:t>
      </w:r>
      <w:r>
        <w:rPr>
          <w:rFonts w:ascii="宋体" w:hAnsi="宋体" w:cs="宋体" w:eastAsia="宋体" w:hint="default"/>
        </w:rPr>
        <w:t>5%</w:t>
      </w:r>
      <w:r>
        <w:rPr/>
        <w:t>）表决权股份的股东单位款项。</w:t>
      </w:r>
    </w:p>
    <w:p>
      <w:pPr>
        <w:spacing w:line="240" w:lineRule="auto" w:before="6"/>
        <w:rPr>
          <w:rFonts w:ascii="宋体" w:hAnsi="宋体" w:cs="宋体" w:eastAsia="宋体" w:hint="default"/>
          <w:sz w:val="21"/>
          <w:szCs w:val="21"/>
        </w:rPr>
      </w:pPr>
    </w:p>
    <w:p>
      <w:pPr>
        <w:pStyle w:val="BodyText"/>
        <w:spacing w:line="240" w:lineRule="auto"/>
        <w:ind w:left="673" w:right="0"/>
        <w:jc w:val="left"/>
      </w:pPr>
      <w:r>
        <w:rPr/>
        <w:t>（</w:t>
      </w:r>
      <w:r>
        <w:rPr>
          <w:rFonts w:ascii="宋体" w:hAnsi="宋体" w:cs="宋体" w:eastAsia="宋体" w:hint="default"/>
        </w:rPr>
        <w:t>6</w:t>
      </w:r>
      <w:r>
        <w:rPr/>
        <w:t>）期末其他应收款余额前五名</w:t>
      </w:r>
    </w:p>
    <w:p>
      <w:pPr>
        <w:spacing w:line="240" w:lineRule="auto" w:before="5"/>
        <w:rPr>
          <w:rFonts w:ascii="宋体" w:hAnsi="宋体" w:cs="宋体" w:eastAsia="宋体" w:hint="default"/>
          <w:sz w:val="20"/>
          <w:szCs w:val="20"/>
        </w:rPr>
      </w:pPr>
    </w:p>
    <w:tbl>
      <w:tblPr>
        <w:tblW w:w="0" w:type="auto"/>
        <w:jc w:val="left"/>
        <w:tblInd w:w="829" w:type="dxa"/>
        <w:tblLayout w:type="fixed"/>
        <w:tblCellMar>
          <w:top w:w="0" w:type="dxa"/>
          <w:left w:w="0" w:type="dxa"/>
          <w:bottom w:w="0" w:type="dxa"/>
          <w:right w:w="0" w:type="dxa"/>
        </w:tblCellMar>
        <w:tblLook w:val="01E0"/>
      </w:tblPr>
      <w:tblGrid>
        <w:gridCol w:w="1703"/>
        <w:gridCol w:w="2071"/>
        <w:gridCol w:w="1994"/>
        <w:gridCol w:w="1145"/>
        <w:gridCol w:w="1694"/>
      </w:tblGrid>
      <w:tr>
        <w:trPr>
          <w:trHeight w:val="433" w:hRule="exact"/>
        </w:trPr>
        <w:tc>
          <w:tcPr>
            <w:tcW w:w="170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84"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07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89"/>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99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63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4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282"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694" w:type="dxa"/>
            <w:tcBorders>
              <w:top w:val="nil" w:sz="6" w:space="0" w:color="auto"/>
              <w:left w:val="nil" w:sz="6" w:space="0" w:color="auto"/>
              <w:bottom w:val="single" w:sz="4" w:space="0" w:color="000000"/>
              <w:right w:val="nil" w:sz="6" w:space="0" w:color="auto"/>
            </w:tcBorders>
          </w:tcPr>
          <w:p>
            <w:pPr>
              <w:pStyle w:val="TableParagraph"/>
              <w:spacing w:line="179" w:lineRule="exact"/>
              <w:ind w:right="24"/>
              <w:jc w:val="center"/>
              <w:rPr>
                <w:rFonts w:ascii="宋体" w:hAnsi="宋体" w:cs="宋体" w:eastAsia="宋体" w:hint="default"/>
                <w:sz w:val="18"/>
                <w:szCs w:val="18"/>
              </w:rPr>
            </w:pPr>
            <w:r>
              <w:rPr>
                <w:rFonts w:ascii="宋体" w:hAnsi="宋体" w:cs="宋体" w:eastAsia="宋体" w:hint="default"/>
                <w:b/>
                <w:bCs/>
                <w:sz w:val="18"/>
                <w:szCs w:val="18"/>
              </w:rPr>
              <w:t>占其他应收款总额的</w:t>
            </w:r>
            <w:r>
              <w:rPr>
                <w:rFonts w:ascii="宋体" w:hAnsi="宋体" w:cs="宋体" w:eastAsia="宋体" w:hint="default"/>
                <w:sz w:val="18"/>
                <w:szCs w:val="18"/>
              </w:rPr>
            </w:r>
          </w:p>
          <w:p>
            <w:pPr>
              <w:pStyle w:val="TableParagraph"/>
              <w:spacing w:line="234" w:lineRule="exact"/>
              <w:ind w:right="24"/>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95" w:hRule="exact"/>
        </w:trPr>
        <w:tc>
          <w:tcPr>
            <w:tcW w:w="170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84"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07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88"/>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9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2"/>
              <w:jc w:val="right"/>
              <w:rPr>
                <w:rFonts w:ascii="宋体" w:hAnsi="宋体" w:cs="宋体" w:eastAsia="宋体" w:hint="default"/>
                <w:sz w:val="18"/>
                <w:szCs w:val="18"/>
              </w:rPr>
            </w:pPr>
            <w:r>
              <w:rPr>
                <w:rFonts w:ascii="宋体"/>
                <w:spacing w:val="-1"/>
                <w:sz w:val="18"/>
              </w:rPr>
              <w:t>12,061,784.00</w:t>
            </w:r>
          </w:p>
        </w:tc>
        <w:tc>
          <w:tcPr>
            <w:tcW w:w="114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9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88"/>
              <w:jc w:val="right"/>
              <w:rPr>
                <w:rFonts w:ascii="宋体" w:hAnsi="宋体" w:cs="宋体" w:eastAsia="宋体" w:hint="default"/>
                <w:sz w:val="18"/>
                <w:szCs w:val="18"/>
              </w:rPr>
            </w:pPr>
            <w:r>
              <w:rPr>
                <w:rFonts w:ascii="宋体"/>
                <w:sz w:val="18"/>
              </w:rPr>
              <w:t>20.37</w:t>
            </w:r>
          </w:p>
        </w:tc>
      </w:tr>
      <w:tr>
        <w:trPr>
          <w:trHeight w:val="395" w:hRule="exact"/>
        </w:trPr>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4"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8"/>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0"/>
              <w:jc w:val="right"/>
              <w:rPr>
                <w:rFonts w:ascii="宋体" w:hAnsi="宋体" w:cs="宋体" w:eastAsia="宋体" w:hint="default"/>
                <w:sz w:val="18"/>
                <w:szCs w:val="18"/>
              </w:rPr>
            </w:pPr>
            <w:r>
              <w:rPr>
                <w:rFonts w:ascii="宋体"/>
                <w:spacing w:val="-1"/>
                <w:sz w:val="18"/>
              </w:rPr>
              <w:t>9,572,600.00</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7"/>
              <w:jc w:val="right"/>
              <w:rPr>
                <w:rFonts w:ascii="宋体" w:hAnsi="宋体" w:cs="宋体" w:eastAsia="宋体" w:hint="default"/>
                <w:sz w:val="18"/>
                <w:szCs w:val="18"/>
              </w:rPr>
            </w:pPr>
            <w:r>
              <w:rPr>
                <w:rFonts w:ascii="宋体"/>
                <w:spacing w:val="-1"/>
                <w:sz w:val="18"/>
              </w:rPr>
              <w:t>16.17</w:t>
            </w:r>
          </w:p>
        </w:tc>
      </w:tr>
      <w:tr>
        <w:trPr>
          <w:trHeight w:val="398" w:hRule="exact"/>
        </w:trPr>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4"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8"/>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0"/>
              <w:jc w:val="right"/>
              <w:rPr>
                <w:rFonts w:ascii="宋体" w:hAnsi="宋体" w:cs="宋体" w:eastAsia="宋体" w:hint="default"/>
                <w:sz w:val="18"/>
                <w:szCs w:val="18"/>
              </w:rPr>
            </w:pPr>
            <w:r>
              <w:rPr>
                <w:rFonts w:ascii="宋体"/>
                <w:spacing w:val="-1"/>
                <w:sz w:val="18"/>
              </w:rPr>
              <w:t>5,800,000.00</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9.80</w:t>
            </w:r>
            <w:r>
              <w:rPr>
                <w:rFonts w:ascii="宋体"/>
                <w:sz w:val="18"/>
              </w:rPr>
            </w:r>
          </w:p>
        </w:tc>
      </w:tr>
      <w:tr>
        <w:trPr>
          <w:trHeight w:val="398" w:hRule="exact"/>
        </w:trPr>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4"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8"/>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0"/>
              <w:jc w:val="right"/>
              <w:rPr>
                <w:rFonts w:ascii="宋体" w:hAnsi="宋体" w:cs="宋体" w:eastAsia="宋体" w:hint="default"/>
                <w:sz w:val="18"/>
                <w:szCs w:val="18"/>
              </w:rPr>
            </w:pPr>
            <w:r>
              <w:rPr>
                <w:rFonts w:ascii="宋体"/>
                <w:spacing w:val="-1"/>
                <w:sz w:val="18"/>
              </w:rPr>
              <w:t>3,950,000.60</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8"/>
              <w:jc w:val="right"/>
              <w:rPr>
                <w:rFonts w:ascii="宋体" w:hAnsi="宋体" w:cs="宋体" w:eastAsia="宋体" w:hint="default"/>
                <w:sz w:val="18"/>
                <w:szCs w:val="18"/>
              </w:rPr>
            </w:pPr>
            <w:r>
              <w:rPr>
                <w:rFonts w:ascii="宋体"/>
                <w:sz w:val="18"/>
              </w:rPr>
              <w:t>6.67</w:t>
            </w:r>
          </w:p>
        </w:tc>
      </w:tr>
      <w:tr>
        <w:trPr>
          <w:trHeight w:val="398" w:hRule="exact"/>
        </w:trPr>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4"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8"/>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0"/>
              <w:jc w:val="right"/>
              <w:rPr>
                <w:rFonts w:ascii="宋体" w:hAnsi="宋体" w:cs="宋体" w:eastAsia="宋体" w:hint="default"/>
                <w:sz w:val="18"/>
                <w:szCs w:val="18"/>
              </w:rPr>
            </w:pPr>
            <w:r>
              <w:rPr>
                <w:rFonts w:ascii="宋体"/>
                <w:spacing w:val="-1"/>
                <w:sz w:val="18"/>
              </w:rPr>
              <w:t>3,198,162.45</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8"/>
              <w:jc w:val="right"/>
              <w:rPr>
                <w:rFonts w:ascii="宋体" w:hAnsi="宋体" w:cs="宋体" w:eastAsia="宋体" w:hint="default"/>
                <w:sz w:val="18"/>
                <w:szCs w:val="18"/>
              </w:rPr>
            </w:pPr>
            <w:r>
              <w:rPr>
                <w:rFonts w:ascii="宋体"/>
                <w:sz w:val="18"/>
              </w:rPr>
              <w:t>5.40</w:t>
            </w:r>
          </w:p>
        </w:tc>
      </w:tr>
      <w:tr>
        <w:trPr>
          <w:trHeight w:val="288" w:hRule="exact"/>
        </w:trPr>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8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71"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2"/>
              <w:jc w:val="right"/>
              <w:rPr>
                <w:rFonts w:ascii="宋体" w:hAnsi="宋体" w:cs="宋体" w:eastAsia="宋体" w:hint="default"/>
                <w:sz w:val="18"/>
                <w:szCs w:val="18"/>
              </w:rPr>
            </w:pPr>
            <w:r>
              <w:rPr>
                <w:rFonts w:ascii="宋体"/>
                <w:sz w:val="18"/>
              </w:rPr>
            </w:r>
            <w:r>
              <w:rPr>
                <w:rFonts w:ascii="宋体"/>
                <w:spacing w:val="-1"/>
                <w:sz w:val="18"/>
                <w:u w:val="thick" w:color="000000"/>
              </w:rPr>
              <w:t>34,582,547.05</w:t>
            </w:r>
            <w:r>
              <w:rPr>
                <w:rFonts w:ascii="宋体"/>
                <w:spacing w:val="-1"/>
                <w:sz w:val="18"/>
              </w:rPr>
            </w:r>
          </w:p>
        </w:tc>
        <w:tc>
          <w:tcPr>
            <w:tcW w:w="1145"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8"/>
              <w:jc w:val="right"/>
              <w:rPr>
                <w:rFonts w:ascii="宋体" w:hAnsi="宋体" w:cs="宋体" w:eastAsia="宋体" w:hint="default"/>
                <w:sz w:val="18"/>
                <w:szCs w:val="18"/>
              </w:rPr>
            </w:pPr>
            <w:r>
              <w:rPr>
                <w:rFonts w:ascii="宋体"/>
                <w:sz w:val="18"/>
              </w:rPr>
            </w:r>
            <w:r>
              <w:rPr>
                <w:rFonts w:ascii="宋体"/>
                <w:sz w:val="18"/>
                <w:u w:val="thick" w:color="000000"/>
              </w:rPr>
              <w:t>58.41</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ind w:left="673" w:right="0"/>
        <w:jc w:val="left"/>
      </w:pPr>
      <w:r>
        <w:rPr/>
        <w:t>（</w:t>
      </w:r>
      <w:r>
        <w:rPr>
          <w:rFonts w:ascii="宋体" w:hAnsi="宋体" w:cs="宋体" w:eastAsia="宋体" w:hint="default"/>
        </w:rPr>
        <w:t>7</w:t>
      </w:r>
      <w:r>
        <w:rPr/>
        <w:t>）期末其他应收款中无应收关联方欠款。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5"/>
          <w:szCs w:val="15"/>
        </w:rPr>
      </w:pPr>
    </w:p>
    <w:p>
      <w:pPr>
        <w:pStyle w:val="BodyText"/>
        <w:spacing w:line="240" w:lineRule="auto"/>
        <w:ind w:left="673" w:right="0"/>
        <w:jc w:val="left"/>
      </w:pPr>
      <w:r>
        <w:rPr>
          <w:rFonts w:ascii="宋体" w:hAnsi="宋体" w:cs="宋体" w:eastAsia="宋体" w:hint="default"/>
        </w:rPr>
        <w:t>7.</w:t>
      </w:r>
      <w:r>
        <w:rPr/>
        <w:t>存货</w:t>
      </w:r>
    </w:p>
    <w:p>
      <w:pPr>
        <w:spacing w:line="240" w:lineRule="auto" w:before="6"/>
        <w:rPr>
          <w:rFonts w:ascii="宋体" w:hAnsi="宋体" w:cs="宋体" w:eastAsia="宋体" w:hint="default"/>
          <w:sz w:val="21"/>
          <w:szCs w:val="21"/>
        </w:rPr>
      </w:pPr>
    </w:p>
    <w:p>
      <w:pPr>
        <w:pStyle w:val="BodyText"/>
        <w:spacing w:line="240" w:lineRule="auto"/>
        <w:ind w:left="673" w:right="0"/>
        <w:jc w:val="left"/>
      </w:pPr>
      <w:r>
        <w:rPr/>
        <w:t>（</w:t>
      </w:r>
      <w:r>
        <w:rPr>
          <w:rFonts w:ascii="宋体" w:hAnsi="宋体" w:cs="宋体" w:eastAsia="宋体" w:hint="default"/>
        </w:rPr>
        <w:t>1</w:t>
      </w:r>
      <w:r>
        <w:rPr/>
        <w:t>）存货分类</w:t>
      </w:r>
    </w:p>
    <w:p>
      <w:pPr>
        <w:spacing w:after="0" w:line="240" w:lineRule="auto"/>
        <w:jc w:val="left"/>
        <w:sectPr>
          <w:pgSz w:w="11910" w:h="16840"/>
          <w:pgMar w:header="877" w:footer="1332" w:top="1100" w:bottom="1520" w:left="8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332" w:top="1100" w:bottom="1520" w:left="860" w:right="0"/>
        </w:sectPr>
      </w:pPr>
    </w:p>
    <w:p>
      <w:pPr>
        <w:pStyle w:val="Heading7"/>
        <w:tabs>
          <w:tab w:pos="3199" w:val="left" w:leader="none"/>
        </w:tabs>
        <w:spacing w:line="240" w:lineRule="auto" w:before="207"/>
        <w:ind w:left="1835" w:right="-20"/>
        <w:jc w:val="left"/>
        <w:rPr>
          <w:b w:val="0"/>
          <w:bCs w:val="0"/>
        </w:rPr>
      </w:pPr>
      <w:r>
        <w:rPr/>
        <w:pict>
          <v:shape style="position:absolute;margin-left:51.240002pt;margin-top:-9.892653pt;width:492.85pt;height:126.55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19"/>
                    <w:gridCol w:w="1780"/>
                    <w:gridCol w:w="916"/>
                    <w:gridCol w:w="1641"/>
                    <w:gridCol w:w="1608"/>
                    <w:gridCol w:w="996"/>
                    <w:gridCol w:w="1696"/>
                  </w:tblGrid>
                  <w:tr>
                    <w:trPr>
                      <w:trHeight w:val="280" w:hRule="exact"/>
                    </w:trPr>
                    <w:tc>
                      <w:tcPr>
                        <w:tcW w:w="391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right="242"/>
                          <w:jc w:val="righ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sz w:val="18"/>
                            <w:szCs w:val="18"/>
                          </w:rPr>
                        </w:r>
                      </w:p>
                    </w:tc>
                    <w:tc>
                      <w:tcPr>
                        <w:tcW w:w="594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4"/>
                          <w:ind w:left="337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48" w:hRule="exact"/>
                    </w:trPr>
                    <w:tc>
                      <w:tcPr>
                        <w:tcW w:w="9856"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48"/>
                          <w:ind w:left="406"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r>
                  <w:tr>
                    <w:trPr>
                      <w:trHeight w:val="228" w:hRule="exact"/>
                    </w:trPr>
                    <w:tc>
                      <w:tcPr>
                        <w:tcW w:w="1219" w:type="dxa"/>
                        <w:tcBorders>
                          <w:top w:val="nil" w:sz="6" w:space="0" w:color="auto"/>
                          <w:left w:val="nil" w:sz="6" w:space="0" w:color="auto"/>
                          <w:bottom w:val="single" w:sz="4" w:space="0" w:color="000000"/>
                          <w:right w:val="nil" w:sz="6" w:space="0" w:color="auto"/>
                        </w:tcBorders>
                      </w:tcPr>
                      <w:p>
                        <w:pPr/>
                      </w:p>
                    </w:tc>
                    <w:tc>
                      <w:tcPr>
                        <w:tcW w:w="1780" w:type="dxa"/>
                        <w:tcBorders>
                          <w:top w:val="nil" w:sz="6" w:space="0" w:color="auto"/>
                          <w:left w:val="nil" w:sz="6" w:space="0" w:color="auto"/>
                          <w:bottom w:val="single" w:sz="4" w:space="0" w:color="000000"/>
                          <w:right w:val="nil" w:sz="6" w:space="0" w:color="auto"/>
                        </w:tcBorders>
                      </w:tcPr>
                      <w:p>
                        <w:pPr/>
                      </w:p>
                    </w:tc>
                    <w:tc>
                      <w:tcPr>
                        <w:tcW w:w="916" w:type="dxa"/>
                        <w:tcBorders>
                          <w:top w:val="nil" w:sz="6" w:space="0" w:color="auto"/>
                          <w:left w:val="nil" w:sz="6" w:space="0" w:color="auto"/>
                          <w:bottom w:val="single" w:sz="4" w:space="0" w:color="000000"/>
                          <w:right w:val="nil" w:sz="6" w:space="0" w:color="auto"/>
                        </w:tcBorders>
                      </w:tcPr>
                      <w:p>
                        <w:pPr>
                          <w:pStyle w:val="TableParagraph"/>
                          <w:spacing w:line="148" w:lineRule="exact"/>
                          <w:ind w:left="217" w:right="0"/>
                          <w:jc w:val="left"/>
                          <w:rPr>
                            <w:rFonts w:ascii="宋体" w:hAnsi="宋体" w:cs="宋体" w:eastAsia="宋体" w:hint="default"/>
                            <w:sz w:val="18"/>
                            <w:szCs w:val="18"/>
                          </w:rPr>
                        </w:pPr>
                        <w:r>
                          <w:rPr>
                            <w:rFonts w:ascii="宋体" w:hAnsi="宋体" w:cs="宋体" w:eastAsia="宋体" w:hint="default"/>
                            <w:b/>
                            <w:bCs/>
                            <w:w w:val="99"/>
                            <w:sz w:val="18"/>
                            <w:szCs w:val="18"/>
                          </w:rPr>
                          <w:t>备</w:t>
                        </w:r>
                        <w:r>
                          <w:rPr>
                            <w:rFonts w:ascii="宋体" w:hAnsi="宋体" w:cs="宋体" w:eastAsia="宋体" w:hint="default"/>
                            <w:sz w:val="18"/>
                            <w:szCs w:val="18"/>
                          </w:rPr>
                        </w:r>
                      </w:p>
                    </w:tc>
                    <w:tc>
                      <w:tcPr>
                        <w:tcW w:w="1641" w:type="dxa"/>
                        <w:tcBorders>
                          <w:top w:val="nil" w:sz="6" w:space="0" w:color="auto"/>
                          <w:left w:val="nil" w:sz="6" w:space="0" w:color="auto"/>
                          <w:bottom w:val="single" w:sz="4" w:space="0" w:color="000000"/>
                          <w:right w:val="nil" w:sz="6" w:space="0" w:color="auto"/>
                        </w:tcBorders>
                      </w:tcPr>
                      <w:p>
                        <w:pPr/>
                      </w:p>
                    </w:tc>
                    <w:tc>
                      <w:tcPr>
                        <w:tcW w:w="1608" w:type="dxa"/>
                        <w:tcBorders>
                          <w:top w:val="nil" w:sz="6" w:space="0" w:color="auto"/>
                          <w:left w:val="nil" w:sz="6" w:space="0" w:color="auto"/>
                          <w:bottom w:val="single" w:sz="4" w:space="0" w:color="000000"/>
                          <w:right w:val="nil" w:sz="6" w:space="0" w:color="auto"/>
                        </w:tcBorders>
                      </w:tcPr>
                      <w:p>
                        <w:pPr/>
                      </w:p>
                    </w:tc>
                    <w:tc>
                      <w:tcPr>
                        <w:tcW w:w="996" w:type="dxa"/>
                        <w:tcBorders>
                          <w:top w:val="nil" w:sz="6" w:space="0" w:color="auto"/>
                          <w:left w:val="nil" w:sz="6" w:space="0" w:color="auto"/>
                          <w:bottom w:val="single" w:sz="4" w:space="0" w:color="000000"/>
                          <w:right w:val="nil" w:sz="6" w:space="0" w:color="auto"/>
                        </w:tcBorders>
                      </w:tcPr>
                      <w:p>
                        <w:pPr>
                          <w:pStyle w:val="TableParagraph"/>
                          <w:spacing w:line="181" w:lineRule="exact"/>
                          <w:ind w:left="303" w:right="0"/>
                          <w:jc w:val="left"/>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sz w:val="18"/>
                            <w:szCs w:val="18"/>
                          </w:rPr>
                        </w:r>
                      </w:p>
                    </w:tc>
                    <w:tc>
                      <w:tcPr>
                        <w:tcW w:w="1696" w:type="dxa"/>
                        <w:tcBorders>
                          <w:top w:val="nil" w:sz="6" w:space="0" w:color="auto"/>
                          <w:left w:val="nil" w:sz="6" w:space="0" w:color="auto"/>
                          <w:bottom w:val="single" w:sz="4" w:space="0" w:color="000000"/>
                          <w:right w:val="nil" w:sz="6" w:space="0" w:color="auto"/>
                        </w:tcBorders>
                      </w:tcPr>
                      <w:p>
                        <w:pPr/>
                      </w:p>
                    </w:tc>
                  </w:tr>
                  <w:tr>
                    <w:trPr>
                      <w:trHeight w:val="395" w:hRule="exact"/>
                    </w:trPr>
                    <w:tc>
                      <w:tcPr>
                        <w:tcW w:w="121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78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15"/>
                          <w:jc w:val="right"/>
                          <w:rPr>
                            <w:rFonts w:ascii="宋体" w:hAnsi="宋体" w:cs="宋体" w:eastAsia="宋体" w:hint="default"/>
                            <w:sz w:val="18"/>
                            <w:szCs w:val="18"/>
                          </w:rPr>
                        </w:pPr>
                        <w:r>
                          <w:rPr>
                            <w:rFonts w:ascii="宋体"/>
                            <w:spacing w:val="-1"/>
                            <w:sz w:val="18"/>
                          </w:rPr>
                          <w:t>28,374,246.34</w:t>
                        </w:r>
                      </w:p>
                    </w:tc>
                    <w:tc>
                      <w:tcPr>
                        <w:tcW w:w="916" w:type="dxa"/>
                        <w:tcBorders>
                          <w:top w:val="single" w:sz="4" w:space="0" w:color="000000"/>
                          <w:left w:val="nil" w:sz="6" w:space="0" w:color="auto"/>
                          <w:bottom w:val="nil" w:sz="6" w:space="0" w:color="auto"/>
                          <w:right w:val="nil" w:sz="6" w:space="0" w:color="auto"/>
                        </w:tcBorders>
                      </w:tcPr>
                      <w:p>
                        <w:pPr/>
                      </w:p>
                    </w:tc>
                    <w:tc>
                      <w:tcPr>
                        <w:tcW w:w="164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22"/>
                          <w:jc w:val="right"/>
                          <w:rPr>
                            <w:rFonts w:ascii="宋体" w:hAnsi="宋体" w:cs="宋体" w:eastAsia="宋体" w:hint="default"/>
                            <w:sz w:val="18"/>
                            <w:szCs w:val="18"/>
                          </w:rPr>
                        </w:pPr>
                        <w:r>
                          <w:rPr>
                            <w:rFonts w:ascii="宋体"/>
                            <w:spacing w:val="-1"/>
                            <w:sz w:val="18"/>
                          </w:rPr>
                          <w:t>28,374,246.34</w:t>
                        </w:r>
                      </w:p>
                    </w:tc>
                    <w:tc>
                      <w:tcPr>
                        <w:tcW w:w="1608"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21"/>
                          <w:jc w:val="right"/>
                          <w:rPr>
                            <w:rFonts w:ascii="宋体" w:hAnsi="宋体" w:cs="宋体" w:eastAsia="宋体" w:hint="default"/>
                            <w:sz w:val="18"/>
                            <w:szCs w:val="18"/>
                          </w:rPr>
                        </w:pPr>
                        <w:r>
                          <w:rPr>
                            <w:rFonts w:ascii="宋体"/>
                            <w:spacing w:val="-1"/>
                            <w:sz w:val="18"/>
                          </w:rPr>
                          <w:t>94,315,348.20</w:t>
                        </w:r>
                      </w:p>
                    </w:tc>
                    <w:tc>
                      <w:tcPr>
                        <w:tcW w:w="996" w:type="dxa"/>
                        <w:tcBorders>
                          <w:top w:val="single" w:sz="4" w:space="0" w:color="000000"/>
                          <w:left w:val="nil" w:sz="6" w:space="0" w:color="auto"/>
                          <w:bottom w:val="nil" w:sz="6" w:space="0" w:color="auto"/>
                          <w:right w:val="nil" w:sz="6" w:space="0" w:color="auto"/>
                        </w:tcBorders>
                      </w:tcPr>
                      <w:p>
                        <w:pPr/>
                      </w:p>
                    </w:tc>
                    <w:tc>
                      <w:tcPr>
                        <w:tcW w:w="1696"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5"/>
                          <w:jc w:val="right"/>
                          <w:rPr>
                            <w:rFonts w:ascii="宋体" w:hAnsi="宋体" w:cs="宋体" w:eastAsia="宋体" w:hint="default"/>
                            <w:sz w:val="18"/>
                            <w:szCs w:val="18"/>
                          </w:rPr>
                        </w:pPr>
                        <w:r>
                          <w:rPr>
                            <w:rFonts w:ascii="宋体"/>
                            <w:spacing w:val="-1"/>
                            <w:sz w:val="18"/>
                          </w:rPr>
                          <w:t>94,315,348.20</w:t>
                        </w:r>
                      </w:p>
                    </w:tc>
                  </w:tr>
                  <w:tr>
                    <w:trPr>
                      <w:trHeight w:val="394" w:hRule="exact"/>
                    </w:trPr>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5"/>
                          <w:jc w:val="right"/>
                          <w:rPr>
                            <w:rFonts w:ascii="宋体" w:hAnsi="宋体" w:cs="宋体" w:eastAsia="宋体" w:hint="default"/>
                            <w:sz w:val="18"/>
                            <w:szCs w:val="18"/>
                          </w:rPr>
                        </w:pPr>
                        <w:r>
                          <w:rPr>
                            <w:rFonts w:ascii="宋体"/>
                            <w:spacing w:val="-1"/>
                            <w:sz w:val="18"/>
                          </w:rPr>
                          <w:t>126,461.53</w:t>
                        </w:r>
                      </w:p>
                    </w:tc>
                    <w:tc>
                      <w:tcPr>
                        <w:tcW w:w="916"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2"/>
                          <w:jc w:val="right"/>
                          <w:rPr>
                            <w:rFonts w:ascii="宋体" w:hAnsi="宋体" w:cs="宋体" w:eastAsia="宋体" w:hint="default"/>
                            <w:sz w:val="18"/>
                            <w:szCs w:val="18"/>
                          </w:rPr>
                        </w:pPr>
                        <w:r>
                          <w:rPr>
                            <w:rFonts w:ascii="宋体"/>
                            <w:spacing w:val="-1"/>
                            <w:sz w:val="18"/>
                          </w:rPr>
                          <w:t>126,461.53</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21"/>
                          <w:jc w:val="right"/>
                          <w:rPr>
                            <w:rFonts w:ascii="宋体" w:hAnsi="宋体" w:cs="宋体" w:eastAsia="宋体" w:hint="default"/>
                            <w:sz w:val="18"/>
                            <w:szCs w:val="18"/>
                          </w:rPr>
                        </w:pPr>
                        <w:r>
                          <w:rPr>
                            <w:rFonts w:ascii="宋体"/>
                            <w:spacing w:val="-1"/>
                            <w:sz w:val="18"/>
                          </w:rPr>
                          <w:t>364,819.14</w:t>
                        </w:r>
                      </w:p>
                    </w:tc>
                    <w:tc>
                      <w:tcPr>
                        <w:tcW w:w="996" w:type="dxa"/>
                        <w:tcBorders>
                          <w:top w:val="nil" w:sz="6" w:space="0" w:color="auto"/>
                          <w:left w:val="nil" w:sz="6" w:space="0" w:color="auto"/>
                          <w:bottom w:val="nil" w:sz="6" w:space="0" w:color="auto"/>
                          <w:right w:val="nil" w:sz="6" w:space="0" w:color="auto"/>
                        </w:tcBorders>
                      </w:tcPr>
                      <w:p>
                        <w:pP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5"/>
                          <w:jc w:val="right"/>
                          <w:rPr>
                            <w:rFonts w:ascii="宋体" w:hAnsi="宋体" w:cs="宋体" w:eastAsia="宋体" w:hint="default"/>
                            <w:sz w:val="18"/>
                            <w:szCs w:val="18"/>
                          </w:rPr>
                        </w:pPr>
                        <w:r>
                          <w:rPr>
                            <w:rFonts w:ascii="宋体"/>
                            <w:spacing w:val="-1"/>
                            <w:sz w:val="18"/>
                          </w:rPr>
                          <w:t>364,819.14</w:t>
                        </w:r>
                      </w:p>
                    </w:tc>
                  </w:tr>
                  <w:tr>
                    <w:trPr>
                      <w:trHeight w:val="396" w:hRule="exact"/>
                    </w:trPr>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5"/>
                          <w:jc w:val="right"/>
                          <w:rPr>
                            <w:rFonts w:ascii="宋体" w:hAnsi="宋体" w:cs="宋体" w:eastAsia="宋体" w:hint="default"/>
                            <w:sz w:val="18"/>
                            <w:szCs w:val="18"/>
                          </w:rPr>
                        </w:pPr>
                        <w:r>
                          <w:rPr>
                            <w:rFonts w:ascii="宋体"/>
                            <w:spacing w:val="-1"/>
                            <w:sz w:val="18"/>
                          </w:rPr>
                          <w:t>13,743,320.77</w:t>
                        </w:r>
                      </w:p>
                    </w:tc>
                    <w:tc>
                      <w:tcPr>
                        <w:tcW w:w="916"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2"/>
                          <w:jc w:val="right"/>
                          <w:rPr>
                            <w:rFonts w:ascii="宋体" w:hAnsi="宋体" w:cs="宋体" w:eastAsia="宋体" w:hint="default"/>
                            <w:sz w:val="18"/>
                            <w:szCs w:val="18"/>
                          </w:rPr>
                        </w:pPr>
                        <w:r>
                          <w:rPr>
                            <w:rFonts w:ascii="宋体"/>
                            <w:spacing w:val="-1"/>
                            <w:sz w:val="18"/>
                          </w:rPr>
                          <w:t>13,743,320.77</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1"/>
                          <w:jc w:val="right"/>
                          <w:rPr>
                            <w:rFonts w:ascii="宋体" w:hAnsi="宋体" w:cs="宋体" w:eastAsia="宋体" w:hint="default"/>
                            <w:sz w:val="18"/>
                            <w:szCs w:val="18"/>
                          </w:rPr>
                        </w:pPr>
                        <w:r>
                          <w:rPr>
                            <w:rFonts w:ascii="宋体"/>
                            <w:spacing w:val="-1"/>
                            <w:sz w:val="18"/>
                          </w:rPr>
                          <w:t>10,755,882.75</w:t>
                        </w:r>
                      </w:p>
                    </w:tc>
                    <w:tc>
                      <w:tcPr>
                        <w:tcW w:w="996" w:type="dxa"/>
                        <w:tcBorders>
                          <w:top w:val="nil" w:sz="6" w:space="0" w:color="auto"/>
                          <w:left w:val="nil" w:sz="6" w:space="0" w:color="auto"/>
                          <w:bottom w:val="nil" w:sz="6" w:space="0" w:color="auto"/>
                          <w:right w:val="nil" w:sz="6" w:space="0" w:color="auto"/>
                        </w:tcBorders>
                      </w:tcPr>
                      <w:p>
                        <w:pP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10,755,882.75</w:t>
                        </w:r>
                      </w:p>
                    </w:tc>
                  </w:tr>
                  <w:tr>
                    <w:trPr>
                      <w:trHeight w:val="390" w:hRule="exact"/>
                    </w:trPr>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5"/>
                          <w:jc w:val="right"/>
                          <w:rPr>
                            <w:rFonts w:ascii="宋体" w:hAnsi="宋体" w:cs="宋体" w:eastAsia="宋体" w:hint="default"/>
                            <w:sz w:val="18"/>
                            <w:szCs w:val="18"/>
                          </w:rPr>
                        </w:pPr>
                        <w:r>
                          <w:rPr>
                            <w:rFonts w:ascii="宋体"/>
                            <w:sz w:val="18"/>
                          </w:rPr>
                        </w:r>
                        <w:r>
                          <w:rPr>
                            <w:rFonts w:ascii="宋体"/>
                            <w:spacing w:val="-1"/>
                            <w:sz w:val="18"/>
                            <w:u w:val="thick" w:color="000000"/>
                          </w:rPr>
                          <w:t>42,244,028.64</w:t>
                        </w:r>
                        <w:r>
                          <w:rPr>
                            <w:rFonts w:ascii="宋体"/>
                            <w:spacing w:val="-1"/>
                            <w:sz w:val="18"/>
                          </w:rPr>
                        </w:r>
                      </w:p>
                    </w:tc>
                    <w:tc>
                      <w:tcPr>
                        <w:tcW w:w="916"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2"/>
                          <w:jc w:val="right"/>
                          <w:rPr>
                            <w:rFonts w:ascii="宋体" w:hAnsi="宋体" w:cs="宋体" w:eastAsia="宋体" w:hint="default"/>
                            <w:sz w:val="18"/>
                            <w:szCs w:val="18"/>
                          </w:rPr>
                        </w:pPr>
                        <w:r>
                          <w:rPr>
                            <w:rFonts w:ascii="宋体"/>
                            <w:sz w:val="18"/>
                          </w:rPr>
                        </w:r>
                        <w:r>
                          <w:rPr>
                            <w:rFonts w:ascii="宋体"/>
                            <w:spacing w:val="-1"/>
                            <w:sz w:val="18"/>
                            <w:u w:val="thick" w:color="000000"/>
                          </w:rPr>
                          <w:t>42,244,028.64</w:t>
                        </w:r>
                        <w:r>
                          <w:rPr>
                            <w:rFonts w:ascii="宋体"/>
                            <w:spacing w:val="-1"/>
                            <w:sz w:val="18"/>
                          </w:rPr>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1"/>
                          <w:jc w:val="right"/>
                          <w:rPr>
                            <w:rFonts w:ascii="宋体" w:hAnsi="宋体" w:cs="宋体" w:eastAsia="宋体" w:hint="default"/>
                            <w:sz w:val="18"/>
                            <w:szCs w:val="18"/>
                          </w:rPr>
                        </w:pPr>
                        <w:r>
                          <w:rPr>
                            <w:rFonts w:ascii="宋体"/>
                            <w:sz w:val="18"/>
                          </w:rPr>
                        </w:r>
                        <w:r>
                          <w:rPr>
                            <w:rFonts w:ascii="宋体"/>
                            <w:spacing w:val="-1"/>
                            <w:sz w:val="18"/>
                            <w:u w:val="thick" w:color="000000"/>
                          </w:rPr>
                          <w:t>105,436,050.09</w:t>
                        </w:r>
                        <w:r>
                          <w:rPr>
                            <w:rFonts w:ascii="宋体"/>
                            <w:spacing w:val="-1"/>
                            <w:sz w:val="18"/>
                          </w:rPr>
                        </w:r>
                      </w:p>
                    </w:tc>
                    <w:tc>
                      <w:tcPr>
                        <w:tcW w:w="996" w:type="dxa"/>
                        <w:tcBorders>
                          <w:top w:val="nil" w:sz="6" w:space="0" w:color="auto"/>
                          <w:left w:val="nil" w:sz="6" w:space="0" w:color="auto"/>
                          <w:bottom w:val="nil" w:sz="6" w:space="0" w:color="auto"/>
                          <w:right w:val="nil" w:sz="6" w:space="0" w:color="auto"/>
                        </w:tcBorders>
                      </w:tcPr>
                      <w:p>
                        <w:pP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r>
                        <w:r>
                          <w:rPr>
                            <w:rFonts w:ascii="宋体"/>
                            <w:spacing w:val="-1"/>
                            <w:sz w:val="18"/>
                            <w:u w:val="thick" w:color="000000"/>
                          </w:rPr>
                          <w:t>105,436,050.09</w:t>
                        </w:r>
                        <w:r>
                          <w:rPr>
                            <w:rFonts w:ascii="宋体"/>
                            <w:spacing w:val="-1"/>
                            <w:sz w:val="18"/>
                          </w:rPr>
                        </w:r>
                      </w:p>
                    </w:tc>
                  </w:tr>
                </w:tbl>
                <w:p>
                  <w:pPr/>
                </w:p>
              </w:txbxContent>
            </v:textbox>
            <w10:wrap type="none"/>
          </v:shape>
        </w:pict>
      </w:r>
      <w:r>
        <w:rPr>
          <w:w w:val="95"/>
        </w:rPr>
        <w:t>账面余额</w:t>
        <w:tab/>
      </w:r>
      <w:r>
        <w:rPr>
          <w:position w:val="12"/>
        </w:rPr>
        <w:t>跌价准</w:t>
      </w:r>
      <w:r>
        <w:rPr>
          <w:b w:val="0"/>
          <w:bCs w:val="0"/>
        </w:rPr>
      </w:r>
    </w:p>
    <w:p>
      <w:pPr>
        <w:spacing w:line="240" w:lineRule="auto" w:before="6"/>
        <w:rPr>
          <w:rFonts w:ascii="宋体" w:hAnsi="宋体" w:cs="宋体" w:eastAsia="宋体" w:hint="default"/>
          <w:b/>
          <w:bCs/>
          <w:sz w:val="15"/>
          <w:szCs w:val="15"/>
        </w:rPr>
      </w:pPr>
      <w:r>
        <w:rPr/>
        <w:br w:type="column"/>
      </w:r>
      <w:r>
        <w:rPr>
          <w:rFonts w:ascii="宋体"/>
          <w:b/>
          <w:sz w:val="15"/>
        </w:rPr>
      </w:r>
    </w:p>
    <w:p>
      <w:pPr>
        <w:pStyle w:val="Heading7"/>
        <w:spacing w:line="180" w:lineRule="exact"/>
        <w:ind w:right="0"/>
        <w:jc w:val="right"/>
        <w:rPr>
          <w:b w:val="0"/>
          <w:bCs w:val="0"/>
        </w:rPr>
      </w:pPr>
      <w:r>
        <w:rPr/>
        <w:t>跌价</w:t>
      </w:r>
      <w:r>
        <w:rPr>
          <w:b w:val="0"/>
          <w:bCs w:val="0"/>
        </w:rPr>
      </w:r>
    </w:p>
    <w:p>
      <w:pPr>
        <w:pStyle w:val="Heading7"/>
        <w:tabs>
          <w:tab w:pos="2317" w:val="left" w:leader="none"/>
        </w:tabs>
        <w:spacing w:line="180" w:lineRule="exact"/>
        <w:ind w:left="603" w:right="0"/>
        <w:jc w:val="left"/>
        <w:rPr>
          <w:b w:val="0"/>
          <w:bCs w:val="0"/>
        </w:rPr>
      </w:pPr>
      <w:r>
        <w:rPr>
          <w:w w:val="95"/>
        </w:rPr>
        <w:t>账面价值</w:t>
        <w:tab/>
      </w:r>
      <w:r>
        <w:rPr/>
        <w:t>账面余额</w:t>
      </w:r>
      <w:r>
        <w:rPr>
          <w:b w:val="0"/>
          <w:bCs w:val="0"/>
        </w:rPr>
      </w:r>
    </w:p>
    <w:p>
      <w:pPr>
        <w:spacing w:line="240" w:lineRule="auto" w:before="0"/>
        <w:rPr>
          <w:rFonts w:ascii="宋体" w:hAnsi="宋体" w:cs="宋体" w:eastAsia="宋体" w:hint="default"/>
          <w:b/>
          <w:bCs/>
          <w:sz w:val="25"/>
          <w:szCs w:val="25"/>
        </w:rPr>
      </w:pPr>
      <w:r>
        <w:rPr/>
        <w:br w:type="column"/>
      </w:r>
      <w:r>
        <w:rPr>
          <w:rFonts w:ascii="宋体"/>
          <w:b/>
          <w:sz w:val="25"/>
        </w:rPr>
      </w:r>
    </w:p>
    <w:p>
      <w:pPr>
        <w:pStyle w:val="Heading7"/>
        <w:spacing w:line="240" w:lineRule="auto"/>
        <w:ind w:left="769" w:right="0"/>
        <w:jc w:val="left"/>
        <w:rPr>
          <w:b w:val="0"/>
          <w:bCs w:val="0"/>
        </w:rPr>
      </w:pPr>
      <w:r>
        <w:rPr/>
        <w:t>账面价值</w:t>
      </w:r>
      <w:r>
        <w:rPr>
          <w:b w:val="0"/>
          <w:bCs w:val="0"/>
        </w:rPr>
      </w:r>
    </w:p>
    <w:p>
      <w:pPr>
        <w:spacing w:after="0" w:line="240" w:lineRule="auto"/>
        <w:jc w:val="left"/>
        <w:sectPr>
          <w:type w:val="continuous"/>
          <w:pgSz w:w="11910" w:h="16840"/>
          <w:pgMar w:top="880" w:bottom="0" w:left="860" w:right="0"/>
          <w:cols w:num="3" w:equalWidth="0">
            <w:col w:w="3742" w:space="40"/>
            <w:col w:w="4216" w:space="40"/>
            <w:col w:w="3012"/>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1"/>
          <w:szCs w:val="21"/>
        </w:rPr>
      </w:pPr>
    </w:p>
    <w:p>
      <w:pPr>
        <w:pStyle w:val="BodyText"/>
        <w:spacing w:line="240" w:lineRule="auto" w:before="44"/>
        <w:ind w:left="633" w:right="0"/>
        <w:jc w:val="left"/>
      </w:pPr>
      <w:r>
        <w:rPr/>
        <w:t>（</w:t>
      </w:r>
      <w:r>
        <w:rPr>
          <w:rFonts w:ascii="宋体" w:hAnsi="宋体" w:cs="宋体" w:eastAsia="宋体" w:hint="default"/>
        </w:rPr>
        <w:t>2</w:t>
      </w:r>
      <w:r>
        <w:rPr/>
        <w:t>）工程施工分类</w:t>
      </w:r>
    </w:p>
    <w:p>
      <w:pPr>
        <w:spacing w:line="240" w:lineRule="auto" w:before="6"/>
        <w:rPr>
          <w:rFonts w:ascii="宋体" w:hAnsi="宋体" w:cs="宋体" w:eastAsia="宋体" w:hint="default"/>
          <w:sz w:val="23"/>
          <w:szCs w:val="23"/>
        </w:rPr>
      </w:pPr>
    </w:p>
    <w:tbl>
      <w:tblPr>
        <w:tblW w:w="0" w:type="auto"/>
        <w:jc w:val="left"/>
        <w:tblInd w:w="164" w:type="dxa"/>
        <w:tblLayout w:type="fixed"/>
        <w:tblCellMar>
          <w:top w:w="0" w:type="dxa"/>
          <w:left w:w="0" w:type="dxa"/>
          <w:bottom w:w="0" w:type="dxa"/>
          <w:right w:w="0" w:type="dxa"/>
        </w:tblCellMar>
        <w:tblLook w:val="01E0"/>
      </w:tblPr>
      <w:tblGrid>
        <w:gridCol w:w="4398"/>
        <w:gridCol w:w="3245"/>
        <w:gridCol w:w="2214"/>
      </w:tblGrid>
      <w:tr>
        <w:trPr>
          <w:trHeight w:val="297" w:hRule="exact"/>
        </w:trPr>
        <w:tc>
          <w:tcPr>
            <w:tcW w:w="4398"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工程施工</w:t>
            </w:r>
            <w:r>
              <w:rPr>
                <w:rFonts w:ascii="宋体" w:hAnsi="宋体" w:cs="宋体" w:eastAsia="宋体" w:hint="default"/>
                <w:sz w:val="18"/>
                <w:szCs w:val="18"/>
              </w:rPr>
            </w:r>
          </w:p>
        </w:tc>
        <w:tc>
          <w:tcPr>
            <w:tcW w:w="3245" w:type="dxa"/>
            <w:tcBorders>
              <w:top w:val="nil" w:sz="6" w:space="0" w:color="auto"/>
              <w:left w:val="nil" w:sz="6" w:space="0" w:color="auto"/>
              <w:bottom w:val="single" w:sz="4" w:space="0" w:color="000000"/>
              <w:right w:val="nil" w:sz="6" w:space="0" w:color="auto"/>
            </w:tcBorders>
          </w:tcPr>
          <w:p>
            <w:pPr>
              <w:pStyle w:val="TableParagraph"/>
              <w:spacing w:line="180" w:lineRule="exact"/>
              <w:ind w:left="104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214" w:type="dxa"/>
            <w:tcBorders>
              <w:top w:val="nil" w:sz="6" w:space="0" w:color="auto"/>
              <w:left w:val="nil" w:sz="6" w:space="0" w:color="auto"/>
              <w:bottom w:val="single" w:sz="4" w:space="0" w:color="000000"/>
              <w:right w:val="nil" w:sz="6" w:space="0" w:color="auto"/>
            </w:tcBorders>
          </w:tcPr>
          <w:p>
            <w:pPr>
              <w:pStyle w:val="TableParagraph"/>
              <w:spacing w:line="180" w:lineRule="exact"/>
              <w:ind w:left="534"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94" w:hRule="exact"/>
        </w:trPr>
        <w:tc>
          <w:tcPr>
            <w:tcW w:w="4398"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在建合同工程累计已发生成本</w:t>
            </w:r>
          </w:p>
        </w:tc>
        <w:tc>
          <w:tcPr>
            <w:tcW w:w="324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532"/>
              <w:jc w:val="right"/>
              <w:rPr>
                <w:rFonts w:ascii="宋体" w:hAnsi="宋体" w:cs="宋体" w:eastAsia="宋体" w:hint="default"/>
                <w:sz w:val="18"/>
                <w:szCs w:val="18"/>
              </w:rPr>
            </w:pPr>
            <w:r>
              <w:rPr>
                <w:rFonts w:ascii="宋体"/>
                <w:spacing w:val="-1"/>
                <w:sz w:val="18"/>
              </w:rPr>
              <w:t>1,486,151,693.72</w:t>
            </w:r>
          </w:p>
        </w:tc>
        <w:tc>
          <w:tcPr>
            <w:tcW w:w="221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2"/>
              <w:jc w:val="right"/>
              <w:rPr>
                <w:rFonts w:ascii="宋体" w:hAnsi="宋体" w:cs="宋体" w:eastAsia="宋体" w:hint="default"/>
                <w:sz w:val="18"/>
                <w:szCs w:val="18"/>
              </w:rPr>
            </w:pPr>
            <w:r>
              <w:rPr>
                <w:rFonts w:ascii="宋体"/>
                <w:spacing w:val="-1"/>
                <w:sz w:val="18"/>
              </w:rPr>
              <w:t>1,352,805,454.46</w:t>
            </w:r>
          </w:p>
        </w:tc>
      </w:tr>
      <w:tr>
        <w:trPr>
          <w:trHeight w:val="394"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在建合同工程累计已确认的毛利（亏损）</w:t>
            </w:r>
          </w:p>
        </w:tc>
        <w:tc>
          <w:tcPr>
            <w:tcW w:w="32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32"/>
              <w:jc w:val="right"/>
              <w:rPr>
                <w:rFonts w:ascii="宋体" w:hAnsi="宋体" w:cs="宋体" w:eastAsia="宋体" w:hint="default"/>
                <w:sz w:val="18"/>
                <w:szCs w:val="18"/>
              </w:rPr>
            </w:pPr>
            <w:r>
              <w:rPr>
                <w:rFonts w:ascii="宋体"/>
                <w:spacing w:val="-1"/>
                <w:sz w:val="18"/>
              </w:rPr>
              <w:t>281,321,001.65</w:t>
            </w: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2"/>
              <w:jc w:val="right"/>
              <w:rPr>
                <w:rFonts w:ascii="宋体" w:hAnsi="宋体" w:cs="宋体" w:eastAsia="宋体" w:hint="default"/>
                <w:sz w:val="18"/>
                <w:szCs w:val="18"/>
              </w:rPr>
            </w:pPr>
            <w:r>
              <w:rPr>
                <w:rFonts w:ascii="宋体"/>
                <w:spacing w:val="-1"/>
                <w:sz w:val="18"/>
              </w:rPr>
              <w:t>233,872,497.93</w:t>
            </w:r>
          </w:p>
        </w:tc>
      </w:tr>
      <w:tr>
        <w:trPr>
          <w:trHeight w:val="397"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减：在建合同工程已办理结算价款的金额</w:t>
            </w:r>
          </w:p>
        </w:tc>
        <w:tc>
          <w:tcPr>
            <w:tcW w:w="324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32"/>
              <w:jc w:val="right"/>
              <w:rPr>
                <w:rFonts w:ascii="宋体" w:hAnsi="宋体" w:cs="宋体" w:eastAsia="宋体" w:hint="default"/>
                <w:sz w:val="18"/>
                <w:szCs w:val="18"/>
              </w:rPr>
            </w:pPr>
            <w:r>
              <w:rPr>
                <w:rFonts w:ascii="宋体"/>
                <w:spacing w:val="-1"/>
                <w:sz w:val="18"/>
              </w:rPr>
              <w:t>1,739,098,449.03</w:t>
            </w: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1,492,362,604.19</w:t>
            </w:r>
          </w:p>
        </w:tc>
      </w:tr>
      <w:tr>
        <w:trPr>
          <w:trHeight w:val="288"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在建合同工程净额</w:t>
            </w:r>
          </w:p>
        </w:tc>
        <w:tc>
          <w:tcPr>
            <w:tcW w:w="324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32"/>
              <w:jc w:val="right"/>
              <w:rPr>
                <w:rFonts w:ascii="宋体" w:hAnsi="宋体" w:cs="宋体" w:eastAsia="宋体" w:hint="default"/>
                <w:sz w:val="18"/>
                <w:szCs w:val="18"/>
              </w:rPr>
            </w:pPr>
            <w:r>
              <w:rPr>
                <w:rFonts w:ascii="宋体"/>
                <w:spacing w:val="-1"/>
                <w:sz w:val="18"/>
              </w:rPr>
              <w:t>28,374,246.34</w:t>
            </w: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94,315,348.20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633" w:right="0"/>
        <w:jc w:val="left"/>
      </w:pPr>
      <w:r>
        <w:rPr/>
        <w:t>（</w:t>
      </w:r>
      <w:r>
        <w:rPr>
          <w:rFonts w:ascii="宋体" w:hAnsi="宋体" w:cs="宋体" w:eastAsia="宋体" w:hint="default"/>
        </w:rPr>
        <w:t>3</w:t>
      </w:r>
      <w:r>
        <w:rPr/>
        <w:t>）本公司期末存货可变现净值高于成本，故未计提存货跌价准备。</w:t>
      </w:r>
    </w:p>
    <w:p>
      <w:pPr>
        <w:spacing w:line="240" w:lineRule="auto" w:before="6"/>
        <w:rPr>
          <w:rFonts w:ascii="宋体" w:hAnsi="宋体" w:cs="宋体" w:eastAsia="宋体" w:hint="default"/>
          <w:sz w:val="21"/>
          <w:szCs w:val="21"/>
        </w:rPr>
      </w:pPr>
    </w:p>
    <w:p>
      <w:pPr>
        <w:pStyle w:val="BodyText"/>
        <w:spacing w:line="240" w:lineRule="auto"/>
        <w:ind w:left="633" w:right="0"/>
        <w:jc w:val="left"/>
      </w:pPr>
      <w:r>
        <w:rPr/>
        <w:t>（</w:t>
      </w:r>
      <w:r>
        <w:rPr>
          <w:rFonts w:ascii="宋体" w:hAnsi="宋体" w:cs="宋体" w:eastAsia="宋体" w:hint="default"/>
        </w:rPr>
        <w:t>4</w:t>
      </w:r>
      <w:r>
        <w:rPr/>
        <w:t>）期末存货余额较期初减少</w:t>
      </w:r>
      <w:r>
        <w:rPr>
          <w:spacing w:val="-47"/>
        </w:rPr>
        <w:t> </w:t>
      </w:r>
      <w:r>
        <w:rPr>
          <w:rFonts w:ascii="宋体" w:hAnsi="宋体" w:cs="宋体" w:eastAsia="宋体" w:hint="default"/>
        </w:rPr>
        <w:t>63,192,021.45</w:t>
      </w:r>
      <w:r>
        <w:rPr>
          <w:rFonts w:ascii="宋体" w:hAnsi="宋体" w:cs="宋体" w:eastAsia="宋体" w:hint="default"/>
          <w:spacing w:val="-46"/>
        </w:rPr>
        <w:t> </w:t>
      </w:r>
      <w:r>
        <w:rPr/>
        <w:t>元，减少</w:t>
      </w:r>
      <w:r>
        <w:rPr>
          <w:spacing w:val="-50"/>
        </w:rPr>
        <w:t> </w:t>
      </w:r>
      <w:r>
        <w:rPr>
          <w:rFonts w:ascii="宋体" w:hAnsi="宋体" w:cs="宋体" w:eastAsia="宋体" w:hint="default"/>
        </w:rPr>
        <w:t>59.93%</w:t>
      </w:r>
      <w:r>
        <w:rPr/>
        <w:t>，系本期主要工程项目集中于下半年度开工所致。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pStyle w:val="BodyText"/>
        <w:spacing w:line="240" w:lineRule="auto"/>
        <w:ind w:left="633" w:right="0"/>
        <w:jc w:val="left"/>
      </w:pPr>
      <w:r>
        <w:rPr>
          <w:rFonts w:ascii="宋体" w:hAnsi="宋体" w:cs="宋体" w:eastAsia="宋体" w:hint="default"/>
        </w:rPr>
        <w:t>8.</w:t>
      </w:r>
      <w:r>
        <w:rPr/>
        <w:t>长期股权投资</w:t>
      </w:r>
    </w:p>
    <w:p>
      <w:pPr>
        <w:spacing w:line="240" w:lineRule="auto" w:before="6"/>
        <w:rPr>
          <w:rFonts w:ascii="宋体" w:hAnsi="宋体" w:cs="宋体" w:eastAsia="宋体" w:hint="default"/>
          <w:sz w:val="21"/>
          <w:szCs w:val="21"/>
        </w:rPr>
      </w:pPr>
    </w:p>
    <w:p>
      <w:pPr>
        <w:pStyle w:val="BodyText"/>
        <w:spacing w:line="240" w:lineRule="auto"/>
        <w:ind w:left="633" w:right="0"/>
        <w:jc w:val="left"/>
      </w:pPr>
      <w:r>
        <w:rPr/>
        <w:t>（</w:t>
      </w:r>
      <w:r>
        <w:rPr>
          <w:rFonts w:ascii="宋体" w:hAnsi="宋体" w:cs="宋体" w:eastAsia="宋体" w:hint="default"/>
        </w:rPr>
        <w:t>1</w:t>
      </w:r>
      <w:r>
        <w:rPr/>
        <w:t>）长期股权投资明细</w:t>
      </w:r>
    </w:p>
    <w:p>
      <w:pPr>
        <w:spacing w:line="240" w:lineRule="auto" w:before="7"/>
        <w:rPr>
          <w:rFonts w:ascii="宋体" w:hAnsi="宋体" w:cs="宋体" w:eastAsia="宋体" w:hint="default"/>
          <w:sz w:val="29"/>
          <w:szCs w:val="29"/>
        </w:rPr>
      </w:pPr>
    </w:p>
    <w:tbl>
      <w:tblPr>
        <w:tblW w:w="0" w:type="auto"/>
        <w:jc w:val="left"/>
        <w:tblInd w:w="116" w:type="dxa"/>
        <w:tblLayout w:type="fixed"/>
        <w:tblCellMar>
          <w:top w:w="0" w:type="dxa"/>
          <w:left w:w="0" w:type="dxa"/>
          <w:bottom w:w="0" w:type="dxa"/>
          <w:right w:w="0" w:type="dxa"/>
        </w:tblCellMar>
        <w:tblLook w:val="01E0"/>
      </w:tblPr>
      <w:tblGrid>
        <w:gridCol w:w="2093"/>
        <w:gridCol w:w="1083"/>
        <w:gridCol w:w="437"/>
        <w:gridCol w:w="1081"/>
        <w:gridCol w:w="506"/>
        <w:gridCol w:w="1081"/>
        <w:gridCol w:w="517"/>
        <w:gridCol w:w="1083"/>
        <w:gridCol w:w="1964"/>
        <w:gridCol w:w="105"/>
      </w:tblGrid>
      <w:tr>
        <w:trPr>
          <w:trHeight w:val="371" w:hRule="exact"/>
        </w:trPr>
        <w:tc>
          <w:tcPr>
            <w:tcW w:w="2093" w:type="dxa"/>
            <w:tcBorders>
              <w:top w:val="nil" w:sz="6" w:space="0" w:color="auto"/>
              <w:left w:val="nil" w:sz="6" w:space="0" w:color="auto"/>
              <w:bottom w:val="single" w:sz="4" w:space="0" w:color="000000"/>
              <w:right w:val="nil" w:sz="6" w:space="0" w:color="auto"/>
            </w:tcBorders>
          </w:tcPr>
          <w:p>
            <w:pPr>
              <w:pStyle w:val="TableParagraph"/>
              <w:spacing w:line="180" w:lineRule="exact"/>
              <w:ind w:left="461"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083" w:type="dxa"/>
            <w:tcBorders>
              <w:top w:val="nil" w:sz="6" w:space="0" w:color="auto"/>
              <w:left w:val="nil" w:sz="6" w:space="0" w:color="auto"/>
              <w:bottom w:val="single" w:sz="4" w:space="0" w:color="000000"/>
              <w:right w:val="nil" w:sz="6" w:space="0" w:color="auto"/>
            </w:tcBorders>
          </w:tcPr>
          <w:p>
            <w:pPr>
              <w:pStyle w:val="TableParagraph"/>
              <w:spacing w:line="180" w:lineRule="exact"/>
              <w:ind w:left="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437" w:type="dxa"/>
            <w:tcBorders>
              <w:top w:val="nil" w:sz="6" w:space="0" w:color="auto"/>
              <w:left w:val="nil" w:sz="6" w:space="0" w:color="auto"/>
              <w:bottom w:val="single" w:sz="4" w:space="0" w:color="000000"/>
              <w:right w:val="nil" w:sz="6" w:space="0" w:color="auto"/>
            </w:tcBorders>
          </w:tcPr>
          <w:p>
            <w:pPr/>
          </w:p>
        </w:tc>
        <w:tc>
          <w:tcPr>
            <w:tcW w:w="1081" w:type="dxa"/>
            <w:tcBorders>
              <w:top w:val="nil" w:sz="6" w:space="0" w:color="auto"/>
              <w:left w:val="nil" w:sz="6" w:space="0" w:color="auto"/>
              <w:bottom w:val="single" w:sz="4" w:space="0" w:color="000000"/>
              <w:right w:val="nil" w:sz="6" w:space="0" w:color="auto"/>
            </w:tcBorders>
          </w:tcPr>
          <w:p>
            <w:pPr>
              <w:pStyle w:val="TableParagraph"/>
              <w:spacing w:line="180" w:lineRule="exact"/>
              <w:ind w:left="67"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506" w:type="dxa"/>
            <w:tcBorders>
              <w:top w:val="nil" w:sz="6" w:space="0" w:color="auto"/>
              <w:left w:val="nil" w:sz="6" w:space="0" w:color="auto"/>
              <w:bottom w:val="single" w:sz="4" w:space="0" w:color="000000"/>
              <w:right w:val="nil" w:sz="6" w:space="0" w:color="auto"/>
            </w:tcBorders>
          </w:tcPr>
          <w:p>
            <w:pPr/>
          </w:p>
        </w:tc>
        <w:tc>
          <w:tcPr>
            <w:tcW w:w="1081" w:type="dxa"/>
            <w:tcBorders>
              <w:top w:val="nil" w:sz="6" w:space="0" w:color="auto"/>
              <w:left w:val="nil" w:sz="6" w:space="0" w:color="auto"/>
              <w:bottom w:val="single" w:sz="4" w:space="0" w:color="000000"/>
              <w:right w:val="nil" w:sz="6" w:space="0" w:color="auto"/>
            </w:tcBorders>
          </w:tcPr>
          <w:p>
            <w:pPr>
              <w:pStyle w:val="TableParagraph"/>
              <w:spacing w:line="180" w:lineRule="exact"/>
              <w:ind w:left="33"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517" w:type="dxa"/>
            <w:tcBorders>
              <w:top w:val="nil" w:sz="6" w:space="0" w:color="auto"/>
              <w:left w:val="nil" w:sz="6" w:space="0" w:color="auto"/>
              <w:bottom w:val="single" w:sz="4" w:space="0" w:color="000000"/>
              <w:right w:val="nil" w:sz="6" w:space="0" w:color="auto"/>
            </w:tcBorders>
          </w:tcPr>
          <w:p>
            <w:pPr/>
          </w:p>
        </w:tc>
        <w:tc>
          <w:tcPr>
            <w:tcW w:w="1083"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964" w:type="dxa"/>
            <w:tcBorders>
              <w:top w:val="nil" w:sz="6" w:space="0" w:color="auto"/>
              <w:left w:val="nil" w:sz="6" w:space="0" w:color="auto"/>
              <w:bottom w:val="single" w:sz="4" w:space="0" w:color="000000"/>
              <w:right w:val="nil" w:sz="6" w:space="0" w:color="auto"/>
            </w:tcBorders>
          </w:tcPr>
          <w:p>
            <w:pPr>
              <w:pStyle w:val="TableParagraph"/>
              <w:spacing w:line="180" w:lineRule="exact"/>
              <w:ind w:right="59"/>
              <w:jc w:val="right"/>
              <w:rPr>
                <w:rFonts w:ascii="宋体" w:hAnsi="宋体" w:cs="宋体" w:eastAsia="宋体" w:hint="default"/>
                <w:sz w:val="18"/>
                <w:szCs w:val="18"/>
              </w:rPr>
            </w:pPr>
            <w:r>
              <w:rPr>
                <w:rFonts w:ascii="宋体" w:hAnsi="宋体" w:cs="宋体" w:eastAsia="宋体" w:hint="default"/>
                <w:b/>
                <w:bCs/>
                <w:w w:val="95"/>
                <w:sz w:val="18"/>
                <w:szCs w:val="18"/>
              </w:rPr>
              <w:t>本期分配的现金红利</w:t>
            </w:r>
            <w:r>
              <w:rPr>
                <w:rFonts w:ascii="宋体" w:hAnsi="宋体" w:cs="宋体" w:eastAsia="宋体" w:hint="default"/>
                <w:sz w:val="18"/>
                <w:szCs w:val="18"/>
              </w:rPr>
            </w:r>
          </w:p>
        </w:tc>
        <w:tc>
          <w:tcPr>
            <w:tcW w:w="105" w:type="dxa"/>
            <w:tcBorders>
              <w:top w:val="nil" w:sz="6" w:space="0" w:color="auto"/>
              <w:left w:val="nil" w:sz="6" w:space="0" w:color="auto"/>
              <w:bottom w:val="single" w:sz="4" w:space="0" w:color="000000"/>
              <w:right w:val="nil" w:sz="6" w:space="0" w:color="auto"/>
            </w:tcBorders>
          </w:tcPr>
          <w:p>
            <w:pPr/>
          </w:p>
        </w:tc>
      </w:tr>
      <w:tr>
        <w:trPr>
          <w:trHeight w:val="298" w:hRule="exact"/>
        </w:trPr>
        <w:tc>
          <w:tcPr>
            <w:tcW w:w="209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权益法核算小计</w:t>
            </w:r>
          </w:p>
        </w:tc>
        <w:tc>
          <w:tcPr>
            <w:tcW w:w="108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 w:right="0"/>
              <w:jc w:val="left"/>
              <w:rPr>
                <w:rFonts w:ascii="宋体" w:hAnsi="宋体" w:cs="宋体" w:eastAsia="宋体" w:hint="default"/>
                <w:sz w:val="18"/>
                <w:szCs w:val="18"/>
              </w:rPr>
            </w:pPr>
            <w:r>
              <w:rPr>
                <w:rFonts w:ascii="宋体"/>
                <w:spacing w:val="-1"/>
                <w:sz w:val="18"/>
              </w:rPr>
              <w:t>3,052,358.34</w:t>
            </w:r>
          </w:p>
        </w:tc>
        <w:tc>
          <w:tcPr>
            <w:tcW w:w="437" w:type="dxa"/>
            <w:tcBorders>
              <w:top w:val="single" w:sz="4" w:space="0" w:color="000000"/>
              <w:left w:val="nil" w:sz="6" w:space="0" w:color="auto"/>
              <w:bottom w:val="nil" w:sz="6" w:space="0" w:color="auto"/>
              <w:right w:val="nil" w:sz="6" w:space="0" w:color="auto"/>
            </w:tcBorders>
          </w:tcPr>
          <w:p>
            <w:pPr/>
          </w:p>
        </w:tc>
        <w:tc>
          <w:tcPr>
            <w:tcW w:w="1081"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0"/>
              <w:jc w:val="left"/>
              <w:rPr>
                <w:rFonts w:ascii="宋体" w:hAnsi="宋体" w:cs="宋体" w:eastAsia="宋体" w:hint="default"/>
                <w:sz w:val="18"/>
                <w:szCs w:val="18"/>
              </w:rPr>
            </w:pPr>
            <w:r>
              <w:rPr>
                <w:rFonts w:ascii="宋体"/>
                <w:spacing w:val="-1"/>
                <w:sz w:val="18"/>
              </w:rPr>
              <w:t>1,612,932.31</w:t>
            </w:r>
          </w:p>
        </w:tc>
        <w:tc>
          <w:tcPr>
            <w:tcW w:w="506" w:type="dxa"/>
            <w:tcBorders>
              <w:top w:val="single" w:sz="4" w:space="0" w:color="000000"/>
              <w:left w:val="nil" w:sz="6" w:space="0" w:color="auto"/>
              <w:bottom w:val="nil" w:sz="6" w:space="0" w:color="auto"/>
              <w:right w:val="nil" w:sz="6" w:space="0" w:color="auto"/>
            </w:tcBorders>
          </w:tcPr>
          <w:p>
            <w:pPr/>
          </w:p>
        </w:tc>
        <w:tc>
          <w:tcPr>
            <w:tcW w:w="1081"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0"/>
              <w:jc w:val="left"/>
              <w:rPr>
                <w:rFonts w:ascii="宋体" w:hAnsi="宋体" w:cs="宋体" w:eastAsia="宋体" w:hint="default"/>
                <w:sz w:val="18"/>
                <w:szCs w:val="18"/>
              </w:rPr>
            </w:pPr>
            <w:r>
              <w:rPr>
                <w:rFonts w:ascii="宋体"/>
                <w:spacing w:val="-1"/>
                <w:sz w:val="18"/>
              </w:rPr>
              <w:t>1,800,000.00</w:t>
            </w:r>
          </w:p>
        </w:tc>
        <w:tc>
          <w:tcPr>
            <w:tcW w:w="517" w:type="dxa"/>
            <w:tcBorders>
              <w:top w:val="single" w:sz="4" w:space="0" w:color="000000"/>
              <w:left w:val="nil" w:sz="6" w:space="0" w:color="auto"/>
              <w:bottom w:val="nil" w:sz="6" w:space="0" w:color="auto"/>
              <w:right w:val="nil" w:sz="6" w:space="0" w:color="auto"/>
            </w:tcBorders>
          </w:tcPr>
          <w:p>
            <w:pPr/>
          </w:p>
        </w:tc>
        <w:tc>
          <w:tcPr>
            <w:tcW w:w="108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 w:right="0"/>
              <w:jc w:val="left"/>
              <w:rPr>
                <w:rFonts w:ascii="宋体" w:hAnsi="宋体" w:cs="宋体" w:eastAsia="宋体" w:hint="default"/>
                <w:sz w:val="18"/>
                <w:szCs w:val="18"/>
              </w:rPr>
            </w:pPr>
            <w:r>
              <w:rPr>
                <w:rFonts w:ascii="宋体"/>
                <w:spacing w:val="-1"/>
                <w:sz w:val="18"/>
              </w:rPr>
              <w:t>2,865,290.65</w:t>
            </w:r>
          </w:p>
        </w:tc>
        <w:tc>
          <w:tcPr>
            <w:tcW w:w="1964"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0"/>
              <w:jc w:val="right"/>
              <w:rPr>
                <w:rFonts w:ascii="宋体" w:hAnsi="宋体" w:cs="宋体" w:eastAsia="宋体" w:hint="default"/>
                <w:sz w:val="18"/>
                <w:szCs w:val="18"/>
              </w:rPr>
            </w:pPr>
            <w:r>
              <w:rPr>
                <w:rFonts w:ascii="宋体"/>
                <w:spacing w:val="-1"/>
                <w:sz w:val="18"/>
              </w:rPr>
              <w:t>1,800,000.00</w:t>
            </w:r>
          </w:p>
        </w:tc>
        <w:tc>
          <w:tcPr>
            <w:tcW w:w="105" w:type="dxa"/>
            <w:tcBorders>
              <w:top w:val="single" w:sz="4" w:space="0" w:color="000000"/>
              <w:left w:val="nil" w:sz="6" w:space="0" w:color="auto"/>
              <w:bottom w:val="nil" w:sz="6" w:space="0" w:color="auto"/>
              <w:right w:val="nil" w:sz="6" w:space="0" w:color="auto"/>
            </w:tcBorders>
          </w:tcPr>
          <w:p>
            <w:pPr/>
          </w:p>
        </w:tc>
      </w:tr>
      <w:tr>
        <w:trPr>
          <w:trHeight w:val="700" w:hRule="exact"/>
        </w:trPr>
        <w:tc>
          <w:tcPr>
            <w:tcW w:w="2093" w:type="dxa"/>
            <w:tcBorders>
              <w:top w:val="nil" w:sz="6" w:space="0" w:color="auto"/>
              <w:left w:val="nil" w:sz="6" w:space="0" w:color="auto"/>
              <w:bottom w:val="nil" w:sz="6" w:space="0" w:color="auto"/>
              <w:right w:val="nil" w:sz="6" w:space="0" w:color="auto"/>
            </w:tcBorders>
          </w:tcPr>
          <w:p>
            <w:pPr>
              <w:pStyle w:val="TableParagraph"/>
              <w:spacing w:line="283" w:lineRule="auto" w:before="116"/>
              <w:ind w:left="107" w:right="723"/>
              <w:jc w:val="left"/>
              <w:rPr>
                <w:rFonts w:ascii="宋体" w:hAnsi="宋体" w:cs="宋体" w:eastAsia="宋体" w:hint="default"/>
                <w:sz w:val="18"/>
                <w:szCs w:val="18"/>
              </w:rPr>
            </w:pPr>
            <w:r>
              <w:rPr>
                <w:rFonts w:ascii="宋体" w:hAnsi="宋体" w:cs="宋体" w:eastAsia="宋体" w:hint="default"/>
                <w:sz w:val="18"/>
                <w:szCs w:val="18"/>
              </w:rPr>
              <w:t>贵州新思维科技 有限责任公司</w:t>
            </w:r>
          </w:p>
        </w:tc>
        <w:tc>
          <w:tcPr>
            <w:tcW w:w="108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left"/>
              <w:rPr>
                <w:rFonts w:ascii="宋体" w:hAnsi="宋体" w:cs="宋体" w:eastAsia="宋体" w:hint="default"/>
                <w:sz w:val="18"/>
                <w:szCs w:val="18"/>
              </w:rPr>
            </w:pPr>
            <w:r>
              <w:rPr>
                <w:rFonts w:ascii="宋体"/>
                <w:sz w:val="18"/>
              </w:rPr>
              <w:t>3,052,358.34</w:t>
            </w:r>
          </w:p>
        </w:tc>
        <w:tc>
          <w:tcPr>
            <w:tcW w:w="437" w:type="dxa"/>
            <w:tcBorders>
              <w:top w:val="nil" w:sz="6" w:space="0" w:color="auto"/>
              <w:left w:val="nil" w:sz="6" w:space="0" w:color="auto"/>
              <w:bottom w:val="nil" w:sz="6" w:space="0" w:color="auto"/>
              <w:right w:val="nil" w:sz="6" w:space="0" w:color="auto"/>
            </w:tcBorders>
          </w:tcPr>
          <w:p>
            <w:pPr/>
          </w:p>
        </w:tc>
        <w:tc>
          <w:tcPr>
            <w:tcW w:w="108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left"/>
              <w:rPr>
                <w:rFonts w:ascii="宋体" w:hAnsi="宋体" w:cs="宋体" w:eastAsia="宋体" w:hint="default"/>
                <w:sz w:val="18"/>
                <w:szCs w:val="18"/>
              </w:rPr>
            </w:pPr>
            <w:r>
              <w:rPr>
                <w:rFonts w:ascii="宋体"/>
                <w:spacing w:val="-1"/>
                <w:sz w:val="18"/>
              </w:rPr>
              <w:t>1,612,932.31</w:t>
            </w:r>
          </w:p>
        </w:tc>
        <w:tc>
          <w:tcPr>
            <w:tcW w:w="506" w:type="dxa"/>
            <w:tcBorders>
              <w:top w:val="nil" w:sz="6" w:space="0" w:color="auto"/>
              <w:left w:val="nil" w:sz="6" w:space="0" w:color="auto"/>
              <w:bottom w:val="nil" w:sz="6" w:space="0" w:color="auto"/>
              <w:right w:val="nil" w:sz="6" w:space="0" w:color="auto"/>
            </w:tcBorders>
          </w:tcPr>
          <w:p>
            <w:pPr/>
          </w:p>
        </w:tc>
        <w:tc>
          <w:tcPr>
            <w:tcW w:w="108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left"/>
              <w:rPr>
                <w:rFonts w:ascii="宋体" w:hAnsi="宋体" w:cs="宋体" w:eastAsia="宋体" w:hint="default"/>
                <w:sz w:val="18"/>
                <w:szCs w:val="18"/>
              </w:rPr>
            </w:pPr>
            <w:r>
              <w:rPr>
                <w:rFonts w:ascii="宋体"/>
                <w:spacing w:val="-1"/>
                <w:sz w:val="18"/>
              </w:rPr>
              <w:t>1,800,000.00</w:t>
            </w:r>
          </w:p>
        </w:tc>
        <w:tc>
          <w:tcPr>
            <w:tcW w:w="517" w:type="dxa"/>
            <w:tcBorders>
              <w:top w:val="nil" w:sz="6" w:space="0" w:color="auto"/>
              <w:left w:val="nil" w:sz="6" w:space="0" w:color="auto"/>
              <w:bottom w:val="nil" w:sz="6" w:space="0" w:color="auto"/>
              <w:right w:val="nil" w:sz="6" w:space="0" w:color="auto"/>
            </w:tcBorders>
          </w:tcPr>
          <w:p>
            <w:pPr/>
          </w:p>
        </w:tc>
        <w:tc>
          <w:tcPr>
            <w:tcW w:w="108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left"/>
              <w:rPr>
                <w:rFonts w:ascii="宋体" w:hAnsi="宋体" w:cs="宋体" w:eastAsia="宋体" w:hint="default"/>
                <w:sz w:val="18"/>
                <w:szCs w:val="18"/>
              </w:rPr>
            </w:pPr>
            <w:r>
              <w:rPr>
                <w:rFonts w:ascii="宋体"/>
                <w:sz w:val="18"/>
              </w:rPr>
              <w:t>2,865,290.65</w:t>
            </w:r>
          </w:p>
        </w:tc>
        <w:tc>
          <w:tcPr>
            <w:tcW w:w="196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1,800,000.00</w:t>
            </w:r>
          </w:p>
        </w:tc>
        <w:tc>
          <w:tcPr>
            <w:tcW w:w="105" w:type="dxa"/>
            <w:tcBorders>
              <w:top w:val="nil" w:sz="6" w:space="0" w:color="auto"/>
              <w:left w:val="nil" w:sz="6" w:space="0" w:color="auto"/>
              <w:bottom w:val="nil" w:sz="6" w:space="0" w:color="auto"/>
              <w:right w:val="nil" w:sz="6" w:space="0" w:color="auto"/>
            </w:tcBorders>
          </w:tcPr>
          <w:p>
            <w:pPr/>
          </w:p>
        </w:tc>
      </w:tr>
      <w:tr>
        <w:trPr>
          <w:trHeight w:val="250" w:hRule="exact"/>
        </w:trPr>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 w:right="0"/>
              <w:jc w:val="left"/>
              <w:rPr>
                <w:rFonts w:ascii="宋体" w:hAnsi="宋体" w:cs="宋体" w:eastAsia="宋体" w:hint="default"/>
                <w:sz w:val="18"/>
                <w:szCs w:val="18"/>
              </w:rPr>
            </w:pPr>
            <w:r>
              <w:rPr>
                <w:rFonts w:ascii="宋体"/>
                <w:sz w:val="18"/>
              </w:rPr>
            </w:r>
            <w:r>
              <w:rPr>
                <w:rFonts w:ascii="宋体"/>
                <w:spacing w:val="-1"/>
                <w:sz w:val="18"/>
                <w:u w:val="thick" w:color="000000"/>
              </w:rPr>
              <w:t>3,052,358.34</w:t>
            </w:r>
            <w:r>
              <w:rPr>
                <w:rFonts w:ascii="宋体"/>
                <w:spacing w:val="-1"/>
                <w:sz w:val="18"/>
              </w:rPr>
            </w:r>
          </w:p>
        </w:tc>
        <w:tc>
          <w:tcPr>
            <w:tcW w:w="437"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left"/>
              <w:rPr>
                <w:rFonts w:ascii="宋体" w:hAnsi="宋体" w:cs="宋体" w:eastAsia="宋体" w:hint="default"/>
                <w:sz w:val="18"/>
                <w:szCs w:val="18"/>
              </w:rPr>
            </w:pPr>
            <w:r>
              <w:rPr>
                <w:rFonts w:ascii="宋体"/>
                <w:sz w:val="18"/>
              </w:rPr>
            </w:r>
            <w:r>
              <w:rPr>
                <w:rFonts w:ascii="宋体"/>
                <w:spacing w:val="-1"/>
                <w:sz w:val="18"/>
                <w:u w:val="thick" w:color="000000"/>
              </w:rPr>
              <w:t>1,612,932.31</w:t>
            </w:r>
            <w:r>
              <w:rPr>
                <w:rFonts w:ascii="宋体"/>
                <w:spacing w:val="-1"/>
                <w:sz w:val="18"/>
              </w:rPr>
            </w:r>
          </w:p>
        </w:tc>
        <w:tc>
          <w:tcPr>
            <w:tcW w:w="50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left"/>
              <w:rPr>
                <w:rFonts w:ascii="宋体" w:hAnsi="宋体" w:cs="宋体" w:eastAsia="宋体" w:hint="default"/>
                <w:sz w:val="18"/>
                <w:szCs w:val="18"/>
              </w:rPr>
            </w:pPr>
            <w:r>
              <w:rPr>
                <w:rFonts w:ascii="宋体"/>
                <w:sz w:val="18"/>
              </w:rPr>
            </w:r>
            <w:r>
              <w:rPr>
                <w:rFonts w:ascii="宋体"/>
                <w:spacing w:val="-1"/>
                <w:sz w:val="18"/>
                <w:u w:val="thick" w:color="000000"/>
              </w:rPr>
              <w:t>1,800,000.00</w:t>
            </w:r>
            <w:r>
              <w:rPr>
                <w:rFonts w:ascii="宋体"/>
                <w:spacing w:val="-1"/>
                <w:sz w:val="18"/>
              </w:rPr>
            </w:r>
          </w:p>
        </w:tc>
        <w:tc>
          <w:tcPr>
            <w:tcW w:w="517" w:type="dxa"/>
            <w:tcBorders>
              <w:top w:val="nil" w:sz="6" w:space="0" w:color="auto"/>
              <w:left w:val="nil" w:sz="6" w:space="0" w:color="auto"/>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 w:right="0"/>
              <w:jc w:val="left"/>
              <w:rPr>
                <w:rFonts w:ascii="宋体" w:hAnsi="宋体" w:cs="宋体" w:eastAsia="宋体" w:hint="default"/>
                <w:sz w:val="18"/>
                <w:szCs w:val="18"/>
              </w:rPr>
            </w:pPr>
            <w:r>
              <w:rPr>
                <w:rFonts w:ascii="宋体"/>
                <w:sz w:val="18"/>
              </w:rPr>
            </w:r>
            <w:r>
              <w:rPr>
                <w:rFonts w:ascii="宋体"/>
                <w:spacing w:val="-1"/>
                <w:sz w:val="18"/>
                <w:u w:val="thick" w:color="000000"/>
              </w:rPr>
              <w:t>2,865,290.65</w:t>
            </w:r>
            <w:r>
              <w:rPr>
                <w:rFonts w:ascii="宋体"/>
                <w:spacing w:val="-1"/>
                <w:sz w:val="18"/>
              </w:rPr>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r>
            <w:r>
              <w:rPr>
                <w:rFonts w:ascii="宋体"/>
                <w:spacing w:val="-1"/>
                <w:sz w:val="18"/>
                <w:u w:val="thick" w:color="000000"/>
              </w:rPr>
              <w:t>1,800,000.00</w:t>
            </w:r>
            <w:r>
              <w:rPr>
                <w:rFonts w:ascii="宋体"/>
                <w:spacing w:val="-1"/>
                <w:sz w:val="18"/>
              </w:rPr>
            </w:r>
          </w:p>
        </w:tc>
        <w:tc>
          <w:tcPr>
            <w:tcW w:w="105"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633" w:right="0"/>
        <w:jc w:val="left"/>
      </w:pPr>
      <w:r>
        <w:rPr/>
        <w:t>（</w:t>
      </w:r>
      <w:r>
        <w:rPr>
          <w:rFonts w:ascii="宋体" w:hAnsi="宋体" w:cs="宋体" w:eastAsia="宋体" w:hint="default"/>
        </w:rPr>
        <w:t>2</w:t>
      </w:r>
      <w:r>
        <w:rPr/>
        <w:t>）长期股权投资明细（续表）</w:t>
      </w:r>
    </w:p>
    <w:p>
      <w:pPr>
        <w:spacing w:line="240" w:lineRule="auto" w:before="6"/>
        <w:rPr>
          <w:rFonts w:ascii="宋体" w:hAnsi="宋体" w:cs="宋体" w:eastAsia="宋体" w:hint="default"/>
          <w:sz w:val="23"/>
          <w:szCs w:val="23"/>
        </w:rPr>
      </w:pPr>
    </w:p>
    <w:tbl>
      <w:tblPr>
        <w:tblW w:w="0" w:type="auto"/>
        <w:jc w:val="left"/>
        <w:tblInd w:w="164" w:type="dxa"/>
        <w:tblLayout w:type="fixed"/>
        <w:tblCellMar>
          <w:top w:w="0" w:type="dxa"/>
          <w:left w:w="0" w:type="dxa"/>
          <w:bottom w:w="0" w:type="dxa"/>
          <w:right w:w="0" w:type="dxa"/>
        </w:tblCellMar>
        <w:tblLook w:val="01E0"/>
      </w:tblPr>
      <w:tblGrid>
        <w:gridCol w:w="2992"/>
        <w:gridCol w:w="1617"/>
        <w:gridCol w:w="2532"/>
        <w:gridCol w:w="2715"/>
      </w:tblGrid>
      <w:tr>
        <w:trPr>
          <w:trHeight w:val="608" w:hRule="exact"/>
        </w:trPr>
        <w:tc>
          <w:tcPr>
            <w:tcW w:w="2992"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82"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617"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544" w:right="0"/>
              <w:jc w:val="left"/>
              <w:rPr>
                <w:rFonts w:ascii="宋体" w:hAnsi="宋体" w:cs="宋体" w:eastAsia="宋体" w:hint="default"/>
                <w:sz w:val="18"/>
                <w:szCs w:val="18"/>
              </w:rPr>
            </w:pPr>
            <w:r>
              <w:rPr>
                <w:rFonts w:ascii="宋体" w:hAnsi="宋体" w:cs="宋体" w:eastAsia="宋体" w:hint="default"/>
                <w:b/>
                <w:bCs/>
                <w:sz w:val="18"/>
                <w:szCs w:val="18"/>
              </w:rPr>
              <w:t>投资成本</w:t>
            </w:r>
            <w:r>
              <w:rPr>
                <w:rFonts w:ascii="宋体" w:hAnsi="宋体" w:cs="宋体" w:eastAsia="宋体" w:hint="default"/>
                <w:sz w:val="18"/>
                <w:szCs w:val="18"/>
              </w:rPr>
            </w:r>
          </w:p>
        </w:tc>
        <w:tc>
          <w:tcPr>
            <w:tcW w:w="2532" w:type="dxa"/>
            <w:tcBorders>
              <w:top w:val="nil" w:sz="6" w:space="0" w:color="auto"/>
              <w:left w:val="nil" w:sz="6" w:space="0" w:color="auto"/>
              <w:bottom w:val="single" w:sz="4" w:space="0" w:color="000000"/>
              <w:right w:val="nil" w:sz="6" w:space="0" w:color="auto"/>
            </w:tcBorders>
          </w:tcPr>
          <w:p>
            <w:pPr>
              <w:pStyle w:val="TableParagraph"/>
              <w:spacing w:line="180" w:lineRule="exact"/>
              <w:ind w:left="749" w:right="0" w:hanging="44"/>
              <w:jc w:val="left"/>
              <w:rPr>
                <w:rFonts w:ascii="宋体" w:hAnsi="宋体" w:cs="宋体" w:eastAsia="宋体" w:hint="default"/>
                <w:sz w:val="18"/>
                <w:szCs w:val="18"/>
              </w:rPr>
            </w:pPr>
            <w:r>
              <w:rPr>
                <w:rFonts w:ascii="宋体" w:hAnsi="宋体" w:cs="宋体" w:eastAsia="宋体" w:hint="default"/>
                <w:b/>
                <w:bCs/>
                <w:sz w:val="18"/>
                <w:szCs w:val="18"/>
              </w:rPr>
              <w:t>在被投资单位的</w:t>
            </w:r>
            <w:r>
              <w:rPr>
                <w:rFonts w:ascii="宋体" w:hAnsi="宋体" w:cs="宋体" w:eastAsia="宋体" w:hint="default"/>
                <w:sz w:val="18"/>
                <w:szCs w:val="18"/>
              </w:rPr>
            </w:r>
          </w:p>
          <w:p>
            <w:pPr>
              <w:pStyle w:val="TableParagraph"/>
              <w:spacing w:line="240" w:lineRule="auto" w:before="115"/>
              <w:ind w:left="749"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715" w:type="dxa"/>
            <w:tcBorders>
              <w:top w:val="nil" w:sz="6" w:space="0" w:color="auto"/>
              <w:left w:val="nil" w:sz="6" w:space="0" w:color="auto"/>
              <w:bottom w:val="single" w:sz="4" w:space="0" w:color="000000"/>
              <w:right w:val="nil" w:sz="6" w:space="0" w:color="auto"/>
            </w:tcBorders>
          </w:tcPr>
          <w:p>
            <w:pPr>
              <w:pStyle w:val="TableParagraph"/>
              <w:spacing w:line="180" w:lineRule="exact"/>
              <w:ind w:left="34" w:right="0"/>
              <w:jc w:val="center"/>
              <w:rPr>
                <w:rFonts w:ascii="宋体" w:hAnsi="宋体" w:cs="宋体" w:eastAsia="宋体" w:hint="default"/>
                <w:sz w:val="18"/>
                <w:szCs w:val="18"/>
              </w:rPr>
            </w:pPr>
            <w:r>
              <w:rPr>
                <w:rFonts w:ascii="宋体" w:hAnsi="宋体" w:cs="宋体" w:eastAsia="宋体" w:hint="default"/>
                <w:b/>
                <w:bCs/>
                <w:sz w:val="18"/>
                <w:szCs w:val="18"/>
              </w:rPr>
              <w:t>在被投资单位表决权</w:t>
            </w:r>
            <w:r>
              <w:rPr>
                <w:rFonts w:ascii="宋体" w:hAnsi="宋体" w:cs="宋体" w:eastAsia="宋体" w:hint="default"/>
                <w:sz w:val="18"/>
                <w:szCs w:val="18"/>
              </w:rPr>
            </w:r>
          </w:p>
          <w:p>
            <w:pPr>
              <w:pStyle w:val="TableParagraph"/>
              <w:spacing w:line="240" w:lineRule="auto" w:before="115"/>
              <w:ind w:left="39"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00" w:hRule="exact"/>
        </w:trPr>
        <w:tc>
          <w:tcPr>
            <w:tcW w:w="299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权益法核算小计</w:t>
            </w:r>
          </w:p>
        </w:tc>
        <w:tc>
          <w:tcPr>
            <w:tcW w:w="161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853,927.62</w:t>
            </w:r>
          </w:p>
        </w:tc>
        <w:tc>
          <w:tcPr>
            <w:tcW w:w="2532" w:type="dxa"/>
            <w:tcBorders>
              <w:top w:val="single" w:sz="4" w:space="0" w:color="000000"/>
              <w:left w:val="nil" w:sz="6" w:space="0" w:color="auto"/>
              <w:bottom w:val="nil" w:sz="6" w:space="0" w:color="auto"/>
              <w:right w:val="nil" w:sz="6" w:space="0" w:color="auto"/>
            </w:tcBorders>
          </w:tcPr>
          <w:p>
            <w:pPr/>
          </w:p>
        </w:tc>
        <w:tc>
          <w:tcPr>
            <w:tcW w:w="2715" w:type="dxa"/>
            <w:tcBorders>
              <w:top w:val="single" w:sz="4" w:space="0" w:color="000000"/>
              <w:left w:val="nil" w:sz="6" w:space="0" w:color="auto"/>
              <w:bottom w:val="nil" w:sz="6" w:space="0" w:color="auto"/>
              <w:right w:val="nil" w:sz="6" w:space="0" w:color="auto"/>
            </w:tcBorders>
          </w:tcPr>
          <w:p>
            <w:pPr/>
          </w:p>
        </w:tc>
      </w:tr>
      <w:tr>
        <w:trPr>
          <w:trHeight w:val="489" w:hRule="exact"/>
        </w:trPr>
        <w:tc>
          <w:tcPr>
            <w:tcW w:w="2992"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7" w:right="0"/>
              <w:jc w:val="left"/>
              <w:rPr>
                <w:rFonts w:ascii="宋体" w:hAnsi="宋体" w:cs="宋体" w:eastAsia="宋体" w:hint="default"/>
                <w:sz w:val="18"/>
                <w:szCs w:val="18"/>
              </w:rPr>
            </w:pPr>
            <w:r>
              <w:rPr>
                <w:rFonts w:ascii="宋体" w:hAnsi="宋体" w:cs="宋体" w:eastAsia="宋体" w:hint="default"/>
                <w:sz w:val="18"/>
                <w:szCs w:val="18"/>
              </w:rPr>
              <w:t>贵州新思维科技有限责任公司</w:t>
            </w:r>
          </w:p>
        </w:tc>
        <w:tc>
          <w:tcPr>
            <w:tcW w:w="1617" w:type="dxa"/>
            <w:tcBorders>
              <w:top w:val="single" w:sz="4" w:space="0" w:color="000000"/>
              <w:left w:val="nil" w:sz="6" w:space="0" w:color="auto"/>
              <w:bottom w:val="nil" w:sz="6" w:space="0" w:color="auto"/>
              <w:right w:val="nil" w:sz="6" w:space="0" w:color="auto"/>
            </w:tcBorders>
          </w:tcPr>
          <w:p>
            <w:pPr>
              <w:pStyle w:val="TableParagraph"/>
              <w:spacing w:line="240" w:lineRule="auto" w:before="140"/>
              <w:ind w:right="0"/>
              <w:jc w:val="right"/>
              <w:rPr>
                <w:rFonts w:ascii="宋体" w:hAnsi="宋体" w:cs="宋体" w:eastAsia="宋体" w:hint="default"/>
                <w:sz w:val="18"/>
                <w:szCs w:val="18"/>
              </w:rPr>
            </w:pPr>
            <w:r>
              <w:rPr>
                <w:rFonts w:ascii="宋体"/>
                <w:spacing w:val="-1"/>
                <w:sz w:val="18"/>
              </w:rPr>
              <w:t>853,927.62</w:t>
            </w:r>
          </w:p>
        </w:tc>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46" w:right="0"/>
              <w:jc w:val="center"/>
              <w:rPr>
                <w:rFonts w:ascii="宋体" w:hAnsi="宋体" w:cs="宋体" w:eastAsia="宋体" w:hint="default"/>
                <w:sz w:val="18"/>
                <w:szCs w:val="18"/>
              </w:rPr>
            </w:pPr>
            <w:r>
              <w:rPr>
                <w:rFonts w:ascii="宋体"/>
                <w:sz w:val="18"/>
              </w:rPr>
              <w:t>40</w:t>
            </w:r>
          </w:p>
        </w:tc>
        <w:tc>
          <w:tcPr>
            <w:tcW w:w="2715"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41" w:right="0"/>
              <w:jc w:val="center"/>
              <w:rPr>
                <w:rFonts w:ascii="宋体" w:hAnsi="宋体" w:cs="宋体" w:eastAsia="宋体" w:hint="default"/>
                <w:sz w:val="18"/>
                <w:szCs w:val="18"/>
              </w:rPr>
            </w:pPr>
            <w:r>
              <w:rPr>
                <w:rFonts w:ascii="宋体"/>
                <w:sz w:val="18"/>
              </w:rPr>
              <w:t>40</w:t>
            </w:r>
          </w:p>
        </w:tc>
      </w:tr>
      <w:tr>
        <w:trPr>
          <w:trHeight w:val="288" w:hRule="exact"/>
        </w:trPr>
        <w:tc>
          <w:tcPr>
            <w:tcW w:w="299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r>
            <w:r>
              <w:rPr>
                <w:rFonts w:ascii="宋体"/>
                <w:spacing w:val="-1"/>
                <w:sz w:val="18"/>
                <w:u w:val="thick" w:color="000000"/>
              </w:rPr>
              <w:t>853,927.62</w:t>
            </w:r>
            <w:r>
              <w:rPr>
                <w:rFonts w:ascii="宋体"/>
                <w:spacing w:val="-1"/>
                <w:sz w:val="18"/>
              </w:rPr>
            </w:r>
          </w:p>
        </w:tc>
        <w:tc>
          <w:tcPr>
            <w:tcW w:w="2532" w:type="dxa"/>
            <w:tcBorders>
              <w:top w:val="nil" w:sz="6" w:space="0" w:color="auto"/>
              <w:left w:val="nil" w:sz="6" w:space="0" w:color="auto"/>
              <w:bottom w:val="nil" w:sz="6" w:space="0" w:color="auto"/>
              <w:right w:val="nil" w:sz="6" w:space="0" w:color="auto"/>
            </w:tcBorders>
          </w:tcPr>
          <w:p>
            <w:pPr/>
          </w:p>
        </w:tc>
        <w:tc>
          <w:tcPr>
            <w:tcW w:w="2715"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880" w:bottom="0" w:left="860" w:right="0"/>
        </w:sectPr>
      </w:pPr>
    </w:p>
    <w:p>
      <w:pPr>
        <w:spacing w:line="240" w:lineRule="auto" w:before="2"/>
        <w:rPr>
          <w:rFonts w:ascii="宋体" w:hAnsi="宋体" w:cs="宋体" w:eastAsia="宋体" w:hint="default"/>
          <w:sz w:val="27"/>
          <w:szCs w:val="27"/>
        </w:rPr>
      </w:pPr>
    </w:p>
    <w:p>
      <w:pPr>
        <w:pStyle w:val="BodyText"/>
        <w:spacing w:line="240" w:lineRule="auto" w:before="44"/>
        <w:ind w:left="513" w:right="981"/>
        <w:jc w:val="left"/>
      </w:pPr>
      <w:r>
        <w:rPr/>
        <w:t>（</w:t>
      </w:r>
      <w:r>
        <w:rPr>
          <w:rFonts w:ascii="宋体" w:hAnsi="宋体" w:cs="宋体" w:eastAsia="宋体" w:hint="default"/>
        </w:rPr>
        <w:t>3</w:t>
      </w:r>
      <w:r>
        <w:rPr/>
        <w:t>）长期股权投资中无在被投资单位的持股比例与表决权比例不一致的情况。</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w:t>
      </w:r>
      <w:r>
        <w:rPr>
          <w:rFonts w:ascii="宋体" w:hAnsi="宋体" w:cs="宋体" w:eastAsia="宋体" w:hint="default"/>
        </w:rPr>
        <w:t>4</w:t>
      </w:r>
      <w:r>
        <w:rPr/>
        <w:t>）期末长期股权投资未发现减值迹象，无需计提长期股权投资减值准备。</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w:t>
      </w:r>
      <w:r>
        <w:rPr>
          <w:rFonts w:ascii="宋体" w:hAnsi="宋体" w:cs="宋体" w:eastAsia="宋体" w:hint="default"/>
        </w:rPr>
        <w:t>5</w:t>
      </w:r>
      <w:r>
        <w:rPr/>
        <w:t>）对联营企业投资（金额单位</w:t>
      </w:r>
      <w:r>
        <w:rPr>
          <w:rFonts w:ascii="宋体" w:hAnsi="宋体" w:cs="宋体" w:eastAsia="宋体" w:hint="default"/>
        </w:rPr>
        <w:t>:</w:t>
      </w:r>
      <w:r>
        <w:rPr/>
        <w:t>人民币万元）</w:t>
      </w:r>
    </w:p>
    <w:p>
      <w:pPr>
        <w:spacing w:line="240" w:lineRule="auto" w:before="12"/>
        <w:rPr>
          <w:rFonts w:ascii="宋体" w:hAnsi="宋体" w:cs="宋体" w:eastAsia="宋体" w:hint="default"/>
          <w:sz w:val="18"/>
          <w:szCs w:val="18"/>
        </w:rPr>
      </w:pPr>
    </w:p>
    <w:tbl>
      <w:tblPr>
        <w:tblW w:w="0" w:type="auto"/>
        <w:jc w:val="left"/>
        <w:tblInd w:w="258" w:type="dxa"/>
        <w:tblLayout w:type="fixed"/>
        <w:tblCellMar>
          <w:top w:w="0" w:type="dxa"/>
          <w:left w:w="0" w:type="dxa"/>
          <w:bottom w:w="0" w:type="dxa"/>
          <w:right w:w="0" w:type="dxa"/>
        </w:tblCellMar>
        <w:tblLook w:val="01E0"/>
      </w:tblPr>
      <w:tblGrid>
        <w:gridCol w:w="1648"/>
        <w:gridCol w:w="1044"/>
        <w:gridCol w:w="976"/>
        <w:gridCol w:w="1173"/>
        <w:gridCol w:w="1090"/>
        <w:gridCol w:w="1188"/>
        <w:gridCol w:w="1334"/>
        <w:gridCol w:w="976"/>
      </w:tblGrid>
      <w:tr>
        <w:trPr>
          <w:trHeight w:val="481" w:hRule="exact"/>
        </w:trPr>
        <w:tc>
          <w:tcPr>
            <w:tcW w:w="1648"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left="221"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044"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sz w:val="18"/>
                <w:szCs w:val="18"/>
              </w:rPr>
            </w:r>
          </w:p>
          <w:p>
            <w:pPr>
              <w:pStyle w:val="TableParagraph"/>
              <w:spacing w:line="240" w:lineRule="auto" w:before="7"/>
              <w:ind w:left="88"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76" w:type="dxa"/>
            <w:tcBorders>
              <w:top w:val="nil" w:sz="6" w:space="0" w:color="auto"/>
              <w:left w:val="nil" w:sz="6" w:space="0" w:color="auto"/>
              <w:bottom w:val="single" w:sz="4" w:space="0" w:color="000000"/>
              <w:right w:val="nil" w:sz="6" w:space="0" w:color="auto"/>
            </w:tcBorders>
          </w:tcPr>
          <w:p>
            <w:pPr>
              <w:pStyle w:val="TableParagraph"/>
              <w:spacing w:line="200" w:lineRule="exact" w:before="16"/>
              <w:ind w:left="119" w:right="178" w:hanging="46"/>
              <w:jc w:val="left"/>
              <w:rPr>
                <w:rFonts w:ascii="宋体" w:hAnsi="宋体" w:cs="宋体" w:eastAsia="宋体" w:hint="default"/>
                <w:sz w:val="18"/>
                <w:szCs w:val="18"/>
              </w:rPr>
            </w:pPr>
            <w:r>
              <w:rPr>
                <w:rFonts w:ascii="宋体" w:hAnsi="宋体" w:cs="宋体" w:eastAsia="宋体" w:hint="default"/>
                <w:b/>
                <w:bCs/>
                <w:sz w:val="18"/>
                <w:szCs w:val="18"/>
              </w:rPr>
              <w:t>表决权比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173" w:type="dxa"/>
            <w:tcBorders>
              <w:top w:val="nil" w:sz="6" w:space="0" w:color="auto"/>
              <w:left w:val="nil" w:sz="6" w:space="0" w:color="auto"/>
              <w:bottom w:val="single" w:sz="4" w:space="0" w:color="000000"/>
              <w:right w:val="nil" w:sz="6" w:space="0" w:color="auto"/>
            </w:tcBorders>
          </w:tcPr>
          <w:p>
            <w:pPr>
              <w:pStyle w:val="TableParagraph"/>
              <w:spacing w:line="180" w:lineRule="exact"/>
              <w:ind w:right="88"/>
              <w:jc w:val="center"/>
              <w:rPr>
                <w:rFonts w:ascii="宋体" w:hAnsi="宋体" w:cs="宋体" w:eastAsia="宋体" w:hint="default"/>
                <w:sz w:val="18"/>
                <w:szCs w:val="18"/>
              </w:rPr>
            </w:pPr>
            <w:r>
              <w:rPr>
                <w:rFonts w:ascii="宋体" w:hAnsi="宋体" w:cs="宋体" w:eastAsia="宋体" w:hint="default"/>
                <w:b/>
                <w:bCs/>
                <w:sz w:val="18"/>
                <w:szCs w:val="18"/>
              </w:rPr>
              <w:t>期末资产</w:t>
            </w:r>
            <w:r>
              <w:rPr>
                <w:rFonts w:ascii="宋体" w:hAnsi="宋体" w:cs="宋体" w:eastAsia="宋体" w:hint="default"/>
                <w:sz w:val="18"/>
                <w:szCs w:val="18"/>
              </w:rPr>
            </w:r>
          </w:p>
          <w:p>
            <w:pPr>
              <w:pStyle w:val="TableParagraph"/>
              <w:spacing w:line="240" w:lineRule="auto" w:before="7"/>
              <w:ind w:right="85"/>
              <w:jc w:val="center"/>
              <w:rPr>
                <w:rFonts w:ascii="宋体" w:hAnsi="宋体" w:cs="宋体" w:eastAsia="宋体" w:hint="default"/>
                <w:sz w:val="18"/>
                <w:szCs w:val="18"/>
              </w:rPr>
            </w:pPr>
            <w:r>
              <w:rPr>
                <w:rFonts w:ascii="宋体" w:hAnsi="宋体" w:cs="宋体" w:eastAsia="宋体" w:hint="default"/>
                <w:b/>
                <w:bCs/>
                <w:sz w:val="18"/>
                <w:szCs w:val="18"/>
              </w:rPr>
              <w:t>总额</w:t>
            </w:r>
            <w:r>
              <w:rPr>
                <w:rFonts w:ascii="宋体" w:hAnsi="宋体" w:cs="宋体" w:eastAsia="宋体" w:hint="default"/>
                <w:sz w:val="18"/>
                <w:szCs w:val="18"/>
              </w:rPr>
            </w:r>
          </w:p>
        </w:tc>
        <w:tc>
          <w:tcPr>
            <w:tcW w:w="1090" w:type="dxa"/>
            <w:tcBorders>
              <w:top w:val="nil" w:sz="6" w:space="0" w:color="auto"/>
              <w:left w:val="nil" w:sz="6" w:space="0" w:color="auto"/>
              <w:bottom w:val="single" w:sz="4" w:space="0" w:color="000000"/>
              <w:right w:val="nil" w:sz="6" w:space="0" w:color="auto"/>
            </w:tcBorders>
          </w:tcPr>
          <w:p>
            <w:pPr>
              <w:pStyle w:val="TableParagraph"/>
              <w:spacing w:line="180" w:lineRule="exact"/>
              <w:ind w:right="81"/>
              <w:jc w:val="center"/>
              <w:rPr>
                <w:rFonts w:ascii="宋体" w:hAnsi="宋体" w:cs="宋体" w:eastAsia="宋体" w:hint="default"/>
                <w:sz w:val="18"/>
                <w:szCs w:val="18"/>
              </w:rPr>
            </w:pPr>
            <w:r>
              <w:rPr>
                <w:rFonts w:ascii="宋体" w:hAnsi="宋体" w:cs="宋体" w:eastAsia="宋体" w:hint="default"/>
                <w:b/>
                <w:bCs/>
                <w:sz w:val="18"/>
                <w:szCs w:val="18"/>
              </w:rPr>
              <w:t>期末负债</w:t>
            </w:r>
            <w:r>
              <w:rPr>
                <w:rFonts w:ascii="宋体" w:hAnsi="宋体" w:cs="宋体" w:eastAsia="宋体" w:hint="default"/>
                <w:sz w:val="18"/>
                <w:szCs w:val="18"/>
              </w:rPr>
            </w:r>
          </w:p>
          <w:p>
            <w:pPr>
              <w:pStyle w:val="TableParagraph"/>
              <w:spacing w:line="240" w:lineRule="auto" w:before="7"/>
              <w:ind w:right="77"/>
              <w:jc w:val="center"/>
              <w:rPr>
                <w:rFonts w:ascii="宋体" w:hAnsi="宋体" w:cs="宋体" w:eastAsia="宋体" w:hint="default"/>
                <w:sz w:val="18"/>
                <w:szCs w:val="18"/>
              </w:rPr>
            </w:pPr>
            <w:r>
              <w:rPr>
                <w:rFonts w:ascii="宋体" w:hAnsi="宋体" w:cs="宋体" w:eastAsia="宋体" w:hint="default"/>
                <w:b/>
                <w:bCs/>
                <w:sz w:val="18"/>
                <w:szCs w:val="18"/>
              </w:rPr>
              <w:t>总额</w:t>
            </w:r>
            <w:r>
              <w:rPr>
                <w:rFonts w:ascii="宋体" w:hAnsi="宋体" w:cs="宋体" w:eastAsia="宋体" w:hint="default"/>
                <w:sz w:val="18"/>
                <w:szCs w:val="18"/>
              </w:rPr>
            </w:r>
          </w:p>
        </w:tc>
        <w:tc>
          <w:tcPr>
            <w:tcW w:w="1188" w:type="dxa"/>
            <w:tcBorders>
              <w:top w:val="nil" w:sz="6" w:space="0" w:color="auto"/>
              <w:left w:val="nil" w:sz="6" w:space="0" w:color="auto"/>
              <w:bottom w:val="single" w:sz="4" w:space="0" w:color="000000"/>
              <w:right w:val="nil" w:sz="6" w:space="0" w:color="auto"/>
            </w:tcBorders>
          </w:tcPr>
          <w:p>
            <w:pPr>
              <w:pStyle w:val="TableParagraph"/>
              <w:spacing w:line="180" w:lineRule="exact"/>
              <w:ind w:left="154" w:right="0" w:firstLine="91"/>
              <w:jc w:val="left"/>
              <w:rPr>
                <w:rFonts w:ascii="宋体" w:hAnsi="宋体" w:cs="宋体" w:eastAsia="宋体" w:hint="default"/>
                <w:sz w:val="18"/>
                <w:szCs w:val="18"/>
              </w:rPr>
            </w:pPr>
            <w:r>
              <w:rPr>
                <w:rFonts w:ascii="宋体" w:hAnsi="宋体" w:cs="宋体" w:eastAsia="宋体" w:hint="default"/>
                <w:b/>
                <w:bCs/>
                <w:sz w:val="18"/>
                <w:szCs w:val="18"/>
              </w:rPr>
              <w:t>期末净</w:t>
            </w:r>
            <w:r>
              <w:rPr>
                <w:rFonts w:ascii="宋体" w:hAnsi="宋体" w:cs="宋体" w:eastAsia="宋体" w:hint="default"/>
                <w:sz w:val="18"/>
                <w:szCs w:val="18"/>
              </w:rPr>
            </w:r>
          </w:p>
          <w:p>
            <w:pPr>
              <w:pStyle w:val="TableParagraph"/>
              <w:spacing w:line="240" w:lineRule="auto" w:before="7"/>
              <w:ind w:left="154" w:right="0"/>
              <w:jc w:val="left"/>
              <w:rPr>
                <w:rFonts w:ascii="宋体" w:hAnsi="宋体" w:cs="宋体" w:eastAsia="宋体" w:hint="default"/>
                <w:sz w:val="18"/>
                <w:szCs w:val="18"/>
              </w:rPr>
            </w:pPr>
            <w:r>
              <w:rPr>
                <w:rFonts w:ascii="宋体" w:hAnsi="宋体" w:cs="宋体" w:eastAsia="宋体" w:hint="default"/>
                <w:b/>
                <w:bCs/>
                <w:sz w:val="18"/>
                <w:szCs w:val="18"/>
              </w:rPr>
              <w:t>资产总额</w:t>
            </w:r>
            <w:r>
              <w:rPr>
                <w:rFonts w:ascii="宋体" w:hAnsi="宋体" w:cs="宋体" w:eastAsia="宋体" w:hint="default"/>
                <w:sz w:val="18"/>
                <w:szCs w:val="18"/>
              </w:rPr>
            </w:r>
          </w:p>
        </w:tc>
        <w:tc>
          <w:tcPr>
            <w:tcW w:w="1334" w:type="dxa"/>
            <w:tcBorders>
              <w:top w:val="nil" w:sz="6" w:space="0" w:color="auto"/>
              <w:left w:val="nil" w:sz="6" w:space="0" w:color="auto"/>
              <w:bottom w:val="single" w:sz="4" w:space="0" w:color="000000"/>
              <w:right w:val="nil" w:sz="6" w:space="0" w:color="auto"/>
            </w:tcBorders>
          </w:tcPr>
          <w:p>
            <w:pPr>
              <w:pStyle w:val="TableParagraph"/>
              <w:spacing w:line="180" w:lineRule="exact"/>
              <w:ind w:left="214" w:right="0"/>
              <w:jc w:val="left"/>
              <w:rPr>
                <w:rFonts w:ascii="宋体" w:hAnsi="宋体" w:cs="宋体" w:eastAsia="宋体" w:hint="default"/>
                <w:sz w:val="18"/>
                <w:szCs w:val="18"/>
              </w:rPr>
            </w:pPr>
            <w:r>
              <w:rPr>
                <w:rFonts w:ascii="宋体" w:hAnsi="宋体" w:cs="宋体" w:eastAsia="宋体" w:hint="default"/>
                <w:b/>
                <w:bCs/>
                <w:sz w:val="18"/>
                <w:szCs w:val="18"/>
              </w:rPr>
              <w:t>本期营业</w:t>
            </w:r>
            <w:r>
              <w:rPr>
                <w:rFonts w:ascii="宋体" w:hAnsi="宋体" w:cs="宋体" w:eastAsia="宋体" w:hint="default"/>
                <w:sz w:val="18"/>
                <w:szCs w:val="18"/>
              </w:rPr>
            </w:r>
          </w:p>
          <w:p>
            <w:pPr>
              <w:pStyle w:val="TableParagraph"/>
              <w:spacing w:line="240" w:lineRule="auto" w:before="7"/>
              <w:ind w:left="214" w:right="0"/>
              <w:jc w:val="left"/>
              <w:rPr>
                <w:rFonts w:ascii="宋体" w:hAnsi="宋体" w:cs="宋体" w:eastAsia="宋体" w:hint="default"/>
                <w:sz w:val="18"/>
                <w:szCs w:val="18"/>
              </w:rPr>
            </w:pPr>
            <w:r>
              <w:rPr>
                <w:rFonts w:ascii="宋体" w:hAnsi="宋体" w:cs="宋体" w:eastAsia="宋体" w:hint="default"/>
                <w:b/>
                <w:bCs/>
                <w:sz w:val="18"/>
                <w:szCs w:val="18"/>
              </w:rPr>
              <w:t>收入总额</w:t>
            </w:r>
            <w:r>
              <w:rPr>
                <w:rFonts w:ascii="宋体" w:hAnsi="宋体" w:cs="宋体" w:eastAsia="宋体" w:hint="default"/>
                <w:sz w:val="18"/>
                <w:szCs w:val="18"/>
              </w:rPr>
            </w:r>
          </w:p>
        </w:tc>
        <w:tc>
          <w:tcPr>
            <w:tcW w:w="976" w:type="dxa"/>
            <w:tcBorders>
              <w:top w:val="nil" w:sz="6" w:space="0" w:color="auto"/>
              <w:left w:val="nil" w:sz="6" w:space="0" w:color="auto"/>
              <w:bottom w:val="single" w:sz="4" w:space="0" w:color="000000"/>
              <w:right w:val="nil" w:sz="6" w:space="0" w:color="auto"/>
            </w:tcBorders>
          </w:tcPr>
          <w:p>
            <w:pPr>
              <w:pStyle w:val="TableParagraph"/>
              <w:spacing w:line="180" w:lineRule="exact"/>
              <w:ind w:left="179" w:right="0" w:firstLine="91"/>
              <w:jc w:val="left"/>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sz w:val="18"/>
                <w:szCs w:val="18"/>
              </w:rPr>
            </w:r>
          </w:p>
          <w:p>
            <w:pPr>
              <w:pStyle w:val="TableParagraph"/>
              <w:spacing w:line="240" w:lineRule="auto" w:before="7"/>
              <w:ind w:left="179"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r>
      <w:tr>
        <w:trPr>
          <w:trHeight w:val="399" w:hRule="exact"/>
        </w:trPr>
        <w:tc>
          <w:tcPr>
            <w:tcW w:w="164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044" w:type="dxa"/>
            <w:tcBorders>
              <w:top w:val="single" w:sz="4" w:space="0" w:color="000000"/>
              <w:left w:val="nil" w:sz="6" w:space="0" w:color="auto"/>
              <w:bottom w:val="nil" w:sz="6" w:space="0" w:color="auto"/>
              <w:right w:val="nil" w:sz="6" w:space="0" w:color="auto"/>
            </w:tcBorders>
          </w:tcPr>
          <w:p>
            <w:pPr/>
          </w:p>
        </w:tc>
        <w:tc>
          <w:tcPr>
            <w:tcW w:w="976" w:type="dxa"/>
            <w:tcBorders>
              <w:top w:val="single" w:sz="4" w:space="0" w:color="000000"/>
              <w:left w:val="nil" w:sz="6" w:space="0" w:color="auto"/>
              <w:bottom w:val="nil" w:sz="6" w:space="0" w:color="auto"/>
              <w:right w:val="nil" w:sz="6" w:space="0" w:color="auto"/>
            </w:tcBorders>
          </w:tcPr>
          <w:p>
            <w:pPr/>
          </w:p>
        </w:tc>
        <w:tc>
          <w:tcPr>
            <w:tcW w:w="1173" w:type="dxa"/>
            <w:tcBorders>
              <w:top w:val="single" w:sz="4" w:space="0" w:color="000000"/>
              <w:left w:val="nil" w:sz="6" w:space="0" w:color="auto"/>
              <w:bottom w:val="nil" w:sz="6" w:space="0" w:color="auto"/>
              <w:right w:val="nil" w:sz="6" w:space="0" w:color="auto"/>
            </w:tcBorders>
          </w:tcPr>
          <w:p>
            <w:pPr/>
          </w:p>
        </w:tc>
        <w:tc>
          <w:tcPr>
            <w:tcW w:w="1090" w:type="dxa"/>
            <w:tcBorders>
              <w:top w:val="single" w:sz="4" w:space="0" w:color="000000"/>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nil" w:sz="6" w:space="0" w:color="auto"/>
              <w:right w:val="nil" w:sz="6" w:space="0" w:color="auto"/>
            </w:tcBorders>
          </w:tcPr>
          <w:p>
            <w:pPr/>
          </w:p>
        </w:tc>
        <w:tc>
          <w:tcPr>
            <w:tcW w:w="1334" w:type="dxa"/>
            <w:tcBorders>
              <w:top w:val="single" w:sz="4" w:space="0" w:color="000000"/>
              <w:left w:val="nil" w:sz="6" w:space="0" w:color="auto"/>
              <w:bottom w:val="nil" w:sz="6" w:space="0" w:color="auto"/>
              <w:right w:val="nil" w:sz="6" w:space="0" w:color="auto"/>
            </w:tcBorders>
          </w:tcPr>
          <w:p>
            <w:pPr/>
          </w:p>
        </w:tc>
        <w:tc>
          <w:tcPr>
            <w:tcW w:w="976" w:type="dxa"/>
            <w:tcBorders>
              <w:top w:val="single" w:sz="4" w:space="0" w:color="000000"/>
              <w:left w:val="nil" w:sz="6" w:space="0" w:color="auto"/>
              <w:bottom w:val="nil" w:sz="6" w:space="0" w:color="auto"/>
              <w:right w:val="nil" w:sz="6" w:space="0" w:color="auto"/>
            </w:tcBorders>
          </w:tcPr>
          <w:p>
            <w:pPr/>
          </w:p>
        </w:tc>
      </w:tr>
      <w:tr>
        <w:trPr>
          <w:trHeight w:val="640" w:hRule="exact"/>
        </w:trPr>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贵州新思维科技</w:t>
            </w:r>
          </w:p>
          <w:p>
            <w:pPr>
              <w:pStyle w:val="TableParagraph"/>
              <w:spacing w:line="240" w:lineRule="auto" w:before="117"/>
              <w:ind w:left="110"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40</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3"/>
              <w:jc w:val="center"/>
              <w:rPr>
                <w:rFonts w:ascii="宋体" w:hAnsi="宋体" w:cs="宋体" w:eastAsia="宋体" w:hint="default"/>
                <w:sz w:val="18"/>
                <w:szCs w:val="18"/>
              </w:rPr>
            </w:pPr>
            <w:r>
              <w:rPr>
                <w:rFonts w:ascii="宋体"/>
                <w:sz w:val="18"/>
              </w:rPr>
              <w:t>40</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09" w:right="0"/>
              <w:jc w:val="left"/>
              <w:rPr>
                <w:rFonts w:ascii="宋体" w:hAnsi="宋体" w:cs="宋体" w:eastAsia="宋体" w:hint="default"/>
                <w:sz w:val="18"/>
                <w:szCs w:val="18"/>
              </w:rPr>
            </w:pPr>
            <w:r>
              <w:rPr>
                <w:rFonts w:ascii="宋体"/>
                <w:sz w:val="18"/>
              </w:rPr>
              <w:t>1,368.04</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94" w:right="0"/>
              <w:jc w:val="left"/>
              <w:rPr>
                <w:rFonts w:ascii="宋体" w:hAnsi="宋体" w:cs="宋体" w:eastAsia="宋体" w:hint="default"/>
                <w:sz w:val="18"/>
                <w:szCs w:val="18"/>
              </w:rPr>
            </w:pPr>
            <w:r>
              <w:rPr>
                <w:rFonts w:ascii="宋体"/>
                <w:sz w:val="18"/>
              </w:rPr>
              <w:t>651.72</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32" w:right="0"/>
              <w:jc w:val="left"/>
              <w:rPr>
                <w:rFonts w:ascii="宋体" w:hAnsi="宋体" w:cs="宋体" w:eastAsia="宋体" w:hint="default"/>
                <w:sz w:val="18"/>
                <w:szCs w:val="18"/>
              </w:rPr>
            </w:pPr>
            <w:r>
              <w:rPr>
                <w:rFonts w:ascii="宋体"/>
                <w:sz w:val="18"/>
              </w:rPr>
              <w:t>716.32</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32" w:right="0"/>
              <w:jc w:val="left"/>
              <w:rPr>
                <w:rFonts w:ascii="宋体" w:hAnsi="宋体" w:cs="宋体" w:eastAsia="宋体" w:hint="default"/>
                <w:sz w:val="18"/>
                <w:szCs w:val="18"/>
              </w:rPr>
            </w:pPr>
            <w:r>
              <w:rPr>
                <w:rFonts w:ascii="宋体"/>
                <w:sz w:val="18"/>
              </w:rPr>
              <w:t>2,802.33</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28" w:right="0"/>
              <w:jc w:val="left"/>
              <w:rPr>
                <w:rFonts w:ascii="宋体" w:hAnsi="宋体" w:cs="宋体" w:eastAsia="宋体" w:hint="default"/>
                <w:sz w:val="18"/>
                <w:szCs w:val="18"/>
              </w:rPr>
            </w:pPr>
            <w:r>
              <w:rPr>
                <w:rFonts w:ascii="宋体"/>
                <w:sz w:val="18"/>
              </w:rPr>
              <w:t>403.23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513" w:right="981"/>
        <w:jc w:val="left"/>
      </w:pPr>
      <w:r>
        <w:rPr>
          <w:rFonts w:ascii="宋体" w:hAnsi="宋体" w:cs="宋体" w:eastAsia="宋体" w:hint="default"/>
        </w:rPr>
        <w:t>9.</w:t>
      </w:r>
      <w:r>
        <w:rPr/>
        <w:t>投资性房地产</w:t>
      </w:r>
    </w:p>
    <w:p>
      <w:pPr>
        <w:spacing w:line="240" w:lineRule="auto" w:before="9"/>
        <w:rPr>
          <w:rFonts w:ascii="宋体" w:hAnsi="宋体" w:cs="宋体" w:eastAsia="宋体" w:hint="default"/>
          <w:sz w:val="23"/>
          <w:szCs w:val="23"/>
        </w:rPr>
      </w:pPr>
    </w:p>
    <w:tbl>
      <w:tblPr>
        <w:tblW w:w="0" w:type="auto"/>
        <w:jc w:val="left"/>
        <w:tblInd w:w="239" w:type="dxa"/>
        <w:tblLayout w:type="fixed"/>
        <w:tblCellMar>
          <w:top w:w="0" w:type="dxa"/>
          <w:left w:w="0" w:type="dxa"/>
          <w:bottom w:w="0" w:type="dxa"/>
          <w:right w:w="0" w:type="dxa"/>
        </w:tblCellMar>
        <w:tblLook w:val="01E0"/>
      </w:tblPr>
      <w:tblGrid>
        <w:gridCol w:w="3692"/>
        <w:gridCol w:w="1080"/>
        <w:gridCol w:w="1791"/>
        <w:gridCol w:w="1277"/>
        <w:gridCol w:w="439"/>
        <w:gridCol w:w="1188"/>
      </w:tblGrid>
      <w:tr>
        <w:trPr>
          <w:trHeight w:val="294" w:hRule="exact"/>
        </w:trPr>
        <w:tc>
          <w:tcPr>
            <w:tcW w:w="3692" w:type="dxa"/>
            <w:tcBorders>
              <w:top w:val="nil" w:sz="6" w:space="0" w:color="auto"/>
              <w:left w:val="nil" w:sz="6" w:space="0" w:color="auto"/>
              <w:bottom w:val="single" w:sz="4" w:space="0" w:color="000000"/>
              <w:right w:val="nil" w:sz="6" w:space="0" w:color="auto"/>
            </w:tcBorders>
          </w:tcPr>
          <w:p>
            <w:pPr>
              <w:pStyle w:val="TableParagraph"/>
              <w:spacing w:line="180" w:lineRule="exact"/>
              <w:ind w:right="34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80" w:type="dxa"/>
            <w:tcBorders>
              <w:top w:val="nil" w:sz="6" w:space="0" w:color="auto"/>
              <w:left w:val="nil" w:sz="6" w:space="0" w:color="auto"/>
              <w:bottom w:val="single" w:sz="4" w:space="0" w:color="000000"/>
              <w:right w:val="nil" w:sz="6" w:space="0" w:color="auto"/>
            </w:tcBorders>
          </w:tcPr>
          <w:p>
            <w:pPr>
              <w:pStyle w:val="TableParagraph"/>
              <w:spacing w:line="180" w:lineRule="exact"/>
              <w:ind w:left="6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791" w:type="dxa"/>
            <w:tcBorders>
              <w:top w:val="nil" w:sz="6" w:space="0" w:color="auto"/>
              <w:left w:val="nil" w:sz="6" w:space="0" w:color="auto"/>
              <w:bottom w:val="single" w:sz="4" w:space="0" w:color="000000"/>
              <w:right w:val="nil" w:sz="6" w:space="0" w:color="auto"/>
            </w:tcBorders>
          </w:tcPr>
          <w:p>
            <w:pPr>
              <w:pStyle w:val="TableParagraph"/>
              <w:spacing w:line="180" w:lineRule="exact"/>
              <w:ind w:left="513"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277" w:type="dxa"/>
            <w:tcBorders>
              <w:top w:val="nil" w:sz="6" w:space="0" w:color="auto"/>
              <w:left w:val="nil" w:sz="6" w:space="0" w:color="auto"/>
              <w:bottom w:val="single" w:sz="4" w:space="0" w:color="000000"/>
              <w:right w:val="nil" w:sz="6" w:space="0" w:color="auto"/>
            </w:tcBorders>
          </w:tcPr>
          <w:p>
            <w:pPr>
              <w:pStyle w:val="TableParagraph"/>
              <w:spacing w:line="180" w:lineRule="exact"/>
              <w:ind w:left="256"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439" w:type="dxa"/>
            <w:tcBorders>
              <w:top w:val="nil" w:sz="6" w:space="0" w:color="auto"/>
              <w:left w:val="nil" w:sz="6" w:space="0" w:color="auto"/>
              <w:bottom w:val="single" w:sz="4" w:space="0" w:color="000000"/>
              <w:right w:val="nil" w:sz="6" w:space="0" w:color="auto"/>
            </w:tcBorders>
          </w:tcPr>
          <w:p>
            <w:pPr/>
          </w:p>
        </w:tc>
        <w:tc>
          <w:tcPr>
            <w:tcW w:w="1188" w:type="dxa"/>
            <w:tcBorders>
              <w:top w:val="nil" w:sz="6" w:space="0" w:color="auto"/>
              <w:left w:val="nil" w:sz="6" w:space="0" w:color="auto"/>
              <w:bottom w:val="single" w:sz="4" w:space="0" w:color="000000"/>
              <w:right w:val="nil" w:sz="6" w:space="0" w:color="auto"/>
            </w:tcBorders>
          </w:tcPr>
          <w:p>
            <w:pPr>
              <w:pStyle w:val="TableParagraph"/>
              <w:spacing w:line="180" w:lineRule="exact"/>
              <w:ind w:left="6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10" w:hRule="exact"/>
        </w:trPr>
        <w:tc>
          <w:tcPr>
            <w:tcW w:w="369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10"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080"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宋体"/>
                <w:spacing w:val="-1"/>
                <w:sz w:val="18"/>
              </w:rPr>
              <w:t>8,885,685.87</w:t>
            </w:r>
          </w:p>
        </w:tc>
        <w:tc>
          <w:tcPr>
            <w:tcW w:w="1791" w:type="dxa"/>
            <w:tcBorders>
              <w:top w:val="single" w:sz="4" w:space="0" w:color="000000"/>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827,171.38</w:t>
            </w:r>
          </w:p>
        </w:tc>
        <w:tc>
          <w:tcPr>
            <w:tcW w:w="439" w:type="dxa"/>
            <w:tcBorders>
              <w:top w:val="single" w:sz="4" w:space="0" w:color="000000"/>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宋体"/>
                <w:sz w:val="18"/>
              </w:rPr>
              <w:t>8,058,514.49</w:t>
            </w:r>
          </w:p>
        </w:tc>
      </w:tr>
      <w:tr>
        <w:trPr>
          <w:trHeight w:val="479" w:hRule="exact"/>
        </w:trPr>
        <w:tc>
          <w:tcPr>
            <w:tcW w:w="3692"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11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080" w:type="dxa"/>
            <w:tcBorders>
              <w:top w:val="single" w:sz="12" w:space="0" w:color="000000"/>
              <w:left w:val="nil" w:sz="6" w:space="0" w:color="auto"/>
              <w:bottom w:val="nil" w:sz="6" w:space="0" w:color="auto"/>
              <w:right w:val="nil" w:sz="6" w:space="0" w:color="auto"/>
            </w:tcBorders>
          </w:tcPr>
          <w:p>
            <w:pPr>
              <w:pStyle w:val="TableParagraph"/>
              <w:spacing w:line="240" w:lineRule="auto" w:before="121"/>
              <w:ind w:right="0"/>
              <w:jc w:val="left"/>
              <w:rPr>
                <w:rFonts w:ascii="宋体" w:hAnsi="宋体" w:cs="宋体" w:eastAsia="宋体" w:hint="default"/>
                <w:sz w:val="18"/>
                <w:szCs w:val="18"/>
              </w:rPr>
            </w:pPr>
            <w:r>
              <w:rPr>
                <w:rFonts w:ascii="宋体"/>
                <w:spacing w:val="-1"/>
                <w:sz w:val="18"/>
              </w:rPr>
              <w:t>8,885,685.87</w:t>
            </w:r>
          </w:p>
        </w:tc>
        <w:tc>
          <w:tcPr>
            <w:tcW w:w="1791" w:type="dxa"/>
            <w:tcBorders>
              <w:top w:val="nil" w:sz="6" w:space="0" w:color="auto"/>
              <w:left w:val="nil" w:sz="6" w:space="0" w:color="auto"/>
              <w:bottom w:val="nil" w:sz="6" w:space="0" w:color="auto"/>
              <w:right w:val="nil" w:sz="6" w:space="0" w:color="auto"/>
            </w:tcBorders>
          </w:tcPr>
          <w:p>
            <w:pPr/>
          </w:p>
        </w:tc>
        <w:tc>
          <w:tcPr>
            <w:tcW w:w="1277" w:type="dxa"/>
            <w:tcBorders>
              <w:top w:val="single" w:sz="12" w:space="0" w:color="000000"/>
              <w:left w:val="nil" w:sz="6" w:space="0" w:color="auto"/>
              <w:bottom w:val="nil" w:sz="6" w:space="0" w:color="auto"/>
              <w:right w:val="nil" w:sz="6" w:space="0" w:color="auto"/>
            </w:tcBorders>
          </w:tcPr>
          <w:p>
            <w:pPr>
              <w:pStyle w:val="TableParagraph"/>
              <w:spacing w:line="240" w:lineRule="auto" w:before="121"/>
              <w:ind w:right="0"/>
              <w:jc w:val="right"/>
              <w:rPr>
                <w:rFonts w:ascii="宋体" w:hAnsi="宋体" w:cs="宋体" w:eastAsia="宋体" w:hint="default"/>
                <w:sz w:val="18"/>
                <w:szCs w:val="18"/>
              </w:rPr>
            </w:pPr>
            <w:r>
              <w:rPr>
                <w:rFonts w:ascii="宋体"/>
                <w:spacing w:val="-1"/>
                <w:sz w:val="18"/>
              </w:rPr>
              <w:t>827,171.38</w:t>
            </w:r>
          </w:p>
        </w:tc>
        <w:tc>
          <w:tcPr>
            <w:tcW w:w="439" w:type="dxa"/>
            <w:tcBorders>
              <w:top w:val="nil" w:sz="6" w:space="0" w:color="auto"/>
              <w:left w:val="nil" w:sz="6" w:space="0" w:color="auto"/>
              <w:bottom w:val="nil" w:sz="6" w:space="0" w:color="auto"/>
              <w:right w:val="nil" w:sz="6" w:space="0" w:color="auto"/>
            </w:tcBorders>
          </w:tcPr>
          <w:p>
            <w:pPr/>
          </w:p>
        </w:tc>
        <w:tc>
          <w:tcPr>
            <w:tcW w:w="1188" w:type="dxa"/>
            <w:tcBorders>
              <w:top w:val="single" w:sz="12" w:space="0" w:color="000000"/>
              <w:left w:val="nil" w:sz="6" w:space="0" w:color="auto"/>
              <w:bottom w:val="nil" w:sz="6" w:space="0" w:color="auto"/>
              <w:right w:val="nil" w:sz="6" w:space="0" w:color="auto"/>
            </w:tcBorders>
          </w:tcPr>
          <w:p>
            <w:pPr>
              <w:pStyle w:val="TableParagraph"/>
              <w:spacing w:line="240" w:lineRule="auto" w:before="121"/>
              <w:ind w:right="0"/>
              <w:jc w:val="left"/>
              <w:rPr>
                <w:rFonts w:ascii="宋体" w:hAnsi="宋体" w:cs="宋体" w:eastAsia="宋体" w:hint="default"/>
                <w:sz w:val="18"/>
                <w:szCs w:val="18"/>
              </w:rPr>
            </w:pPr>
            <w:r>
              <w:rPr>
                <w:rFonts w:ascii="宋体"/>
                <w:sz w:val="18"/>
              </w:rPr>
              <w:t>8,058,514.49</w:t>
            </w:r>
          </w:p>
        </w:tc>
      </w:tr>
      <w:tr>
        <w:trPr>
          <w:trHeight w:val="396" w:hRule="exact"/>
        </w:trPr>
        <w:tc>
          <w:tcPr>
            <w:tcW w:w="369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二、累计折旧和累计摊销合计</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sz w:val="18"/>
              </w:rPr>
            </w:r>
            <w:r>
              <w:rPr>
                <w:rFonts w:ascii="宋体"/>
                <w:spacing w:val="-1"/>
                <w:sz w:val="18"/>
                <w:u w:val="thick" w:color="000000"/>
              </w:rPr>
              <w:t>2,770,021.11</w:t>
            </w:r>
            <w:r>
              <w:rPr>
                <w:rFonts w:ascii="宋体"/>
                <w:spacing w:val="-1"/>
                <w:sz w:val="18"/>
              </w:rPr>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4"/>
              <w:jc w:val="right"/>
              <w:rPr>
                <w:rFonts w:ascii="宋体" w:hAnsi="宋体" w:cs="宋体" w:eastAsia="宋体" w:hint="default"/>
                <w:sz w:val="18"/>
                <w:szCs w:val="18"/>
              </w:rPr>
            </w:pPr>
            <w:r>
              <w:rPr>
                <w:rFonts w:ascii="宋体"/>
                <w:sz w:val="18"/>
              </w:rPr>
            </w:r>
            <w:r>
              <w:rPr>
                <w:rFonts w:ascii="宋体"/>
                <w:spacing w:val="-1"/>
                <w:sz w:val="18"/>
                <w:u w:val="thick" w:color="000000"/>
              </w:rPr>
              <w:t>200,784.93</w:t>
            </w:r>
            <w:r>
              <w:rPr>
                <w:rFonts w:ascii="宋体"/>
                <w:spacing w:val="-1"/>
                <w:sz w:val="18"/>
              </w:rPr>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r>
            <w:r>
              <w:rPr>
                <w:rFonts w:ascii="宋体"/>
                <w:spacing w:val="-1"/>
                <w:sz w:val="18"/>
                <w:u w:val="thick" w:color="000000"/>
              </w:rPr>
              <w:t>265,171.31</w:t>
            </w:r>
            <w:r>
              <w:rPr>
                <w:rFonts w:ascii="宋体"/>
                <w:spacing w:val="-1"/>
                <w:sz w:val="18"/>
              </w:rPr>
            </w:r>
            <w:r>
              <w:rPr>
                <w:rFonts w:ascii="宋体"/>
                <w:sz w:val="18"/>
              </w:rPr>
            </w:r>
          </w:p>
        </w:tc>
        <w:tc>
          <w:tcPr>
            <w:tcW w:w="439"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sz w:val="18"/>
              </w:rPr>
            </w:r>
            <w:r>
              <w:rPr>
                <w:rFonts w:ascii="宋体"/>
                <w:sz w:val="18"/>
                <w:u w:val="thick" w:color="000000"/>
              </w:rPr>
              <w:t>2,705,634.73</w:t>
            </w:r>
            <w:r>
              <w:rPr>
                <w:rFonts w:ascii="宋体"/>
                <w:sz w:val="18"/>
              </w:rPr>
            </w:r>
          </w:p>
        </w:tc>
      </w:tr>
      <w:tr>
        <w:trPr>
          <w:trHeight w:val="397" w:hRule="exact"/>
        </w:trPr>
        <w:tc>
          <w:tcPr>
            <w:tcW w:w="369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left"/>
              <w:rPr>
                <w:rFonts w:ascii="宋体" w:hAnsi="宋体" w:cs="宋体" w:eastAsia="宋体" w:hint="default"/>
                <w:sz w:val="18"/>
                <w:szCs w:val="18"/>
              </w:rPr>
            </w:pPr>
            <w:r>
              <w:rPr>
                <w:rFonts w:ascii="宋体"/>
                <w:spacing w:val="-1"/>
                <w:sz w:val="18"/>
              </w:rPr>
              <w:t>2,770,021.11</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4"/>
              <w:jc w:val="right"/>
              <w:rPr>
                <w:rFonts w:ascii="宋体" w:hAnsi="宋体" w:cs="宋体" w:eastAsia="宋体" w:hint="default"/>
                <w:sz w:val="18"/>
                <w:szCs w:val="18"/>
              </w:rPr>
            </w:pPr>
            <w:r>
              <w:rPr>
                <w:rFonts w:ascii="宋体"/>
                <w:spacing w:val="-1"/>
                <w:sz w:val="18"/>
              </w:rPr>
              <w:t>200,784.93</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pacing w:val="-1"/>
                <w:sz w:val="18"/>
              </w:rPr>
              <w:t>265,171.31</w:t>
            </w:r>
          </w:p>
        </w:tc>
        <w:tc>
          <w:tcPr>
            <w:tcW w:w="439"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left"/>
              <w:rPr>
                <w:rFonts w:ascii="宋体" w:hAnsi="宋体" w:cs="宋体" w:eastAsia="宋体" w:hint="default"/>
                <w:sz w:val="18"/>
                <w:szCs w:val="18"/>
              </w:rPr>
            </w:pPr>
            <w:r>
              <w:rPr>
                <w:rFonts w:ascii="宋体"/>
                <w:sz w:val="18"/>
              </w:rPr>
              <w:t>2,705,634.73</w:t>
            </w:r>
          </w:p>
        </w:tc>
      </w:tr>
      <w:tr>
        <w:trPr>
          <w:trHeight w:val="396" w:hRule="exact"/>
        </w:trPr>
        <w:tc>
          <w:tcPr>
            <w:tcW w:w="369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三、减值准备累计金额合计</w:t>
            </w:r>
          </w:p>
        </w:tc>
        <w:tc>
          <w:tcPr>
            <w:tcW w:w="1080" w:type="dxa"/>
            <w:tcBorders>
              <w:top w:val="nil" w:sz="6" w:space="0" w:color="auto"/>
              <w:left w:val="nil" w:sz="6" w:space="0" w:color="auto"/>
              <w:bottom w:val="nil" w:sz="6" w:space="0" w:color="auto"/>
              <w:right w:val="nil" w:sz="6" w:space="0" w:color="auto"/>
            </w:tcBorders>
          </w:tcPr>
          <w:p>
            <w:pPr/>
          </w:p>
        </w:tc>
        <w:tc>
          <w:tcPr>
            <w:tcW w:w="179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439"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r>
      <w:tr>
        <w:trPr>
          <w:trHeight w:val="397" w:hRule="exact"/>
        </w:trPr>
        <w:tc>
          <w:tcPr>
            <w:tcW w:w="369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080" w:type="dxa"/>
            <w:tcBorders>
              <w:top w:val="nil" w:sz="6" w:space="0" w:color="auto"/>
              <w:left w:val="nil" w:sz="6" w:space="0" w:color="auto"/>
              <w:bottom w:val="nil" w:sz="6" w:space="0" w:color="auto"/>
              <w:right w:val="nil" w:sz="6" w:space="0" w:color="auto"/>
            </w:tcBorders>
          </w:tcPr>
          <w:p>
            <w:pPr/>
          </w:p>
        </w:tc>
        <w:tc>
          <w:tcPr>
            <w:tcW w:w="179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439"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r>
      <w:tr>
        <w:trPr>
          <w:trHeight w:val="403" w:hRule="exact"/>
        </w:trPr>
        <w:tc>
          <w:tcPr>
            <w:tcW w:w="369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四、账面价值合计</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left"/>
              <w:rPr>
                <w:rFonts w:ascii="宋体" w:hAnsi="宋体" w:cs="宋体" w:eastAsia="宋体" w:hint="default"/>
                <w:sz w:val="18"/>
                <w:szCs w:val="18"/>
              </w:rPr>
            </w:pPr>
            <w:r>
              <w:rPr>
                <w:rFonts w:ascii="宋体"/>
                <w:sz w:val="18"/>
              </w:rPr>
            </w:r>
            <w:r>
              <w:rPr>
                <w:rFonts w:ascii="宋体"/>
                <w:spacing w:val="-1"/>
                <w:sz w:val="18"/>
                <w:u w:val="thick" w:color="000000"/>
              </w:rPr>
              <w:t>6,115,664.76</w:t>
            </w:r>
            <w:r>
              <w:rPr>
                <w:rFonts w:ascii="宋体"/>
                <w:spacing w:val="-1"/>
                <w:sz w:val="18"/>
              </w:rPr>
            </w:r>
          </w:p>
        </w:tc>
        <w:tc>
          <w:tcPr>
            <w:tcW w:w="179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439"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left"/>
              <w:rPr>
                <w:rFonts w:ascii="宋体" w:hAnsi="宋体" w:cs="宋体" w:eastAsia="宋体" w:hint="default"/>
                <w:sz w:val="18"/>
                <w:szCs w:val="18"/>
              </w:rPr>
            </w:pPr>
            <w:r>
              <w:rPr>
                <w:rFonts w:ascii="宋体"/>
                <w:sz w:val="18"/>
              </w:rPr>
            </w:r>
            <w:r>
              <w:rPr>
                <w:rFonts w:ascii="宋体"/>
                <w:sz w:val="18"/>
                <w:u w:val="thick" w:color="000000"/>
              </w:rPr>
              <w:t>5,352,879.76</w:t>
            </w:r>
            <w:r>
              <w:rPr>
                <w:rFonts w:ascii="宋体"/>
                <w:sz w:val="18"/>
              </w:rPr>
            </w:r>
          </w:p>
        </w:tc>
      </w:tr>
      <w:tr>
        <w:trPr>
          <w:trHeight w:val="295" w:hRule="exact"/>
        </w:trPr>
        <w:tc>
          <w:tcPr>
            <w:tcW w:w="369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1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0"/>
              <w:jc w:val="left"/>
              <w:rPr>
                <w:rFonts w:ascii="宋体" w:hAnsi="宋体" w:cs="宋体" w:eastAsia="宋体" w:hint="default"/>
                <w:sz w:val="18"/>
                <w:szCs w:val="18"/>
              </w:rPr>
            </w:pPr>
            <w:r>
              <w:rPr>
                <w:rFonts w:ascii="宋体"/>
                <w:spacing w:val="-1"/>
                <w:sz w:val="18"/>
              </w:rPr>
              <w:t>6,115,664.76</w:t>
            </w:r>
          </w:p>
        </w:tc>
        <w:tc>
          <w:tcPr>
            <w:tcW w:w="1791"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439"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0"/>
              <w:jc w:val="left"/>
              <w:rPr>
                <w:rFonts w:ascii="宋体" w:hAnsi="宋体" w:cs="宋体" w:eastAsia="宋体" w:hint="default"/>
                <w:sz w:val="18"/>
                <w:szCs w:val="18"/>
              </w:rPr>
            </w:pPr>
            <w:r>
              <w:rPr>
                <w:rFonts w:ascii="宋体"/>
                <w:sz w:val="18"/>
              </w:rPr>
              <w:t>5,352,879.76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44"/>
        <w:ind w:left="513" w:right="981"/>
        <w:jc w:val="left"/>
      </w:pPr>
      <w:r>
        <w:rPr>
          <w:spacing w:val="-7"/>
        </w:rPr>
        <w:t>（</w:t>
      </w:r>
      <w:r>
        <w:rPr>
          <w:rFonts w:ascii="宋体" w:hAnsi="宋体" w:cs="宋体" w:eastAsia="宋体" w:hint="default"/>
          <w:spacing w:val="-7"/>
        </w:rPr>
        <w:t>1</w:t>
      </w:r>
      <w:r>
        <w:rPr>
          <w:spacing w:val="-7"/>
        </w:rPr>
        <w:t>）公司于</w:t>
      </w:r>
      <w:r>
        <w:rPr>
          <w:spacing w:val="-46"/>
        </w:rPr>
        <w:t> </w:t>
      </w:r>
      <w:r>
        <w:rPr>
          <w:rFonts w:ascii="宋体" w:hAnsi="宋体" w:cs="宋体" w:eastAsia="宋体" w:hint="default"/>
        </w:rPr>
        <w:t>2012</w:t>
      </w:r>
      <w:r>
        <w:rPr>
          <w:rFonts w:ascii="宋体" w:hAnsi="宋体" w:cs="宋体" w:eastAsia="宋体" w:hint="default"/>
          <w:spacing w:val="-44"/>
        </w:rPr>
        <w:t> </w:t>
      </w:r>
      <w:r>
        <w:rPr/>
        <w:t>年</w:t>
      </w:r>
      <w:r>
        <w:rPr>
          <w:spacing w:val="-48"/>
        </w:rPr>
        <w:t> </w:t>
      </w:r>
      <w:r>
        <w:rPr>
          <w:rFonts w:ascii="宋体" w:hAnsi="宋体" w:cs="宋体" w:eastAsia="宋体" w:hint="default"/>
        </w:rPr>
        <w:t>1</w:t>
      </w:r>
      <w:r>
        <w:rPr>
          <w:rFonts w:ascii="宋体" w:hAnsi="宋体" w:cs="宋体" w:eastAsia="宋体" w:hint="default"/>
          <w:spacing w:val="-45"/>
        </w:rPr>
        <w:t> </w:t>
      </w:r>
      <w:r>
        <w:rPr/>
        <w:t>月</w:t>
      </w:r>
      <w:r>
        <w:rPr>
          <w:spacing w:val="-48"/>
        </w:rPr>
        <w:t> </w:t>
      </w:r>
      <w:r>
        <w:rPr>
          <w:rFonts w:ascii="宋体" w:hAnsi="宋体" w:cs="宋体" w:eastAsia="宋体" w:hint="default"/>
        </w:rPr>
        <w:t>1</w:t>
      </w:r>
      <w:r>
        <w:rPr>
          <w:rFonts w:ascii="宋体" w:hAnsi="宋体" w:cs="宋体" w:eastAsia="宋体" w:hint="default"/>
          <w:spacing w:val="-45"/>
        </w:rPr>
        <w:t> </w:t>
      </w:r>
      <w:r>
        <w:rPr/>
        <w:t>日将位于上海市浦东新区民生路</w:t>
      </w:r>
      <w:r>
        <w:rPr>
          <w:spacing w:val="-46"/>
        </w:rPr>
        <w:t> </w:t>
      </w:r>
      <w:r>
        <w:rPr>
          <w:rFonts w:ascii="宋体" w:hAnsi="宋体" w:cs="宋体" w:eastAsia="宋体" w:hint="default"/>
        </w:rPr>
        <w:t>600</w:t>
      </w:r>
      <w:r>
        <w:rPr>
          <w:rFonts w:ascii="宋体" w:hAnsi="宋体" w:cs="宋体" w:eastAsia="宋体" w:hint="default"/>
          <w:spacing w:val="-44"/>
        </w:rPr>
        <w:t> </w:t>
      </w:r>
      <w:r>
        <w:rPr/>
        <w:t>号</w:t>
      </w:r>
      <w:r>
        <w:rPr>
          <w:spacing w:val="-46"/>
        </w:rPr>
        <w:t> </w:t>
      </w:r>
      <w:r>
        <w:rPr>
          <w:rFonts w:ascii="宋体" w:hAnsi="宋体" w:cs="宋体" w:eastAsia="宋体" w:hint="default"/>
        </w:rPr>
        <w:t>22</w:t>
      </w:r>
      <w:r>
        <w:rPr>
          <w:rFonts w:ascii="宋体" w:hAnsi="宋体" w:cs="宋体" w:eastAsia="宋体" w:hint="default"/>
          <w:spacing w:val="-45"/>
        </w:rPr>
        <w:t> </w:t>
      </w:r>
      <w:r>
        <w:rPr/>
        <w:t>号楼</w:t>
      </w:r>
      <w:r>
        <w:rPr>
          <w:spacing w:val="-48"/>
        </w:rPr>
        <w:t> </w:t>
      </w:r>
      <w:r>
        <w:rPr>
          <w:rFonts w:ascii="宋体" w:hAnsi="宋体" w:cs="宋体" w:eastAsia="宋体" w:hint="default"/>
        </w:rPr>
        <w:t>4</w:t>
      </w:r>
      <w:r>
        <w:rPr>
          <w:rFonts w:ascii="宋体" w:hAnsi="宋体" w:cs="宋体" w:eastAsia="宋体" w:hint="default"/>
          <w:spacing w:val="-45"/>
        </w:rPr>
        <w:t> </w:t>
      </w:r>
      <w:r>
        <w:rPr>
          <w:spacing w:val="-7"/>
        </w:rPr>
        <w:t>层，建筑面积为</w:t>
      </w:r>
      <w:r>
        <w:rPr>
          <w:spacing w:val="-46"/>
        </w:rPr>
        <w:t> </w:t>
      </w:r>
      <w:r>
        <w:rPr>
          <w:rFonts w:ascii="宋体" w:hAnsi="宋体" w:cs="宋体" w:eastAsia="宋体" w:hint="default"/>
        </w:rPr>
        <w:t>487.33</w:t>
      </w:r>
      <w:r>
        <w:rPr>
          <w:rFonts w:ascii="宋体" w:hAnsi="宋体" w:cs="宋体" w:eastAsia="宋体" w:hint="default"/>
          <w:spacing w:val="-45"/>
        </w:rPr>
        <w:t> </w:t>
      </w:r>
      <w:r>
        <w:rPr/>
        <w:t>平方米的房屋租赁</w:t>
      </w:r>
    </w:p>
    <w:p>
      <w:pPr>
        <w:pStyle w:val="BodyText"/>
        <w:spacing w:line="240" w:lineRule="auto" w:before="124"/>
        <w:ind w:right="981"/>
        <w:jc w:val="left"/>
      </w:pPr>
      <w:r>
        <w:rPr/>
        <w:t>到期后转为自用；转为自用当日，该房屋账面原值为</w:t>
      </w:r>
      <w:r>
        <w:rPr>
          <w:spacing w:val="-47"/>
        </w:rPr>
        <w:t> </w:t>
      </w:r>
      <w:r>
        <w:rPr>
          <w:rFonts w:ascii="宋体" w:hAnsi="宋体" w:cs="宋体" w:eastAsia="宋体" w:hint="default"/>
        </w:rPr>
        <w:t>827,171.38</w:t>
      </w:r>
      <w:r>
        <w:rPr>
          <w:rFonts w:ascii="宋体" w:hAnsi="宋体" w:cs="宋体" w:eastAsia="宋体" w:hint="default"/>
          <w:spacing w:val="-45"/>
        </w:rPr>
        <w:t> </w:t>
      </w:r>
      <w:r>
        <w:rPr/>
        <w:t>元，累计折旧为</w:t>
      </w:r>
      <w:r>
        <w:rPr>
          <w:spacing w:val="-49"/>
        </w:rPr>
        <w:t> </w:t>
      </w:r>
      <w:r>
        <w:rPr>
          <w:rFonts w:ascii="宋体" w:hAnsi="宋体" w:cs="宋体" w:eastAsia="宋体" w:hint="default"/>
        </w:rPr>
        <w:t>265,171.31</w:t>
      </w:r>
      <w:r>
        <w:rPr>
          <w:rFonts w:ascii="宋体" w:hAnsi="宋体" w:cs="宋体" w:eastAsia="宋体" w:hint="default"/>
          <w:spacing w:val="-45"/>
        </w:rPr>
        <w:t> </w:t>
      </w:r>
      <w:r>
        <w:rPr/>
        <w:t>元。</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w:t>
      </w:r>
      <w:r>
        <w:rPr>
          <w:rFonts w:ascii="宋体" w:hAnsi="宋体" w:cs="宋体" w:eastAsia="宋体" w:hint="default"/>
        </w:rPr>
        <w:t>2</w:t>
      </w:r>
      <w:r>
        <w:rPr/>
        <w:t>）本期计提折旧额</w:t>
      </w:r>
      <w:r>
        <w:rPr>
          <w:spacing w:val="-48"/>
        </w:rPr>
        <w:t> </w:t>
      </w:r>
      <w:r>
        <w:rPr>
          <w:rFonts w:ascii="宋体" w:hAnsi="宋体" w:cs="宋体" w:eastAsia="宋体" w:hint="default"/>
        </w:rPr>
        <w:t>200,784.93</w:t>
      </w:r>
      <w:r>
        <w:rPr>
          <w:rFonts w:ascii="宋体" w:hAnsi="宋体" w:cs="宋体" w:eastAsia="宋体" w:hint="default"/>
          <w:spacing w:val="-45"/>
        </w:rPr>
        <w:t>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4"/>
          <w:szCs w:val="24"/>
        </w:rPr>
      </w:pPr>
    </w:p>
    <w:p>
      <w:pPr>
        <w:pStyle w:val="BodyText"/>
        <w:spacing w:line="240" w:lineRule="auto"/>
        <w:ind w:left="513" w:right="981"/>
        <w:jc w:val="left"/>
      </w:pPr>
      <w:r>
        <w:rPr>
          <w:rFonts w:ascii="宋体" w:hAnsi="宋体" w:cs="宋体" w:eastAsia="宋体" w:hint="default"/>
        </w:rPr>
        <w:t>10.</w:t>
      </w:r>
      <w:r>
        <w:rPr/>
        <w:t>固定资产</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w:t>
      </w:r>
      <w:r>
        <w:rPr>
          <w:rFonts w:ascii="宋体" w:hAnsi="宋体" w:cs="宋体" w:eastAsia="宋体" w:hint="default"/>
        </w:rPr>
        <w:t>1</w:t>
      </w:r>
      <w:r>
        <w:rPr/>
        <w:t>）固定资产情况</w:t>
      </w:r>
    </w:p>
    <w:p>
      <w:pPr>
        <w:spacing w:line="240" w:lineRule="auto" w:before="9"/>
        <w:rPr>
          <w:rFonts w:ascii="宋体" w:hAnsi="宋体" w:cs="宋体" w:eastAsia="宋体" w:hint="default"/>
          <w:sz w:val="23"/>
          <w:szCs w:val="23"/>
        </w:rPr>
      </w:pPr>
    </w:p>
    <w:tbl>
      <w:tblPr>
        <w:tblW w:w="0" w:type="auto"/>
        <w:jc w:val="left"/>
        <w:tblInd w:w="111" w:type="dxa"/>
        <w:tblLayout w:type="fixed"/>
        <w:tblCellMar>
          <w:top w:w="0" w:type="dxa"/>
          <w:left w:w="0" w:type="dxa"/>
          <w:bottom w:w="0" w:type="dxa"/>
          <w:right w:w="0" w:type="dxa"/>
        </w:tblCellMar>
        <w:tblLook w:val="01E0"/>
      </w:tblPr>
      <w:tblGrid>
        <w:gridCol w:w="2720"/>
        <w:gridCol w:w="1172"/>
        <w:gridCol w:w="491"/>
        <w:gridCol w:w="1081"/>
        <w:gridCol w:w="290"/>
        <w:gridCol w:w="900"/>
        <w:gridCol w:w="391"/>
        <w:gridCol w:w="901"/>
        <w:gridCol w:w="497"/>
        <w:gridCol w:w="1279"/>
      </w:tblGrid>
      <w:tr>
        <w:trPr>
          <w:trHeight w:val="294" w:hRule="exact"/>
        </w:trPr>
        <w:tc>
          <w:tcPr>
            <w:tcW w:w="2720" w:type="dxa"/>
            <w:tcBorders>
              <w:top w:val="nil" w:sz="6" w:space="0" w:color="auto"/>
              <w:left w:val="nil" w:sz="6" w:space="0" w:color="auto"/>
              <w:bottom w:val="single" w:sz="4" w:space="0" w:color="000000"/>
              <w:right w:val="nil" w:sz="6" w:space="0" w:color="auto"/>
            </w:tcBorders>
          </w:tcPr>
          <w:p>
            <w:pPr>
              <w:pStyle w:val="TableParagraph"/>
              <w:spacing w:line="180" w:lineRule="exact"/>
              <w:ind w:right="346"/>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72" w:type="dxa"/>
            <w:tcBorders>
              <w:top w:val="nil" w:sz="6" w:space="0" w:color="auto"/>
              <w:left w:val="nil" w:sz="6" w:space="0" w:color="auto"/>
              <w:bottom w:val="single" w:sz="4" w:space="0" w:color="000000"/>
              <w:right w:val="nil" w:sz="6" w:space="0" w:color="auto"/>
            </w:tcBorders>
          </w:tcPr>
          <w:p>
            <w:pPr>
              <w:pStyle w:val="TableParagraph"/>
              <w:spacing w:line="180"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491" w:type="dxa"/>
            <w:tcBorders>
              <w:top w:val="nil" w:sz="6" w:space="0" w:color="auto"/>
              <w:left w:val="nil" w:sz="6" w:space="0" w:color="auto"/>
              <w:bottom w:val="single" w:sz="4" w:space="0" w:color="000000"/>
              <w:right w:val="nil" w:sz="6" w:space="0" w:color="auto"/>
            </w:tcBorders>
          </w:tcPr>
          <w:p>
            <w:pPr/>
          </w:p>
        </w:tc>
        <w:tc>
          <w:tcPr>
            <w:tcW w:w="1081" w:type="dxa"/>
            <w:tcBorders>
              <w:top w:val="nil" w:sz="6" w:space="0" w:color="auto"/>
              <w:left w:val="nil" w:sz="6" w:space="0" w:color="auto"/>
              <w:bottom w:val="single" w:sz="4" w:space="0" w:color="000000"/>
              <w:right w:val="nil" w:sz="6" w:space="0" w:color="auto"/>
            </w:tcBorders>
          </w:tcPr>
          <w:p>
            <w:pPr>
              <w:pStyle w:val="TableParagraph"/>
              <w:spacing w:line="180" w:lineRule="exact"/>
              <w:ind w:left="40"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290" w:type="dxa"/>
            <w:tcBorders>
              <w:top w:val="nil" w:sz="6" w:space="0" w:color="auto"/>
              <w:left w:val="nil" w:sz="6" w:space="0" w:color="auto"/>
              <w:bottom w:val="single" w:sz="4" w:space="0" w:color="000000"/>
              <w:right w:val="nil" w:sz="6" w:space="0" w:color="auto"/>
            </w:tcBorders>
          </w:tcPr>
          <w:p>
            <w:pPr/>
          </w:p>
        </w:tc>
        <w:tc>
          <w:tcPr>
            <w:tcW w:w="900" w:type="dxa"/>
            <w:tcBorders>
              <w:top w:val="nil" w:sz="6" w:space="0" w:color="auto"/>
              <w:left w:val="nil" w:sz="6" w:space="0" w:color="auto"/>
              <w:bottom w:val="single" w:sz="4" w:space="0" w:color="000000"/>
              <w:right w:val="nil" w:sz="6" w:space="0" w:color="auto"/>
            </w:tcBorders>
          </w:tcPr>
          <w:p>
            <w:pPr>
              <w:pStyle w:val="TableParagraph"/>
              <w:spacing w:line="180" w:lineRule="exact"/>
              <w:ind w:right="75"/>
              <w:jc w:val="center"/>
              <w:rPr>
                <w:rFonts w:ascii="宋体" w:hAnsi="宋体" w:cs="宋体" w:eastAsia="宋体" w:hint="default"/>
                <w:sz w:val="18"/>
                <w:szCs w:val="18"/>
              </w:rPr>
            </w:pPr>
            <w:r>
              <w:rPr>
                <w:rFonts w:ascii="宋体" w:hAnsi="宋体" w:cs="宋体" w:eastAsia="宋体" w:hint="default"/>
                <w:b/>
                <w:bCs/>
                <w:sz w:val="18"/>
                <w:szCs w:val="18"/>
              </w:rPr>
              <w:t>本期转入</w:t>
            </w:r>
            <w:r>
              <w:rPr>
                <w:rFonts w:ascii="宋体" w:hAnsi="宋体" w:cs="宋体" w:eastAsia="宋体" w:hint="default"/>
                <w:sz w:val="18"/>
                <w:szCs w:val="18"/>
              </w:rPr>
            </w:r>
          </w:p>
        </w:tc>
        <w:tc>
          <w:tcPr>
            <w:tcW w:w="391" w:type="dxa"/>
            <w:tcBorders>
              <w:top w:val="nil" w:sz="6" w:space="0" w:color="auto"/>
              <w:left w:val="nil" w:sz="6" w:space="0" w:color="auto"/>
              <w:bottom w:val="single" w:sz="4" w:space="0" w:color="000000"/>
              <w:right w:val="nil" w:sz="6" w:space="0" w:color="auto"/>
            </w:tcBorders>
          </w:tcPr>
          <w:p>
            <w:pPr/>
          </w:p>
        </w:tc>
        <w:tc>
          <w:tcPr>
            <w:tcW w:w="901"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497" w:type="dxa"/>
            <w:tcBorders>
              <w:top w:val="nil" w:sz="6" w:space="0" w:color="auto"/>
              <w:left w:val="nil" w:sz="6" w:space="0" w:color="auto"/>
              <w:bottom w:val="single" w:sz="4" w:space="0" w:color="000000"/>
              <w:right w:val="nil" w:sz="6" w:space="0" w:color="auto"/>
            </w:tcBorders>
          </w:tcPr>
          <w:p>
            <w:pPr/>
          </w:p>
        </w:tc>
        <w:tc>
          <w:tcPr>
            <w:tcW w:w="1279" w:type="dxa"/>
            <w:tcBorders>
              <w:top w:val="nil" w:sz="6" w:space="0" w:color="auto"/>
              <w:left w:val="nil" w:sz="6" w:space="0" w:color="auto"/>
              <w:bottom w:val="single" w:sz="4" w:space="0" w:color="000000"/>
              <w:right w:val="nil" w:sz="6" w:space="0" w:color="auto"/>
            </w:tcBorders>
          </w:tcPr>
          <w:p>
            <w:pPr>
              <w:pStyle w:val="TableParagraph"/>
              <w:spacing w:line="180" w:lineRule="exact"/>
              <w:ind w:left="8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10" w:hRule="exact"/>
        </w:trPr>
        <w:tc>
          <w:tcPr>
            <w:tcW w:w="272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172"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40,769,413.99</w:t>
            </w:r>
          </w:p>
        </w:tc>
        <w:tc>
          <w:tcPr>
            <w:tcW w:w="491" w:type="dxa"/>
            <w:tcBorders>
              <w:top w:val="single" w:sz="4" w:space="0" w:color="000000"/>
              <w:left w:val="nil" w:sz="6" w:space="0" w:color="auto"/>
              <w:bottom w:val="nil" w:sz="6" w:space="0" w:color="auto"/>
              <w:right w:val="nil" w:sz="6" w:space="0" w:color="auto"/>
            </w:tcBorders>
          </w:tcPr>
          <w:p>
            <w:pPr/>
          </w:p>
        </w:tc>
        <w:tc>
          <w:tcPr>
            <w:tcW w:w="1081"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宋体"/>
                <w:spacing w:val="-1"/>
                <w:sz w:val="18"/>
              </w:rPr>
              <w:t>5,134,401.84</w:t>
            </w:r>
          </w:p>
        </w:tc>
        <w:tc>
          <w:tcPr>
            <w:tcW w:w="290" w:type="dxa"/>
            <w:tcBorders>
              <w:top w:val="single" w:sz="4" w:space="0" w:color="000000"/>
              <w:left w:val="nil" w:sz="6" w:space="0" w:color="auto"/>
              <w:bottom w:val="nil" w:sz="6" w:space="0" w:color="auto"/>
              <w:right w:val="nil" w:sz="6" w:space="0" w:color="auto"/>
            </w:tcBorders>
          </w:tcPr>
          <w:p>
            <w:pPr/>
          </w:p>
        </w:tc>
        <w:tc>
          <w:tcPr>
            <w:tcW w:w="900"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spacing w:val="-1"/>
                <w:sz w:val="18"/>
              </w:rPr>
              <w:t>827,171.38</w:t>
            </w:r>
          </w:p>
        </w:tc>
        <w:tc>
          <w:tcPr>
            <w:tcW w:w="391" w:type="dxa"/>
            <w:tcBorders>
              <w:top w:val="single" w:sz="4" w:space="0" w:color="000000"/>
              <w:left w:val="nil" w:sz="6" w:space="0" w:color="auto"/>
              <w:bottom w:val="nil" w:sz="6" w:space="0" w:color="auto"/>
              <w:right w:val="nil" w:sz="6" w:space="0" w:color="auto"/>
            </w:tcBorders>
          </w:tcPr>
          <w:p>
            <w:pPr/>
          </w:p>
        </w:tc>
        <w:tc>
          <w:tcPr>
            <w:tcW w:w="901"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宋体"/>
                <w:spacing w:val="-1"/>
                <w:sz w:val="18"/>
              </w:rPr>
              <w:t>348,726.73</w:t>
            </w:r>
          </w:p>
        </w:tc>
        <w:tc>
          <w:tcPr>
            <w:tcW w:w="497" w:type="dxa"/>
            <w:tcBorders>
              <w:top w:val="single" w:sz="4" w:space="0" w:color="000000"/>
              <w:left w:val="nil" w:sz="6" w:space="0" w:color="auto"/>
              <w:bottom w:val="nil" w:sz="6" w:space="0" w:color="auto"/>
              <w:right w:val="nil" w:sz="6" w:space="0" w:color="auto"/>
            </w:tcBorders>
          </w:tcPr>
          <w:p>
            <w:pPr/>
          </w:p>
        </w:tc>
        <w:tc>
          <w:tcPr>
            <w:tcW w:w="1279"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宋体"/>
                <w:sz w:val="18"/>
              </w:rPr>
              <w:t>46,382,260.48</w:t>
            </w:r>
          </w:p>
        </w:tc>
      </w:tr>
      <w:tr>
        <w:trPr>
          <w:trHeight w:val="648" w:hRule="exact"/>
        </w:trPr>
        <w:tc>
          <w:tcPr>
            <w:tcW w:w="272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172" w:type="dxa"/>
            <w:tcBorders>
              <w:top w:val="single" w:sz="12"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18,044,780.49</w:t>
            </w:r>
          </w:p>
        </w:tc>
        <w:tc>
          <w:tcPr>
            <w:tcW w:w="491" w:type="dxa"/>
            <w:tcBorders>
              <w:top w:val="nil" w:sz="6" w:space="0" w:color="auto"/>
              <w:left w:val="nil" w:sz="6" w:space="0" w:color="auto"/>
              <w:bottom w:val="nil" w:sz="6" w:space="0" w:color="auto"/>
              <w:right w:val="nil" w:sz="6" w:space="0" w:color="auto"/>
            </w:tcBorders>
          </w:tcPr>
          <w:p>
            <w:pPr/>
          </w:p>
        </w:tc>
        <w:tc>
          <w:tcPr>
            <w:tcW w:w="1081" w:type="dxa"/>
            <w:tcBorders>
              <w:top w:val="single" w:sz="12"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spacing w:val="-1"/>
                <w:sz w:val="18"/>
              </w:rPr>
              <w:t>3,398,718.00</w:t>
            </w:r>
          </w:p>
        </w:tc>
        <w:tc>
          <w:tcPr>
            <w:tcW w:w="290" w:type="dxa"/>
            <w:tcBorders>
              <w:top w:val="nil" w:sz="6" w:space="0" w:color="auto"/>
              <w:left w:val="nil" w:sz="6" w:space="0" w:color="auto"/>
              <w:bottom w:val="nil" w:sz="6" w:space="0" w:color="auto"/>
              <w:right w:val="nil" w:sz="6" w:space="0" w:color="auto"/>
            </w:tcBorders>
          </w:tcPr>
          <w:p>
            <w:pPr/>
          </w:p>
        </w:tc>
        <w:tc>
          <w:tcPr>
            <w:tcW w:w="900" w:type="dxa"/>
            <w:tcBorders>
              <w:top w:val="single" w:sz="12"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pacing w:val="-1"/>
                <w:sz w:val="18"/>
              </w:rPr>
              <w:t>827,171.38</w:t>
            </w:r>
          </w:p>
        </w:tc>
        <w:tc>
          <w:tcPr>
            <w:tcW w:w="391" w:type="dxa"/>
            <w:tcBorders>
              <w:top w:val="nil" w:sz="6" w:space="0" w:color="auto"/>
              <w:left w:val="nil" w:sz="6" w:space="0" w:color="auto"/>
              <w:bottom w:val="nil" w:sz="6" w:space="0" w:color="auto"/>
              <w:right w:val="nil" w:sz="6" w:space="0" w:color="auto"/>
            </w:tcBorders>
          </w:tcPr>
          <w:p>
            <w:pPr/>
          </w:p>
        </w:tc>
        <w:tc>
          <w:tcPr>
            <w:tcW w:w="901" w:type="dxa"/>
            <w:tcBorders>
              <w:top w:val="single" w:sz="12" w:space="0" w:color="000000"/>
              <w:left w:val="nil" w:sz="6" w:space="0" w:color="auto"/>
              <w:bottom w:val="nil" w:sz="6" w:space="0" w:color="auto"/>
              <w:right w:val="nil" w:sz="6" w:space="0" w:color="auto"/>
            </w:tcBorders>
          </w:tcPr>
          <w:p>
            <w:pPr/>
          </w:p>
        </w:tc>
        <w:tc>
          <w:tcPr>
            <w:tcW w:w="497" w:type="dxa"/>
            <w:tcBorders>
              <w:top w:val="nil" w:sz="6" w:space="0" w:color="auto"/>
              <w:left w:val="nil" w:sz="6" w:space="0" w:color="auto"/>
              <w:bottom w:val="nil" w:sz="6" w:space="0" w:color="auto"/>
              <w:right w:val="nil" w:sz="6" w:space="0" w:color="auto"/>
            </w:tcBorders>
          </w:tcPr>
          <w:p>
            <w:pPr/>
          </w:p>
        </w:tc>
        <w:tc>
          <w:tcPr>
            <w:tcW w:w="1279" w:type="dxa"/>
            <w:tcBorders>
              <w:top w:val="single" w:sz="12"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sz w:val="18"/>
              </w:rPr>
              <w:t>22,270,669.87</w:t>
            </w:r>
          </w:p>
        </w:tc>
      </w:tr>
      <w:tr>
        <w:trPr>
          <w:trHeight w:val="566" w:hRule="exact"/>
        </w:trPr>
        <w:tc>
          <w:tcPr>
            <w:tcW w:w="2720"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110" w:right="0"/>
              <w:jc w:val="left"/>
              <w:rPr>
                <w:rFonts w:ascii="宋体" w:hAnsi="宋体" w:cs="宋体" w:eastAsia="宋体" w:hint="default"/>
                <w:sz w:val="18"/>
                <w:szCs w:val="18"/>
              </w:rPr>
            </w:pPr>
            <w:r>
              <w:rPr>
                <w:rFonts w:ascii="宋体" w:hAnsi="宋体" w:cs="宋体" w:eastAsia="宋体" w:hint="default"/>
                <w:sz w:val="18"/>
                <w:szCs w:val="18"/>
              </w:rPr>
              <w:t>供电、供水、供汽设施设备</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0"/>
              <w:jc w:val="right"/>
              <w:rPr>
                <w:rFonts w:ascii="宋体" w:hAnsi="宋体" w:cs="宋体" w:eastAsia="宋体" w:hint="default"/>
                <w:sz w:val="18"/>
                <w:szCs w:val="18"/>
              </w:rPr>
            </w:pPr>
            <w:r>
              <w:rPr>
                <w:rFonts w:ascii="宋体"/>
                <w:spacing w:val="-1"/>
                <w:sz w:val="18"/>
              </w:rPr>
              <w:t>399,600.00</w:t>
            </w:r>
          </w:p>
        </w:tc>
        <w:tc>
          <w:tcPr>
            <w:tcW w:w="491"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268" w:right="0"/>
              <w:jc w:val="left"/>
              <w:rPr>
                <w:rFonts w:ascii="宋体" w:hAnsi="宋体" w:cs="宋体" w:eastAsia="宋体" w:hint="default"/>
                <w:sz w:val="18"/>
                <w:szCs w:val="18"/>
              </w:rPr>
            </w:pPr>
            <w:r>
              <w:rPr>
                <w:rFonts w:ascii="宋体"/>
                <w:sz w:val="18"/>
              </w:rPr>
              <w:t>16,658.12</w:t>
            </w:r>
          </w:p>
        </w:tc>
        <w:tc>
          <w:tcPr>
            <w:tcW w:w="29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39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49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05"/>
              <w:jc w:val="right"/>
              <w:rPr>
                <w:rFonts w:ascii="宋体" w:hAnsi="宋体" w:cs="宋体" w:eastAsia="宋体" w:hint="default"/>
                <w:sz w:val="18"/>
                <w:szCs w:val="18"/>
              </w:rPr>
            </w:pPr>
            <w:r>
              <w:rPr>
                <w:rFonts w:ascii="宋体"/>
                <w:spacing w:val="-1"/>
                <w:sz w:val="18"/>
              </w:rPr>
              <w:t>416,258.12</w:t>
            </w:r>
          </w:p>
        </w:tc>
      </w:tr>
      <w:tr>
        <w:trPr>
          <w:trHeight w:val="356" w:hRule="exact"/>
        </w:trPr>
        <w:tc>
          <w:tcPr>
            <w:tcW w:w="2720"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10"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0"/>
              <w:jc w:val="right"/>
              <w:rPr>
                <w:rFonts w:ascii="宋体" w:hAnsi="宋体" w:cs="宋体" w:eastAsia="宋体" w:hint="default"/>
                <w:sz w:val="18"/>
                <w:szCs w:val="18"/>
              </w:rPr>
            </w:pPr>
            <w:r>
              <w:rPr>
                <w:rFonts w:ascii="宋体"/>
                <w:spacing w:val="-1"/>
                <w:sz w:val="18"/>
              </w:rPr>
              <w:t>6,964,636.44</w:t>
            </w:r>
          </w:p>
        </w:tc>
        <w:tc>
          <w:tcPr>
            <w:tcW w:w="491"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0"/>
              <w:jc w:val="left"/>
              <w:rPr>
                <w:rFonts w:ascii="宋体" w:hAnsi="宋体" w:cs="宋体" w:eastAsia="宋体" w:hint="default"/>
                <w:sz w:val="18"/>
                <w:szCs w:val="18"/>
              </w:rPr>
            </w:pPr>
            <w:r>
              <w:rPr>
                <w:rFonts w:ascii="宋体"/>
                <w:spacing w:val="-1"/>
                <w:sz w:val="18"/>
              </w:rPr>
              <w:t>1,060,026.00</w:t>
            </w:r>
          </w:p>
        </w:tc>
        <w:tc>
          <w:tcPr>
            <w:tcW w:w="29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391"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0"/>
              <w:jc w:val="left"/>
              <w:rPr>
                <w:rFonts w:ascii="宋体" w:hAnsi="宋体" w:cs="宋体" w:eastAsia="宋体" w:hint="default"/>
                <w:sz w:val="18"/>
                <w:szCs w:val="18"/>
              </w:rPr>
            </w:pPr>
            <w:r>
              <w:rPr>
                <w:rFonts w:ascii="宋体"/>
                <w:spacing w:val="-1"/>
                <w:sz w:val="18"/>
              </w:rPr>
              <w:t>348,726.73</w:t>
            </w:r>
          </w:p>
        </w:tc>
        <w:tc>
          <w:tcPr>
            <w:tcW w:w="49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5"/>
              <w:jc w:val="right"/>
              <w:rPr>
                <w:rFonts w:ascii="宋体" w:hAnsi="宋体" w:cs="宋体" w:eastAsia="宋体" w:hint="default"/>
                <w:sz w:val="18"/>
                <w:szCs w:val="18"/>
              </w:rPr>
            </w:pPr>
            <w:r>
              <w:rPr>
                <w:rFonts w:ascii="宋体"/>
                <w:spacing w:val="-1"/>
                <w:sz w:val="18"/>
              </w:rPr>
              <w:t>7,675,935.71</w:t>
            </w:r>
          </w:p>
        </w:tc>
      </w:tr>
    </w:tbl>
    <w:p>
      <w:pPr>
        <w:spacing w:after="0" w:line="240" w:lineRule="auto"/>
        <w:jc w:val="right"/>
        <w:rPr>
          <w:rFonts w:ascii="宋体" w:hAnsi="宋体" w:cs="宋体" w:eastAsia="宋体" w:hint="default"/>
          <w:sz w:val="18"/>
          <w:szCs w:val="18"/>
        </w:rPr>
        <w:sectPr>
          <w:pgSz w:w="11910" w:h="16840"/>
          <w:pgMar w:header="877" w:footer="1332" w:top="1100" w:bottom="152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488"/>
        <w:gridCol w:w="1650"/>
        <w:gridCol w:w="1472"/>
        <w:gridCol w:w="1241"/>
        <w:gridCol w:w="1345"/>
        <w:gridCol w:w="1527"/>
      </w:tblGrid>
      <w:tr>
        <w:trPr>
          <w:trHeight w:val="294" w:hRule="exact"/>
        </w:trPr>
        <w:tc>
          <w:tcPr>
            <w:tcW w:w="2488" w:type="dxa"/>
            <w:tcBorders>
              <w:top w:val="nil" w:sz="6" w:space="0" w:color="auto"/>
              <w:left w:val="nil" w:sz="6" w:space="0" w:color="auto"/>
              <w:bottom w:val="single" w:sz="4" w:space="0" w:color="000000"/>
              <w:right w:val="nil" w:sz="6" w:space="0" w:color="auto"/>
            </w:tcBorders>
          </w:tcPr>
          <w:p>
            <w:pPr>
              <w:pStyle w:val="TableParagraph"/>
              <w:spacing w:line="180" w:lineRule="exact"/>
              <w:ind w:right="114"/>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50" w:type="dxa"/>
            <w:tcBorders>
              <w:top w:val="nil" w:sz="6" w:space="0" w:color="auto"/>
              <w:left w:val="nil" w:sz="6" w:space="0" w:color="auto"/>
              <w:bottom w:val="single" w:sz="4" w:space="0" w:color="000000"/>
              <w:right w:val="nil" w:sz="6" w:space="0" w:color="auto"/>
            </w:tcBorders>
          </w:tcPr>
          <w:p>
            <w:pPr>
              <w:pStyle w:val="TableParagraph"/>
              <w:spacing w:line="180" w:lineRule="exact"/>
              <w:ind w:left="33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472" w:type="dxa"/>
            <w:tcBorders>
              <w:top w:val="nil" w:sz="6" w:space="0" w:color="auto"/>
              <w:left w:val="nil" w:sz="6" w:space="0" w:color="auto"/>
              <w:bottom w:val="single" w:sz="4" w:space="0" w:color="000000"/>
              <w:right w:val="nil" w:sz="6" w:space="0" w:color="auto"/>
            </w:tcBorders>
          </w:tcPr>
          <w:p>
            <w:pPr>
              <w:pStyle w:val="TableParagraph"/>
              <w:spacing w:line="180" w:lineRule="exact"/>
              <w:ind w:left="286"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241" w:type="dxa"/>
            <w:tcBorders>
              <w:top w:val="nil" w:sz="6" w:space="0" w:color="auto"/>
              <w:left w:val="nil" w:sz="6" w:space="0" w:color="auto"/>
              <w:bottom w:val="single" w:sz="4" w:space="0" w:color="000000"/>
              <w:right w:val="nil" w:sz="6" w:space="0" w:color="auto"/>
            </w:tcBorders>
          </w:tcPr>
          <w:p>
            <w:pPr>
              <w:pStyle w:val="TableParagraph"/>
              <w:spacing w:line="180" w:lineRule="exact"/>
              <w:ind w:right="125"/>
              <w:jc w:val="center"/>
              <w:rPr>
                <w:rFonts w:ascii="宋体" w:hAnsi="宋体" w:cs="宋体" w:eastAsia="宋体" w:hint="default"/>
                <w:sz w:val="18"/>
                <w:szCs w:val="18"/>
              </w:rPr>
            </w:pPr>
            <w:r>
              <w:rPr>
                <w:rFonts w:ascii="宋体" w:hAnsi="宋体" w:cs="宋体" w:eastAsia="宋体" w:hint="default"/>
                <w:b/>
                <w:bCs/>
                <w:sz w:val="18"/>
                <w:szCs w:val="18"/>
              </w:rPr>
              <w:t>本期转入</w:t>
            </w:r>
            <w:r>
              <w:rPr>
                <w:rFonts w:ascii="宋体" w:hAnsi="宋体" w:cs="宋体" w:eastAsia="宋体" w:hint="default"/>
                <w:sz w:val="18"/>
                <w:szCs w:val="18"/>
              </w:rPr>
            </w:r>
          </w:p>
        </w:tc>
        <w:tc>
          <w:tcPr>
            <w:tcW w:w="1345" w:type="dxa"/>
            <w:tcBorders>
              <w:top w:val="nil" w:sz="6" w:space="0" w:color="auto"/>
              <w:left w:val="nil" w:sz="6" w:space="0" w:color="auto"/>
              <w:bottom w:val="single" w:sz="4" w:space="0" w:color="000000"/>
              <w:right w:val="nil" w:sz="6" w:space="0" w:color="auto"/>
            </w:tcBorders>
          </w:tcPr>
          <w:p>
            <w:pPr>
              <w:pStyle w:val="TableParagraph"/>
              <w:spacing w:line="180" w:lineRule="exact"/>
              <w:ind w:left="195"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27" w:type="dxa"/>
            <w:tcBorders>
              <w:top w:val="nil" w:sz="6" w:space="0" w:color="auto"/>
              <w:left w:val="nil" w:sz="6" w:space="0" w:color="auto"/>
              <w:bottom w:val="single" w:sz="4" w:space="0" w:color="000000"/>
              <w:right w:val="nil" w:sz="6" w:space="0" w:color="auto"/>
            </w:tcBorders>
          </w:tcPr>
          <w:p>
            <w:pPr>
              <w:pStyle w:val="TableParagraph"/>
              <w:spacing w:line="180" w:lineRule="exact"/>
              <w:ind w:left="33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02" w:hRule="exact"/>
        </w:trPr>
        <w:tc>
          <w:tcPr>
            <w:tcW w:w="248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装卸机械设备</w:t>
            </w:r>
          </w:p>
        </w:tc>
        <w:tc>
          <w:tcPr>
            <w:tcW w:w="165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43"/>
              <w:jc w:val="right"/>
              <w:rPr>
                <w:rFonts w:ascii="宋体" w:hAnsi="宋体" w:cs="宋体" w:eastAsia="宋体" w:hint="default"/>
                <w:sz w:val="18"/>
                <w:szCs w:val="18"/>
              </w:rPr>
            </w:pPr>
            <w:r>
              <w:rPr>
                <w:rFonts w:ascii="宋体"/>
                <w:spacing w:val="-1"/>
                <w:sz w:val="18"/>
              </w:rPr>
              <w:t>71,800.00</w:t>
            </w:r>
          </w:p>
        </w:tc>
        <w:tc>
          <w:tcPr>
            <w:tcW w:w="1472" w:type="dxa"/>
            <w:tcBorders>
              <w:top w:val="single" w:sz="4" w:space="0" w:color="000000"/>
              <w:left w:val="nil" w:sz="6" w:space="0" w:color="auto"/>
              <w:bottom w:val="nil" w:sz="6" w:space="0" w:color="auto"/>
              <w:right w:val="nil" w:sz="6" w:space="0" w:color="auto"/>
            </w:tcBorders>
          </w:tcPr>
          <w:p>
            <w:pPr/>
          </w:p>
        </w:tc>
        <w:tc>
          <w:tcPr>
            <w:tcW w:w="1241" w:type="dxa"/>
            <w:tcBorders>
              <w:top w:val="single" w:sz="4" w:space="0" w:color="000000"/>
              <w:left w:val="nil" w:sz="6" w:space="0" w:color="auto"/>
              <w:bottom w:val="nil" w:sz="6" w:space="0" w:color="auto"/>
              <w:right w:val="nil" w:sz="6" w:space="0" w:color="auto"/>
            </w:tcBorders>
          </w:tcPr>
          <w:p>
            <w:pPr/>
          </w:p>
        </w:tc>
        <w:tc>
          <w:tcPr>
            <w:tcW w:w="1345" w:type="dxa"/>
            <w:tcBorders>
              <w:top w:val="single" w:sz="4" w:space="0" w:color="000000"/>
              <w:left w:val="nil" w:sz="6" w:space="0" w:color="auto"/>
              <w:bottom w:val="nil" w:sz="6" w:space="0" w:color="auto"/>
              <w:right w:val="nil" w:sz="6" w:space="0" w:color="auto"/>
            </w:tcBorders>
          </w:tcPr>
          <w:p>
            <w:pPr/>
          </w:p>
        </w:tc>
        <w:tc>
          <w:tcPr>
            <w:tcW w:w="1527"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71,800.00</w:t>
            </w:r>
          </w:p>
        </w:tc>
      </w:tr>
      <w:tr>
        <w:trPr>
          <w:trHeight w:val="413"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4"/>
              <w:jc w:val="right"/>
              <w:rPr>
                <w:rFonts w:ascii="宋体" w:hAnsi="宋体" w:cs="宋体" w:eastAsia="宋体" w:hint="default"/>
                <w:sz w:val="18"/>
                <w:szCs w:val="18"/>
              </w:rPr>
            </w:pPr>
            <w:r>
              <w:rPr>
                <w:rFonts w:ascii="宋体"/>
                <w:spacing w:val="-1"/>
                <w:sz w:val="18"/>
              </w:rPr>
              <w:t>9,106,533.88</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3"/>
              <w:jc w:val="right"/>
              <w:rPr>
                <w:rFonts w:ascii="宋体" w:hAnsi="宋体" w:cs="宋体" w:eastAsia="宋体" w:hint="default"/>
                <w:sz w:val="18"/>
                <w:szCs w:val="18"/>
              </w:rPr>
            </w:pPr>
            <w:r>
              <w:rPr>
                <w:rFonts w:ascii="宋体"/>
                <w:spacing w:val="-1"/>
                <w:sz w:val="18"/>
              </w:rPr>
              <w:t>66,666.68</w:t>
            </w:r>
          </w:p>
        </w:tc>
        <w:tc>
          <w:tcPr>
            <w:tcW w:w="124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9,173,200.56</w:t>
            </w:r>
          </w:p>
        </w:tc>
      </w:tr>
      <w:tr>
        <w:trPr>
          <w:trHeight w:val="444"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10" w:right="0"/>
              <w:jc w:val="left"/>
              <w:rPr>
                <w:rFonts w:ascii="宋体" w:hAnsi="宋体" w:cs="宋体" w:eastAsia="宋体" w:hint="default"/>
                <w:sz w:val="18"/>
                <w:szCs w:val="18"/>
              </w:rPr>
            </w:pPr>
            <w:r>
              <w:rPr>
                <w:rFonts w:ascii="宋体" w:hAnsi="宋体" w:cs="宋体" w:eastAsia="宋体" w:hint="default"/>
                <w:sz w:val="18"/>
                <w:szCs w:val="18"/>
              </w:rPr>
              <w:t>通讯及导航设施设备</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43"/>
              <w:jc w:val="right"/>
              <w:rPr>
                <w:rFonts w:ascii="宋体" w:hAnsi="宋体" w:cs="宋体" w:eastAsia="宋体" w:hint="default"/>
                <w:sz w:val="18"/>
                <w:szCs w:val="18"/>
              </w:rPr>
            </w:pPr>
            <w:r>
              <w:rPr>
                <w:rFonts w:ascii="宋体"/>
                <w:spacing w:val="-1"/>
                <w:sz w:val="18"/>
              </w:rPr>
              <w:t>111,901.70</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43"/>
              <w:jc w:val="right"/>
              <w:rPr>
                <w:rFonts w:ascii="宋体" w:hAnsi="宋体" w:cs="宋体" w:eastAsia="宋体" w:hint="default"/>
                <w:sz w:val="18"/>
                <w:szCs w:val="18"/>
              </w:rPr>
            </w:pPr>
            <w:r>
              <w:rPr>
                <w:rFonts w:ascii="宋体"/>
                <w:spacing w:val="-1"/>
                <w:sz w:val="18"/>
              </w:rPr>
              <w:t>1,647.86</w:t>
            </w:r>
          </w:p>
        </w:tc>
        <w:tc>
          <w:tcPr>
            <w:tcW w:w="124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5"/>
              <w:jc w:val="right"/>
              <w:rPr>
                <w:rFonts w:ascii="宋体" w:hAnsi="宋体" w:cs="宋体" w:eastAsia="宋体" w:hint="default"/>
                <w:sz w:val="18"/>
                <w:szCs w:val="18"/>
              </w:rPr>
            </w:pPr>
            <w:r>
              <w:rPr>
                <w:rFonts w:ascii="宋体"/>
                <w:spacing w:val="-1"/>
                <w:sz w:val="18"/>
              </w:rPr>
              <w:t>113,549.56</w:t>
            </w:r>
          </w:p>
        </w:tc>
      </w:tr>
      <w:tr>
        <w:trPr>
          <w:trHeight w:val="444"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10"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44"/>
              <w:jc w:val="right"/>
              <w:rPr>
                <w:rFonts w:ascii="宋体" w:hAnsi="宋体" w:cs="宋体" w:eastAsia="宋体" w:hint="default"/>
                <w:sz w:val="18"/>
                <w:szCs w:val="18"/>
              </w:rPr>
            </w:pPr>
            <w:r>
              <w:rPr>
                <w:rFonts w:ascii="宋体"/>
                <w:spacing w:val="-1"/>
                <w:sz w:val="18"/>
              </w:rPr>
              <w:t>6,070,161.48</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43"/>
              <w:jc w:val="right"/>
              <w:rPr>
                <w:rFonts w:ascii="宋体" w:hAnsi="宋体" w:cs="宋体" w:eastAsia="宋体" w:hint="default"/>
                <w:sz w:val="18"/>
                <w:szCs w:val="18"/>
              </w:rPr>
            </w:pPr>
            <w:r>
              <w:rPr>
                <w:rFonts w:ascii="宋体"/>
                <w:spacing w:val="-1"/>
                <w:sz w:val="18"/>
              </w:rPr>
              <w:t>590,685.18</w:t>
            </w:r>
          </w:p>
        </w:tc>
        <w:tc>
          <w:tcPr>
            <w:tcW w:w="124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5"/>
              <w:jc w:val="right"/>
              <w:rPr>
                <w:rFonts w:ascii="宋体" w:hAnsi="宋体" w:cs="宋体" w:eastAsia="宋体" w:hint="default"/>
                <w:sz w:val="18"/>
                <w:szCs w:val="18"/>
              </w:rPr>
            </w:pPr>
            <w:r>
              <w:rPr>
                <w:rFonts w:ascii="宋体"/>
                <w:spacing w:val="-1"/>
                <w:sz w:val="18"/>
              </w:rPr>
              <w:t>6,660,846.66</w:t>
            </w:r>
          </w:p>
        </w:tc>
      </w:tr>
      <w:tr>
        <w:trPr>
          <w:trHeight w:val="425"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10"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44"/>
              <w:jc w:val="right"/>
              <w:rPr>
                <w:rFonts w:ascii="宋体" w:hAnsi="宋体" w:cs="宋体" w:eastAsia="宋体" w:hint="default"/>
                <w:sz w:val="18"/>
                <w:szCs w:val="18"/>
              </w:rPr>
            </w:pPr>
            <w:r>
              <w:rPr>
                <w:rFonts w:ascii="宋体"/>
                <w:sz w:val="18"/>
              </w:rPr>
            </w:r>
            <w:r>
              <w:rPr>
                <w:rFonts w:ascii="宋体"/>
                <w:spacing w:val="-1"/>
                <w:sz w:val="18"/>
                <w:u w:val="thick" w:color="000000"/>
              </w:rPr>
              <w:t>15,760,603.86</w:t>
            </w:r>
            <w:r>
              <w:rPr>
                <w:rFonts w:ascii="宋体"/>
                <w:spacing w:val="-1"/>
                <w:sz w:val="18"/>
              </w:rPr>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43"/>
              <w:jc w:val="right"/>
              <w:rPr>
                <w:rFonts w:ascii="宋体" w:hAnsi="宋体" w:cs="宋体" w:eastAsia="宋体" w:hint="default"/>
                <w:sz w:val="18"/>
                <w:szCs w:val="18"/>
              </w:rPr>
            </w:pPr>
            <w:r>
              <w:rPr>
                <w:rFonts w:ascii="宋体"/>
                <w:sz w:val="18"/>
              </w:rPr>
            </w:r>
            <w:r>
              <w:rPr>
                <w:rFonts w:ascii="宋体"/>
                <w:spacing w:val="-1"/>
                <w:sz w:val="18"/>
                <w:u w:val="thick" w:color="000000"/>
              </w:rPr>
              <w:t>3,339,836.59</w:t>
            </w:r>
            <w:r>
              <w:rPr>
                <w:rFonts w:ascii="宋体"/>
                <w:spacing w:val="-1"/>
                <w:sz w:val="18"/>
              </w:rPr>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8"/>
              <w:jc w:val="center"/>
              <w:rPr>
                <w:rFonts w:ascii="宋体" w:hAnsi="宋体" w:cs="宋体" w:eastAsia="宋体" w:hint="default"/>
                <w:sz w:val="18"/>
                <w:szCs w:val="18"/>
              </w:rPr>
            </w:pPr>
            <w:r>
              <w:rPr>
                <w:rFonts w:ascii="宋体"/>
                <w:sz w:val="18"/>
              </w:rPr>
            </w:r>
            <w:r>
              <w:rPr>
                <w:rFonts w:ascii="宋体"/>
                <w:sz w:val="18"/>
                <w:u w:val="thick" w:color="000000"/>
              </w:rPr>
              <w:t>265,171.31</w:t>
            </w:r>
            <w:r>
              <w:rPr>
                <w:rFonts w:ascii="宋体"/>
                <w:sz w:val="18"/>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95" w:right="0"/>
              <w:jc w:val="left"/>
              <w:rPr>
                <w:rFonts w:ascii="宋体" w:hAnsi="宋体" w:cs="宋体" w:eastAsia="宋体" w:hint="default"/>
                <w:sz w:val="18"/>
                <w:szCs w:val="18"/>
              </w:rPr>
            </w:pPr>
            <w:r>
              <w:rPr>
                <w:rFonts w:ascii="宋体"/>
                <w:sz w:val="18"/>
              </w:rPr>
            </w:r>
            <w:r>
              <w:rPr>
                <w:rFonts w:ascii="宋体"/>
                <w:sz w:val="18"/>
                <w:u w:val="thick" w:color="000000"/>
              </w:rPr>
              <w:t>258,292.50</w:t>
            </w:r>
            <w:r>
              <w:rPr>
                <w:rFonts w:ascii="宋体"/>
                <w:sz w:val="18"/>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5"/>
              <w:jc w:val="right"/>
              <w:rPr>
                <w:rFonts w:ascii="宋体" w:hAnsi="宋体" w:cs="宋体" w:eastAsia="宋体" w:hint="default"/>
                <w:sz w:val="18"/>
                <w:szCs w:val="18"/>
              </w:rPr>
            </w:pPr>
            <w:r>
              <w:rPr>
                <w:rFonts w:ascii="宋体"/>
                <w:sz w:val="18"/>
              </w:rPr>
            </w:r>
            <w:r>
              <w:rPr>
                <w:rFonts w:ascii="宋体"/>
                <w:spacing w:val="-1"/>
                <w:sz w:val="18"/>
                <w:u w:val="thick" w:color="000000"/>
              </w:rPr>
              <w:t>19,107,319.26</w:t>
            </w:r>
            <w:r>
              <w:rPr>
                <w:rFonts w:ascii="宋体"/>
                <w:spacing w:val="-1"/>
                <w:sz w:val="18"/>
              </w:rPr>
            </w:r>
          </w:p>
        </w:tc>
      </w:tr>
      <w:tr>
        <w:trPr>
          <w:trHeight w:val="462"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10"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44"/>
              <w:jc w:val="right"/>
              <w:rPr>
                <w:rFonts w:ascii="宋体" w:hAnsi="宋体" w:cs="宋体" w:eastAsia="宋体" w:hint="default"/>
                <w:sz w:val="18"/>
                <w:szCs w:val="18"/>
              </w:rPr>
            </w:pPr>
            <w:r>
              <w:rPr>
                <w:rFonts w:ascii="宋体"/>
                <w:spacing w:val="-1"/>
                <w:sz w:val="18"/>
              </w:rPr>
              <w:t>4,263,971.56</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43"/>
              <w:jc w:val="right"/>
              <w:rPr>
                <w:rFonts w:ascii="宋体" w:hAnsi="宋体" w:cs="宋体" w:eastAsia="宋体" w:hint="default"/>
                <w:sz w:val="18"/>
                <w:szCs w:val="18"/>
              </w:rPr>
            </w:pPr>
            <w:r>
              <w:rPr>
                <w:rFonts w:ascii="宋体"/>
                <w:spacing w:val="-1"/>
                <w:sz w:val="18"/>
              </w:rPr>
              <w:t>543,839.19</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48"/>
              <w:jc w:val="center"/>
              <w:rPr>
                <w:rFonts w:ascii="宋体" w:hAnsi="宋体" w:cs="宋体" w:eastAsia="宋体" w:hint="default"/>
                <w:sz w:val="18"/>
                <w:szCs w:val="18"/>
              </w:rPr>
            </w:pPr>
            <w:r>
              <w:rPr>
                <w:rFonts w:ascii="宋体"/>
                <w:sz w:val="18"/>
              </w:rPr>
              <w:t>265,171.31</w:t>
            </w:r>
          </w:p>
        </w:tc>
        <w:tc>
          <w:tcPr>
            <w:tcW w:w="13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5"/>
              <w:jc w:val="right"/>
              <w:rPr>
                <w:rFonts w:ascii="宋体" w:hAnsi="宋体" w:cs="宋体" w:eastAsia="宋体" w:hint="default"/>
                <w:sz w:val="18"/>
                <w:szCs w:val="18"/>
              </w:rPr>
            </w:pPr>
            <w:r>
              <w:rPr>
                <w:rFonts w:ascii="宋体"/>
                <w:spacing w:val="-1"/>
                <w:sz w:val="18"/>
              </w:rPr>
              <w:t>5,072,982.06</w:t>
            </w:r>
          </w:p>
        </w:tc>
      </w:tr>
      <w:tr>
        <w:trPr>
          <w:trHeight w:val="492"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10" w:right="0"/>
              <w:jc w:val="left"/>
              <w:rPr>
                <w:rFonts w:ascii="宋体" w:hAnsi="宋体" w:cs="宋体" w:eastAsia="宋体" w:hint="default"/>
                <w:sz w:val="18"/>
                <w:szCs w:val="18"/>
              </w:rPr>
            </w:pPr>
            <w:r>
              <w:rPr>
                <w:rFonts w:ascii="宋体" w:hAnsi="宋体" w:cs="宋体" w:eastAsia="宋体" w:hint="default"/>
                <w:sz w:val="18"/>
                <w:szCs w:val="18"/>
              </w:rPr>
              <w:t>供电、供水、供汽设施设备</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43"/>
              <w:jc w:val="right"/>
              <w:rPr>
                <w:rFonts w:ascii="宋体" w:hAnsi="宋体" w:cs="宋体" w:eastAsia="宋体" w:hint="default"/>
                <w:sz w:val="18"/>
                <w:szCs w:val="18"/>
              </w:rPr>
            </w:pPr>
            <w:r>
              <w:rPr>
                <w:rFonts w:ascii="宋体"/>
                <w:spacing w:val="-1"/>
                <w:sz w:val="18"/>
              </w:rPr>
              <w:t>372,065.20</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43"/>
              <w:jc w:val="right"/>
              <w:rPr>
                <w:rFonts w:ascii="宋体" w:hAnsi="宋体" w:cs="宋体" w:eastAsia="宋体" w:hint="default"/>
                <w:sz w:val="18"/>
                <w:szCs w:val="18"/>
              </w:rPr>
            </w:pPr>
            <w:r>
              <w:rPr>
                <w:rFonts w:ascii="宋体"/>
                <w:spacing w:val="-1"/>
                <w:sz w:val="18"/>
              </w:rPr>
              <w:t>6,368.88</w:t>
            </w:r>
          </w:p>
        </w:tc>
        <w:tc>
          <w:tcPr>
            <w:tcW w:w="124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05"/>
              <w:jc w:val="right"/>
              <w:rPr>
                <w:rFonts w:ascii="宋体" w:hAnsi="宋体" w:cs="宋体" w:eastAsia="宋体" w:hint="default"/>
                <w:sz w:val="18"/>
                <w:szCs w:val="18"/>
              </w:rPr>
            </w:pPr>
            <w:r>
              <w:rPr>
                <w:rFonts w:ascii="宋体"/>
                <w:spacing w:val="-1"/>
                <w:sz w:val="18"/>
              </w:rPr>
              <w:t>378,434.08</w:t>
            </w:r>
          </w:p>
        </w:tc>
      </w:tr>
      <w:tr>
        <w:trPr>
          <w:trHeight w:val="437"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0"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44"/>
              <w:jc w:val="right"/>
              <w:rPr>
                <w:rFonts w:ascii="宋体" w:hAnsi="宋体" w:cs="宋体" w:eastAsia="宋体" w:hint="default"/>
                <w:sz w:val="18"/>
                <w:szCs w:val="18"/>
              </w:rPr>
            </w:pPr>
            <w:r>
              <w:rPr>
                <w:rFonts w:ascii="宋体"/>
                <w:spacing w:val="-1"/>
                <w:sz w:val="18"/>
              </w:rPr>
              <w:t>2,769,918.70</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43"/>
              <w:jc w:val="right"/>
              <w:rPr>
                <w:rFonts w:ascii="宋体" w:hAnsi="宋体" w:cs="宋体" w:eastAsia="宋体" w:hint="default"/>
                <w:sz w:val="18"/>
                <w:szCs w:val="18"/>
              </w:rPr>
            </w:pPr>
            <w:r>
              <w:rPr>
                <w:rFonts w:ascii="宋体"/>
                <w:spacing w:val="-1"/>
                <w:sz w:val="18"/>
              </w:rPr>
              <w:t>702,006.36</w:t>
            </w:r>
          </w:p>
        </w:tc>
        <w:tc>
          <w:tcPr>
            <w:tcW w:w="124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95" w:right="0"/>
              <w:jc w:val="left"/>
              <w:rPr>
                <w:rFonts w:ascii="宋体" w:hAnsi="宋体" w:cs="宋体" w:eastAsia="宋体" w:hint="default"/>
                <w:sz w:val="18"/>
                <w:szCs w:val="18"/>
              </w:rPr>
            </w:pPr>
            <w:r>
              <w:rPr>
                <w:rFonts w:ascii="宋体"/>
                <w:sz w:val="18"/>
              </w:rPr>
              <w:t>258,292.50</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5"/>
              <w:jc w:val="right"/>
              <w:rPr>
                <w:rFonts w:ascii="宋体" w:hAnsi="宋体" w:cs="宋体" w:eastAsia="宋体" w:hint="default"/>
                <w:sz w:val="18"/>
                <w:szCs w:val="18"/>
              </w:rPr>
            </w:pPr>
            <w:r>
              <w:rPr>
                <w:rFonts w:ascii="宋体"/>
                <w:spacing w:val="-1"/>
                <w:sz w:val="18"/>
              </w:rPr>
              <w:t>3,213,632.56</w:t>
            </w:r>
          </w:p>
        </w:tc>
      </w:tr>
      <w:tr>
        <w:trPr>
          <w:trHeight w:val="415"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装卸机械设备</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3"/>
              <w:jc w:val="right"/>
              <w:rPr>
                <w:rFonts w:ascii="宋体" w:hAnsi="宋体" w:cs="宋体" w:eastAsia="宋体" w:hint="default"/>
                <w:sz w:val="18"/>
                <w:szCs w:val="18"/>
              </w:rPr>
            </w:pPr>
            <w:r>
              <w:rPr>
                <w:rFonts w:ascii="宋体"/>
                <w:spacing w:val="-1"/>
                <w:sz w:val="18"/>
              </w:rPr>
              <w:t>34,097.18</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3"/>
              <w:jc w:val="right"/>
              <w:rPr>
                <w:rFonts w:ascii="宋体" w:hAnsi="宋体" w:cs="宋体" w:eastAsia="宋体" w:hint="default"/>
                <w:sz w:val="18"/>
                <w:szCs w:val="18"/>
              </w:rPr>
            </w:pPr>
            <w:r>
              <w:rPr>
                <w:rFonts w:ascii="宋体"/>
                <w:spacing w:val="-1"/>
                <w:sz w:val="18"/>
              </w:rPr>
              <w:t>6,625.52</w:t>
            </w:r>
          </w:p>
        </w:tc>
        <w:tc>
          <w:tcPr>
            <w:tcW w:w="124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宋体" w:hAnsi="宋体" w:cs="宋体" w:eastAsia="宋体" w:hint="default"/>
                <w:sz w:val="18"/>
                <w:szCs w:val="18"/>
              </w:rPr>
            </w:pPr>
            <w:r>
              <w:rPr>
                <w:rFonts w:ascii="宋体"/>
                <w:spacing w:val="-1"/>
                <w:sz w:val="18"/>
              </w:rPr>
              <w:t>40,722.70</w:t>
            </w:r>
          </w:p>
        </w:tc>
      </w:tr>
      <w:tr>
        <w:trPr>
          <w:trHeight w:val="442"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1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44"/>
              <w:jc w:val="right"/>
              <w:rPr>
                <w:rFonts w:ascii="宋体" w:hAnsi="宋体" w:cs="宋体" w:eastAsia="宋体" w:hint="default"/>
                <w:sz w:val="18"/>
                <w:szCs w:val="18"/>
              </w:rPr>
            </w:pPr>
            <w:r>
              <w:rPr>
                <w:rFonts w:ascii="宋体"/>
                <w:spacing w:val="-1"/>
                <w:sz w:val="18"/>
              </w:rPr>
              <w:t>6,564,085.71</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43"/>
              <w:jc w:val="right"/>
              <w:rPr>
                <w:rFonts w:ascii="宋体" w:hAnsi="宋体" w:cs="宋体" w:eastAsia="宋体" w:hint="default"/>
                <w:sz w:val="18"/>
                <w:szCs w:val="18"/>
              </w:rPr>
            </w:pPr>
            <w:r>
              <w:rPr>
                <w:rFonts w:ascii="宋体"/>
                <w:spacing w:val="-1"/>
                <w:sz w:val="18"/>
              </w:rPr>
              <w:t>979,772.95</w:t>
            </w:r>
          </w:p>
        </w:tc>
        <w:tc>
          <w:tcPr>
            <w:tcW w:w="124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5"/>
              <w:jc w:val="right"/>
              <w:rPr>
                <w:rFonts w:ascii="宋体" w:hAnsi="宋体" w:cs="宋体" w:eastAsia="宋体" w:hint="default"/>
                <w:sz w:val="18"/>
                <w:szCs w:val="18"/>
              </w:rPr>
            </w:pPr>
            <w:r>
              <w:rPr>
                <w:rFonts w:ascii="宋体"/>
                <w:spacing w:val="-1"/>
                <w:sz w:val="18"/>
              </w:rPr>
              <w:t>7,543,858.66</w:t>
            </w:r>
          </w:p>
        </w:tc>
      </w:tr>
      <w:tr>
        <w:trPr>
          <w:trHeight w:val="433"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10" w:right="0"/>
              <w:jc w:val="left"/>
              <w:rPr>
                <w:rFonts w:ascii="宋体" w:hAnsi="宋体" w:cs="宋体" w:eastAsia="宋体" w:hint="default"/>
                <w:sz w:val="18"/>
                <w:szCs w:val="18"/>
              </w:rPr>
            </w:pPr>
            <w:r>
              <w:rPr>
                <w:rFonts w:ascii="宋体" w:hAnsi="宋体" w:cs="宋体" w:eastAsia="宋体" w:hint="default"/>
                <w:sz w:val="18"/>
                <w:szCs w:val="18"/>
              </w:rPr>
              <w:t>通讯及导航设施设备</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62"/>
              <w:jc w:val="right"/>
              <w:rPr>
                <w:rFonts w:ascii="宋体" w:hAnsi="宋体" w:cs="宋体" w:eastAsia="宋体" w:hint="default"/>
                <w:sz w:val="18"/>
                <w:szCs w:val="18"/>
              </w:rPr>
            </w:pPr>
            <w:r>
              <w:rPr>
                <w:rFonts w:ascii="宋体"/>
                <w:spacing w:val="-1"/>
                <w:sz w:val="18"/>
              </w:rPr>
              <w:t>12,976.36</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43"/>
              <w:jc w:val="right"/>
              <w:rPr>
                <w:rFonts w:ascii="宋体" w:hAnsi="宋体" w:cs="宋体" w:eastAsia="宋体" w:hint="default"/>
                <w:sz w:val="18"/>
                <w:szCs w:val="18"/>
              </w:rPr>
            </w:pPr>
            <w:r>
              <w:rPr>
                <w:rFonts w:ascii="宋体"/>
                <w:spacing w:val="-1"/>
                <w:sz w:val="18"/>
              </w:rPr>
              <w:t>21,120.75</w:t>
            </w:r>
          </w:p>
        </w:tc>
        <w:tc>
          <w:tcPr>
            <w:tcW w:w="124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5"/>
              <w:jc w:val="right"/>
              <w:rPr>
                <w:rFonts w:ascii="宋体" w:hAnsi="宋体" w:cs="宋体" w:eastAsia="宋体" w:hint="default"/>
                <w:sz w:val="18"/>
                <w:szCs w:val="18"/>
              </w:rPr>
            </w:pPr>
            <w:r>
              <w:rPr>
                <w:rFonts w:ascii="宋体"/>
                <w:spacing w:val="-1"/>
                <w:sz w:val="18"/>
              </w:rPr>
              <w:t>34,097.11</w:t>
            </w:r>
          </w:p>
        </w:tc>
      </w:tr>
      <w:tr>
        <w:trPr>
          <w:trHeight w:val="456"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10"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44"/>
              <w:jc w:val="right"/>
              <w:rPr>
                <w:rFonts w:ascii="宋体" w:hAnsi="宋体" w:cs="宋体" w:eastAsia="宋体" w:hint="default"/>
                <w:sz w:val="18"/>
                <w:szCs w:val="18"/>
              </w:rPr>
            </w:pPr>
            <w:r>
              <w:rPr>
                <w:rFonts w:ascii="宋体"/>
                <w:spacing w:val="-1"/>
                <w:sz w:val="18"/>
              </w:rPr>
              <w:t>1,743,489.15</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3"/>
              <w:jc w:val="right"/>
              <w:rPr>
                <w:rFonts w:ascii="宋体" w:hAnsi="宋体" w:cs="宋体" w:eastAsia="宋体" w:hint="default"/>
                <w:sz w:val="18"/>
                <w:szCs w:val="18"/>
              </w:rPr>
            </w:pPr>
            <w:r>
              <w:rPr>
                <w:rFonts w:ascii="宋体"/>
                <w:spacing w:val="-1"/>
                <w:sz w:val="18"/>
              </w:rPr>
              <w:t>1,080,102.94</w:t>
            </w:r>
          </w:p>
        </w:tc>
        <w:tc>
          <w:tcPr>
            <w:tcW w:w="124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宋体" w:hAnsi="宋体" w:cs="宋体" w:eastAsia="宋体" w:hint="default"/>
                <w:sz w:val="18"/>
                <w:szCs w:val="18"/>
              </w:rPr>
            </w:pPr>
            <w:r>
              <w:rPr>
                <w:rFonts w:ascii="宋体"/>
                <w:spacing w:val="-1"/>
                <w:sz w:val="18"/>
              </w:rPr>
              <w:t>2,823,592.09</w:t>
            </w:r>
          </w:p>
        </w:tc>
      </w:tr>
      <w:tr>
        <w:trPr>
          <w:trHeight w:val="498"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10" w:right="0"/>
              <w:jc w:val="left"/>
              <w:rPr>
                <w:rFonts w:ascii="宋体" w:hAnsi="宋体" w:cs="宋体" w:eastAsia="宋体" w:hint="default"/>
                <w:sz w:val="18"/>
                <w:szCs w:val="18"/>
              </w:rPr>
            </w:pPr>
            <w:r>
              <w:rPr>
                <w:rFonts w:ascii="宋体" w:hAnsi="宋体" w:cs="宋体" w:eastAsia="宋体" w:hint="default"/>
                <w:sz w:val="18"/>
                <w:szCs w:val="18"/>
              </w:rPr>
              <w:t>三、减值准备累计金额合计</w:t>
            </w:r>
          </w:p>
        </w:tc>
        <w:tc>
          <w:tcPr>
            <w:tcW w:w="1650"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
        </w:tc>
      </w:tr>
      <w:tr>
        <w:trPr>
          <w:trHeight w:val="498"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10"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50"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
        </w:tc>
      </w:tr>
      <w:tr>
        <w:trPr>
          <w:trHeight w:val="497"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10" w:right="0"/>
              <w:jc w:val="left"/>
              <w:rPr>
                <w:rFonts w:ascii="宋体" w:hAnsi="宋体" w:cs="宋体" w:eastAsia="宋体" w:hint="default"/>
                <w:sz w:val="18"/>
                <w:szCs w:val="18"/>
              </w:rPr>
            </w:pPr>
            <w:r>
              <w:rPr>
                <w:rFonts w:ascii="宋体" w:hAnsi="宋体" w:cs="宋体" w:eastAsia="宋体" w:hint="default"/>
                <w:sz w:val="18"/>
                <w:szCs w:val="18"/>
              </w:rPr>
              <w:t>供电、供水、供汽设施设备</w:t>
            </w:r>
          </w:p>
        </w:tc>
        <w:tc>
          <w:tcPr>
            <w:tcW w:w="1650"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
        </w:tc>
      </w:tr>
      <w:tr>
        <w:trPr>
          <w:trHeight w:val="447"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10"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1650"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
        </w:tc>
      </w:tr>
      <w:tr>
        <w:trPr>
          <w:trHeight w:val="397"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装卸机械设备</w:t>
            </w:r>
          </w:p>
        </w:tc>
        <w:tc>
          <w:tcPr>
            <w:tcW w:w="1650"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
        </w:tc>
      </w:tr>
      <w:tr>
        <w:trPr>
          <w:trHeight w:val="412"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50"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
        </w:tc>
      </w:tr>
      <w:tr>
        <w:trPr>
          <w:trHeight w:val="424"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10" w:right="0"/>
              <w:jc w:val="left"/>
              <w:rPr>
                <w:rFonts w:ascii="宋体" w:hAnsi="宋体" w:cs="宋体" w:eastAsia="宋体" w:hint="default"/>
                <w:sz w:val="18"/>
                <w:szCs w:val="18"/>
              </w:rPr>
            </w:pPr>
            <w:r>
              <w:rPr>
                <w:rFonts w:ascii="宋体" w:hAnsi="宋体" w:cs="宋体" w:eastAsia="宋体" w:hint="default"/>
                <w:sz w:val="18"/>
                <w:szCs w:val="18"/>
              </w:rPr>
              <w:t>通讯及导航设施设备</w:t>
            </w:r>
          </w:p>
        </w:tc>
        <w:tc>
          <w:tcPr>
            <w:tcW w:w="1650"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
        </w:tc>
      </w:tr>
      <w:tr>
        <w:trPr>
          <w:trHeight w:val="410"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10"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650"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
        </w:tc>
      </w:tr>
      <w:tr>
        <w:trPr>
          <w:trHeight w:val="397"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四、账面价值合计</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4"/>
              <w:jc w:val="right"/>
              <w:rPr>
                <w:rFonts w:ascii="宋体" w:hAnsi="宋体" w:cs="宋体" w:eastAsia="宋体" w:hint="default"/>
                <w:sz w:val="18"/>
                <w:szCs w:val="18"/>
              </w:rPr>
            </w:pPr>
            <w:r>
              <w:rPr>
                <w:rFonts w:ascii="宋体"/>
                <w:sz w:val="18"/>
              </w:rPr>
            </w:r>
            <w:r>
              <w:rPr>
                <w:rFonts w:ascii="宋体"/>
                <w:spacing w:val="-1"/>
                <w:sz w:val="18"/>
                <w:u w:val="thick" w:color="000000"/>
              </w:rPr>
              <w:t>25,008,810.13</w:t>
            </w:r>
            <w:r>
              <w:rPr>
                <w:rFonts w:ascii="宋体"/>
                <w:spacing w:val="-1"/>
                <w:sz w:val="18"/>
              </w:rPr>
            </w:r>
          </w:p>
        </w:tc>
        <w:tc>
          <w:tcPr>
            <w:tcW w:w="1472"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r>
            <w:r>
              <w:rPr>
                <w:rFonts w:ascii="宋体"/>
                <w:spacing w:val="-1"/>
                <w:sz w:val="18"/>
                <w:u w:val="thick" w:color="000000"/>
              </w:rPr>
              <w:t>27,274,941.22</w:t>
            </w:r>
            <w:r>
              <w:rPr>
                <w:rFonts w:ascii="宋体"/>
                <w:spacing w:val="-1"/>
                <w:sz w:val="18"/>
              </w:rPr>
            </w:r>
          </w:p>
        </w:tc>
      </w:tr>
      <w:tr>
        <w:trPr>
          <w:trHeight w:val="467"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4"/>
              <w:jc w:val="right"/>
              <w:rPr>
                <w:rFonts w:ascii="宋体" w:hAnsi="宋体" w:cs="宋体" w:eastAsia="宋体" w:hint="default"/>
                <w:sz w:val="18"/>
                <w:szCs w:val="18"/>
              </w:rPr>
            </w:pPr>
            <w:r>
              <w:rPr>
                <w:rFonts w:ascii="宋体"/>
                <w:spacing w:val="-1"/>
                <w:sz w:val="18"/>
              </w:rPr>
              <w:t>13,780,808.93</w:t>
            </w:r>
          </w:p>
        </w:tc>
        <w:tc>
          <w:tcPr>
            <w:tcW w:w="1472"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17,197,687.81</w:t>
            </w:r>
          </w:p>
        </w:tc>
      </w:tr>
      <w:tr>
        <w:trPr>
          <w:trHeight w:val="536"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110" w:right="0"/>
              <w:jc w:val="left"/>
              <w:rPr>
                <w:rFonts w:ascii="宋体" w:hAnsi="宋体" w:cs="宋体" w:eastAsia="宋体" w:hint="default"/>
                <w:sz w:val="18"/>
                <w:szCs w:val="18"/>
              </w:rPr>
            </w:pPr>
            <w:r>
              <w:rPr>
                <w:rFonts w:ascii="宋体" w:hAnsi="宋体" w:cs="宋体" w:eastAsia="宋体" w:hint="default"/>
                <w:sz w:val="18"/>
                <w:szCs w:val="18"/>
              </w:rPr>
              <w:t>供电、供水、供汽设施设备</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43"/>
              <w:jc w:val="right"/>
              <w:rPr>
                <w:rFonts w:ascii="宋体" w:hAnsi="宋体" w:cs="宋体" w:eastAsia="宋体" w:hint="default"/>
                <w:sz w:val="18"/>
                <w:szCs w:val="18"/>
              </w:rPr>
            </w:pPr>
            <w:r>
              <w:rPr>
                <w:rFonts w:ascii="宋体"/>
                <w:spacing w:val="-1"/>
                <w:sz w:val="18"/>
              </w:rPr>
              <w:t>27,534.80</w:t>
            </w:r>
          </w:p>
        </w:tc>
        <w:tc>
          <w:tcPr>
            <w:tcW w:w="1472"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05"/>
              <w:jc w:val="right"/>
              <w:rPr>
                <w:rFonts w:ascii="宋体" w:hAnsi="宋体" w:cs="宋体" w:eastAsia="宋体" w:hint="default"/>
                <w:sz w:val="18"/>
                <w:szCs w:val="18"/>
              </w:rPr>
            </w:pPr>
            <w:r>
              <w:rPr>
                <w:rFonts w:ascii="宋体"/>
                <w:spacing w:val="-1"/>
                <w:sz w:val="18"/>
              </w:rPr>
              <w:t>37,824.04</w:t>
            </w:r>
          </w:p>
        </w:tc>
      </w:tr>
      <w:tr>
        <w:trPr>
          <w:trHeight w:val="465"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10"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44"/>
              <w:jc w:val="right"/>
              <w:rPr>
                <w:rFonts w:ascii="宋体" w:hAnsi="宋体" w:cs="宋体" w:eastAsia="宋体" w:hint="default"/>
                <w:sz w:val="18"/>
                <w:szCs w:val="18"/>
              </w:rPr>
            </w:pPr>
            <w:r>
              <w:rPr>
                <w:rFonts w:ascii="宋体"/>
                <w:spacing w:val="-1"/>
                <w:sz w:val="18"/>
              </w:rPr>
              <w:t>4,194,717.74</w:t>
            </w:r>
          </w:p>
        </w:tc>
        <w:tc>
          <w:tcPr>
            <w:tcW w:w="1472"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5"/>
              <w:jc w:val="right"/>
              <w:rPr>
                <w:rFonts w:ascii="宋体" w:hAnsi="宋体" w:cs="宋体" w:eastAsia="宋体" w:hint="default"/>
                <w:sz w:val="18"/>
                <w:szCs w:val="18"/>
              </w:rPr>
            </w:pPr>
            <w:r>
              <w:rPr>
                <w:rFonts w:ascii="宋体"/>
                <w:spacing w:val="-1"/>
                <w:sz w:val="18"/>
              </w:rPr>
              <w:t>4,462,303.15</w:t>
            </w:r>
          </w:p>
        </w:tc>
      </w:tr>
      <w:tr>
        <w:trPr>
          <w:trHeight w:val="399"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装卸机械设备</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3"/>
              <w:jc w:val="right"/>
              <w:rPr>
                <w:rFonts w:ascii="宋体" w:hAnsi="宋体" w:cs="宋体" w:eastAsia="宋体" w:hint="default"/>
                <w:sz w:val="18"/>
                <w:szCs w:val="18"/>
              </w:rPr>
            </w:pPr>
            <w:r>
              <w:rPr>
                <w:rFonts w:ascii="宋体"/>
                <w:spacing w:val="-1"/>
                <w:sz w:val="18"/>
              </w:rPr>
              <w:t>37,702.82</w:t>
            </w:r>
          </w:p>
        </w:tc>
        <w:tc>
          <w:tcPr>
            <w:tcW w:w="1472"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宋体" w:hAnsi="宋体" w:cs="宋体" w:eastAsia="宋体" w:hint="default"/>
                <w:sz w:val="18"/>
                <w:szCs w:val="18"/>
              </w:rPr>
            </w:pPr>
            <w:r>
              <w:rPr>
                <w:rFonts w:ascii="宋体"/>
                <w:spacing w:val="-1"/>
                <w:sz w:val="18"/>
              </w:rPr>
              <w:t>31,077.30</w:t>
            </w:r>
          </w:p>
        </w:tc>
      </w:tr>
      <w:tr>
        <w:trPr>
          <w:trHeight w:val="407"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4"/>
              <w:jc w:val="right"/>
              <w:rPr>
                <w:rFonts w:ascii="宋体" w:hAnsi="宋体" w:cs="宋体" w:eastAsia="宋体" w:hint="default"/>
                <w:sz w:val="18"/>
                <w:szCs w:val="18"/>
              </w:rPr>
            </w:pPr>
            <w:r>
              <w:rPr>
                <w:rFonts w:ascii="宋体"/>
                <w:spacing w:val="-1"/>
                <w:sz w:val="18"/>
              </w:rPr>
              <w:t>2,542,448.17</w:t>
            </w:r>
          </w:p>
        </w:tc>
        <w:tc>
          <w:tcPr>
            <w:tcW w:w="1472"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1,629,341.90</w:t>
            </w:r>
          </w:p>
        </w:tc>
      </w:tr>
      <w:tr>
        <w:trPr>
          <w:trHeight w:val="414"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10" w:right="0"/>
              <w:jc w:val="left"/>
              <w:rPr>
                <w:rFonts w:ascii="宋体" w:hAnsi="宋体" w:cs="宋体" w:eastAsia="宋体" w:hint="default"/>
                <w:sz w:val="18"/>
                <w:szCs w:val="18"/>
              </w:rPr>
            </w:pPr>
            <w:r>
              <w:rPr>
                <w:rFonts w:ascii="宋体" w:hAnsi="宋体" w:cs="宋体" w:eastAsia="宋体" w:hint="default"/>
                <w:sz w:val="18"/>
                <w:szCs w:val="18"/>
              </w:rPr>
              <w:t>通讯及导航设施设备</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43"/>
              <w:jc w:val="right"/>
              <w:rPr>
                <w:rFonts w:ascii="宋体" w:hAnsi="宋体" w:cs="宋体" w:eastAsia="宋体" w:hint="default"/>
                <w:sz w:val="18"/>
                <w:szCs w:val="18"/>
              </w:rPr>
            </w:pPr>
            <w:r>
              <w:rPr>
                <w:rFonts w:ascii="宋体"/>
                <w:spacing w:val="-1"/>
                <w:sz w:val="18"/>
              </w:rPr>
              <w:t>98,925.34</w:t>
            </w:r>
          </w:p>
        </w:tc>
        <w:tc>
          <w:tcPr>
            <w:tcW w:w="1472"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宋体" w:hAnsi="宋体" w:cs="宋体" w:eastAsia="宋体" w:hint="default"/>
                <w:sz w:val="18"/>
                <w:szCs w:val="18"/>
              </w:rPr>
            </w:pPr>
            <w:r>
              <w:rPr>
                <w:rFonts w:ascii="宋体"/>
                <w:spacing w:val="-1"/>
                <w:sz w:val="18"/>
              </w:rPr>
              <w:t>79,452.45</w:t>
            </w:r>
          </w:p>
        </w:tc>
      </w:tr>
      <w:tr>
        <w:trPr>
          <w:trHeight w:val="296"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10"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44"/>
              <w:jc w:val="right"/>
              <w:rPr>
                <w:rFonts w:ascii="宋体" w:hAnsi="宋体" w:cs="宋体" w:eastAsia="宋体" w:hint="default"/>
                <w:sz w:val="18"/>
                <w:szCs w:val="18"/>
              </w:rPr>
            </w:pPr>
            <w:r>
              <w:rPr>
                <w:rFonts w:ascii="宋体"/>
                <w:spacing w:val="-1"/>
                <w:sz w:val="18"/>
              </w:rPr>
              <w:t>4,326,672.33</w:t>
            </w:r>
          </w:p>
        </w:tc>
        <w:tc>
          <w:tcPr>
            <w:tcW w:w="1472"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5"/>
              <w:jc w:val="right"/>
              <w:rPr>
                <w:rFonts w:ascii="宋体" w:hAnsi="宋体" w:cs="宋体" w:eastAsia="宋体" w:hint="default"/>
                <w:sz w:val="18"/>
                <w:szCs w:val="18"/>
              </w:rPr>
            </w:pPr>
            <w:r>
              <w:rPr>
                <w:rFonts w:ascii="宋体"/>
                <w:spacing w:val="-1"/>
                <w:sz w:val="18"/>
              </w:rPr>
              <w:t>3,837,254.57</w:t>
            </w:r>
          </w:p>
        </w:tc>
      </w:tr>
    </w:tbl>
    <w:p>
      <w:pPr>
        <w:spacing w:line="240" w:lineRule="auto" w:before="4"/>
        <w:rPr>
          <w:rFonts w:ascii="宋体" w:hAnsi="宋体" w:cs="宋体" w:eastAsia="宋体" w:hint="default"/>
          <w:sz w:val="10"/>
          <w:szCs w:val="10"/>
        </w:rPr>
      </w:pPr>
    </w:p>
    <w:p>
      <w:pPr>
        <w:pStyle w:val="BodyText"/>
        <w:spacing w:line="240" w:lineRule="auto" w:before="44"/>
        <w:ind w:left="513" w:right="981"/>
        <w:jc w:val="left"/>
        <w:rPr>
          <w:rFonts w:ascii="宋体" w:hAnsi="宋体" w:cs="宋体" w:eastAsia="宋体" w:hint="default"/>
        </w:rPr>
      </w:pPr>
      <w:r>
        <w:rPr>
          <w:spacing w:val="-3"/>
        </w:rPr>
        <w:t>注：</w:t>
      </w:r>
      <w:r>
        <w:rPr>
          <w:rFonts w:ascii="宋体" w:hAnsi="宋体" w:cs="宋体" w:eastAsia="宋体" w:hint="default"/>
          <w:spacing w:val="-3"/>
        </w:rPr>
        <w:t>1.</w:t>
      </w:r>
      <w:r>
        <w:rPr>
          <w:spacing w:val="-3"/>
        </w:rPr>
        <w:t>贵阳分公司本期购入房产原值</w:t>
      </w:r>
      <w:r>
        <w:rPr>
          <w:spacing w:val="-45"/>
        </w:rPr>
        <w:t> </w:t>
      </w:r>
      <w:r>
        <w:rPr>
          <w:rFonts w:ascii="宋体" w:hAnsi="宋体" w:cs="宋体" w:eastAsia="宋体" w:hint="default"/>
        </w:rPr>
        <w:t>2,603,718.00</w:t>
      </w:r>
      <w:r>
        <w:rPr>
          <w:rFonts w:ascii="宋体" w:hAnsi="宋体" w:cs="宋体" w:eastAsia="宋体" w:hint="default"/>
          <w:spacing w:val="-45"/>
        </w:rPr>
        <w:t> </w:t>
      </w:r>
      <w:r>
        <w:rPr>
          <w:spacing w:val="-11"/>
        </w:rPr>
        <w:t>元，截至</w:t>
      </w:r>
      <w:r>
        <w:rPr>
          <w:spacing w:val="-48"/>
        </w:rPr>
        <w:t> </w:t>
      </w:r>
      <w:r>
        <w:rPr>
          <w:rFonts w:ascii="宋体" w:hAnsi="宋体" w:cs="宋体" w:eastAsia="宋体" w:hint="default"/>
        </w:rPr>
        <w:t>2012</w:t>
      </w:r>
      <w:r>
        <w:rPr>
          <w:rFonts w:ascii="宋体" w:hAnsi="宋体" w:cs="宋体" w:eastAsia="宋体" w:hint="default"/>
          <w:spacing w:val="-44"/>
        </w:rPr>
        <w:t> </w:t>
      </w:r>
      <w:r>
        <w:rPr/>
        <w:t>年</w:t>
      </w:r>
      <w:r>
        <w:rPr>
          <w:spacing w:val="-48"/>
        </w:rPr>
        <w:t> </w:t>
      </w:r>
      <w:r>
        <w:rPr>
          <w:rFonts w:ascii="宋体" w:hAnsi="宋体" w:cs="宋体" w:eastAsia="宋体" w:hint="default"/>
        </w:rPr>
        <w:t>12</w:t>
      </w:r>
      <w:r>
        <w:rPr>
          <w:rFonts w:ascii="宋体" w:hAnsi="宋体" w:cs="宋体" w:eastAsia="宋体" w:hint="default"/>
          <w:spacing w:val="-45"/>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spacing w:val="-3"/>
        </w:rPr>
        <w:t>日房屋产权证尚在办理过程中，预计</w:t>
      </w:r>
      <w:r>
        <w:rPr>
          <w:spacing w:val="-45"/>
        </w:rPr>
        <w:t> </w:t>
      </w:r>
      <w:r>
        <w:rPr>
          <w:rFonts w:ascii="宋体" w:hAnsi="宋体" w:cs="宋体" w:eastAsia="宋体" w:hint="default"/>
        </w:rPr>
        <w:t>2013</w:t>
      </w:r>
    </w:p>
    <w:p>
      <w:pPr>
        <w:pStyle w:val="BodyText"/>
        <w:spacing w:line="240" w:lineRule="auto" w:before="124"/>
        <w:ind w:right="981"/>
        <w:jc w:val="left"/>
      </w:pPr>
      <w:r>
        <w:rPr/>
        <w:t>年</w:t>
      </w:r>
      <w:r>
        <w:rPr>
          <w:spacing w:val="-44"/>
        </w:rPr>
        <w:t> </w:t>
      </w:r>
      <w:r>
        <w:rPr>
          <w:rFonts w:ascii="宋体" w:hAnsi="宋体" w:cs="宋体" w:eastAsia="宋体" w:hint="default"/>
        </w:rPr>
        <w:t>5</w:t>
      </w:r>
      <w:r>
        <w:rPr>
          <w:rFonts w:ascii="宋体" w:hAnsi="宋体" w:cs="宋体" w:eastAsia="宋体" w:hint="default"/>
          <w:spacing w:val="-44"/>
        </w:rPr>
        <w:t> </w:t>
      </w:r>
      <w:r>
        <w:rPr/>
        <w:t>月份可以取得。</w:t>
      </w:r>
    </w:p>
    <w:p>
      <w:pPr>
        <w:spacing w:after="0" w:line="240" w:lineRule="auto"/>
        <w:jc w:val="left"/>
        <w:sectPr>
          <w:pgSz w:w="11910" w:h="16840"/>
          <w:pgMar w:header="877" w:footer="1332" w:top="1100" w:bottom="1520" w:left="980" w:right="0"/>
        </w:sectPr>
      </w:pPr>
    </w:p>
    <w:p>
      <w:pPr>
        <w:spacing w:line="240" w:lineRule="auto" w:before="2"/>
        <w:rPr>
          <w:rFonts w:ascii="宋体" w:hAnsi="宋体" w:cs="宋体" w:eastAsia="宋体" w:hint="default"/>
          <w:sz w:val="27"/>
          <w:szCs w:val="27"/>
        </w:rPr>
      </w:pPr>
    </w:p>
    <w:p>
      <w:pPr>
        <w:pStyle w:val="BodyText"/>
        <w:spacing w:line="240" w:lineRule="auto" w:before="44"/>
        <w:ind w:left="873" w:right="981"/>
        <w:jc w:val="left"/>
      </w:pPr>
      <w:r>
        <w:rPr>
          <w:rFonts w:ascii="宋体" w:hAnsi="宋体" w:cs="宋体" w:eastAsia="宋体" w:hint="default"/>
        </w:rPr>
        <w:t>2.</w:t>
      </w:r>
      <w:r>
        <w:rPr/>
        <w:t>本期计提折旧额为</w:t>
      </w:r>
      <w:r>
        <w:rPr>
          <w:spacing w:val="-48"/>
        </w:rPr>
        <w:t> </w:t>
      </w:r>
      <w:r>
        <w:rPr>
          <w:rFonts w:ascii="宋体" w:hAnsi="宋体" w:cs="宋体" w:eastAsia="宋体" w:hint="default"/>
        </w:rPr>
        <w:t>3,339,836.59</w:t>
      </w:r>
      <w:r>
        <w:rPr>
          <w:rFonts w:ascii="宋体" w:hAnsi="宋体" w:cs="宋体" w:eastAsia="宋体" w:hint="default"/>
          <w:spacing w:val="-44"/>
        </w:rPr>
        <w:t> </w:t>
      </w:r>
      <w:r>
        <w:rPr/>
        <w:t>元。</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w:t>
      </w:r>
      <w:r>
        <w:rPr>
          <w:rFonts w:ascii="宋体" w:hAnsi="宋体" w:cs="宋体" w:eastAsia="宋体" w:hint="default"/>
        </w:rPr>
        <w:t>2</w:t>
      </w:r>
      <w:r>
        <w:rPr/>
        <w:t>）期末无暂时闲置的固定资产。</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w:t>
      </w:r>
      <w:r>
        <w:rPr>
          <w:rFonts w:ascii="宋体" w:hAnsi="宋体" w:cs="宋体" w:eastAsia="宋体" w:hint="default"/>
        </w:rPr>
        <w:t>3</w:t>
      </w:r>
      <w:r>
        <w:rPr/>
        <w:t>）期末固定资产中已提足折旧的固定资产</w:t>
      </w:r>
    </w:p>
    <w:p>
      <w:pPr>
        <w:spacing w:line="240" w:lineRule="auto" w:before="6"/>
        <w:rPr>
          <w:rFonts w:ascii="宋体" w:hAnsi="宋体" w:cs="宋体" w:eastAsia="宋体" w:hint="default"/>
          <w:sz w:val="23"/>
          <w:szCs w:val="23"/>
        </w:rPr>
      </w:pPr>
    </w:p>
    <w:tbl>
      <w:tblPr>
        <w:tblW w:w="0" w:type="auto"/>
        <w:jc w:val="left"/>
        <w:tblInd w:w="436" w:type="dxa"/>
        <w:tblLayout w:type="fixed"/>
        <w:tblCellMar>
          <w:top w:w="0" w:type="dxa"/>
          <w:left w:w="0" w:type="dxa"/>
          <w:bottom w:w="0" w:type="dxa"/>
          <w:right w:w="0" w:type="dxa"/>
        </w:tblCellMar>
        <w:tblLook w:val="01E0"/>
      </w:tblPr>
      <w:tblGrid>
        <w:gridCol w:w="2590"/>
        <w:gridCol w:w="1960"/>
        <w:gridCol w:w="1599"/>
        <w:gridCol w:w="1216"/>
        <w:gridCol w:w="1596"/>
      </w:tblGrid>
      <w:tr>
        <w:trPr>
          <w:trHeight w:val="291" w:hRule="exact"/>
        </w:trPr>
        <w:tc>
          <w:tcPr>
            <w:tcW w:w="2590" w:type="dxa"/>
            <w:tcBorders>
              <w:top w:val="nil" w:sz="6" w:space="0" w:color="auto"/>
              <w:left w:val="nil" w:sz="6" w:space="0" w:color="auto"/>
              <w:bottom w:val="single" w:sz="4" w:space="0" w:color="000000"/>
              <w:right w:val="nil" w:sz="6" w:space="0" w:color="auto"/>
            </w:tcBorders>
          </w:tcPr>
          <w:p>
            <w:pPr>
              <w:pStyle w:val="TableParagraph"/>
              <w:spacing w:line="180" w:lineRule="exact"/>
              <w:ind w:left="739" w:right="0"/>
              <w:jc w:val="left"/>
              <w:rPr>
                <w:rFonts w:ascii="宋体" w:hAnsi="宋体" w:cs="宋体" w:eastAsia="宋体" w:hint="default"/>
                <w:sz w:val="18"/>
                <w:szCs w:val="18"/>
              </w:rPr>
            </w:pPr>
            <w:r>
              <w:rPr>
                <w:rFonts w:ascii="宋体" w:hAnsi="宋体" w:cs="宋体" w:eastAsia="宋体" w:hint="default"/>
                <w:b/>
                <w:bCs/>
                <w:sz w:val="18"/>
                <w:szCs w:val="18"/>
              </w:rPr>
              <w:t>固定资产名称</w:t>
            </w:r>
            <w:r>
              <w:rPr>
                <w:rFonts w:ascii="宋体" w:hAnsi="宋体" w:cs="宋体" w:eastAsia="宋体" w:hint="default"/>
                <w:sz w:val="18"/>
                <w:szCs w:val="18"/>
              </w:rPr>
            </w:r>
          </w:p>
        </w:tc>
        <w:tc>
          <w:tcPr>
            <w:tcW w:w="1960" w:type="dxa"/>
            <w:tcBorders>
              <w:top w:val="nil" w:sz="6" w:space="0" w:color="auto"/>
              <w:left w:val="nil" w:sz="6" w:space="0" w:color="auto"/>
              <w:bottom w:val="single" w:sz="4" w:space="0" w:color="000000"/>
              <w:right w:val="nil" w:sz="6" w:space="0" w:color="auto"/>
            </w:tcBorders>
          </w:tcPr>
          <w:p>
            <w:pPr>
              <w:pStyle w:val="TableParagraph"/>
              <w:spacing w:line="180" w:lineRule="exact"/>
              <w:ind w:left="319" w:right="0"/>
              <w:jc w:val="left"/>
              <w:rPr>
                <w:rFonts w:ascii="宋体" w:hAnsi="宋体" w:cs="宋体" w:eastAsia="宋体" w:hint="default"/>
                <w:sz w:val="18"/>
                <w:szCs w:val="18"/>
              </w:rPr>
            </w:pPr>
            <w:r>
              <w:rPr>
                <w:rFonts w:ascii="宋体" w:hAnsi="宋体" w:cs="宋体" w:eastAsia="宋体" w:hint="default"/>
                <w:b/>
                <w:bCs/>
                <w:sz w:val="18"/>
                <w:szCs w:val="18"/>
              </w:rPr>
              <w:t>固定资产原值</w:t>
            </w:r>
            <w:r>
              <w:rPr>
                <w:rFonts w:ascii="宋体" w:hAnsi="宋体" w:cs="宋体" w:eastAsia="宋体" w:hint="default"/>
                <w:sz w:val="18"/>
                <w:szCs w:val="18"/>
              </w:rPr>
            </w:r>
          </w:p>
        </w:tc>
        <w:tc>
          <w:tcPr>
            <w:tcW w:w="1599" w:type="dxa"/>
            <w:tcBorders>
              <w:top w:val="nil" w:sz="6" w:space="0" w:color="auto"/>
              <w:left w:val="nil" w:sz="6" w:space="0" w:color="auto"/>
              <w:bottom w:val="single" w:sz="4" w:space="0" w:color="000000"/>
              <w:right w:val="nil" w:sz="6" w:space="0" w:color="auto"/>
            </w:tcBorders>
          </w:tcPr>
          <w:p>
            <w:pPr>
              <w:pStyle w:val="TableParagraph"/>
              <w:spacing w:line="180" w:lineRule="exact"/>
              <w:ind w:left="315" w:right="0"/>
              <w:jc w:val="left"/>
              <w:rPr>
                <w:rFonts w:ascii="宋体" w:hAnsi="宋体" w:cs="宋体" w:eastAsia="宋体" w:hint="default"/>
                <w:sz w:val="18"/>
                <w:szCs w:val="18"/>
              </w:rPr>
            </w:pPr>
            <w:r>
              <w:rPr>
                <w:rFonts w:ascii="宋体" w:hAnsi="宋体" w:cs="宋体" w:eastAsia="宋体" w:hint="default"/>
                <w:b/>
                <w:bCs/>
                <w:sz w:val="18"/>
                <w:szCs w:val="18"/>
              </w:rPr>
              <w:t>累计折旧</w:t>
            </w:r>
            <w:r>
              <w:rPr>
                <w:rFonts w:ascii="宋体" w:hAnsi="宋体" w:cs="宋体" w:eastAsia="宋体" w:hint="default"/>
                <w:sz w:val="18"/>
                <w:szCs w:val="18"/>
              </w:rPr>
            </w:r>
          </w:p>
        </w:tc>
        <w:tc>
          <w:tcPr>
            <w:tcW w:w="1216" w:type="dxa"/>
            <w:tcBorders>
              <w:top w:val="nil" w:sz="6" w:space="0" w:color="auto"/>
              <w:left w:val="nil" w:sz="6" w:space="0" w:color="auto"/>
              <w:bottom w:val="single" w:sz="4" w:space="0" w:color="000000"/>
              <w:right w:val="nil" w:sz="6" w:space="0" w:color="auto"/>
            </w:tcBorders>
          </w:tcPr>
          <w:p>
            <w:pPr>
              <w:pStyle w:val="TableParagraph"/>
              <w:spacing w:line="180" w:lineRule="exact"/>
              <w:ind w:left="142"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596" w:type="dxa"/>
            <w:tcBorders>
              <w:top w:val="nil" w:sz="6" w:space="0" w:color="auto"/>
              <w:left w:val="nil" w:sz="6" w:space="0" w:color="auto"/>
              <w:bottom w:val="single" w:sz="4" w:space="0" w:color="000000"/>
              <w:right w:val="nil" w:sz="6" w:space="0" w:color="auto"/>
            </w:tcBorders>
          </w:tcPr>
          <w:p>
            <w:pPr>
              <w:pStyle w:val="TableParagraph"/>
              <w:spacing w:line="180" w:lineRule="exact"/>
              <w:ind w:left="350"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r>
      <w:tr>
        <w:trPr>
          <w:trHeight w:val="397" w:hRule="exact"/>
        </w:trPr>
        <w:tc>
          <w:tcPr>
            <w:tcW w:w="259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供电、供水、供汽设施设备</w:t>
            </w:r>
          </w:p>
        </w:tc>
        <w:tc>
          <w:tcPr>
            <w:tcW w:w="196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13"/>
              <w:jc w:val="right"/>
              <w:rPr>
                <w:rFonts w:ascii="宋体" w:hAnsi="宋体" w:cs="宋体" w:eastAsia="宋体" w:hint="default"/>
                <w:sz w:val="18"/>
                <w:szCs w:val="18"/>
              </w:rPr>
            </w:pPr>
            <w:r>
              <w:rPr>
                <w:rFonts w:ascii="宋体"/>
                <w:spacing w:val="-1"/>
                <w:sz w:val="18"/>
              </w:rPr>
              <w:t>382,600.00</w:t>
            </w:r>
          </w:p>
        </w:tc>
        <w:tc>
          <w:tcPr>
            <w:tcW w:w="159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40"/>
              <w:jc w:val="right"/>
              <w:rPr>
                <w:rFonts w:ascii="宋体" w:hAnsi="宋体" w:cs="宋体" w:eastAsia="宋体" w:hint="default"/>
                <w:sz w:val="18"/>
                <w:szCs w:val="18"/>
              </w:rPr>
            </w:pPr>
            <w:r>
              <w:rPr>
                <w:rFonts w:ascii="宋体"/>
                <w:spacing w:val="-1"/>
                <w:sz w:val="18"/>
              </w:rPr>
              <w:t>367,296.00</w:t>
            </w:r>
          </w:p>
        </w:tc>
        <w:tc>
          <w:tcPr>
            <w:tcW w:w="1216" w:type="dxa"/>
            <w:tcBorders>
              <w:top w:val="single" w:sz="4" w:space="0" w:color="000000"/>
              <w:left w:val="nil" w:sz="6" w:space="0" w:color="auto"/>
              <w:bottom w:val="nil" w:sz="6" w:space="0" w:color="auto"/>
              <w:right w:val="nil" w:sz="6" w:space="0" w:color="auto"/>
            </w:tcBorders>
          </w:tcPr>
          <w:p>
            <w:pPr/>
          </w:p>
        </w:tc>
        <w:tc>
          <w:tcPr>
            <w:tcW w:w="159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15,304.00</w:t>
            </w:r>
          </w:p>
        </w:tc>
      </w:tr>
      <w:tr>
        <w:trPr>
          <w:trHeight w:val="391"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3"/>
              <w:jc w:val="right"/>
              <w:rPr>
                <w:rFonts w:ascii="宋体" w:hAnsi="宋体" w:cs="宋体" w:eastAsia="宋体" w:hint="default"/>
                <w:sz w:val="18"/>
                <w:szCs w:val="18"/>
              </w:rPr>
            </w:pPr>
            <w:r>
              <w:rPr>
                <w:rFonts w:ascii="宋体"/>
                <w:spacing w:val="-1"/>
                <w:sz w:val="18"/>
              </w:rPr>
              <w:t>332,304.00</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0"/>
              <w:jc w:val="right"/>
              <w:rPr>
                <w:rFonts w:ascii="宋体" w:hAnsi="宋体" w:cs="宋体" w:eastAsia="宋体" w:hint="default"/>
                <w:sz w:val="18"/>
                <w:szCs w:val="18"/>
              </w:rPr>
            </w:pPr>
            <w:r>
              <w:rPr>
                <w:rFonts w:ascii="宋体"/>
                <w:spacing w:val="-1"/>
                <w:sz w:val="18"/>
              </w:rPr>
              <w:t>319,011.84</w:t>
            </w:r>
          </w:p>
        </w:tc>
        <w:tc>
          <w:tcPr>
            <w:tcW w:w="1216"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13,292.16</w:t>
            </w:r>
          </w:p>
        </w:tc>
      </w:tr>
      <w:tr>
        <w:trPr>
          <w:trHeight w:val="391"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装卸机械设备</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3"/>
              <w:jc w:val="right"/>
              <w:rPr>
                <w:rFonts w:ascii="宋体" w:hAnsi="宋体" w:cs="宋体" w:eastAsia="宋体" w:hint="default"/>
                <w:sz w:val="18"/>
                <w:szCs w:val="18"/>
              </w:rPr>
            </w:pPr>
            <w:r>
              <w:rPr>
                <w:rFonts w:ascii="宋体"/>
                <w:spacing w:val="-1"/>
                <w:sz w:val="18"/>
              </w:rPr>
              <w:t>2,300.00</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0"/>
              <w:jc w:val="right"/>
              <w:rPr>
                <w:rFonts w:ascii="宋体" w:hAnsi="宋体" w:cs="宋体" w:eastAsia="宋体" w:hint="default"/>
                <w:sz w:val="18"/>
                <w:szCs w:val="18"/>
              </w:rPr>
            </w:pPr>
            <w:r>
              <w:rPr>
                <w:rFonts w:ascii="宋体"/>
                <w:spacing w:val="-1"/>
                <w:sz w:val="18"/>
              </w:rPr>
              <w:t>2,208.00</w:t>
            </w:r>
          </w:p>
        </w:tc>
        <w:tc>
          <w:tcPr>
            <w:tcW w:w="1216"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92.00</w:t>
            </w:r>
          </w:p>
        </w:tc>
      </w:tr>
      <w:tr>
        <w:trPr>
          <w:trHeight w:val="392"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3"/>
              <w:jc w:val="right"/>
              <w:rPr>
                <w:rFonts w:ascii="宋体" w:hAnsi="宋体" w:cs="宋体" w:eastAsia="宋体" w:hint="default"/>
                <w:sz w:val="18"/>
                <w:szCs w:val="18"/>
              </w:rPr>
            </w:pPr>
            <w:r>
              <w:rPr>
                <w:rFonts w:ascii="宋体"/>
                <w:spacing w:val="-1"/>
                <w:sz w:val="18"/>
              </w:rPr>
              <w:t>7,316,446.00</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0"/>
              <w:jc w:val="right"/>
              <w:rPr>
                <w:rFonts w:ascii="宋体" w:hAnsi="宋体" w:cs="宋体" w:eastAsia="宋体" w:hint="default"/>
                <w:sz w:val="18"/>
                <w:szCs w:val="18"/>
              </w:rPr>
            </w:pPr>
            <w:r>
              <w:rPr>
                <w:rFonts w:ascii="宋体"/>
                <w:spacing w:val="-1"/>
                <w:sz w:val="18"/>
              </w:rPr>
              <w:t>7,023,788.16</w:t>
            </w:r>
          </w:p>
        </w:tc>
        <w:tc>
          <w:tcPr>
            <w:tcW w:w="1216"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292,657.84</w:t>
            </w:r>
          </w:p>
        </w:tc>
      </w:tr>
      <w:tr>
        <w:trPr>
          <w:trHeight w:val="393"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通讯及导航设施设备</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13"/>
              <w:jc w:val="right"/>
              <w:rPr>
                <w:rFonts w:ascii="宋体" w:hAnsi="宋体" w:cs="宋体" w:eastAsia="宋体" w:hint="default"/>
                <w:sz w:val="18"/>
                <w:szCs w:val="18"/>
              </w:rPr>
            </w:pPr>
            <w:r>
              <w:rPr>
                <w:rFonts w:ascii="宋体"/>
                <w:spacing w:val="-1"/>
                <w:sz w:val="18"/>
              </w:rPr>
              <w:t>2,700.00</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40"/>
              <w:jc w:val="right"/>
              <w:rPr>
                <w:rFonts w:ascii="宋体" w:hAnsi="宋体" w:cs="宋体" w:eastAsia="宋体" w:hint="default"/>
                <w:sz w:val="18"/>
                <w:szCs w:val="18"/>
              </w:rPr>
            </w:pPr>
            <w:r>
              <w:rPr>
                <w:rFonts w:ascii="宋体"/>
                <w:spacing w:val="-1"/>
                <w:sz w:val="18"/>
              </w:rPr>
              <w:t>2,592.00</w:t>
            </w:r>
          </w:p>
        </w:tc>
        <w:tc>
          <w:tcPr>
            <w:tcW w:w="1216"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pacing w:val="-1"/>
                <w:sz w:val="18"/>
              </w:rPr>
              <w:t>108.00</w:t>
            </w:r>
          </w:p>
        </w:tc>
      </w:tr>
      <w:tr>
        <w:trPr>
          <w:trHeight w:val="391"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3"/>
              <w:jc w:val="right"/>
              <w:rPr>
                <w:rFonts w:ascii="宋体" w:hAnsi="宋体" w:cs="宋体" w:eastAsia="宋体" w:hint="default"/>
                <w:sz w:val="18"/>
                <w:szCs w:val="18"/>
              </w:rPr>
            </w:pPr>
            <w:r>
              <w:rPr>
                <w:rFonts w:ascii="宋体"/>
                <w:spacing w:val="-1"/>
                <w:sz w:val="18"/>
              </w:rPr>
              <w:t>934,425.07</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0"/>
              <w:jc w:val="right"/>
              <w:rPr>
                <w:rFonts w:ascii="宋体" w:hAnsi="宋体" w:cs="宋体" w:eastAsia="宋体" w:hint="default"/>
                <w:sz w:val="18"/>
                <w:szCs w:val="18"/>
              </w:rPr>
            </w:pPr>
            <w:r>
              <w:rPr>
                <w:rFonts w:ascii="宋体"/>
                <w:spacing w:val="-1"/>
                <w:sz w:val="18"/>
              </w:rPr>
              <w:t>897,048.09</w:t>
            </w:r>
          </w:p>
        </w:tc>
        <w:tc>
          <w:tcPr>
            <w:tcW w:w="1216"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37,376.98</w:t>
            </w:r>
          </w:p>
        </w:tc>
      </w:tr>
      <w:tr>
        <w:trPr>
          <w:trHeight w:val="286" w:hRule="exact"/>
        </w:trPr>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3"/>
              <w:jc w:val="right"/>
              <w:rPr>
                <w:rFonts w:ascii="宋体" w:hAnsi="宋体" w:cs="宋体" w:eastAsia="宋体" w:hint="default"/>
                <w:sz w:val="18"/>
                <w:szCs w:val="18"/>
              </w:rPr>
            </w:pPr>
            <w:r>
              <w:rPr>
                <w:rFonts w:ascii="宋体"/>
                <w:sz w:val="18"/>
              </w:rPr>
            </w:r>
            <w:r>
              <w:rPr>
                <w:rFonts w:ascii="宋体"/>
                <w:spacing w:val="-1"/>
                <w:sz w:val="18"/>
                <w:u w:val="thick" w:color="000000"/>
              </w:rPr>
              <w:t>8,970,775.07</w:t>
            </w:r>
            <w:r>
              <w:rPr>
                <w:rFonts w:ascii="宋体"/>
                <w:spacing w:val="-1"/>
                <w:sz w:val="18"/>
              </w:rPr>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0"/>
              <w:jc w:val="right"/>
              <w:rPr>
                <w:rFonts w:ascii="宋体" w:hAnsi="宋体" w:cs="宋体" w:eastAsia="宋体" w:hint="default"/>
                <w:sz w:val="18"/>
                <w:szCs w:val="18"/>
              </w:rPr>
            </w:pPr>
            <w:r>
              <w:rPr>
                <w:rFonts w:ascii="宋体"/>
                <w:sz w:val="18"/>
              </w:rPr>
            </w:r>
            <w:r>
              <w:rPr>
                <w:rFonts w:ascii="宋体"/>
                <w:spacing w:val="-1"/>
                <w:sz w:val="18"/>
                <w:u w:val="thick" w:color="000000"/>
              </w:rPr>
              <w:t>8,611,944.09</w:t>
            </w:r>
            <w:r>
              <w:rPr>
                <w:rFonts w:ascii="宋体"/>
                <w:spacing w:val="-1"/>
                <w:sz w:val="18"/>
              </w:rPr>
            </w:r>
          </w:p>
        </w:tc>
        <w:tc>
          <w:tcPr>
            <w:tcW w:w="1216"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z w:val="18"/>
              </w:rPr>
            </w:r>
            <w:r>
              <w:rPr>
                <w:rFonts w:ascii="宋体"/>
                <w:spacing w:val="-1"/>
                <w:sz w:val="18"/>
                <w:u w:val="thick" w:color="000000"/>
              </w:rPr>
              <w:t>358,830.98</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513" w:right="981"/>
        <w:jc w:val="left"/>
      </w:pPr>
      <w:r>
        <w:rPr/>
        <w:t>（</w:t>
      </w:r>
      <w:r>
        <w:rPr>
          <w:rFonts w:ascii="宋体" w:hAnsi="宋体" w:cs="宋体" w:eastAsia="宋体" w:hint="default"/>
        </w:rPr>
        <w:t>4</w:t>
      </w:r>
      <w:r>
        <w:rPr/>
        <w:t>）期末无用于抵押的固定资产。</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w:t>
      </w:r>
      <w:r>
        <w:rPr>
          <w:rFonts w:ascii="宋体" w:hAnsi="宋体" w:cs="宋体" w:eastAsia="宋体" w:hint="default"/>
        </w:rPr>
        <w:t>5</w:t>
      </w:r>
      <w:r>
        <w:rPr/>
        <w:t>）固定资产中无融资租入和经营租出及待售资产。</w:t>
      </w:r>
    </w:p>
    <w:p>
      <w:pPr>
        <w:spacing w:line="240" w:lineRule="auto" w:before="6"/>
        <w:rPr>
          <w:rFonts w:ascii="宋体" w:hAnsi="宋体" w:cs="宋体" w:eastAsia="宋体" w:hint="default"/>
          <w:sz w:val="21"/>
          <w:szCs w:val="21"/>
        </w:rPr>
      </w:pPr>
    </w:p>
    <w:p>
      <w:pPr>
        <w:pStyle w:val="BodyText"/>
        <w:spacing w:line="367" w:lineRule="auto"/>
        <w:ind w:right="1124" w:firstLine="360"/>
        <w:jc w:val="left"/>
      </w:pPr>
      <w:r>
        <w:rPr>
          <w:spacing w:val="-4"/>
        </w:rPr>
        <w:t>（</w:t>
      </w:r>
      <w:r>
        <w:rPr>
          <w:rFonts w:ascii="宋体" w:hAnsi="宋体" w:cs="宋体" w:eastAsia="宋体" w:hint="default"/>
          <w:spacing w:val="-4"/>
        </w:rPr>
        <w:t>6</w:t>
      </w:r>
      <w:r>
        <w:rPr>
          <w:spacing w:val="-4"/>
        </w:rPr>
        <w:t>）公司所持的沪房地浦字（</w:t>
      </w:r>
      <w:r>
        <w:rPr>
          <w:rFonts w:ascii="宋体" w:hAnsi="宋体" w:cs="宋体" w:eastAsia="宋体" w:hint="default"/>
          <w:spacing w:val="-4"/>
        </w:rPr>
        <w:t>2011</w:t>
      </w:r>
      <w:r>
        <w:rPr>
          <w:spacing w:val="-4"/>
        </w:rPr>
        <w:t>）第</w:t>
      </w:r>
      <w:r>
        <w:rPr>
          <w:spacing w:val="-51"/>
        </w:rPr>
        <w:t> </w:t>
      </w:r>
      <w:r>
        <w:rPr>
          <w:rFonts w:ascii="宋体" w:hAnsi="宋体" w:cs="宋体" w:eastAsia="宋体" w:hint="default"/>
        </w:rPr>
        <w:t>071018</w:t>
      </w:r>
      <w:r>
        <w:rPr>
          <w:rFonts w:ascii="宋体" w:hAnsi="宋体" w:cs="宋体" w:eastAsia="宋体" w:hint="default"/>
          <w:spacing w:val="-49"/>
        </w:rPr>
        <w:t> </w:t>
      </w:r>
      <w:r>
        <w:rPr/>
        <w:t>号的上海市房地产权证系划拨土地上的房地产权利凭证，公司以每年支 付土地租金的形式取得土地使用权。</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BodyText"/>
        <w:spacing w:line="240" w:lineRule="auto"/>
        <w:ind w:left="513" w:right="981"/>
        <w:jc w:val="left"/>
      </w:pPr>
      <w:r>
        <w:rPr>
          <w:rFonts w:ascii="宋体" w:hAnsi="宋体" w:cs="宋体" w:eastAsia="宋体" w:hint="default"/>
        </w:rPr>
        <w:t>11.</w:t>
      </w:r>
      <w:r>
        <w:rPr/>
        <w:t>在建工程</w:t>
      </w:r>
    </w:p>
    <w:p>
      <w:pPr>
        <w:spacing w:line="240" w:lineRule="auto" w:before="10"/>
        <w:rPr>
          <w:rFonts w:ascii="宋体" w:hAnsi="宋体" w:cs="宋体" w:eastAsia="宋体" w:hint="default"/>
          <w:sz w:val="18"/>
          <w:szCs w:val="18"/>
        </w:rPr>
      </w:pPr>
    </w:p>
    <w:p>
      <w:pPr>
        <w:pStyle w:val="Heading6"/>
        <w:spacing w:line="240" w:lineRule="auto"/>
        <w:ind w:left="573" w:right="981"/>
        <w:jc w:val="left"/>
      </w:pPr>
      <w:r>
        <w:rPr/>
        <w:t>（</w:t>
      </w:r>
      <w:r>
        <w:rPr>
          <w:rFonts w:ascii="宋体" w:hAnsi="宋体" w:cs="宋体" w:eastAsia="宋体" w:hint="default"/>
        </w:rPr>
        <w:t>1</w:t>
      </w:r>
      <w:r>
        <w:rPr/>
        <w:t>）在建工程情况</w:t>
      </w:r>
    </w:p>
    <w:p>
      <w:pPr>
        <w:spacing w:line="240" w:lineRule="auto" w:before="13"/>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846"/>
        <w:gridCol w:w="1040"/>
        <w:gridCol w:w="238"/>
        <w:gridCol w:w="617"/>
        <w:gridCol w:w="195"/>
        <w:gridCol w:w="780"/>
        <w:gridCol w:w="101"/>
        <w:gridCol w:w="832"/>
        <w:gridCol w:w="361"/>
        <w:gridCol w:w="687"/>
        <w:gridCol w:w="388"/>
        <w:gridCol w:w="645"/>
        <w:gridCol w:w="648"/>
        <w:gridCol w:w="664"/>
        <w:gridCol w:w="460"/>
        <w:gridCol w:w="940"/>
      </w:tblGrid>
      <w:tr>
        <w:trPr>
          <w:trHeight w:val="932" w:hRule="exact"/>
        </w:trPr>
        <w:tc>
          <w:tcPr>
            <w:tcW w:w="84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144" w:right="0"/>
              <w:jc w:val="left"/>
              <w:rPr>
                <w:rFonts w:ascii="宋体" w:hAnsi="宋体" w:cs="宋体" w:eastAsia="宋体" w:hint="default"/>
                <w:sz w:val="13"/>
                <w:szCs w:val="13"/>
              </w:rPr>
            </w:pPr>
            <w:r>
              <w:rPr>
                <w:rFonts w:ascii="宋体" w:hAnsi="宋体" w:cs="宋体" w:eastAsia="宋体" w:hint="default"/>
                <w:b/>
                <w:bCs/>
                <w:sz w:val="13"/>
                <w:szCs w:val="13"/>
              </w:rPr>
              <w:t>项目名称</w:t>
            </w:r>
            <w:r>
              <w:rPr>
                <w:rFonts w:ascii="宋体" w:hAnsi="宋体" w:cs="宋体" w:eastAsia="宋体" w:hint="default"/>
                <w:sz w:val="13"/>
                <w:szCs w:val="13"/>
              </w:rPr>
            </w:r>
          </w:p>
        </w:tc>
        <w:tc>
          <w:tcPr>
            <w:tcW w:w="104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344" w:right="0"/>
              <w:jc w:val="left"/>
              <w:rPr>
                <w:rFonts w:ascii="宋体" w:hAnsi="宋体" w:cs="宋体" w:eastAsia="宋体" w:hint="default"/>
                <w:sz w:val="13"/>
                <w:szCs w:val="13"/>
              </w:rPr>
            </w:pPr>
            <w:r>
              <w:rPr>
                <w:rFonts w:ascii="宋体" w:hAnsi="宋体" w:cs="宋体" w:eastAsia="宋体" w:hint="default"/>
                <w:b/>
                <w:bCs/>
                <w:sz w:val="13"/>
                <w:szCs w:val="13"/>
              </w:rPr>
              <w:t>预算数</w:t>
            </w:r>
            <w:r>
              <w:rPr>
                <w:rFonts w:ascii="宋体" w:hAnsi="宋体" w:cs="宋体" w:eastAsia="宋体" w:hint="default"/>
                <w:sz w:val="13"/>
                <w:szCs w:val="13"/>
              </w:rPr>
            </w:r>
          </w:p>
        </w:tc>
        <w:tc>
          <w:tcPr>
            <w:tcW w:w="238" w:type="dxa"/>
            <w:tcBorders>
              <w:top w:val="nil" w:sz="6" w:space="0" w:color="auto"/>
              <w:left w:val="nil" w:sz="6" w:space="0" w:color="auto"/>
              <w:bottom w:val="single" w:sz="4" w:space="0" w:color="000000"/>
              <w:right w:val="nil" w:sz="6" w:space="0" w:color="auto"/>
            </w:tcBorders>
          </w:tcPr>
          <w:p>
            <w:pPr/>
          </w:p>
        </w:tc>
        <w:tc>
          <w:tcPr>
            <w:tcW w:w="61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92"/>
              <w:jc w:val="center"/>
              <w:rPr>
                <w:rFonts w:ascii="宋体" w:hAnsi="宋体" w:cs="宋体" w:eastAsia="宋体" w:hint="default"/>
                <w:sz w:val="13"/>
                <w:szCs w:val="13"/>
              </w:rPr>
            </w:pPr>
            <w:r>
              <w:rPr>
                <w:rFonts w:ascii="宋体" w:hAnsi="宋体" w:cs="宋体" w:eastAsia="宋体" w:hint="default"/>
                <w:b/>
                <w:bCs/>
                <w:sz w:val="13"/>
                <w:szCs w:val="13"/>
              </w:rPr>
              <w:t>期初余额</w:t>
            </w:r>
            <w:r>
              <w:rPr>
                <w:rFonts w:ascii="宋体" w:hAnsi="宋体" w:cs="宋体" w:eastAsia="宋体" w:hint="default"/>
                <w:sz w:val="13"/>
                <w:szCs w:val="13"/>
              </w:rPr>
            </w:r>
          </w:p>
        </w:tc>
        <w:tc>
          <w:tcPr>
            <w:tcW w:w="195" w:type="dxa"/>
            <w:tcBorders>
              <w:top w:val="nil" w:sz="6" w:space="0" w:color="auto"/>
              <w:left w:val="nil" w:sz="6" w:space="0" w:color="auto"/>
              <w:bottom w:val="single" w:sz="4" w:space="0" w:color="000000"/>
              <w:right w:val="nil" w:sz="6" w:space="0" w:color="auto"/>
            </w:tcBorders>
          </w:tcPr>
          <w:p>
            <w:pPr/>
          </w:p>
        </w:tc>
        <w:tc>
          <w:tcPr>
            <w:tcW w:w="78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100" w:right="0"/>
              <w:jc w:val="left"/>
              <w:rPr>
                <w:rFonts w:ascii="宋体" w:hAnsi="宋体" w:cs="宋体" w:eastAsia="宋体" w:hint="default"/>
                <w:sz w:val="13"/>
                <w:szCs w:val="13"/>
              </w:rPr>
            </w:pPr>
            <w:r>
              <w:rPr>
                <w:rFonts w:ascii="宋体" w:hAnsi="宋体" w:cs="宋体" w:eastAsia="宋体" w:hint="default"/>
                <w:b/>
                <w:bCs/>
                <w:sz w:val="13"/>
                <w:szCs w:val="13"/>
              </w:rPr>
              <w:t>本期增加</w:t>
            </w:r>
            <w:r>
              <w:rPr>
                <w:rFonts w:ascii="宋体" w:hAnsi="宋体" w:cs="宋体" w:eastAsia="宋体" w:hint="default"/>
                <w:sz w:val="13"/>
                <w:szCs w:val="13"/>
              </w:rPr>
            </w:r>
          </w:p>
        </w:tc>
        <w:tc>
          <w:tcPr>
            <w:tcW w:w="101" w:type="dxa"/>
            <w:tcBorders>
              <w:top w:val="nil" w:sz="6" w:space="0" w:color="auto"/>
              <w:left w:val="nil" w:sz="6" w:space="0" w:color="auto"/>
              <w:bottom w:val="single" w:sz="4" w:space="0" w:color="000000"/>
              <w:right w:val="nil" w:sz="6" w:space="0" w:color="auto"/>
            </w:tcBorders>
          </w:tcPr>
          <w:p>
            <w:pPr/>
          </w:p>
        </w:tc>
        <w:tc>
          <w:tcPr>
            <w:tcW w:w="83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0"/>
              <w:jc w:val="left"/>
              <w:rPr>
                <w:rFonts w:ascii="宋体" w:hAnsi="宋体" w:cs="宋体" w:eastAsia="宋体" w:hint="default"/>
                <w:sz w:val="13"/>
                <w:szCs w:val="13"/>
              </w:rPr>
            </w:pPr>
            <w:r>
              <w:rPr>
                <w:rFonts w:ascii="宋体" w:hAnsi="宋体" w:cs="宋体" w:eastAsia="宋体" w:hint="default"/>
                <w:b/>
                <w:bCs/>
                <w:sz w:val="13"/>
                <w:szCs w:val="13"/>
              </w:rPr>
              <w:t>转入固定资产</w:t>
            </w:r>
            <w:r>
              <w:rPr>
                <w:rFonts w:ascii="宋体" w:hAnsi="宋体" w:cs="宋体" w:eastAsia="宋体" w:hint="default"/>
                <w:sz w:val="13"/>
                <w:szCs w:val="13"/>
              </w:rPr>
            </w:r>
          </w:p>
        </w:tc>
        <w:tc>
          <w:tcPr>
            <w:tcW w:w="36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439" w:lineRule="auto"/>
              <w:ind w:left="49" w:right="47"/>
              <w:jc w:val="left"/>
              <w:rPr>
                <w:rFonts w:ascii="宋体" w:hAnsi="宋体" w:cs="宋体" w:eastAsia="宋体" w:hint="default"/>
                <w:sz w:val="13"/>
                <w:szCs w:val="13"/>
              </w:rPr>
            </w:pPr>
            <w:r>
              <w:rPr>
                <w:rFonts w:ascii="宋体" w:hAnsi="宋体" w:cs="宋体" w:eastAsia="宋体" w:hint="default"/>
                <w:b/>
                <w:bCs/>
                <w:sz w:val="13"/>
                <w:szCs w:val="13"/>
              </w:rPr>
              <w:t>其他</w:t>
            </w:r>
            <w:r>
              <w:rPr>
                <w:rFonts w:ascii="宋体" w:hAnsi="宋体" w:cs="宋体" w:eastAsia="宋体" w:hint="default"/>
                <w:b/>
                <w:bCs/>
                <w:spacing w:val="-64"/>
                <w:sz w:val="13"/>
                <w:szCs w:val="13"/>
              </w:rPr>
              <w:t> </w:t>
            </w:r>
            <w:r>
              <w:rPr>
                <w:rFonts w:ascii="宋体" w:hAnsi="宋体" w:cs="宋体" w:eastAsia="宋体" w:hint="default"/>
                <w:b/>
                <w:bCs/>
                <w:sz w:val="13"/>
                <w:szCs w:val="13"/>
              </w:rPr>
              <w:t>减少</w:t>
            </w:r>
            <w:r>
              <w:rPr>
                <w:rFonts w:ascii="宋体" w:hAnsi="宋体" w:cs="宋体" w:eastAsia="宋体" w:hint="default"/>
                <w:sz w:val="13"/>
                <w:szCs w:val="13"/>
              </w:rPr>
            </w:r>
          </w:p>
        </w:tc>
        <w:tc>
          <w:tcPr>
            <w:tcW w:w="687" w:type="dxa"/>
            <w:tcBorders>
              <w:top w:val="nil" w:sz="6" w:space="0" w:color="auto"/>
              <w:left w:val="nil" w:sz="6" w:space="0" w:color="auto"/>
              <w:bottom w:val="single" w:sz="4" w:space="0" w:color="000000"/>
              <w:right w:val="nil" w:sz="6" w:space="0" w:color="auto"/>
            </w:tcBorders>
          </w:tcPr>
          <w:p>
            <w:pPr>
              <w:pStyle w:val="TableParagraph"/>
              <w:spacing w:line="130" w:lineRule="exact"/>
              <w:ind w:left="47" w:right="0"/>
              <w:jc w:val="left"/>
              <w:rPr>
                <w:rFonts w:ascii="宋体" w:hAnsi="宋体" w:cs="宋体" w:eastAsia="宋体" w:hint="default"/>
                <w:sz w:val="13"/>
                <w:szCs w:val="13"/>
              </w:rPr>
            </w:pPr>
            <w:r>
              <w:rPr>
                <w:rFonts w:ascii="宋体" w:hAnsi="宋体" w:cs="宋体" w:eastAsia="宋体" w:hint="default"/>
                <w:b/>
                <w:bCs/>
                <w:spacing w:val="9"/>
                <w:sz w:val="13"/>
                <w:szCs w:val="13"/>
              </w:rPr>
              <w:t>工程投</w:t>
            </w:r>
            <w:r>
              <w:rPr>
                <w:rFonts w:ascii="宋体" w:hAnsi="宋体" w:cs="宋体" w:eastAsia="宋体" w:hint="default"/>
                <w:b/>
                <w:bCs/>
                <w:spacing w:val="-52"/>
                <w:sz w:val="13"/>
                <w:szCs w:val="13"/>
              </w:rPr>
              <w:t> </w:t>
            </w:r>
            <w:r>
              <w:rPr>
                <w:rFonts w:ascii="宋体" w:hAnsi="宋体" w:cs="宋体" w:eastAsia="宋体" w:hint="default"/>
                <w:b/>
                <w:bCs/>
                <w:sz w:val="13"/>
                <w:szCs w:val="13"/>
              </w:rPr>
              <w:t>入</w:t>
            </w:r>
            <w:r>
              <w:rPr>
                <w:rFonts w:ascii="宋体" w:hAnsi="宋体" w:cs="宋体" w:eastAsia="宋体" w:hint="default"/>
                <w:sz w:val="13"/>
                <w:szCs w:val="13"/>
              </w:rPr>
            </w:r>
          </w:p>
          <w:p>
            <w:pPr>
              <w:pStyle w:val="TableParagraph"/>
              <w:spacing w:line="240" w:lineRule="auto" w:before="11"/>
              <w:ind w:right="0"/>
              <w:jc w:val="left"/>
              <w:rPr>
                <w:rFonts w:ascii="宋体" w:hAnsi="宋体" w:cs="宋体" w:eastAsia="宋体" w:hint="default"/>
                <w:sz w:val="10"/>
                <w:szCs w:val="10"/>
              </w:rPr>
            </w:pPr>
          </w:p>
          <w:p>
            <w:pPr>
              <w:pStyle w:val="TableParagraph"/>
              <w:spacing w:line="494" w:lineRule="auto"/>
              <w:ind w:left="47" w:right="48"/>
              <w:jc w:val="left"/>
              <w:rPr>
                <w:rFonts w:ascii="宋体" w:hAnsi="宋体" w:cs="宋体" w:eastAsia="宋体" w:hint="default"/>
                <w:sz w:val="13"/>
                <w:szCs w:val="13"/>
              </w:rPr>
            </w:pPr>
            <w:r>
              <w:rPr>
                <w:rFonts w:ascii="宋体" w:hAnsi="宋体" w:cs="宋体" w:eastAsia="宋体" w:hint="default"/>
                <w:b/>
                <w:bCs/>
                <w:sz w:val="13"/>
                <w:szCs w:val="13"/>
              </w:rPr>
              <w:t>占 预</w:t>
            </w:r>
            <w:r>
              <w:rPr>
                <w:rFonts w:ascii="宋体" w:hAnsi="宋体" w:cs="宋体" w:eastAsia="宋体" w:hint="default"/>
                <w:b/>
                <w:bCs/>
                <w:spacing w:val="40"/>
                <w:sz w:val="13"/>
                <w:szCs w:val="13"/>
              </w:rPr>
              <w:t> </w:t>
            </w:r>
            <w:r>
              <w:rPr>
                <w:rFonts w:ascii="宋体" w:hAnsi="宋体" w:cs="宋体" w:eastAsia="宋体" w:hint="default"/>
                <w:b/>
                <w:bCs/>
                <w:sz w:val="13"/>
                <w:szCs w:val="13"/>
              </w:rPr>
              <w:t>算</w:t>
            </w:r>
            <w:r>
              <w:rPr>
                <w:rFonts w:ascii="宋体" w:hAnsi="宋体" w:cs="宋体" w:eastAsia="宋体" w:hint="default"/>
                <w:b/>
                <w:bCs/>
                <w:w w:val="99"/>
                <w:sz w:val="13"/>
                <w:szCs w:val="13"/>
              </w:rPr>
              <w:t> </w:t>
            </w:r>
            <w:r>
              <w:rPr>
                <w:rFonts w:ascii="宋体" w:hAnsi="宋体" w:cs="宋体" w:eastAsia="宋体" w:hint="default"/>
                <w:b/>
                <w:bCs/>
                <w:sz w:val="13"/>
                <w:szCs w:val="13"/>
              </w:rPr>
              <w:t>比例（</w:t>
            </w:r>
            <w:r>
              <w:rPr>
                <w:rFonts w:ascii="宋体" w:hAnsi="宋体" w:cs="宋体" w:eastAsia="宋体" w:hint="default"/>
                <w:b/>
                <w:bCs/>
                <w:sz w:val="13"/>
                <w:szCs w:val="13"/>
              </w:rPr>
              <w:t>%</w:t>
            </w:r>
            <w:r>
              <w:rPr>
                <w:rFonts w:ascii="宋体" w:hAnsi="宋体" w:cs="宋体" w:eastAsia="宋体" w:hint="default"/>
                <w:b/>
                <w:bCs/>
                <w:sz w:val="13"/>
                <w:szCs w:val="13"/>
              </w:rPr>
              <w:t>）</w:t>
            </w:r>
            <w:r>
              <w:rPr>
                <w:rFonts w:ascii="宋体" w:hAnsi="宋体" w:cs="宋体" w:eastAsia="宋体" w:hint="default"/>
                <w:sz w:val="13"/>
                <w:szCs w:val="13"/>
              </w:rPr>
            </w:r>
          </w:p>
        </w:tc>
        <w:tc>
          <w:tcPr>
            <w:tcW w:w="38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439" w:lineRule="auto"/>
              <w:ind w:left="50" w:right="71"/>
              <w:jc w:val="left"/>
              <w:rPr>
                <w:rFonts w:ascii="宋体" w:hAnsi="宋体" w:cs="宋体" w:eastAsia="宋体" w:hint="default"/>
                <w:sz w:val="13"/>
                <w:szCs w:val="13"/>
              </w:rPr>
            </w:pPr>
            <w:r>
              <w:rPr>
                <w:rFonts w:ascii="宋体" w:hAnsi="宋体" w:cs="宋体" w:eastAsia="宋体" w:hint="default"/>
                <w:b/>
                <w:bCs/>
                <w:sz w:val="13"/>
                <w:szCs w:val="13"/>
              </w:rPr>
              <w:t>工程</w:t>
            </w:r>
            <w:r>
              <w:rPr>
                <w:rFonts w:ascii="宋体" w:hAnsi="宋体" w:cs="宋体" w:eastAsia="宋体" w:hint="default"/>
                <w:b/>
                <w:bCs/>
                <w:spacing w:val="-64"/>
                <w:sz w:val="13"/>
                <w:szCs w:val="13"/>
              </w:rPr>
              <w:t> </w:t>
            </w:r>
            <w:r>
              <w:rPr>
                <w:rFonts w:ascii="宋体" w:hAnsi="宋体" w:cs="宋体" w:eastAsia="宋体" w:hint="default"/>
                <w:b/>
                <w:bCs/>
                <w:sz w:val="13"/>
                <w:szCs w:val="13"/>
              </w:rPr>
              <w:t>进度</w:t>
            </w:r>
            <w:r>
              <w:rPr>
                <w:rFonts w:ascii="宋体" w:hAnsi="宋体" w:cs="宋体" w:eastAsia="宋体" w:hint="default"/>
                <w:sz w:val="13"/>
                <w:szCs w:val="13"/>
              </w:rPr>
            </w:r>
          </w:p>
        </w:tc>
        <w:tc>
          <w:tcPr>
            <w:tcW w:w="645" w:type="dxa"/>
            <w:tcBorders>
              <w:top w:val="nil" w:sz="6" w:space="0" w:color="auto"/>
              <w:left w:val="nil" w:sz="6" w:space="0" w:color="auto"/>
              <w:bottom w:val="single" w:sz="4" w:space="0" w:color="000000"/>
              <w:right w:val="nil" w:sz="6" w:space="0" w:color="auto"/>
            </w:tcBorders>
          </w:tcPr>
          <w:p>
            <w:pPr>
              <w:pStyle w:val="TableParagraph"/>
              <w:spacing w:line="149" w:lineRule="exact"/>
              <w:ind w:left="51" w:right="0"/>
              <w:jc w:val="left"/>
              <w:rPr>
                <w:rFonts w:ascii="宋体" w:hAnsi="宋体" w:cs="宋体" w:eastAsia="宋体" w:hint="default"/>
                <w:sz w:val="13"/>
                <w:szCs w:val="13"/>
              </w:rPr>
            </w:pPr>
            <w:r>
              <w:rPr>
                <w:rFonts w:ascii="宋体" w:hAnsi="宋体" w:cs="宋体" w:eastAsia="宋体" w:hint="default"/>
                <w:b/>
                <w:bCs/>
                <w:spacing w:val="9"/>
                <w:sz w:val="13"/>
                <w:szCs w:val="13"/>
              </w:rPr>
              <w:t>利息资</w:t>
            </w:r>
            <w:r>
              <w:rPr>
                <w:rFonts w:ascii="宋体" w:hAnsi="宋体" w:cs="宋体" w:eastAsia="宋体" w:hint="default"/>
                <w:b/>
                <w:bCs/>
                <w:spacing w:val="-52"/>
                <w:sz w:val="13"/>
                <w:szCs w:val="13"/>
              </w:rPr>
              <w:t> </w:t>
            </w:r>
            <w:r>
              <w:rPr>
                <w:rFonts w:ascii="宋体" w:hAnsi="宋体" w:cs="宋体" w:eastAsia="宋体" w:hint="default"/>
                <w:b/>
                <w:bCs/>
                <w:sz w:val="13"/>
                <w:szCs w:val="13"/>
              </w:rPr>
              <w:t>本</w:t>
            </w:r>
            <w:r>
              <w:rPr>
                <w:rFonts w:ascii="宋体" w:hAnsi="宋体" w:cs="宋体" w:eastAsia="宋体" w:hint="default"/>
                <w:sz w:val="13"/>
                <w:szCs w:val="13"/>
              </w:rPr>
            </w:r>
          </w:p>
          <w:p>
            <w:pPr>
              <w:pStyle w:val="TableParagraph"/>
              <w:spacing w:line="240" w:lineRule="auto" w:before="11"/>
              <w:ind w:right="0"/>
              <w:jc w:val="left"/>
              <w:rPr>
                <w:rFonts w:ascii="宋体" w:hAnsi="宋体" w:cs="宋体" w:eastAsia="宋体" w:hint="default"/>
                <w:sz w:val="10"/>
                <w:szCs w:val="10"/>
              </w:rPr>
            </w:pPr>
          </w:p>
          <w:p>
            <w:pPr>
              <w:pStyle w:val="TableParagraph"/>
              <w:spacing w:line="439" w:lineRule="auto"/>
              <w:ind w:left="267" w:right="28" w:hanging="216"/>
              <w:jc w:val="left"/>
              <w:rPr>
                <w:rFonts w:ascii="宋体" w:hAnsi="宋体" w:cs="宋体" w:eastAsia="宋体" w:hint="default"/>
                <w:sz w:val="13"/>
                <w:szCs w:val="13"/>
              </w:rPr>
            </w:pPr>
            <w:r>
              <w:rPr>
                <w:rFonts w:ascii="宋体" w:hAnsi="宋体" w:cs="宋体" w:eastAsia="宋体" w:hint="default"/>
                <w:b/>
                <w:bCs/>
                <w:spacing w:val="9"/>
                <w:sz w:val="13"/>
                <w:szCs w:val="13"/>
              </w:rPr>
              <w:t>化累计</w:t>
            </w:r>
            <w:r>
              <w:rPr>
                <w:rFonts w:ascii="宋体" w:hAnsi="宋体" w:cs="宋体" w:eastAsia="宋体" w:hint="default"/>
                <w:b/>
                <w:bCs/>
                <w:spacing w:val="-52"/>
                <w:sz w:val="13"/>
                <w:szCs w:val="13"/>
              </w:rPr>
              <w:t> </w:t>
            </w:r>
            <w:r>
              <w:rPr>
                <w:rFonts w:ascii="宋体" w:hAnsi="宋体" w:cs="宋体" w:eastAsia="宋体" w:hint="default"/>
                <w:b/>
                <w:bCs/>
                <w:sz w:val="13"/>
                <w:szCs w:val="13"/>
              </w:rPr>
              <w:t>金</w:t>
            </w:r>
            <w:r>
              <w:rPr>
                <w:rFonts w:ascii="宋体" w:hAnsi="宋体" w:cs="宋体" w:eastAsia="宋体" w:hint="default"/>
                <w:b/>
                <w:bCs/>
                <w:w w:val="99"/>
                <w:sz w:val="13"/>
                <w:szCs w:val="13"/>
              </w:rPr>
              <w:t> </w:t>
            </w:r>
            <w:r>
              <w:rPr>
                <w:rFonts w:ascii="宋体" w:hAnsi="宋体" w:cs="宋体" w:eastAsia="宋体" w:hint="default"/>
                <w:b/>
                <w:bCs/>
                <w:sz w:val="13"/>
                <w:szCs w:val="13"/>
              </w:rPr>
              <w:t>额</w:t>
            </w:r>
            <w:r>
              <w:rPr>
                <w:rFonts w:ascii="宋体" w:hAnsi="宋体" w:cs="宋体" w:eastAsia="宋体" w:hint="default"/>
                <w:sz w:val="13"/>
                <w:szCs w:val="13"/>
              </w:rPr>
            </w:r>
          </w:p>
        </w:tc>
        <w:tc>
          <w:tcPr>
            <w:tcW w:w="648" w:type="dxa"/>
            <w:tcBorders>
              <w:top w:val="nil" w:sz="6" w:space="0" w:color="auto"/>
              <w:left w:val="nil" w:sz="6" w:space="0" w:color="auto"/>
              <w:bottom w:val="single" w:sz="4" w:space="0" w:color="000000"/>
              <w:right w:val="nil" w:sz="6" w:space="0" w:color="auto"/>
            </w:tcBorders>
          </w:tcPr>
          <w:p>
            <w:pPr>
              <w:pStyle w:val="TableParagraph"/>
              <w:spacing w:line="149" w:lineRule="exact"/>
              <w:ind w:left="30" w:right="0"/>
              <w:jc w:val="left"/>
              <w:rPr>
                <w:rFonts w:ascii="宋体" w:hAnsi="宋体" w:cs="宋体" w:eastAsia="宋体" w:hint="default"/>
                <w:sz w:val="13"/>
                <w:szCs w:val="13"/>
              </w:rPr>
            </w:pPr>
            <w:r>
              <w:rPr>
                <w:rFonts w:ascii="宋体" w:hAnsi="宋体" w:cs="宋体" w:eastAsia="宋体" w:hint="default"/>
                <w:b/>
                <w:bCs/>
                <w:spacing w:val="9"/>
                <w:sz w:val="13"/>
                <w:szCs w:val="13"/>
              </w:rPr>
              <w:t>其中：</w:t>
            </w:r>
            <w:r>
              <w:rPr>
                <w:rFonts w:ascii="宋体" w:hAnsi="宋体" w:cs="宋体" w:eastAsia="宋体" w:hint="default"/>
                <w:b/>
                <w:bCs/>
                <w:spacing w:val="-52"/>
                <w:sz w:val="13"/>
                <w:szCs w:val="13"/>
              </w:rPr>
              <w:t> </w:t>
            </w:r>
            <w:r>
              <w:rPr>
                <w:rFonts w:ascii="宋体" w:hAnsi="宋体" w:cs="宋体" w:eastAsia="宋体" w:hint="default"/>
                <w:b/>
                <w:bCs/>
                <w:sz w:val="13"/>
                <w:szCs w:val="13"/>
              </w:rPr>
              <w:t>本</w:t>
            </w:r>
            <w:r>
              <w:rPr>
                <w:rFonts w:ascii="宋体" w:hAnsi="宋体" w:cs="宋体" w:eastAsia="宋体" w:hint="default"/>
                <w:sz w:val="13"/>
                <w:szCs w:val="13"/>
              </w:rPr>
            </w:r>
          </w:p>
          <w:p>
            <w:pPr>
              <w:pStyle w:val="TableParagraph"/>
              <w:spacing w:line="240" w:lineRule="auto" w:before="11"/>
              <w:ind w:right="0"/>
              <w:jc w:val="left"/>
              <w:rPr>
                <w:rFonts w:ascii="宋体" w:hAnsi="宋体" w:cs="宋体" w:eastAsia="宋体" w:hint="default"/>
                <w:sz w:val="10"/>
                <w:szCs w:val="10"/>
              </w:rPr>
            </w:pPr>
          </w:p>
          <w:p>
            <w:pPr>
              <w:pStyle w:val="TableParagraph"/>
              <w:spacing w:line="439" w:lineRule="auto"/>
              <w:ind w:left="30" w:right="52"/>
              <w:jc w:val="left"/>
              <w:rPr>
                <w:rFonts w:ascii="宋体" w:hAnsi="宋体" w:cs="宋体" w:eastAsia="宋体" w:hint="default"/>
                <w:sz w:val="13"/>
                <w:szCs w:val="13"/>
              </w:rPr>
            </w:pPr>
            <w:r>
              <w:rPr>
                <w:rFonts w:ascii="宋体" w:hAnsi="宋体" w:cs="宋体" w:eastAsia="宋体" w:hint="default"/>
                <w:b/>
                <w:bCs/>
                <w:spacing w:val="9"/>
                <w:sz w:val="13"/>
                <w:szCs w:val="13"/>
              </w:rPr>
              <w:t>期利息</w:t>
            </w:r>
            <w:r>
              <w:rPr>
                <w:rFonts w:ascii="宋体" w:hAnsi="宋体" w:cs="宋体" w:eastAsia="宋体" w:hint="default"/>
                <w:b/>
                <w:bCs/>
                <w:spacing w:val="-52"/>
                <w:sz w:val="13"/>
                <w:szCs w:val="13"/>
              </w:rPr>
              <w:t> </w:t>
            </w:r>
            <w:r>
              <w:rPr>
                <w:rFonts w:ascii="宋体" w:hAnsi="宋体" w:cs="宋体" w:eastAsia="宋体" w:hint="default"/>
                <w:b/>
                <w:bCs/>
                <w:sz w:val="13"/>
                <w:szCs w:val="13"/>
              </w:rPr>
              <w:t>资</w:t>
            </w:r>
            <w:r>
              <w:rPr>
                <w:rFonts w:ascii="宋体" w:hAnsi="宋体" w:cs="宋体" w:eastAsia="宋体" w:hint="default"/>
                <w:b/>
                <w:bCs/>
                <w:w w:val="99"/>
                <w:sz w:val="13"/>
                <w:szCs w:val="13"/>
              </w:rPr>
              <w:t> </w:t>
            </w:r>
            <w:r>
              <w:rPr>
                <w:rFonts w:ascii="宋体" w:hAnsi="宋体" w:cs="宋体" w:eastAsia="宋体" w:hint="default"/>
                <w:b/>
                <w:bCs/>
                <w:spacing w:val="9"/>
                <w:sz w:val="13"/>
                <w:szCs w:val="13"/>
              </w:rPr>
              <w:t>本化金</w:t>
            </w:r>
            <w:r>
              <w:rPr>
                <w:rFonts w:ascii="宋体" w:hAnsi="宋体" w:cs="宋体" w:eastAsia="宋体" w:hint="default"/>
                <w:b/>
                <w:bCs/>
                <w:spacing w:val="-52"/>
                <w:sz w:val="13"/>
                <w:szCs w:val="13"/>
              </w:rPr>
              <w:t> </w:t>
            </w:r>
            <w:r>
              <w:rPr>
                <w:rFonts w:ascii="宋体" w:hAnsi="宋体" w:cs="宋体" w:eastAsia="宋体" w:hint="default"/>
                <w:b/>
                <w:bCs/>
                <w:sz w:val="13"/>
                <w:szCs w:val="13"/>
              </w:rPr>
              <w:t>额</w:t>
            </w:r>
            <w:r>
              <w:rPr>
                <w:rFonts w:ascii="宋体" w:hAnsi="宋体" w:cs="宋体" w:eastAsia="宋体" w:hint="default"/>
                <w:sz w:val="13"/>
                <w:szCs w:val="13"/>
              </w:rPr>
            </w:r>
          </w:p>
        </w:tc>
        <w:tc>
          <w:tcPr>
            <w:tcW w:w="664" w:type="dxa"/>
            <w:tcBorders>
              <w:top w:val="nil" w:sz="6" w:space="0" w:color="auto"/>
              <w:left w:val="nil" w:sz="6" w:space="0" w:color="auto"/>
              <w:bottom w:val="single" w:sz="4" w:space="0" w:color="000000"/>
              <w:right w:val="nil" w:sz="6" w:space="0" w:color="auto"/>
            </w:tcBorders>
          </w:tcPr>
          <w:p>
            <w:pPr>
              <w:pStyle w:val="TableParagraph"/>
              <w:spacing w:line="149" w:lineRule="exact"/>
              <w:ind w:left="54" w:right="0"/>
              <w:jc w:val="left"/>
              <w:rPr>
                <w:rFonts w:ascii="宋体" w:hAnsi="宋体" w:cs="宋体" w:eastAsia="宋体" w:hint="default"/>
                <w:sz w:val="13"/>
                <w:szCs w:val="13"/>
              </w:rPr>
            </w:pPr>
            <w:r>
              <w:rPr>
                <w:rFonts w:ascii="宋体" w:hAnsi="宋体" w:cs="宋体" w:eastAsia="宋体" w:hint="default"/>
                <w:b/>
                <w:bCs/>
                <w:sz w:val="13"/>
                <w:szCs w:val="13"/>
              </w:rPr>
              <w:t>本期利息</w:t>
            </w:r>
            <w:r>
              <w:rPr>
                <w:rFonts w:ascii="宋体" w:hAnsi="宋体" w:cs="宋体" w:eastAsia="宋体" w:hint="default"/>
                <w:sz w:val="13"/>
                <w:szCs w:val="13"/>
              </w:rPr>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54" w:right="0"/>
              <w:jc w:val="left"/>
              <w:rPr>
                <w:rFonts w:ascii="宋体" w:hAnsi="宋体" w:cs="宋体" w:eastAsia="宋体" w:hint="default"/>
                <w:sz w:val="13"/>
                <w:szCs w:val="13"/>
              </w:rPr>
            </w:pPr>
            <w:r>
              <w:rPr>
                <w:rFonts w:ascii="宋体" w:hAnsi="宋体" w:cs="宋体" w:eastAsia="宋体" w:hint="default"/>
                <w:b/>
                <w:bCs/>
                <w:sz w:val="13"/>
                <w:szCs w:val="13"/>
              </w:rPr>
              <w:t>资本化率</w:t>
            </w:r>
            <w:r>
              <w:rPr>
                <w:rFonts w:ascii="宋体" w:hAnsi="宋体" w:cs="宋体" w:eastAsia="宋体" w:hint="default"/>
                <w:sz w:val="13"/>
                <w:szCs w:val="13"/>
              </w:rPr>
            </w: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52" w:right="0"/>
              <w:jc w:val="left"/>
              <w:rPr>
                <w:rFonts w:ascii="宋体" w:hAnsi="宋体" w:cs="宋体" w:eastAsia="宋体" w:hint="default"/>
                <w:sz w:val="13"/>
                <w:szCs w:val="13"/>
              </w:rPr>
            </w:pPr>
            <w:r>
              <w:rPr>
                <w:rFonts w:ascii="宋体" w:hAnsi="宋体" w:cs="宋体" w:eastAsia="宋体" w:hint="default"/>
                <w:b/>
                <w:bCs/>
                <w:sz w:val="13"/>
                <w:szCs w:val="13"/>
              </w:rPr>
              <w:t>（</w:t>
            </w:r>
            <w:r>
              <w:rPr>
                <w:rFonts w:ascii="宋体" w:hAnsi="宋体" w:cs="宋体" w:eastAsia="宋体" w:hint="default"/>
                <w:b/>
                <w:bCs/>
                <w:sz w:val="13"/>
                <w:szCs w:val="13"/>
              </w:rPr>
              <w:t>%</w:t>
            </w:r>
            <w:r>
              <w:rPr>
                <w:rFonts w:ascii="宋体" w:hAnsi="宋体" w:cs="宋体" w:eastAsia="宋体" w:hint="default"/>
                <w:b/>
                <w:bCs/>
                <w:sz w:val="13"/>
                <w:szCs w:val="13"/>
              </w:rPr>
              <w:t>）</w:t>
            </w:r>
            <w:r>
              <w:rPr>
                <w:rFonts w:ascii="宋体" w:hAnsi="宋体" w:cs="宋体" w:eastAsia="宋体" w:hint="default"/>
                <w:sz w:val="13"/>
                <w:szCs w:val="13"/>
              </w:rPr>
            </w:r>
          </w:p>
        </w:tc>
        <w:tc>
          <w:tcPr>
            <w:tcW w:w="46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8"/>
                <w:szCs w:val="8"/>
              </w:rPr>
            </w:pPr>
          </w:p>
          <w:p>
            <w:pPr>
              <w:pStyle w:val="TableParagraph"/>
              <w:spacing w:line="494" w:lineRule="auto"/>
              <w:ind w:left="86" w:right="107"/>
              <w:jc w:val="left"/>
              <w:rPr>
                <w:rFonts w:ascii="宋体" w:hAnsi="宋体" w:cs="宋体" w:eastAsia="宋体" w:hint="default"/>
                <w:sz w:val="13"/>
                <w:szCs w:val="13"/>
              </w:rPr>
            </w:pPr>
            <w:r>
              <w:rPr>
                <w:rFonts w:ascii="宋体" w:hAnsi="宋体" w:cs="宋体" w:eastAsia="宋体" w:hint="default"/>
                <w:b/>
                <w:bCs/>
                <w:sz w:val="13"/>
                <w:szCs w:val="13"/>
              </w:rPr>
              <w:t>资金</w:t>
            </w:r>
            <w:r>
              <w:rPr>
                <w:rFonts w:ascii="宋体" w:hAnsi="宋体" w:cs="宋体" w:eastAsia="宋体" w:hint="default"/>
                <w:b/>
                <w:bCs/>
                <w:spacing w:val="-64"/>
                <w:sz w:val="13"/>
                <w:szCs w:val="13"/>
              </w:rPr>
              <w:t> </w:t>
            </w:r>
            <w:r>
              <w:rPr>
                <w:rFonts w:ascii="宋体" w:hAnsi="宋体" w:cs="宋体" w:eastAsia="宋体" w:hint="default"/>
                <w:b/>
                <w:bCs/>
                <w:sz w:val="13"/>
                <w:szCs w:val="13"/>
              </w:rPr>
              <w:t>来源</w:t>
            </w:r>
            <w:r>
              <w:rPr>
                <w:rFonts w:ascii="宋体" w:hAnsi="宋体" w:cs="宋体" w:eastAsia="宋体" w:hint="default"/>
                <w:sz w:val="13"/>
                <w:szCs w:val="13"/>
              </w:rPr>
            </w:r>
          </w:p>
        </w:tc>
        <w:tc>
          <w:tcPr>
            <w:tcW w:w="94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13"/>
              <w:jc w:val="center"/>
              <w:rPr>
                <w:rFonts w:ascii="宋体" w:hAnsi="宋体" w:cs="宋体" w:eastAsia="宋体" w:hint="default"/>
                <w:sz w:val="13"/>
                <w:szCs w:val="13"/>
              </w:rPr>
            </w:pPr>
            <w:r>
              <w:rPr>
                <w:rFonts w:ascii="宋体" w:hAnsi="宋体" w:cs="宋体" w:eastAsia="宋体" w:hint="default"/>
                <w:b/>
                <w:bCs/>
                <w:sz w:val="13"/>
                <w:szCs w:val="13"/>
              </w:rPr>
              <w:t>期末余额</w:t>
            </w:r>
            <w:r>
              <w:rPr>
                <w:rFonts w:ascii="宋体" w:hAnsi="宋体" w:cs="宋体" w:eastAsia="宋体" w:hint="default"/>
                <w:sz w:val="13"/>
                <w:szCs w:val="13"/>
              </w:rPr>
            </w:r>
          </w:p>
        </w:tc>
      </w:tr>
      <w:tr>
        <w:trPr>
          <w:trHeight w:val="862" w:hRule="exact"/>
        </w:trPr>
        <w:tc>
          <w:tcPr>
            <w:tcW w:w="84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8"/>
                <w:szCs w:val="8"/>
              </w:rPr>
            </w:pPr>
          </w:p>
          <w:p>
            <w:pPr>
              <w:pStyle w:val="TableParagraph"/>
              <w:spacing w:line="436" w:lineRule="auto"/>
              <w:ind w:left="31" w:right="67"/>
              <w:jc w:val="left"/>
              <w:rPr>
                <w:rFonts w:ascii="宋体" w:hAnsi="宋体" w:cs="宋体" w:eastAsia="宋体" w:hint="default"/>
                <w:sz w:val="13"/>
                <w:szCs w:val="13"/>
              </w:rPr>
            </w:pPr>
            <w:r>
              <w:rPr>
                <w:rFonts w:ascii="宋体" w:hAnsi="宋体" w:cs="宋体" w:eastAsia="宋体" w:hint="default"/>
                <w:sz w:val="13"/>
                <w:szCs w:val="13"/>
              </w:rPr>
              <w:t>研</w:t>
            </w:r>
            <w:r>
              <w:rPr>
                <w:rFonts w:ascii="宋体" w:hAnsi="宋体" w:cs="宋体" w:eastAsia="宋体" w:hint="default"/>
                <w:spacing w:val="-43"/>
                <w:sz w:val="13"/>
                <w:szCs w:val="13"/>
              </w:rPr>
              <w:t> </w:t>
            </w:r>
            <w:r>
              <w:rPr>
                <w:rFonts w:ascii="宋体" w:hAnsi="宋体" w:cs="宋体" w:eastAsia="宋体" w:hint="default"/>
                <w:sz w:val="13"/>
                <w:szCs w:val="13"/>
              </w:rPr>
              <w:t>发</w:t>
            </w:r>
            <w:r>
              <w:rPr>
                <w:rFonts w:ascii="宋体" w:hAnsi="宋体" w:cs="宋体" w:eastAsia="宋体" w:hint="default"/>
                <w:spacing w:val="-43"/>
                <w:sz w:val="13"/>
                <w:szCs w:val="13"/>
              </w:rPr>
              <w:t> </w:t>
            </w:r>
            <w:r>
              <w:rPr>
                <w:rFonts w:ascii="宋体" w:hAnsi="宋体" w:cs="宋体" w:eastAsia="宋体" w:hint="default"/>
                <w:sz w:val="13"/>
                <w:szCs w:val="13"/>
              </w:rPr>
              <w:t>中</w:t>
            </w:r>
            <w:r>
              <w:rPr>
                <w:rFonts w:ascii="宋体" w:hAnsi="宋体" w:cs="宋体" w:eastAsia="宋体" w:hint="default"/>
                <w:spacing w:val="-40"/>
                <w:sz w:val="13"/>
                <w:szCs w:val="13"/>
              </w:rPr>
              <w:t> </w:t>
            </w:r>
            <w:r>
              <w:rPr>
                <w:rFonts w:ascii="宋体" w:hAnsi="宋体" w:cs="宋体" w:eastAsia="宋体" w:hint="default"/>
                <w:sz w:val="13"/>
                <w:szCs w:val="13"/>
              </w:rPr>
              <w:t>心</w:t>
            </w:r>
            <w:r>
              <w:rPr>
                <w:rFonts w:ascii="宋体" w:hAnsi="宋体" w:cs="宋体" w:eastAsia="宋体" w:hint="default"/>
                <w:spacing w:val="-43"/>
                <w:sz w:val="13"/>
                <w:szCs w:val="13"/>
              </w:rPr>
              <w:t> </w:t>
            </w:r>
            <w:r>
              <w:rPr>
                <w:rFonts w:ascii="宋体" w:hAnsi="宋体" w:cs="宋体" w:eastAsia="宋体" w:hint="default"/>
                <w:sz w:val="13"/>
                <w:szCs w:val="13"/>
              </w:rPr>
              <w:t>综</w:t>
            </w:r>
            <w:r>
              <w:rPr>
                <w:rFonts w:ascii="宋体" w:hAnsi="宋体" w:cs="宋体" w:eastAsia="宋体" w:hint="default"/>
                <w:w w:val="99"/>
                <w:sz w:val="13"/>
                <w:szCs w:val="13"/>
              </w:rPr>
              <w:t> </w:t>
            </w:r>
            <w:r>
              <w:rPr>
                <w:rFonts w:ascii="宋体" w:hAnsi="宋体" w:cs="宋体" w:eastAsia="宋体" w:hint="default"/>
                <w:sz w:val="13"/>
                <w:szCs w:val="13"/>
              </w:rPr>
              <w:t>合楼建设</w:t>
            </w:r>
          </w:p>
        </w:tc>
        <w:tc>
          <w:tcPr>
            <w:tcW w:w="104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0"/>
              <w:jc w:val="right"/>
              <w:rPr>
                <w:rFonts w:ascii="宋体" w:hAnsi="宋体" w:cs="宋体" w:eastAsia="宋体" w:hint="default"/>
                <w:sz w:val="13"/>
                <w:szCs w:val="13"/>
              </w:rPr>
            </w:pPr>
            <w:r>
              <w:rPr>
                <w:rFonts w:ascii="宋体"/>
                <w:w w:val="95"/>
                <w:sz w:val="13"/>
              </w:rPr>
              <w:t>135,628,400.00</w:t>
            </w:r>
            <w:r>
              <w:rPr>
                <w:rFonts w:ascii="宋体"/>
                <w:sz w:val="13"/>
              </w:rPr>
            </w:r>
          </w:p>
        </w:tc>
        <w:tc>
          <w:tcPr>
            <w:tcW w:w="238" w:type="dxa"/>
            <w:tcBorders>
              <w:top w:val="single" w:sz="4" w:space="0" w:color="000000"/>
              <w:left w:val="nil" w:sz="6" w:space="0" w:color="auto"/>
              <w:bottom w:val="nil" w:sz="6" w:space="0" w:color="auto"/>
              <w:right w:val="nil" w:sz="6" w:space="0" w:color="auto"/>
            </w:tcBorders>
          </w:tcPr>
          <w:p>
            <w:pPr/>
          </w:p>
        </w:tc>
        <w:tc>
          <w:tcPr>
            <w:tcW w:w="61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left="28" w:right="0"/>
              <w:jc w:val="center"/>
              <w:rPr>
                <w:rFonts w:ascii="宋体" w:hAnsi="宋体" w:cs="宋体" w:eastAsia="宋体" w:hint="default"/>
                <w:sz w:val="13"/>
                <w:szCs w:val="13"/>
              </w:rPr>
            </w:pPr>
            <w:r>
              <w:rPr>
                <w:rFonts w:ascii="宋体"/>
                <w:sz w:val="13"/>
              </w:rPr>
              <w:t>31,642.08</w:t>
            </w:r>
          </w:p>
        </w:tc>
        <w:tc>
          <w:tcPr>
            <w:tcW w:w="195" w:type="dxa"/>
            <w:tcBorders>
              <w:top w:val="single" w:sz="4" w:space="0" w:color="000000"/>
              <w:left w:val="nil" w:sz="6" w:space="0" w:color="auto"/>
              <w:bottom w:val="nil" w:sz="6" w:space="0" w:color="auto"/>
              <w:right w:val="nil" w:sz="6" w:space="0" w:color="auto"/>
            </w:tcBorders>
          </w:tcPr>
          <w:p>
            <w:pPr/>
          </w:p>
        </w:tc>
        <w:tc>
          <w:tcPr>
            <w:tcW w:w="78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0"/>
              <w:jc w:val="right"/>
              <w:rPr>
                <w:rFonts w:ascii="宋体" w:hAnsi="宋体" w:cs="宋体" w:eastAsia="宋体" w:hint="default"/>
                <w:sz w:val="13"/>
                <w:szCs w:val="13"/>
              </w:rPr>
            </w:pPr>
            <w:r>
              <w:rPr>
                <w:rFonts w:ascii="宋体"/>
                <w:w w:val="95"/>
                <w:sz w:val="13"/>
              </w:rPr>
              <w:t>1,550,859.14</w:t>
            </w:r>
            <w:r>
              <w:rPr>
                <w:rFonts w:ascii="宋体"/>
                <w:sz w:val="13"/>
              </w:rPr>
            </w:r>
          </w:p>
        </w:tc>
        <w:tc>
          <w:tcPr>
            <w:tcW w:w="101" w:type="dxa"/>
            <w:tcBorders>
              <w:top w:val="single" w:sz="4" w:space="0" w:color="000000"/>
              <w:left w:val="nil" w:sz="6" w:space="0" w:color="auto"/>
              <w:bottom w:val="nil" w:sz="6" w:space="0" w:color="auto"/>
              <w:right w:val="nil" w:sz="6" w:space="0" w:color="auto"/>
            </w:tcBorders>
          </w:tcPr>
          <w:p>
            <w:pPr/>
          </w:p>
        </w:tc>
        <w:tc>
          <w:tcPr>
            <w:tcW w:w="832" w:type="dxa"/>
            <w:tcBorders>
              <w:top w:val="single" w:sz="4" w:space="0" w:color="000000"/>
              <w:left w:val="nil" w:sz="6" w:space="0" w:color="auto"/>
              <w:bottom w:val="nil" w:sz="6" w:space="0" w:color="auto"/>
              <w:right w:val="nil" w:sz="6" w:space="0" w:color="auto"/>
            </w:tcBorders>
          </w:tcPr>
          <w:p>
            <w:pPr/>
          </w:p>
        </w:tc>
        <w:tc>
          <w:tcPr>
            <w:tcW w:w="361" w:type="dxa"/>
            <w:tcBorders>
              <w:top w:val="single" w:sz="4" w:space="0" w:color="000000"/>
              <w:left w:val="nil" w:sz="6" w:space="0" w:color="auto"/>
              <w:bottom w:val="nil" w:sz="6" w:space="0" w:color="auto"/>
              <w:right w:val="nil" w:sz="6" w:space="0" w:color="auto"/>
            </w:tcBorders>
          </w:tcPr>
          <w:p>
            <w:pPr/>
          </w:p>
        </w:tc>
        <w:tc>
          <w:tcPr>
            <w:tcW w:w="68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right="113"/>
              <w:jc w:val="right"/>
              <w:rPr>
                <w:rFonts w:ascii="宋体" w:hAnsi="宋体" w:cs="宋体" w:eastAsia="宋体" w:hint="default"/>
                <w:sz w:val="13"/>
                <w:szCs w:val="13"/>
              </w:rPr>
            </w:pPr>
            <w:r>
              <w:rPr>
                <w:rFonts w:ascii="宋体"/>
                <w:w w:val="95"/>
                <w:sz w:val="13"/>
              </w:rPr>
              <w:t>1.17</w:t>
            </w:r>
            <w:r>
              <w:rPr>
                <w:rFonts w:ascii="宋体"/>
                <w:sz w:val="13"/>
              </w:rPr>
            </w:r>
          </w:p>
        </w:tc>
        <w:tc>
          <w:tcPr>
            <w:tcW w:w="38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8"/>
                <w:szCs w:val="8"/>
              </w:rPr>
            </w:pPr>
          </w:p>
          <w:p>
            <w:pPr>
              <w:pStyle w:val="TableParagraph"/>
              <w:spacing w:line="436" w:lineRule="auto"/>
              <w:ind w:left="76" w:right="49"/>
              <w:jc w:val="left"/>
              <w:rPr>
                <w:rFonts w:ascii="宋体" w:hAnsi="宋体" w:cs="宋体" w:eastAsia="宋体" w:hint="default"/>
                <w:sz w:val="13"/>
                <w:szCs w:val="13"/>
              </w:rPr>
            </w:pPr>
            <w:r>
              <w:rPr>
                <w:rFonts w:ascii="宋体" w:hAnsi="宋体" w:cs="宋体" w:eastAsia="宋体" w:hint="default"/>
                <w:sz w:val="13"/>
                <w:szCs w:val="13"/>
              </w:rPr>
              <w:t>前期</w:t>
            </w:r>
            <w:r>
              <w:rPr>
                <w:rFonts w:ascii="宋体" w:hAnsi="宋体" w:cs="宋体" w:eastAsia="宋体" w:hint="default"/>
                <w:w w:val="99"/>
                <w:sz w:val="13"/>
                <w:szCs w:val="13"/>
              </w:rPr>
              <w:t> </w:t>
            </w:r>
            <w:r>
              <w:rPr>
                <w:rFonts w:ascii="宋体" w:hAnsi="宋体" w:cs="宋体" w:eastAsia="宋体" w:hint="default"/>
                <w:sz w:val="13"/>
                <w:szCs w:val="13"/>
              </w:rPr>
              <w:t>启动</w:t>
            </w:r>
          </w:p>
        </w:tc>
        <w:tc>
          <w:tcPr>
            <w:tcW w:w="645" w:type="dxa"/>
            <w:tcBorders>
              <w:top w:val="single" w:sz="4" w:space="0" w:color="000000"/>
              <w:left w:val="nil" w:sz="6" w:space="0" w:color="auto"/>
              <w:bottom w:val="nil" w:sz="6" w:space="0" w:color="auto"/>
              <w:right w:val="nil" w:sz="6" w:space="0" w:color="auto"/>
            </w:tcBorders>
          </w:tcPr>
          <w:p>
            <w:pPr/>
          </w:p>
        </w:tc>
        <w:tc>
          <w:tcPr>
            <w:tcW w:w="648" w:type="dxa"/>
            <w:tcBorders>
              <w:top w:val="single" w:sz="4" w:space="0" w:color="000000"/>
              <w:left w:val="nil" w:sz="6" w:space="0" w:color="auto"/>
              <w:bottom w:val="nil" w:sz="6" w:space="0" w:color="auto"/>
              <w:right w:val="nil" w:sz="6" w:space="0" w:color="auto"/>
            </w:tcBorders>
          </w:tcPr>
          <w:p>
            <w:pPr/>
          </w:p>
        </w:tc>
        <w:tc>
          <w:tcPr>
            <w:tcW w:w="664" w:type="dxa"/>
            <w:tcBorders>
              <w:top w:val="single" w:sz="4" w:space="0" w:color="000000"/>
              <w:left w:val="nil" w:sz="6" w:space="0" w:color="auto"/>
              <w:bottom w:val="nil" w:sz="6" w:space="0" w:color="auto"/>
              <w:right w:val="nil" w:sz="6" w:space="0" w:color="auto"/>
            </w:tcBorders>
          </w:tcPr>
          <w:p>
            <w:pPr/>
          </w:p>
        </w:tc>
        <w:tc>
          <w:tcPr>
            <w:tcW w:w="46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8"/>
                <w:szCs w:val="8"/>
              </w:rPr>
            </w:pPr>
          </w:p>
          <w:p>
            <w:pPr>
              <w:pStyle w:val="TableParagraph"/>
              <w:spacing w:line="436" w:lineRule="auto"/>
              <w:ind w:left="113" w:right="85"/>
              <w:jc w:val="left"/>
              <w:rPr>
                <w:rFonts w:ascii="宋体" w:hAnsi="宋体" w:cs="宋体" w:eastAsia="宋体" w:hint="default"/>
                <w:sz w:val="13"/>
                <w:szCs w:val="13"/>
              </w:rPr>
            </w:pPr>
            <w:r>
              <w:rPr>
                <w:rFonts w:ascii="宋体" w:hAnsi="宋体" w:cs="宋体" w:eastAsia="宋体" w:hint="default"/>
                <w:sz w:val="13"/>
                <w:szCs w:val="13"/>
              </w:rPr>
              <w:t>募股</w:t>
            </w:r>
            <w:r>
              <w:rPr>
                <w:rFonts w:ascii="宋体" w:hAnsi="宋体" w:cs="宋体" w:eastAsia="宋体" w:hint="default"/>
                <w:w w:val="99"/>
                <w:sz w:val="13"/>
                <w:szCs w:val="13"/>
              </w:rPr>
              <w:t> </w:t>
            </w:r>
            <w:r>
              <w:rPr>
                <w:rFonts w:ascii="宋体" w:hAnsi="宋体" w:cs="宋体" w:eastAsia="宋体" w:hint="default"/>
                <w:sz w:val="13"/>
                <w:szCs w:val="13"/>
              </w:rPr>
              <w:t>资金</w:t>
            </w:r>
          </w:p>
        </w:tc>
        <w:tc>
          <w:tcPr>
            <w:tcW w:w="94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8"/>
                <w:szCs w:val="8"/>
              </w:rPr>
            </w:pPr>
          </w:p>
          <w:p>
            <w:pPr>
              <w:pStyle w:val="TableParagraph"/>
              <w:spacing w:line="240" w:lineRule="auto"/>
              <w:ind w:left="13" w:right="0"/>
              <w:jc w:val="center"/>
              <w:rPr>
                <w:rFonts w:ascii="宋体" w:hAnsi="宋体" w:cs="宋体" w:eastAsia="宋体" w:hint="default"/>
                <w:sz w:val="13"/>
                <w:szCs w:val="13"/>
              </w:rPr>
            </w:pPr>
            <w:r>
              <w:rPr>
                <w:rFonts w:ascii="宋体"/>
                <w:sz w:val="13"/>
              </w:rPr>
              <w:t>1,582,501.22</w:t>
            </w:r>
          </w:p>
        </w:tc>
      </w:tr>
      <w:tr>
        <w:trPr>
          <w:trHeight w:val="961" w:hRule="exact"/>
        </w:trPr>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436" w:lineRule="auto"/>
              <w:ind w:left="31" w:right="66"/>
              <w:jc w:val="left"/>
              <w:rPr>
                <w:rFonts w:ascii="宋体" w:hAnsi="宋体" w:cs="宋体" w:eastAsia="宋体" w:hint="default"/>
                <w:sz w:val="13"/>
                <w:szCs w:val="13"/>
              </w:rPr>
            </w:pPr>
            <w:r>
              <w:rPr>
                <w:rFonts w:ascii="宋体" w:hAnsi="宋体" w:cs="宋体" w:eastAsia="宋体" w:hint="default"/>
                <w:spacing w:val="12"/>
                <w:sz w:val="13"/>
                <w:szCs w:val="13"/>
              </w:rPr>
              <w:t>贵阳</w:t>
            </w:r>
            <w:r>
              <w:rPr>
                <w:rFonts w:ascii="宋体" w:hAnsi="宋体" w:cs="宋体" w:eastAsia="宋体" w:hint="default"/>
                <w:spacing w:val="-42"/>
                <w:sz w:val="13"/>
                <w:szCs w:val="13"/>
              </w:rPr>
              <w:t> </w:t>
            </w:r>
            <w:r>
              <w:rPr>
                <w:rFonts w:ascii="宋体" w:hAnsi="宋体" w:cs="宋体" w:eastAsia="宋体" w:hint="default"/>
                <w:sz w:val="13"/>
                <w:szCs w:val="13"/>
              </w:rPr>
              <w:t>分</w:t>
            </w:r>
            <w:r>
              <w:rPr>
                <w:rFonts w:ascii="宋体" w:hAnsi="宋体" w:cs="宋体" w:eastAsia="宋体" w:hint="default"/>
                <w:spacing w:val="-40"/>
                <w:sz w:val="13"/>
                <w:szCs w:val="13"/>
              </w:rPr>
              <w:t> </w:t>
            </w:r>
            <w:r>
              <w:rPr>
                <w:rFonts w:ascii="宋体" w:hAnsi="宋体" w:cs="宋体" w:eastAsia="宋体" w:hint="default"/>
                <w:sz w:val="13"/>
                <w:szCs w:val="13"/>
              </w:rPr>
              <w:t>公</w:t>
            </w:r>
            <w:r>
              <w:rPr>
                <w:rFonts w:ascii="宋体" w:hAnsi="宋体" w:cs="宋体" w:eastAsia="宋体" w:hint="default"/>
                <w:spacing w:val="-43"/>
                <w:sz w:val="13"/>
                <w:szCs w:val="13"/>
              </w:rPr>
              <w:t> </w:t>
            </w:r>
            <w:r>
              <w:rPr>
                <w:rFonts w:ascii="宋体" w:hAnsi="宋体" w:cs="宋体" w:eastAsia="宋体" w:hint="default"/>
                <w:sz w:val="13"/>
                <w:szCs w:val="13"/>
              </w:rPr>
              <w:t>司</w:t>
            </w:r>
            <w:r>
              <w:rPr>
                <w:rFonts w:ascii="宋体" w:hAnsi="宋体" w:cs="宋体" w:eastAsia="宋体" w:hint="default"/>
                <w:w w:val="99"/>
                <w:sz w:val="13"/>
                <w:szCs w:val="13"/>
              </w:rPr>
              <w:t> </w:t>
            </w:r>
            <w:r>
              <w:rPr>
                <w:rFonts w:ascii="宋体" w:hAnsi="宋体" w:cs="宋体" w:eastAsia="宋体" w:hint="default"/>
                <w:sz w:val="13"/>
                <w:szCs w:val="13"/>
              </w:rPr>
              <w:t>装修</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right"/>
              <w:rPr>
                <w:rFonts w:ascii="宋体" w:hAnsi="宋体" w:cs="宋体" w:eastAsia="宋体" w:hint="default"/>
                <w:sz w:val="13"/>
                <w:szCs w:val="13"/>
              </w:rPr>
            </w:pPr>
            <w:r>
              <w:rPr>
                <w:rFonts w:ascii="宋体"/>
                <w:w w:val="95"/>
                <w:sz w:val="13"/>
              </w:rPr>
              <w:t>520,000.00</w:t>
            </w:r>
            <w:r>
              <w:rPr>
                <w:rFonts w:ascii="宋体"/>
                <w:sz w:val="13"/>
              </w:rPr>
            </w:r>
          </w:p>
        </w:tc>
        <w:tc>
          <w:tcPr>
            <w:tcW w:w="238" w:type="dxa"/>
            <w:tcBorders>
              <w:top w:val="nil" w:sz="6" w:space="0" w:color="auto"/>
              <w:left w:val="nil" w:sz="6" w:space="0" w:color="auto"/>
              <w:bottom w:val="nil" w:sz="6" w:space="0" w:color="auto"/>
              <w:right w:val="nil" w:sz="6" w:space="0" w:color="auto"/>
            </w:tcBorders>
          </w:tcPr>
          <w:p>
            <w:pPr/>
          </w:p>
        </w:tc>
        <w:tc>
          <w:tcPr>
            <w:tcW w:w="617" w:type="dxa"/>
            <w:tcBorders>
              <w:top w:val="nil" w:sz="6" w:space="0" w:color="auto"/>
              <w:left w:val="nil" w:sz="6" w:space="0" w:color="auto"/>
              <w:bottom w:val="nil" w:sz="6" w:space="0" w:color="auto"/>
              <w:right w:val="nil" w:sz="6" w:space="0" w:color="auto"/>
            </w:tcBorders>
          </w:tcPr>
          <w:p>
            <w:pPr/>
          </w:p>
        </w:tc>
        <w:tc>
          <w:tcPr>
            <w:tcW w:w="195"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right"/>
              <w:rPr>
                <w:rFonts w:ascii="宋体" w:hAnsi="宋体" w:cs="宋体" w:eastAsia="宋体" w:hint="default"/>
                <w:sz w:val="13"/>
                <w:szCs w:val="13"/>
              </w:rPr>
            </w:pPr>
            <w:r>
              <w:rPr>
                <w:rFonts w:ascii="宋体"/>
                <w:w w:val="95"/>
                <w:sz w:val="13"/>
              </w:rPr>
              <w:t>520,000.00</w:t>
            </w:r>
            <w:r>
              <w:rPr>
                <w:rFonts w:ascii="宋体"/>
                <w:sz w:val="13"/>
              </w:rPr>
            </w:r>
          </w:p>
        </w:tc>
        <w:tc>
          <w:tcPr>
            <w:tcW w:w="101"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3"/>
                <w:szCs w:val="13"/>
              </w:rPr>
            </w:pPr>
            <w:r>
              <w:rPr>
                <w:rFonts w:ascii="宋体"/>
                <w:sz w:val="13"/>
              </w:rPr>
              <w:t>520,000.00</w:t>
            </w:r>
          </w:p>
        </w:tc>
        <w:tc>
          <w:tcPr>
            <w:tcW w:w="361" w:type="dxa"/>
            <w:tcBorders>
              <w:top w:val="nil" w:sz="6" w:space="0" w:color="auto"/>
              <w:left w:val="nil" w:sz="6" w:space="0" w:color="auto"/>
              <w:bottom w:val="nil" w:sz="6" w:space="0" w:color="auto"/>
              <w:right w:val="nil" w:sz="6" w:space="0" w:color="auto"/>
            </w:tcBorders>
          </w:tcPr>
          <w:p>
            <w:pP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15"/>
              <w:jc w:val="right"/>
              <w:rPr>
                <w:rFonts w:ascii="宋体" w:hAnsi="宋体" w:cs="宋体" w:eastAsia="宋体" w:hint="default"/>
                <w:sz w:val="13"/>
                <w:szCs w:val="13"/>
              </w:rPr>
            </w:pPr>
            <w:r>
              <w:rPr>
                <w:rFonts w:ascii="宋体"/>
                <w:w w:val="95"/>
                <w:sz w:val="13"/>
              </w:rPr>
              <w:t>100.00</w:t>
            </w:r>
            <w:r>
              <w:rPr>
                <w:rFonts w:ascii="宋体"/>
                <w:sz w:val="13"/>
              </w:rPr>
            </w:r>
          </w:p>
        </w:tc>
        <w:tc>
          <w:tcPr>
            <w:tcW w:w="38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436" w:lineRule="auto"/>
              <w:ind w:left="206" w:right="49" w:hanging="130"/>
              <w:jc w:val="left"/>
              <w:rPr>
                <w:rFonts w:ascii="宋体" w:hAnsi="宋体" w:cs="宋体" w:eastAsia="宋体" w:hint="default"/>
                <w:sz w:val="13"/>
                <w:szCs w:val="13"/>
              </w:rPr>
            </w:pPr>
            <w:r>
              <w:rPr>
                <w:rFonts w:ascii="宋体" w:hAnsi="宋体" w:cs="宋体" w:eastAsia="宋体" w:hint="default"/>
                <w:sz w:val="13"/>
                <w:szCs w:val="13"/>
              </w:rPr>
              <w:t>已完</w:t>
            </w:r>
            <w:r>
              <w:rPr>
                <w:rFonts w:ascii="宋体" w:hAnsi="宋体" w:cs="宋体" w:eastAsia="宋体" w:hint="default"/>
                <w:w w:val="99"/>
                <w:sz w:val="13"/>
                <w:szCs w:val="13"/>
              </w:rPr>
              <w:t> </w:t>
            </w:r>
            <w:r>
              <w:rPr>
                <w:rFonts w:ascii="宋体" w:hAnsi="宋体" w:cs="宋体" w:eastAsia="宋体" w:hint="default"/>
                <w:sz w:val="13"/>
                <w:szCs w:val="13"/>
              </w:rPr>
              <w:t>工</w:t>
            </w:r>
          </w:p>
        </w:tc>
        <w:tc>
          <w:tcPr>
            <w:tcW w:w="645" w:type="dxa"/>
            <w:tcBorders>
              <w:top w:val="nil" w:sz="6" w:space="0" w:color="auto"/>
              <w:left w:val="nil" w:sz="6" w:space="0" w:color="auto"/>
              <w:bottom w:val="nil" w:sz="6" w:space="0" w:color="auto"/>
              <w:right w:val="nil" w:sz="6" w:space="0" w:color="auto"/>
            </w:tcBorders>
          </w:tcPr>
          <w:p>
            <w:pPr/>
          </w:p>
        </w:tc>
        <w:tc>
          <w:tcPr>
            <w:tcW w:w="648" w:type="dxa"/>
            <w:tcBorders>
              <w:top w:val="nil" w:sz="6" w:space="0" w:color="auto"/>
              <w:left w:val="nil" w:sz="6" w:space="0" w:color="auto"/>
              <w:bottom w:val="nil" w:sz="6" w:space="0" w:color="auto"/>
              <w:right w:val="nil" w:sz="6" w:space="0" w:color="auto"/>
            </w:tcBorders>
          </w:tcPr>
          <w:p>
            <w:pPr/>
          </w:p>
        </w:tc>
        <w:tc>
          <w:tcPr>
            <w:tcW w:w="664" w:type="dxa"/>
            <w:tcBorders>
              <w:top w:val="nil" w:sz="6" w:space="0" w:color="auto"/>
              <w:left w:val="nil" w:sz="6" w:space="0" w:color="auto"/>
              <w:bottom w:val="nil" w:sz="6" w:space="0" w:color="auto"/>
              <w:right w:val="nil" w:sz="6" w:space="0" w:color="auto"/>
            </w:tcBorders>
          </w:tcPr>
          <w:p>
            <w:pPr/>
          </w:p>
        </w:tc>
        <w:tc>
          <w:tcPr>
            <w:tcW w:w="46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436" w:lineRule="auto"/>
              <w:ind w:left="113" w:right="85"/>
              <w:jc w:val="left"/>
              <w:rPr>
                <w:rFonts w:ascii="宋体" w:hAnsi="宋体" w:cs="宋体" w:eastAsia="宋体" w:hint="default"/>
                <w:sz w:val="13"/>
                <w:szCs w:val="13"/>
              </w:rPr>
            </w:pPr>
            <w:r>
              <w:rPr>
                <w:rFonts w:ascii="宋体" w:hAnsi="宋体" w:cs="宋体" w:eastAsia="宋体" w:hint="default"/>
                <w:sz w:val="13"/>
                <w:szCs w:val="13"/>
              </w:rPr>
              <w:t>募股</w:t>
            </w:r>
            <w:r>
              <w:rPr>
                <w:rFonts w:ascii="宋体" w:hAnsi="宋体" w:cs="宋体" w:eastAsia="宋体" w:hint="default"/>
                <w:w w:val="99"/>
                <w:sz w:val="13"/>
                <w:szCs w:val="13"/>
              </w:rPr>
              <w:t> </w:t>
            </w:r>
            <w:r>
              <w:rPr>
                <w:rFonts w:ascii="宋体" w:hAnsi="宋体" w:cs="宋体" w:eastAsia="宋体" w:hint="default"/>
                <w:sz w:val="13"/>
                <w:szCs w:val="13"/>
              </w:rPr>
              <w:t>资金</w:t>
            </w:r>
          </w:p>
        </w:tc>
        <w:tc>
          <w:tcPr>
            <w:tcW w:w="940" w:type="dxa"/>
            <w:tcBorders>
              <w:top w:val="nil" w:sz="6" w:space="0" w:color="auto"/>
              <w:left w:val="nil" w:sz="6" w:space="0" w:color="auto"/>
              <w:bottom w:val="nil" w:sz="6" w:space="0" w:color="auto"/>
              <w:right w:val="nil" w:sz="6" w:space="0" w:color="auto"/>
            </w:tcBorders>
          </w:tcPr>
          <w:p>
            <w:pPr/>
          </w:p>
        </w:tc>
      </w:tr>
      <w:tr>
        <w:trPr>
          <w:trHeight w:val="404" w:hRule="exact"/>
        </w:trPr>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1" w:right="0"/>
              <w:jc w:val="left"/>
              <w:rPr>
                <w:rFonts w:ascii="宋体" w:hAnsi="宋体" w:cs="宋体" w:eastAsia="宋体" w:hint="default"/>
                <w:sz w:val="13"/>
                <w:szCs w:val="13"/>
              </w:rPr>
            </w:pPr>
            <w:r>
              <w:rPr>
                <w:rFonts w:ascii="宋体" w:hAnsi="宋体" w:cs="宋体" w:eastAsia="宋体" w:hint="default"/>
                <w:sz w:val="13"/>
                <w:szCs w:val="13"/>
              </w:rPr>
              <w:t>合计</w:t>
            </w:r>
          </w:p>
        </w:tc>
        <w:tc>
          <w:tcPr>
            <w:tcW w:w="1040" w:type="dxa"/>
            <w:tcBorders>
              <w:top w:val="nil" w:sz="6" w:space="0" w:color="auto"/>
              <w:left w:val="nil" w:sz="6" w:space="0" w:color="auto"/>
              <w:bottom w:val="single" w:sz="9"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62"/>
              <w:jc w:val="right"/>
              <w:rPr>
                <w:rFonts w:ascii="宋体" w:hAnsi="宋体" w:cs="宋体" w:eastAsia="宋体" w:hint="default"/>
                <w:sz w:val="13"/>
                <w:szCs w:val="13"/>
              </w:rPr>
            </w:pPr>
            <w:r>
              <w:rPr>
                <w:rFonts w:ascii="宋体"/>
                <w:w w:val="95"/>
                <w:sz w:val="13"/>
              </w:rPr>
              <w:t>136,148,400.00</w:t>
            </w:r>
            <w:r>
              <w:rPr>
                <w:rFonts w:ascii="宋体"/>
                <w:sz w:val="13"/>
              </w:rPr>
            </w:r>
          </w:p>
        </w:tc>
        <w:tc>
          <w:tcPr>
            <w:tcW w:w="238" w:type="dxa"/>
            <w:tcBorders>
              <w:top w:val="nil" w:sz="6" w:space="0" w:color="auto"/>
              <w:left w:val="nil" w:sz="6" w:space="0" w:color="auto"/>
              <w:bottom w:val="nil" w:sz="6" w:space="0" w:color="auto"/>
              <w:right w:val="nil" w:sz="6" w:space="0" w:color="auto"/>
            </w:tcBorders>
          </w:tcPr>
          <w:p>
            <w:pPr/>
          </w:p>
        </w:tc>
        <w:tc>
          <w:tcPr>
            <w:tcW w:w="617" w:type="dxa"/>
            <w:tcBorders>
              <w:top w:val="nil" w:sz="6" w:space="0" w:color="auto"/>
              <w:left w:val="nil" w:sz="6" w:space="0" w:color="auto"/>
              <w:bottom w:val="single" w:sz="9"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8" w:right="0"/>
              <w:jc w:val="center"/>
              <w:rPr>
                <w:rFonts w:ascii="宋体" w:hAnsi="宋体" w:cs="宋体" w:eastAsia="宋体" w:hint="default"/>
                <w:sz w:val="13"/>
                <w:szCs w:val="13"/>
              </w:rPr>
            </w:pPr>
            <w:r>
              <w:rPr>
                <w:rFonts w:ascii="宋体"/>
                <w:sz w:val="13"/>
              </w:rPr>
              <w:t>31,642.08</w:t>
            </w:r>
          </w:p>
        </w:tc>
        <w:tc>
          <w:tcPr>
            <w:tcW w:w="195" w:type="dxa"/>
            <w:tcBorders>
              <w:top w:val="nil" w:sz="6" w:space="0" w:color="auto"/>
              <w:left w:val="nil" w:sz="6" w:space="0" w:color="auto"/>
              <w:bottom w:val="nil" w:sz="6" w:space="0" w:color="auto"/>
              <w:right w:val="nil" w:sz="6" w:space="0" w:color="auto"/>
            </w:tcBorders>
          </w:tcPr>
          <w:p>
            <w:pPr/>
          </w:p>
        </w:tc>
        <w:tc>
          <w:tcPr>
            <w:tcW w:w="780" w:type="dxa"/>
            <w:tcBorders>
              <w:top w:val="nil" w:sz="6" w:space="0" w:color="auto"/>
              <w:left w:val="nil" w:sz="6" w:space="0" w:color="auto"/>
              <w:bottom w:val="single" w:sz="9"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right"/>
              <w:rPr>
                <w:rFonts w:ascii="宋体" w:hAnsi="宋体" w:cs="宋体" w:eastAsia="宋体" w:hint="default"/>
                <w:sz w:val="13"/>
                <w:szCs w:val="13"/>
              </w:rPr>
            </w:pPr>
            <w:r>
              <w:rPr>
                <w:rFonts w:ascii="宋体"/>
                <w:w w:val="95"/>
                <w:sz w:val="13"/>
              </w:rPr>
              <w:t>2,070,859.14</w:t>
            </w:r>
            <w:r>
              <w:rPr>
                <w:rFonts w:ascii="宋体"/>
                <w:sz w:val="13"/>
              </w:rPr>
            </w:r>
          </w:p>
        </w:tc>
        <w:tc>
          <w:tcPr>
            <w:tcW w:w="101"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single" w:sz="9"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3" w:right="0"/>
              <w:jc w:val="left"/>
              <w:rPr>
                <w:rFonts w:ascii="宋体" w:hAnsi="宋体" w:cs="宋体" w:eastAsia="宋体" w:hint="default"/>
                <w:sz w:val="13"/>
                <w:szCs w:val="13"/>
              </w:rPr>
            </w:pPr>
            <w:r>
              <w:rPr>
                <w:rFonts w:ascii="宋体"/>
                <w:sz w:val="13"/>
              </w:rPr>
              <w:t>520,000.00</w:t>
            </w:r>
          </w:p>
        </w:tc>
        <w:tc>
          <w:tcPr>
            <w:tcW w:w="361" w:type="dxa"/>
            <w:tcBorders>
              <w:top w:val="nil" w:sz="6" w:space="0" w:color="auto"/>
              <w:left w:val="nil" w:sz="6" w:space="0" w:color="auto"/>
              <w:bottom w:val="nil" w:sz="6" w:space="0" w:color="auto"/>
              <w:right w:val="nil" w:sz="6" w:space="0" w:color="auto"/>
            </w:tcBorders>
          </w:tcPr>
          <w:p>
            <w:pPr/>
          </w:p>
        </w:tc>
        <w:tc>
          <w:tcPr>
            <w:tcW w:w="687" w:type="dxa"/>
            <w:tcBorders>
              <w:top w:val="nil" w:sz="6" w:space="0" w:color="auto"/>
              <w:left w:val="nil" w:sz="6" w:space="0" w:color="auto"/>
              <w:bottom w:val="nil" w:sz="6" w:space="0" w:color="auto"/>
              <w:right w:val="nil" w:sz="6" w:space="0" w:color="auto"/>
            </w:tcBorders>
          </w:tcPr>
          <w:p>
            <w:pPr/>
          </w:p>
        </w:tc>
        <w:tc>
          <w:tcPr>
            <w:tcW w:w="388" w:type="dxa"/>
            <w:tcBorders>
              <w:top w:val="nil" w:sz="6" w:space="0" w:color="auto"/>
              <w:left w:val="nil" w:sz="6" w:space="0" w:color="auto"/>
              <w:bottom w:val="nil" w:sz="6" w:space="0" w:color="auto"/>
              <w:right w:val="nil" w:sz="6" w:space="0" w:color="auto"/>
            </w:tcBorders>
          </w:tcPr>
          <w:p>
            <w:pPr/>
          </w:p>
        </w:tc>
        <w:tc>
          <w:tcPr>
            <w:tcW w:w="645" w:type="dxa"/>
            <w:tcBorders>
              <w:top w:val="nil" w:sz="6" w:space="0" w:color="auto"/>
              <w:left w:val="nil" w:sz="6" w:space="0" w:color="auto"/>
              <w:bottom w:val="nil" w:sz="6" w:space="0" w:color="auto"/>
              <w:right w:val="nil" w:sz="6" w:space="0" w:color="auto"/>
            </w:tcBorders>
          </w:tcPr>
          <w:p>
            <w:pPr/>
          </w:p>
        </w:tc>
        <w:tc>
          <w:tcPr>
            <w:tcW w:w="648" w:type="dxa"/>
            <w:tcBorders>
              <w:top w:val="nil" w:sz="6" w:space="0" w:color="auto"/>
              <w:left w:val="nil" w:sz="6" w:space="0" w:color="auto"/>
              <w:bottom w:val="nil" w:sz="6" w:space="0" w:color="auto"/>
              <w:right w:val="nil" w:sz="6" w:space="0" w:color="auto"/>
            </w:tcBorders>
          </w:tcPr>
          <w:p>
            <w:pPr/>
          </w:p>
        </w:tc>
        <w:tc>
          <w:tcPr>
            <w:tcW w:w="664" w:type="dxa"/>
            <w:tcBorders>
              <w:top w:val="nil" w:sz="6" w:space="0" w:color="auto"/>
              <w:left w:val="nil" w:sz="6" w:space="0" w:color="auto"/>
              <w:bottom w:val="nil" w:sz="6" w:space="0" w:color="auto"/>
              <w:right w:val="nil" w:sz="6" w:space="0" w:color="auto"/>
            </w:tcBorders>
          </w:tcPr>
          <w:p>
            <w:pPr/>
          </w:p>
        </w:tc>
        <w:tc>
          <w:tcPr>
            <w:tcW w:w="460"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single" w:sz="9"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3" w:right="0"/>
              <w:jc w:val="center"/>
              <w:rPr>
                <w:rFonts w:ascii="宋体" w:hAnsi="宋体" w:cs="宋体" w:eastAsia="宋体" w:hint="default"/>
                <w:sz w:val="13"/>
                <w:szCs w:val="13"/>
              </w:rPr>
            </w:pPr>
            <w:r>
              <w:rPr>
                <w:rFonts w:ascii="宋体"/>
                <w:sz w:val="13"/>
              </w:rPr>
              <w:t>1,582,501.22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44"/>
        <w:ind w:left="513" w:right="981"/>
        <w:jc w:val="left"/>
      </w:pPr>
      <w:r>
        <w:rPr/>
        <w:t>（</w:t>
      </w:r>
      <w:r>
        <w:rPr>
          <w:rFonts w:ascii="宋体" w:hAnsi="宋体" w:cs="宋体" w:eastAsia="宋体" w:hint="default"/>
        </w:rPr>
        <w:t>2</w:t>
      </w:r>
      <w:r>
        <w:rPr/>
        <w:t>）期末在建工程余额较期初增加</w:t>
      </w:r>
      <w:r>
        <w:rPr>
          <w:spacing w:val="-48"/>
        </w:rPr>
        <w:t> </w:t>
      </w:r>
      <w:r>
        <w:rPr>
          <w:rFonts w:ascii="宋体" w:hAnsi="宋体" w:cs="宋体" w:eastAsia="宋体" w:hint="default"/>
        </w:rPr>
        <w:t>1,550,859.14</w:t>
      </w:r>
      <w:r>
        <w:rPr>
          <w:rFonts w:ascii="宋体" w:hAnsi="宋体" w:cs="宋体" w:eastAsia="宋体" w:hint="default"/>
          <w:spacing w:val="-47"/>
        </w:rPr>
        <w:t> </w:t>
      </w:r>
      <w:r>
        <w:rPr/>
        <w:t>元，增长</w:t>
      </w:r>
      <w:r>
        <w:rPr>
          <w:spacing w:val="-48"/>
        </w:rPr>
        <w:t> </w:t>
      </w:r>
      <w:r>
        <w:rPr>
          <w:rFonts w:ascii="宋体" w:hAnsi="宋体" w:cs="宋体" w:eastAsia="宋体" w:hint="default"/>
        </w:rPr>
        <w:t>4901.26%</w:t>
      </w:r>
      <w:r>
        <w:rPr/>
        <w:t>，主要系本期研发中心综合楼开始筹建所致。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5"/>
          <w:szCs w:val="15"/>
        </w:rPr>
      </w:pPr>
    </w:p>
    <w:p>
      <w:pPr>
        <w:pStyle w:val="BodyText"/>
        <w:spacing w:line="240" w:lineRule="auto"/>
        <w:ind w:left="513" w:right="981"/>
        <w:jc w:val="left"/>
      </w:pPr>
      <w:r>
        <w:rPr>
          <w:rFonts w:ascii="宋体" w:hAnsi="宋体" w:cs="宋体" w:eastAsia="宋体" w:hint="default"/>
        </w:rPr>
        <w:t>12.</w:t>
      </w:r>
      <w:r>
        <w:rPr/>
        <w:t>无形资产</w:t>
      </w:r>
    </w:p>
    <w:p>
      <w:pPr>
        <w:spacing w:after="0" w:line="240" w:lineRule="auto"/>
        <w:jc w:val="left"/>
        <w:sectPr>
          <w:pgSz w:w="11910" w:h="16840"/>
          <w:pgMar w:header="877" w:footer="1332" w:top="1100" w:bottom="1520" w:left="980" w:right="0"/>
        </w:sectPr>
      </w:pPr>
    </w:p>
    <w:p>
      <w:pPr>
        <w:spacing w:line="240" w:lineRule="auto" w:before="2"/>
        <w:rPr>
          <w:rFonts w:ascii="宋体" w:hAnsi="宋体" w:cs="宋体" w:eastAsia="宋体" w:hint="default"/>
          <w:sz w:val="27"/>
          <w:szCs w:val="27"/>
        </w:rPr>
      </w:pPr>
    </w:p>
    <w:p>
      <w:pPr>
        <w:pStyle w:val="BodyText"/>
        <w:spacing w:line="240" w:lineRule="auto" w:before="44"/>
        <w:ind w:left="513" w:right="981"/>
        <w:jc w:val="left"/>
      </w:pPr>
      <w:r>
        <w:rPr/>
        <w:t>（</w:t>
      </w:r>
      <w:r>
        <w:rPr>
          <w:rFonts w:ascii="宋体" w:hAnsi="宋体" w:cs="宋体" w:eastAsia="宋体" w:hint="default"/>
        </w:rPr>
        <w:t>1</w:t>
      </w:r>
      <w:r>
        <w:rPr/>
        <w:t>）无形资产情况</w:t>
      </w:r>
    </w:p>
    <w:p>
      <w:pPr>
        <w:spacing w:line="240" w:lineRule="auto" w:before="7"/>
        <w:rPr>
          <w:rFonts w:ascii="宋体" w:hAnsi="宋体" w:cs="宋体" w:eastAsia="宋体" w:hint="default"/>
          <w:sz w:val="23"/>
          <w:szCs w:val="23"/>
        </w:rPr>
      </w:pPr>
    </w:p>
    <w:tbl>
      <w:tblPr>
        <w:tblW w:w="0" w:type="auto"/>
        <w:jc w:val="left"/>
        <w:tblInd w:w="294" w:type="dxa"/>
        <w:tblLayout w:type="fixed"/>
        <w:tblCellMar>
          <w:top w:w="0" w:type="dxa"/>
          <w:left w:w="0" w:type="dxa"/>
          <w:bottom w:w="0" w:type="dxa"/>
          <w:right w:w="0" w:type="dxa"/>
        </w:tblCellMar>
        <w:tblLook w:val="01E0"/>
      </w:tblPr>
      <w:tblGrid>
        <w:gridCol w:w="4227"/>
        <w:gridCol w:w="1172"/>
        <w:gridCol w:w="1383"/>
        <w:gridCol w:w="285"/>
        <w:gridCol w:w="812"/>
        <w:gridCol w:w="307"/>
        <w:gridCol w:w="1279"/>
      </w:tblGrid>
      <w:tr>
        <w:trPr>
          <w:trHeight w:val="291" w:hRule="exact"/>
        </w:trPr>
        <w:tc>
          <w:tcPr>
            <w:tcW w:w="4227" w:type="dxa"/>
            <w:tcBorders>
              <w:top w:val="nil" w:sz="6" w:space="0" w:color="auto"/>
              <w:left w:val="nil" w:sz="6" w:space="0" w:color="auto"/>
              <w:bottom w:val="single" w:sz="4" w:space="0" w:color="000000"/>
              <w:right w:val="nil" w:sz="6" w:space="0" w:color="auto"/>
            </w:tcBorders>
          </w:tcPr>
          <w:p>
            <w:pPr>
              <w:pStyle w:val="TableParagraph"/>
              <w:spacing w:line="180" w:lineRule="exact"/>
              <w:ind w:right="193"/>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72" w:type="dxa"/>
            <w:tcBorders>
              <w:top w:val="nil" w:sz="6" w:space="0" w:color="auto"/>
              <w:left w:val="nil" w:sz="6" w:space="0" w:color="auto"/>
              <w:bottom w:val="single" w:sz="4" w:space="0" w:color="000000"/>
              <w:right w:val="nil" w:sz="6" w:space="0" w:color="auto"/>
            </w:tcBorders>
          </w:tcPr>
          <w:p>
            <w:pPr>
              <w:pStyle w:val="TableParagraph"/>
              <w:spacing w:line="180" w:lineRule="exact"/>
              <w:ind w:left="17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383" w:type="dxa"/>
            <w:tcBorders>
              <w:top w:val="nil" w:sz="6" w:space="0" w:color="auto"/>
              <w:left w:val="nil" w:sz="6" w:space="0" w:color="auto"/>
              <w:bottom w:val="single" w:sz="4" w:space="0" w:color="000000"/>
              <w:right w:val="nil" w:sz="6" w:space="0" w:color="auto"/>
            </w:tcBorders>
          </w:tcPr>
          <w:p>
            <w:pPr>
              <w:pStyle w:val="TableParagraph"/>
              <w:spacing w:line="180" w:lineRule="exact"/>
              <w:ind w:left="436"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285" w:type="dxa"/>
            <w:tcBorders>
              <w:top w:val="nil" w:sz="6" w:space="0" w:color="auto"/>
              <w:left w:val="nil" w:sz="6" w:space="0" w:color="auto"/>
              <w:bottom w:val="single" w:sz="4" w:space="0" w:color="000000"/>
              <w:right w:val="nil" w:sz="6" w:space="0" w:color="auto"/>
            </w:tcBorders>
          </w:tcPr>
          <w:p>
            <w:pPr/>
          </w:p>
        </w:tc>
        <w:tc>
          <w:tcPr>
            <w:tcW w:w="812" w:type="dxa"/>
            <w:tcBorders>
              <w:top w:val="nil" w:sz="6" w:space="0" w:color="auto"/>
              <w:left w:val="nil" w:sz="6" w:space="0" w:color="auto"/>
              <w:bottom w:val="single" w:sz="4" w:space="0" w:color="000000"/>
              <w:right w:val="nil" w:sz="6" w:space="0" w:color="auto"/>
            </w:tcBorders>
          </w:tcPr>
          <w:p>
            <w:pPr>
              <w:pStyle w:val="TableParagraph"/>
              <w:spacing w:line="180" w:lineRule="exact"/>
              <w:ind w:right="68"/>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307" w:type="dxa"/>
            <w:tcBorders>
              <w:top w:val="nil" w:sz="6" w:space="0" w:color="auto"/>
              <w:left w:val="nil" w:sz="6" w:space="0" w:color="auto"/>
              <w:bottom w:val="single" w:sz="4" w:space="0" w:color="000000"/>
              <w:right w:val="nil" w:sz="6" w:space="0" w:color="auto"/>
            </w:tcBorders>
          </w:tcPr>
          <w:p>
            <w:pPr/>
          </w:p>
        </w:tc>
        <w:tc>
          <w:tcPr>
            <w:tcW w:w="1279" w:type="dxa"/>
            <w:tcBorders>
              <w:top w:val="nil" w:sz="6" w:space="0" w:color="auto"/>
              <w:left w:val="nil" w:sz="6" w:space="0" w:color="auto"/>
              <w:bottom w:val="single" w:sz="4" w:space="0" w:color="000000"/>
              <w:right w:val="nil" w:sz="6" w:space="0" w:color="auto"/>
            </w:tcBorders>
          </w:tcPr>
          <w:p>
            <w:pPr>
              <w:pStyle w:val="TableParagraph"/>
              <w:spacing w:line="180" w:lineRule="exact"/>
              <w:ind w:left="17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07" w:hRule="exact"/>
        </w:trPr>
        <w:tc>
          <w:tcPr>
            <w:tcW w:w="422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172"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0"/>
              <w:jc w:val="right"/>
              <w:rPr>
                <w:rFonts w:ascii="宋体" w:hAnsi="宋体" w:cs="宋体" w:eastAsia="宋体" w:hint="default"/>
                <w:sz w:val="18"/>
                <w:szCs w:val="18"/>
              </w:rPr>
            </w:pPr>
            <w:r>
              <w:rPr>
                <w:rFonts w:ascii="宋体"/>
                <w:spacing w:val="-1"/>
                <w:sz w:val="18"/>
              </w:rPr>
              <w:t>10,823,106.20</w:t>
            </w:r>
          </w:p>
        </w:tc>
        <w:tc>
          <w:tcPr>
            <w:tcW w:w="1383"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0"/>
              <w:jc w:val="right"/>
              <w:rPr>
                <w:rFonts w:ascii="宋体" w:hAnsi="宋体" w:cs="宋体" w:eastAsia="宋体" w:hint="default"/>
                <w:sz w:val="18"/>
                <w:szCs w:val="18"/>
              </w:rPr>
            </w:pPr>
            <w:r>
              <w:rPr>
                <w:rFonts w:ascii="宋体"/>
                <w:spacing w:val="-1"/>
                <w:sz w:val="18"/>
              </w:rPr>
              <w:t>276,863.26</w:t>
            </w:r>
          </w:p>
        </w:tc>
        <w:tc>
          <w:tcPr>
            <w:tcW w:w="285" w:type="dxa"/>
            <w:tcBorders>
              <w:top w:val="single" w:sz="4" w:space="0" w:color="000000"/>
              <w:left w:val="nil" w:sz="6" w:space="0" w:color="auto"/>
              <w:bottom w:val="nil" w:sz="6" w:space="0" w:color="auto"/>
              <w:right w:val="nil" w:sz="6" w:space="0" w:color="auto"/>
            </w:tcBorders>
          </w:tcPr>
          <w:p>
            <w:pPr/>
          </w:p>
        </w:tc>
        <w:tc>
          <w:tcPr>
            <w:tcW w:w="812"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spacing w:val="-1"/>
                <w:sz w:val="18"/>
              </w:rPr>
              <w:t>21,000.00</w:t>
            </w:r>
          </w:p>
        </w:tc>
        <w:tc>
          <w:tcPr>
            <w:tcW w:w="307" w:type="dxa"/>
            <w:tcBorders>
              <w:top w:val="single" w:sz="4" w:space="0" w:color="000000"/>
              <w:left w:val="nil" w:sz="6" w:space="0" w:color="auto"/>
              <w:bottom w:val="nil" w:sz="6" w:space="0" w:color="auto"/>
              <w:right w:val="nil" w:sz="6" w:space="0" w:color="auto"/>
            </w:tcBorders>
          </w:tcPr>
          <w:p>
            <w:pPr/>
          </w:p>
        </w:tc>
        <w:tc>
          <w:tcPr>
            <w:tcW w:w="1279"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11,078,969.46</w:t>
            </w:r>
          </w:p>
        </w:tc>
      </w:tr>
      <w:tr>
        <w:trPr>
          <w:trHeight w:val="481"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110" w:right="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1"/>
                <w:sz w:val="18"/>
                <w:szCs w:val="18"/>
              </w:rPr>
              <w:t> </w:t>
            </w:r>
            <w:r>
              <w:rPr>
                <w:rFonts w:ascii="宋体" w:hAnsi="宋体" w:cs="宋体" w:eastAsia="宋体" w:hint="default"/>
                <w:sz w:val="18"/>
                <w:szCs w:val="18"/>
              </w:rPr>
              <w:t>船舶智能配电板技术</w:t>
            </w:r>
          </w:p>
        </w:tc>
        <w:tc>
          <w:tcPr>
            <w:tcW w:w="1172" w:type="dxa"/>
            <w:tcBorders>
              <w:top w:val="single" w:sz="12" w:space="0" w:color="000000"/>
              <w:left w:val="nil" w:sz="6" w:space="0" w:color="auto"/>
              <w:bottom w:val="nil" w:sz="6" w:space="0" w:color="auto"/>
              <w:right w:val="nil" w:sz="6" w:space="0" w:color="auto"/>
            </w:tcBorders>
          </w:tcPr>
          <w:p>
            <w:pPr>
              <w:pStyle w:val="TableParagraph"/>
              <w:spacing w:line="240" w:lineRule="auto" w:before="125"/>
              <w:ind w:right="0"/>
              <w:jc w:val="right"/>
              <w:rPr>
                <w:rFonts w:ascii="宋体" w:hAnsi="宋体" w:cs="宋体" w:eastAsia="宋体" w:hint="default"/>
                <w:sz w:val="18"/>
                <w:szCs w:val="18"/>
              </w:rPr>
            </w:pPr>
            <w:r>
              <w:rPr>
                <w:rFonts w:ascii="宋体"/>
                <w:spacing w:val="-1"/>
                <w:sz w:val="18"/>
              </w:rPr>
              <w:t>1,795,174.40</w:t>
            </w:r>
          </w:p>
        </w:tc>
        <w:tc>
          <w:tcPr>
            <w:tcW w:w="1383" w:type="dxa"/>
            <w:tcBorders>
              <w:top w:val="single" w:sz="12" w:space="0" w:color="000000"/>
              <w:left w:val="nil" w:sz="6" w:space="0" w:color="auto"/>
              <w:bottom w:val="nil" w:sz="6" w:space="0" w:color="auto"/>
              <w:right w:val="nil" w:sz="6" w:space="0" w:color="auto"/>
            </w:tcBorders>
          </w:tcPr>
          <w:p>
            <w:pPr/>
          </w:p>
        </w:tc>
        <w:tc>
          <w:tcPr>
            <w:tcW w:w="285" w:type="dxa"/>
            <w:tcBorders>
              <w:top w:val="nil" w:sz="6" w:space="0" w:color="auto"/>
              <w:left w:val="nil" w:sz="6" w:space="0" w:color="auto"/>
              <w:bottom w:val="nil" w:sz="6" w:space="0" w:color="auto"/>
              <w:right w:val="nil" w:sz="6" w:space="0" w:color="auto"/>
            </w:tcBorders>
          </w:tcPr>
          <w:p>
            <w:pPr/>
          </w:p>
        </w:tc>
        <w:tc>
          <w:tcPr>
            <w:tcW w:w="812" w:type="dxa"/>
            <w:tcBorders>
              <w:top w:val="single" w:sz="12" w:space="0" w:color="000000"/>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279" w:type="dxa"/>
            <w:tcBorders>
              <w:top w:val="single" w:sz="12" w:space="0" w:color="000000"/>
              <w:left w:val="nil" w:sz="6" w:space="0" w:color="auto"/>
              <w:bottom w:val="nil" w:sz="6" w:space="0" w:color="auto"/>
              <w:right w:val="nil" w:sz="6" w:space="0" w:color="auto"/>
            </w:tcBorders>
          </w:tcPr>
          <w:p>
            <w:pPr>
              <w:pStyle w:val="TableParagraph"/>
              <w:spacing w:line="240" w:lineRule="auto" w:before="125"/>
              <w:ind w:right="105"/>
              <w:jc w:val="right"/>
              <w:rPr>
                <w:rFonts w:ascii="宋体" w:hAnsi="宋体" w:cs="宋体" w:eastAsia="宋体" w:hint="default"/>
                <w:sz w:val="18"/>
                <w:szCs w:val="18"/>
              </w:rPr>
            </w:pPr>
            <w:r>
              <w:rPr>
                <w:rFonts w:ascii="宋体"/>
                <w:spacing w:val="-1"/>
                <w:sz w:val="18"/>
              </w:rPr>
              <w:t>1,795,174.40</w:t>
            </w:r>
          </w:p>
        </w:tc>
      </w:tr>
      <w:tr>
        <w:trPr>
          <w:trHeight w:val="703"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316" w:lineRule="auto" w:before="50"/>
              <w:ind w:left="110" w:right="334"/>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3"/>
                <w:sz w:val="18"/>
                <w:szCs w:val="18"/>
              </w:rPr>
              <w:t> </w:t>
            </w: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宋体" w:hAnsi="宋体" w:cs="宋体" w:eastAsia="宋体" w:hint="default"/>
                <w:sz w:val="18"/>
                <w:szCs w:val="18"/>
              </w:rPr>
              <w:t>ARM/CPLD</w:t>
            </w:r>
            <w:r>
              <w:rPr>
                <w:rFonts w:ascii="宋体" w:hAnsi="宋体" w:cs="宋体" w:eastAsia="宋体" w:hint="default"/>
                <w:spacing w:val="-45"/>
                <w:sz w:val="18"/>
                <w:szCs w:val="18"/>
              </w:rPr>
              <w:t> </w:t>
            </w:r>
            <w:r>
              <w:rPr>
                <w:rFonts w:ascii="宋体" w:hAnsi="宋体" w:cs="宋体" w:eastAsia="宋体" w:hint="default"/>
                <w:sz w:val="18"/>
                <w:szCs w:val="18"/>
              </w:rPr>
              <w:t>技术的可变信息情报板研制技 术</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2,852,502.61</w:t>
            </w:r>
          </w:p>
        </w:tc>
        <w:tc>
          <w:tcPr>
            <w:tcW w:w="1383" w:type="dxa"/>
            <w:tcBorders>
              <w:top w:val="nil" w:sz="6" w:space="0" w:color="auto"/>
              <w:left w:val="nil" w:sz="6" w:space="0" w:color="auto"/>
              <w:bottom w:val="nil" w:sz="6" w:space="0" w:color="auto"/>
              <w:right w:val="nil" w:sz="6" w:space="0" w:color="auto"/>
            </w:tcBorders>
          </w:tcPr>
          <w:p>
            <w:pPr/>
          </w:p>
        </w:tc>
        <w:tc>
          <w:tcPr>
            <w:tcW w:w="285"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2,852,502.61</w:t>
            </w:r>
          </w:p>
        </w:tc>
      </w:tr>
      <w:tr>
        <w:trPr>
          <w:trHeight w:val="392"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③</w:t>
            </w:r>
            <w:r>
              <w:rPr>
                <w:rFonts w:ascii="宋体" w:hAnsi="宋体" w:cs="宋体" w:eastAsia="宋体" w:hint="default"/>
                <w:spacing w:val="1"/>
                <w:sz w:val="18"/>
                <w:szCs w:val="18"/>
              </w:rPr>
              <w:t> </w:t>
            </w:r>
            <w:r>
              <w:rPr>
                <w:rFonts w:ascii="宋体" w:hAnsi="宋体" w:cs="宋体" w:eastAsia="宋体" w:hint="default"/>
                <w:sz w:val="18"/>
                <w:szCs w:val="18"/>
              </w:rPr>
              <w:t>视频交通事件和交通参数检测技术</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pacing w:val="-1"/>
                <w:sz w:val="18"/>
              </w:rPr>
              <w:t>1,324,143.52</w:t>
            </w:r>
          </w:p>
        </w:tc>
        <w:tc>
          <w:tcPr>
            <w:tcW w:w="1383" w:type="dxa"/>
            <w:tcBorders>
              <w:top w:val="nil" w:sz="6" w:space="0" w:color="auto"/>
              <w:left w:val="nil" w:sz="6" w:space="0" w:color="auto"/>
              <w:bottom w:val="nil" w:sz="6" w:space="0" w:color="auto"/>
              <w:right w:val="nil" w:sz="6" w:space="0" w:color="auto"/>
            </w:tcBorders>
          </w:tcPr>
          <w:p>
            <w:pPr/>
          </w:p>
        </w:tc>
        <w:tc>
          <w:tcPr>
            <w:tcW w:w="285"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1,324,143.52</w:t>
            </w:r>
          </w:p>
        </w:tc>
      </w:tr>
      <w:tr>
        <w:trPr>
          <w:trHeight w:val="392"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④ 交技资产管理软件</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789,086.99</w:t>
            </w:r>
          </w:p>
        </w:tc>
        <w:tc>
          <w:tcPr>
            <w:tcW w:w="1383" w:type="dxa"/>
            <w:tcBorders>
              <w:top w:val="nil" w:sz="6" w:space="0" w:color="auto"/>
              <w:left w:val="nil" w:sz="6" w:space="0" w:color="auto"/>
              <w:bottom w:val="nil" w:sz="6" w:space="0" w:color="auto"/>
              <w:right w:val="nil" w:sz="6" w:space="0" w:color="auto"/>
            </w:tcBorders>
          </w:tcPr>
          <w:p>
            <w:pPr/>
          </w:p>
        </w:tc>
        <w:tc>
          <w:tcPr>
            <w:tcW w:w="285"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789,086.99</w:t>
            </w:r>
          </w:p>
        </w:tc>
      </w:tr>
      <w:tr>
        <w:trPr>
          <w:trHeight w:val="391"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⑤ </w:t>
            </w:r>
            <w:r>
              <w:rPr>
                <w:rFonts w:ascii="宋体" w:hAnsi="宋体" w:cs="宋体" w:eastAsia="宋体" w:hint="default"/>
                <w:sz w:val="18"/>
                <w:szCs w:val="18"/>
              </w:rPr>
              <w:t>ETC</w:t>
            </w:r>
            <w:r>
              <w:rPr>
                <w:rFonts w:ascii="宋体" w:hAnsi="宋体" w:cs="宋体" w:eastAsia="宋体" w:hint="default"/>
                <w:spacing w:val="-44"/>
                <w:sz w:val="18"/>
                <w:szCs w:val="18"/>
              </w:rPr>
              <w:t> </w:t>
            </w:r>
            <w:r>
              <w:rPr>
                <w:rFonts w:ascii="宋体" w:hAnsi="宋体" w:cs="宋体" w:eastAsia="宋体" w:hint="default"/>
                <w:sz w:val="18"/>
                <w:szCs w:val="18"/>
              </w:rPr>
              <w:t>电子不停车收费技术</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pacing w:val="-1"/>
                <w:sz w:val="18"/>
              </w:rPr>
              <w:t>2,725,789.25</w:t>
            </w:r>
          </w:p>
        </w:tc>
        <w:tc>
          <w:tcPr>
            <w:tcW w:w="1383" w:type="dxa"/>
            <w:tcBorders>
              <w:top w:val="nil" w:sz="6" w:space="0" w:color="auto"/>
              <w:left w:val="nil" w:sz="6" w:space="0" w:color="auto"/>
              <w:bottom w:val="nil" w:sz="6" w:space="0" w:color="auto"/>
              <w:right w:val="nil" w:sz="6" w:space="0" w:color="auto"/>
            </w:tcBorders>
          </w:tcPr>
          <w:p>
            <w:pPr/>
          </w:p>
        </w:tc>
        <w:tc>
          <w:tcPr>
            <w:tcW w:w="285"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2,725,789.25</w:t>
            </w:r>
          </w:p>
        </w:tc>
      </w:tr>
      <w:tr>
        <w:trPr>
          <w:trHeight w:val="393"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⑥</w:t>
            </w:r>
            <w:r>
              <w:rPr>
                <w:rFonts w:ascii="宋体" w:hAnsi="宋体" w:cs="宋体" w:eastAsia="宋体" w:hint="default"/>
                <w:spacing w:val="-2"/>
                <w:sz w:val="18"/>
                <w:szCs w:val="18"/>
              </w:rPr>
              <w:t> </w:t>
            </w:r>
            <w:r>
              <w:rPr>
                <w:rFonts w:ascii="宋体" w:hAnsi="宋体" w:cs="宋体" w:eastAsia="宋体" w:hint="default"/>
                <w:sz w:val="18"/>
                <w:szCs w:val="18"/>
              </w:rPr>
              <w:t>CAD</w:t>
            </w: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z w:val="18"/>
                <w:szCs w:val="18"/>
              </w:rPr>
              <w:t>）软件</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pacing w:val="-1"/>
                <w:sz w:val="18"/>
              </w:rPr>
              <w:t>21,000.00</w:t>
            </w:r>
          </w:p>
        </w:tc>
        <w:tc>
          <w:tcPr>
            <w:tcW w:w="1383" w:type="dxa"/>
            <w:tcBorders>
              <w:top w:val="nil" w:sz="6" w:space="0" w:color="auto"/>
              <w:left w:val="nil" w:sz="6" w:space="0" w:color="auto"/>
              <w:bottom w:val="nil" w:sz="6" w:space="0" w:color="auto"/>
              <w:right w:val="nil" w:sz="6" w:space="0" w:color="auto"/>
            </w:tcBorders>
          </w:tcPr>
          <w:p>
            <w:pPr/>
          </w:p>
        </w:tc>
        <w:tc>
          <w:tcPr>
            <w:tcW w:w="285"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center"/>
              <w:rPr>
                <w:rFonts w:ascii="宋体" w:hAnsi="宋体" w:cs="宋体" w:eastAsia="宋体" w:hint="default"/>
                <w:sz w:val="18"/>
                <w:szCs w:val="18"/>
              </w:rPr>
            </w:pPr>
            <w:r>
              <w:rPr>
                <w:rFonts w:ascii="宋体"/>
                <w:spacing w:val="-1"/>
                <w:sz w:val="18"/>
              </w:rPr>
              <w:t>21,000.00</w:t>
            </w:r>
          </w:p>
        </w:tc>
        <w:tc>
          <w:tcPr>
            <w:tcW w:w="30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
        </w:tc>
      </w:tr>
      <w:tr>
        <w:trPr>
          <w:trHeight w:val="393"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⑦ </w:t>
            </w:r>
            <w:r>
              <w:rPr>
                <w:rFonts w:ascii="宋体" w:hAnsi="宋体" w:cs="宋体" w:eastAsia="宋体" w:hint="default"/>
                <w:sz w:val="18"/>
                <w:szCs w:val="18"/>
              </w:rPr>
              <w:t>ARC GIS</w:t>
            </w:r>
            <w:r>
              <w:rPr>
                <w:rFonts w:ascii="宋体" w:hAnsi="宋体" w:cs="宋体" w:eastAsia="宋体" w:hint="default"/>
                <w:spacing w:val="-45"/>
                <w:sz w:val="18"/>
                <w:szCs w:val="18"/>
              </w:rPr>
              <w:t> </w:t>
            </w:r>
            <w:r>
              <w:rPr>
                <w:rFonts w:ascii="宋体" w:hAnsi="宋体" w:cs="宋体" w:eastAsia="宋体" w:hint="default"/>
                <w:sz w:val="18"/>
                <w:szCs w:val="18"/>
              </w:rPr>
              <w:t>软件</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299,145.30</w:t>
            </w:r>
          </w:p>
        </w:tc>
        <w:tc>
          <w:tcPr>
            <w:tcW w:w="1383" w:type="dxa"/>
            <w:tcBorders>
              <w:top w:val="nil" w:sz="6" w:space="0" w:color="auto"/>
              <w:left w:val="nil" w:sz="6" w:space="0" w:color="auto"/>
              <w:bottom w:val="nil" w:sz="6" w:space="0" w:color="auto"/>
              <w:right w:val="nil" w:sz="6" w:space="0" w:color="auto"/>
            </w:tcBorders>
          </w:tcPr>
          <w:p>
            <w:pPr/>
          </w:p>
        </w:tc>
        <w:tc>
          <w:tcPr>
            <w:tcW w:w="285"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299,145.30</w:t>
            </w:r>
          </w:p>
        </w:tc>
      </w:tr>
      <w:tr>
        <w:trPr>
          <w:trHeight w:val="391"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⑧</w:t>
            </w:r>
            <w:r>
              <w:rPr>
                <w:rFonts w:ascii="宋体" w:hAnsi="宋体" w:cs="宋体" w:eastAsia="宋体" w:hint="default"/>
                <w:spacing w:val="1"/>
                <w:sz w:val="18"/>
                <w:szCs w:val="18"/>
              </w:rPr>
              <w:t> </w:t>
            </w:r>
            <w:r>
              <w:rPr>
                <w:rFonts w:ascii="宋体" w:hAnsi="宋体" w:cs="宋体" w:eastAsia="宋体" w:hint="default"/>
                <w:sz w:val="18"/>
                <w:szCs w:val="18"/>
              </w:rPr>
              <w:t>测试管理工具</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pacing w:val="-1"/>
                <w:sz w:val="18"/>
              </w:rPr>
              <w:t>247,888.04</w:t>
            </w:r>
          </w:p>
        </w:tc>
        <w:tc>
          <w:tcPr>
            <w:tcW w:w="1383" w:type="dxa"/>
            <w:tcBorders>
              <w:top w:val="nil" w:sz="6" w:space="0" w:color="auto"/>
              <w:left w:val="nil" w:sz="6" w:space="0" w:color="auto"/>
              <w:bottom w:val="nil" w:sz="6" w:space="0" w:color="auto"/>
              <w:right w:val="nil" w:sz="6" w:space="0" w:color="auto"/>
            </w:tcBorders>
          </w:tcPr>
          <w:p>
            <w:pPr/>
          </w:p>
        </w:tc>
        <w:tc>
          <w:tcPr>
            <w:tcW w:w="285"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247,888.04</w:t>
            </w:r>
          </w:p>
        </w:tc>
      </w:tr>
      <w:tr>
        <w:trPr>
          <w:trHeight w:val="392"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⑨ </w:t>
            </w:r>
            <w:r>
              <w:rPr>
                <w:rFonts w:ascii="宋体" w:hAnsi="宋体" w:cs="宋体" w:eastAsia="宋体" w:hint="default"/>
                <w:sz w:val="18"/>
                <w:szCs w:val="18"/>
              </w:rPr>
              <w:t>IBM</w:t>
            </w:r>
            <w:r>
              <w:rPr>
                <w:rFonts w:ascii="宋体" w:hAnsi="宋体" w:cs="宋体" w:eastAsia="宋体" w:hint="default"/>
                <w:spacing w:val="-44"/>
                <w:sz w:val="18"/>
                <w:szCs w:val="18"/>
              </w:rPr>
              <w:t> </w:t>
            </w:r>
            <w:r>
              <w:rPr>
                <w:rFonts w:ascii="宋体" w:hAnsi="宋体" w:cs="宋体" w:eastAsia="宋体" w:hint="default"/>
                <w:sz w:val="18"/>
                <w:szCs w:val="18"/>
              </w:rPr>
              <w:t>团队开发软件</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pacing w:val="-1"/>
                <w:sz w:val="18"/>
              </w:rPr>
              <w:t>729,914.53</w:t>
            </w:r>
          </w:p>
        </w:tc>
        <w:tc>
          <w:tcPr>
            <w:tcW w:w="1383" w:type="dxa"/>
            <w:tcBorders>
              <w:top w:val="nil" w:sz="6" w:space="0" w:color="auto"/>
              <w:left w:val="nil" w:sz="6" w:space="0" w:color="auto"/>
              <w:bottom w:val="nil" w:sz="6" w:space="0" w:color="auto"/>
              <w:right w:val="nil" w:sz="6" w:space="0" w:color="auto"/>
            </w:tcBorders>
          </w:tcPr>
          <w:p>
            <w:pPr/>
          </w:p>
        </w:tc>
        <w:tc>
          <w:tcPr>
            <w:tcW w:w="285"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729,914.53</w:t>
            </w:r>
          </w:p>
        </w:tc>
      </w:tr>
      <w:tr>
        <w:trPr>
          <w:trHeight w:val="392"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⑩ 网络电气设计软件</w:t>
            </w:r>
            <w:r>
              <w:rPr>
                <w:rFonts w:ascii="宋体" w:hAnsi="宋体" w:cs="宋体" w:eastAsia="宋体" w:hint="default"/>
                <w:spacing w:val="-48"/>
                <w:sz w:val="18"/>
                <w:szCs w:val="18"/>
              </w:rPr>
              <w:t> </w:t>
            </w:r>
            <w:r>
              <w:rPr>
                <w:rFonts w:ascii="宋体" w:hAnsi="宋体" w:cs="宋体" w:eastAsia="宋体" w:hint="default"/>
                <w:sz w:val="18"/>
                <w:szCs w:val="18"/>
              </w:rPr>
              <w:t>elecworks</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38,461.56</w:t>
            </w:r>
          </w:p>
        </w:tc>
        <w:tc>
          <w:tcPr>
            <w:tcW w:w="1383" w:type="dxa"/>
            <w:tcBorders>
              <w:top w:val="nil" w:sz="6" w:space="0" w:color="auto"/>
              <w:left w:val="nil" w:sz="6" w:space="0" w:color="auto"/>
              <w:bottom w:val="nil" w:sz="6" w:space="0" w:color="auto"/>
              <w:right w:val="nil" w:sz="6" w:space="0" w:color="auto"/>
            </w:tcBorders>
          </w:tcPr>
          <w:p>
            <w:pPr/>
          </w:p>
        </w:tc>
        <w:tc>
          <w:tcPr>
            <w:tcW w:w="285"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38,461.56</w:t>
            </w:r>
          </w:p>
        </w:tc>
      </w:tr>
      <w:tr>
        <w:trPr>
          <w:trHeight w:val="391"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MS UI Gothic" w:hAnsi="MS UI Gothic" w:cs="MS UI Gothic" w:eastAsia="MS UI Gothic" w:hint="default"/>
                <w:sz w:val="18"/>
                <w:szCs w:val="18"/>
              </w:rPr>
              <w:t>⑪</w:t>
            </w:r>
            <w:r>
              <w:rPr>
                <w:rFonts w:ascii="MS UI Gothic" w:hAnsi="MS UI Gothic" w:cs="MS UI Gothic" w:eastAsia="MS UI Gothic" w:hint="default"/>
                <w:spacing w:val="35"/>
                <w:sz w:val="18"/>
                <w:szCs w:val="18"/>
              </w:rPr>
              <w:t> </w:t>
            </w:r>
            <w:r>
              <w:rPr>
                <w:rFonts w:ascii="宋体" w:hAnsi="宋体" w:cs="宋体" w:eastAsia="宋体" w:hint="default"/>
                <w:sz w:val="18"/>
                <w:szCs w:val="18"/>
              </w:rPr>
              <w:t>用友软件</w:t>
            </w:r>
          </w:p>
        </w:tc>
        <w:tc>
          <w:tcPr>
            <w:tcW w:w="1172"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pacing w:val="-1"/>
                <w:sz w:val="18"/>
              </w:rPr>
              <w:t>31,410.26</w:t>
            </w:r>
          </w:p>
        </w:tc>
        <w:tc>
          <w:tcPr>
            <w:tcW w:w="285"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31,410.26</w:t>
            </w:r>
          </w:p>
        </w:tc>
      </w:tr>
      <w:tr>
        <w:trPr>
          <w:trHeight w:val="392"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MS UI Gothic" w:hAnsi="MS UI Gothic" w:cs="MS UI Gothic" w:eastAsia="MS UI Gothic" w:hint="default"/>
                <w:sz w:val="18"/>
                <w:szCs w:val="18"/>
              </w:rPr>
              <w:t>⑫ </w:t>
            </w:r>
            <w:r>
              <w:rPr>
                <w:rFonts w:ascii="宋体" w:hAnsi="宋体" w:cs="宋体" w:eastAsia="宋体" w:hint="default"/>
                <w:sz w:val="18"/>
                <w:szCs w:val="18"/>
              </w:rPr>
              <w:t>办公 </w:t>
            </w:r>
            <w:r>
              <w:rPr>
                <w:rFonts w:ascii="宋体" w:hAnsi="宋体" w:cs="宋体" w:eastAsia="宋体" w:hint="default"/>
                <w:sz w:val="18"/>
                <w:szCs w:val="18"/>
              </w:rPr>
              <w:t>OFFICE</w:t>
            </w:r>
            <w:r>
              <w:rPr>
                <w:rFonts w:ascii="宋体" w:hAnsi="宋体" w:cs="宋体" w:eastAsia="宋体" w:hint="default"/>
                <w:spacing w:val="-57"/>
                <w:sz w:val="18"/>
                <w:szCs w:val="18"/>
              </w:rPr>
              <w:t> </w:t>
            </w:r>
            <w:r>
              <w:rPr>
                <w:rFonts w:ascii="宋体" w:hAnsi="宋体" w:cs="宋体" w:eastAsia="宋体" w:hint="default"/>
                <w:sz w:val="18"/>
                <w:szCs w:val="18"/>
              </w:rPr>
              <w:t>软件</w:t>
            </w:r>
          </w:p>
        </w:tc>
        <w:tc>
          <w:tcPr>
            <w:tcW w:w="1172"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pacing w:val="-1"/>
                <w:sz w:val="18"/>
              </w:rPr>
              <w:t>36,905.99</w:t>
            </w:r>
          </w:p>
        </w:tc>
        <w:tc>
          <w:tcPr>
            <w:tcW w:w="285"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36,905.99</w:t>
            </w:r>
          </w:p>
        </w:tc>
      </w:tr>
      <w:tr>
        <w:trPr>
          <w:trHeight w:val="392"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MS UI Gothic" w:hAnsi="MS UI Gothic" w:cs="MS UI Gothic" w:eastAsia="MS UI Gothic" w:hint="default"/>
                <w:sz w:val="18"/>
                <w:szCs w:val="18"/>
              </w:rPr>
              <w:t>⑬  </w:t>
            </w:r>
            <w:r>
              <w:rPr>
                <w:rFonts w:ascii="宋体" w:hAnsi="宋体" w:cs="宋体" w:eastAsia="宋体" w:hint="default"/>
                <w:sz w:val="18"/>
                <w:szCs w:val="18"/>
              </w:rPr>
              <w:t>WPS</w:t>
            </w:r>
            <w:r>
              <w:rPr>
                <w:rFonts w:ascii="宋体" w:hAnsi="宋体" w:cs="宋体" w:eastAsia="宋体" w:hint="default"/>
                <w:spacing w:val="-64"/>
                <w:sz w:val="18"/>
                <w:szCs w:val="18"/>
              </w:rPr>
              <w:t> </w:t>
            </w:r>
            <w:r>
              <w:rPr>
                <w:rFonts w:ascii="宋体" w:hAnsi="宋体" w:cs="宋体" w:eastAsia="宋体" w:hint="default"/>
                <w:sz w:val="18"/>
                <w:szCs w:val="18"/>
              </w:rPr>
              <w:t>软件</w:t>
            </w:r>
          </w:p>
        </w:tc>
        <w:tc>
          <w:tcPr>
            <w:tcW w:w="1172"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62,393.16</w:t>
            </w:r>
          </w:p>
        </w:tc>
        <w:tc>
          <w:tcPr>
            <w:tcW w:w="285"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62,393.16</w:t>
            </w:r>
          </w:p>
        </w:tc>
      </w:tr>
      <w:tr>
        <w:trPr>
          <w:trHeight w:val="391"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MS UI Gothic" w:hAnsi="MS UI Gothic" w:cs="MS UI Gothic" w:eastAsia="MS UI Gothic" w:hint="default"/>
                <w:sz w:val="18"/>
                <w:szCs w:val="18"/>
              </w:rPr>
              <w:t>⑭</w:t>
            </w:r>
            <w:r>
              <w:rPr>
                <w:rFonts w:ascii="MS UI Gothic" w:hAnsi="MS UI Gothic" w:cs="MS UI Gothic" w:eastAsia="MS UI Gothic" w:hint="default"/>
                <w:spacing w:val="35"/>
                <w:sz w:val="18"/>
                <w:szCs w:val="18"/>
              </w:rPr>
              <w:t> </w:t>
            </w:r>
            <w:r>
              <w:rPr>
                <w:rFonts w:ascii="宋体" w:hAnsi="宋体" w:cs="宋体" w:eastAsia="宋体" w:hint="default"/>
                <w:sz w:val="18"/>
                <w:szCs w:val="18"/>
              </w:rPr>
              <w:t>微软软件</w:t>
            </w:r>
          </w:p>
        </w:tc>
        <w:tc>
          <w:tcPr>
            <w:tcW w:w="1172"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pacing w:val="-1"/>
                <w:sz w:val="18"/>
              </w:rPr>
              <w:t>146,153.85</w:t>
            </w:r>
          </w:p>
        </w:tc>
        <w:tc>
          <w:tcPr>
            <w:tcW w:w="285"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146,153.85</w:t>
            </w:r>
          </w:p>
        </w:tc>
      </w:tr>
      <w:tr>
        <w:trPr>
          <w:trHeight w:val="393"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二、累计摊销额合计</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r>
            <w:r>
              <w:rPr>
                <w:rFonts w:ascii="宋体"/>
                <w:spacing w:val="-1"/>
                <w:sz w:val="18"/>
                <w:u w:val="thick" w:color="000000"/>
              </w:rPr>
              <w:t>566,411.71</w:t>
            </w:r>
            <w:r>
              <w:rPr>
                <w:rFonts w:ascii="宋体"/>
                <w:spacing w:val="-1"/>
                <w:sz w:val="18"/>
              </w:rPr>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r>
            <w:r>
              <w:rPr>
                <w:rFonts w:ascii="宋体"/>
                <w:spacing w:val="-1"/>
                <w:sz w:val="18"/>
                <w:u w:val="thick" w:color="000000"/>
              </w:rPr>
              <w:t>1,300,968.45</w:t>
            </w:r>
            <w:r>
              <w:rPr>
                <w:rFonts w:ascii="宋体"/>
                <w:spacing w:val="-1"/>
                <w:sz w:val="18"/>
              </w:rPr>
            </w:r>
          </w:p>
        </w:tc>
        <w:tc>
          <w:tcPr>
            <w:tcW w:w="285"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r>
            <w:r>
              <w:rPr>
                <w:rFonts w:ascii="宋体"/>
                <w:spacing w:val="-1"/>
                <w:sz w:val="18"/>
                <w:u w:val="thick" w:color="000000"/>
              </w:rPr>
              <w:t>21,000.00</w:t>
            </w:r>
            <w:r>
              <w:rPr>
                <w:rFonts w:ascii="宋体"/>
                <w:spacing w:val="-1"/>
                <w:sz w:val="18"/>
              </w:rPr>
            </w:r>
          </w:p>
        </w:tc>
        <w:tc>
          <w:tcPr>
            <w:tcW w:w="30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8"/>
              <w:jc w:val="right"/>
              <w:rPr>
                <w:rFonts w:ascii="宋体" w:hAnsi="宋体" w:cs="宋体" w:eastAsia="宋体" w:hint="default"/>
                <w:sz w:val="18"/>
                <w:szCs w:val="18"/>
              </w:rPr>
            </w:pPr>
            <w:r>
              <w:rPr>
                <w:rFonts w:ascii="宋体"/>
                <w:sz w:val="18"/>
              </w:rPr>
            </w:r>
            <w:r>
              <w:rPr>
                <w:rFonts w:ascii="宋体"/>
                <w:spacing w:val="-1"/>
                <w:sz w:val="18"/>
                <w:u w:val="thick" w:color="000000"/>
              </w:rPr>
              <w:t>1,846,380.16</w:t>
            </w:r>
            <w:r>
              <w:rPr>
                <w:rFonts w:ascii="宋体"/>
                <w:spacing w:val="-1"/>
                <w:sz w:val="18"/>
              </w:rPr>
            </w:r>
          </w:p>
        </w:tc>
      </w:tr>
      <w:tr>
        <w:trPr>
          <w:trHeight w:val="393"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1"/>
                <w:sz w:val="18"/>
                <w:szCs w:val="18"/>
              </w:rPr>
              <w:t> </w:t>
            </w:r>
            <w:r>
              <w:rPr>
                <w:rFonts w:ascii="宋体" w:hAnsi="宋体" w:cs="宋体" w:eastAsia="宋体" w:hint="default"/>
                <w:sz w:val="18"/>
                <w:szCs w:val="18"/>
              </w:rPr>
              <w:t>船舶智能配电板技术</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119,678.29</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179,517.44</w:t>
            </w:r>
          </w:p>
        </w:tc>
        <w:tc>
          <w:tcPr>
            <w:tcW w:w="285"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299,195.73</w:t>
            </w:r>
          </w:p>
        </w:tc>
      </w:tr>
      <w:tr>
        <w:trPr>
          <w:trHeight w:val="703"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316" w:lineRule="auto" w:before="50"/>
              <w:ind w:left="110" w:right="334"/>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3"/>
                <w:sz w:val="18"/>
                <w:szCs w:val="18"/>
              </w:rPr>
              <w:t> </w:t>
            </w: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宋体" w:hAnsi="宋体" w:cs="宋体" w:eastAsia="宋体" w:hint="default"/>
                <w:sz w:val="18"/>
                <w:szCs w:val="18"/>
              </w:rPr>
              <w:t>ARM/CPLD</w:t>
            </w:r>
            <w:r>
              <w:rPr>
                <w:rFonts w:ascii="宋体" w:hAnsi="宋体" w:cs="宋体" w:eastAsia="宋体" w:hint="default"/>
                <w:spacing w:val="-45"/>
                <w:sz w:val="18"/>
                <w:szCs w:val="18"/>
              </w:rPr>
              <w:t> </w:t>
            </w:r>
            <w:r>
              <w:rPr>
                <w:rFonts w:ascii="宋体" w:hAnsi="宋体" w:cs="宋体" w:eastAsia="宋体" w:hint="default"/>
                <w:sz w:val="18"/>
                <w:szCs w:val="18"/>
              </w:rPr>
              <w:t>技术的可变信息情报板研制技 术</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190,166.84</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285,250.26</w:t>
            </w:r>
          </w:p>
        </w:tc>
        <w:tc>
          <w:tcPr>
            <w:tcW w:w="285"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475,417.10</w:t>
            </w:r>
          </w:p>
        </w:tc>
      </w:tr>
      <w:tr>
        <w:trPr>
          <w:trHeight w:val="392"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③</w:t>
            </w:r>
            <w:r>
              <w:rPr>
                <w:rFonts w:ascii="宋体" w:hAnsi="宋体" w:cs="宋体" w:eastAsia="宋体" w:hint="default"/>
                <w:spacing w:val="1"/>
                <w:sz w:val="18"/>
                <w:szCs w:val="18"/>
              </w:rPr>
              <w:t> </w:t>
            </w:r>
            <w:r>
              <w:rPr>
                <w:rFonts w:ascii="宋体" w:hAnsi="宋体" w:cs="宋体" w:eastAsia="宋体" w:hint="default"/>
                <w:sz w:val="18"/>
                <w:szCs w:val="18"/>
              </w:rPr>
              <w:t>视频交通事件和交通参数检测技术</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pacing w:val="-1"/>
                <w:sz w:val="18"/>
              </w:rPr>
              <w:t>99,310.76</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pacing w:val="-1"/>
                <w:sz w:val="18"/>
              </w:rPr>
              <w:t>132,414.36</w:t>
            </w:r>
          </w:p>
        </w:tc>
        <w:tc>
          <w:tcPr>
            <w:tcW w:w="285"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231,725.12</w:t>
            </w:r>
          </w:p>
        </w:tc>
      </w:tr>
      <w:tr>
        <w:trPr>
          <w:trHeight w:val="392"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④</w:t>
            </w:r>
            <w:r>
              <w:rPr>
                <w:rFonts w:ascii="宋体" w:hAnsi="宋体" w:cs="宋体" w:eastAsia="宋体" w:hint="default"/>
                <w:spacing w:val="1"/>
                <w:sz w:val="18"/>
                <w:szCs w:val="18"/>
              </w:rPr>
              <w:t> </w:t>
            </w:r>
            <w:r>
              <w:rPr>
                <w:rFonts w:ascii="宋体" w:hAnsi="宋体" w:cs="宋体" w:eastAsia="宋体" w:hint="default"/>
                <w:sz w:val="18"/>
                <w:szCs w:val="18"/>
              </w:rPr>
              <w:t>交技资产管理软件</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52,605.80</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157,817.40</w:t>
            </w:r>
          </w:p>
        </w:tc>
        <w:tc>
          <w:tcPr>
            <w:tcW w:w="285"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210,423.20</w:t>
            </w:r>
          </w:p>
        </w:tc>
      </w:tr>
      <w:tr>
        <w:trPr>
          <w:trHeight w:val="391"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⑤ </w:t>
            </w:r>
            <w:r>
              <w:rPr>
                <w:rFonts w:ascii="宋体" w:hAnsi="宋体" w:cs="宋体" w:eastAsia="宋体" w:hint="default"/>
                <w:sz w:val="18"/>
                <w:szCs w:val="18"/>
              </w:rPr>
              <w:t>ETC</w:t>
            </w:r>
            <w:r>
              <w:rPr>
                <w:rFonts w:ascii="宋体" w:hAnsi="宋体" w:cs="宋体" w:eastAsia="宋体" w:hint="default"/>
                <w:spacing w:val="-44"/>
                <w:sz w:val="18"/>
                <w:szCs w:val="18"/>
              </w:rPr>
              <w:t> </w:t>
            </w:r>
            <w:r>
              <w:rPr>
                <w:rFonts w:ascii="宋体" w:hAnsi="宋体" w:cs="宋体" w:eastAsia="宋体" w:hint="default"/>
                <w:sz w:val="18"/>
                <w:szCs w:val="18"/>
              </w:rPr>
              <w:t>电子不停车收费技术</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pacing w:val="-1"/>
                <w:sz w:val="18"/>
              </w:rPr>
              <w:t>45,429.82</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pacing w:val="-1"/>
                <w:sz w:val="18"/>
              </w:rPr>
              <w:t>272,578.93</w:t>
            </w:r>
          </w:p>
        </w:tc>
        <w:tc>
          <w:tcPr>
            <w:tcW w:w="285"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318,008.75</w:t>
            </w:r>
          </w:p>
        </w:tc>
      </w:tr>
      <w:tr>
        <w:trPr>
          <w:trHeight w:val="392"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⑥</w:t>
            </w:r>
            <w:r>
              <w:rPr>
                <w:rFonts w:ascii="宋体" w:hAnsi="宋体" w:cs="宋体" w:eastAsia="宋体" w:hint="default"/>
                <w:spacing w:val="-2"/>
                <w:sz w:val="18"/>
                <w:szCs w:val="18"/>
              </w:rPr>
              <w:t> </w:t>
            </w:r>
            <w:r>
              <w:rPr>
                <w:rFonts w:ascii="宋体" w:hAnsi="宋体" w:cs="宋体" w:eastAsia="宋体" w:hint="default"/>
                <w:sz w:val="18"/>
                <w:szCs w:val="18"/>
              </w:rPr>
              <w:t>CAD</w:t>
            </w: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z w:val="18"/>
                <w:szCs w:val="18"/>
              </w:rPr>
              <w:t>）软件</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pacing w:val="-1"/>
                <w:sz w:val="18"/>
              </w:rPr>
              <w:t>21,000.00</w:t>
            </w:r>
          </w:p>
        </w:tc>
        <w:tc>
          <w:tcPr>
            <w:tcW w:w="1383" w:type="dxa"/>
            <w:tcBorders>
              <w:top w:val="nil" w:sz="6" w:space="0" w:color="auto"/>
              <w:left w:val="nil" w:sz="6" w:space="0" w:color="auto"/>
              <w:bottom w:val="nil" w:sz="6" w:space="0" w:color="auto"/>
              <w:right w:val="nil" w:sz="6" w:space="0" w:color="auto"/>
            </w:tcBorders>
          </w:tcPr>
          <w:p>
            <w:pPr/>
          </w:p>
        </w:tc>
        <w:tc>
          <w:tcPr>
            <w:tcW w:w="285"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center"/>
              <w:rPr>
                <w:rFonts w:ascii="宋体" w:hAnsi="宋体" w:cs="宋体" w:eastAsia="宋体" w:hint="default"/>
                <w:sz w:val="18"/>
                <w:szCs w:val="18"/>
              </w:rPr>
            </w:pPr>
            <w:r>
              <w:rPr>
                <w:rFonts w:ascii="宋体"/>
                <w:spacing w:val="-1"/>
                <w:sz w:val="18"/>
              </w:rPr>
              <w:t>21,000.00</w:t>
            </w:r>
          </w:p>
        </w:tc>
        <w:tc>
          <w:tcPr>
            <w:tcW w:w="30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
        </w:tc>
      </w:tr>
      <w:tr>
        <w:trPr>
          <w:trHeight w:val="392"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⑦ </w:t>
            </w:r>
            <w:r>
              <w:rPr>
                <w:rFonts w:ascii="宋体" w:hAnsi="宋体" w:cs="宋体" w:eastAsia="宋体" w:hint="default"/>
                <w:sz w:val="18"/>
                <w:szCs w:val="18"/>
              </w:rPr>
              <w:t>ARC GIS</w:t>
            </w:r>
            <w:r>
              <w:rPr>
                <w:rFonts w:ascii="宋体" w:hAnsi="宋体" w:cs="宋体" w:eastAsia="宋体" w:hint="default"/>
                <w:spacing w:val="-45"/>
                <w:sz w:val="18"/>
                <w:szCs w:val="18"/>
              </w:rPr>
              <w:t> </w:t>
            </w:r>
            <w:r>
              <w:rPr>
                <w:rFonts w:ascii="宋体" w:hAnsi="宋体" w:cs="宋体" w:eastAsia="宋体" w:hint="default"/>
                <w:sz w:val="18"/>
                <w:szCs w:val="18"/>
              </w:rPr>
              <w:t>软件</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4,985.76</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59,829.06</w:t>
            </w:r>
          </w:p>
        </w:tc>
        <w:tc>
          <w:tcPr>
            <w:tcW w:w="285"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64,814.82</w:t>
            </w:r>
          </w:p>
        </w:tc>
      </w:tr>
      <w:tr>
        <w:trPr>
          <w:trHeight w:val="392"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⑧</w:t>
            </w:r>
            <w:r>
              <w:rPr>
                <w:rFonts w:ascii="宋体" w:hAnsi="宋体" w:cs="宋体" w:eastAsia="宋体" w:hint="default"/>
                <w:spacing w:val="1"/>
                <w:sz w:val="18"/>
                <w:szCs w:val="18"/>
              </w:rPr>
              <w:t> </w:t>
            </w:r>
            <w:r>
              <w:rPr>
                <w:rFonts w:ascii="宋体" w:hAnsi="宋体" w:cs="宋体" w:eastAsia="宋体" w:hint="default"/>
                <w:sz w:val="18"/>
                <w:szCs w:val="18"/>
              </w:rPr>
              <w:t>测试管理工具</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pacing w:val="-1"/>
                <w:sz w:val="18"/>
              </w:rPr>
              <w:t>8,262.93</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pacing w:val="-1"/>
                <w:sz w:val="18"/>
              </w:rPr>
              <w:t>49,577.61</w:t>
            </w:r>
          </w:p>
        </w:tc>
        <w:tc>
          <w:tcPr>
            <w:tcW w:w="285"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57,840.54</w:t>
            </w:r>
          </w:p>
        </w:tc>
      </w:tr>
      <w:tr>
        <w:trPr>
          <w:trHeight w:val="393"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⑨ </w:t>
            </w:r>
            <w:r>
              <w:rPr>
                <w:rFonts w:ascii="宋体" w:hAnsi="宋体" w:cs="宋体" w:eastAsia="宋体" w:hint="default"/>
                <w:sz w:val="18"/>
                <w:szCs w:val="18"/>
              </w:rPr>
              <w:t>IBM</w:t>
            </w:r>
            <w:r>
              <w:rPr>
                <w:rFonts w:ascii="宋体" w:hAnsi="宋体" w:cs="宋体" w:eastAsia="宋体" w:hint="default"/>
                <w:spacing w:val="-44"/>
                <w:sz w:val="18"/>
                <w:szCs w:val="18"/>
              </w:rPr>
              <w:t> </w:t>
            </w:r>
            <w:r>
              <w:rPr>
                <w:rFonts w:ascii="宋体" w:hAnsi="宋体" w:cs="宋体" w:eastAsia="宋体" w:hint="default"/>
                <w:sz w:val="18"/>
                <w:szCs w:val="18"/>
              </w:rPr>
              <w:t>团队开发软件</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pacing w:val="-1"/>
                <w:sz w:val="18"/>
              </w:rPr>
              <w:t>24,330.48</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pacing w:val="-1"/>
                <w:sz w:val="18"/>
              </w:rPr>
              <w:t>145,982.91</w:t>
            </w:r>
          </w:p>
        </w:tc>
        <w:tc>
          <w:tcPr>
            <w:tcW w:w="285"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170,313.39</w:t>
            </w:r>
          </w:p>
        </w:tc>
      </w:tr>
      <w:tr>
        <w:trPr>
          <w:trHeight w:val="392"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⑩ 网络电气设计软件</w:t>
            </w:r>
            <w:r>
              <w:rPr>
                <w:rFonts w:ascii="宋体" w:hAnsi="宋体" w:cs="宋体" w:eastAsia="宋体" w:hint="default"/>
                <w:spacing w:val="-48"/>
                <w:sz w:val="18"/>
                <w:szCs w:val="18"/>
              </w:rPr>
              <w:t> </w:t>
            </w:r>
            <w:r>
              <w:rPr>
                <w:rFonts w:ascii="宋体" w:hAnsi="宋体" w:cs="宋体" w:eastAsia="宋体" w:hint="default"/>
                <w:sz w:val="18"/>
                <w:szCs w:val="18"/>
              </w:rPr>
              <w:t>elecworks</w:t>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641.03</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7,692.31</w:t>
            </w:r>
          </w:p>
        </w:tc>
        <w:tc>
          <w:tcPr>
            <w:tcW w:w="285"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8,333.34</w:t>
            </w:r>
          </w:p>
        </w:tc>
      </w:tr>
      <w:tr>
        <w:trPr>
          <w:trHeight w:val="391"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MS UI Gothic" w:hAnsi="MS UI Gothic" w:cs="MS UI Gothic" w:eastAsia="MS UI Gothic" w:hint="default"/>
                <w:sz w:val="18"/>
                <w:szCs w:val="18"/>
              </w:rPr>
              <w:t>⑪</w:t>
            </w:r>
            <w:r>
              <w:rPr>
                <w:rFonts w:ascii="MS UI Gothic" w:hAnsi="MS UI Gothic" w:cs="MS UI Gothic" w:eastAsia="MS UI Gothic" w:hint="default"/>
                <w:spacing w:val="35"/>
                <w:sz w:val="18"/>
                <w:szCs w:val="18"/>
              </w:rPr>
              <w:t> </w:t>
            </w:r>
            <w:r>
              <w:rPr>
                <w:rFonts w:ascii="宋体" w:hAnsi="宋体" w:cs="宋体" w:eastAsia="宋体" w:hint="default"/>
                <w:sz w:val="18"/>
                <w:szCs w:val="18"/>
              </w:rPr>
              <w:t>用友软件</w:t>
            </w:r>
          </w:p>
        </w:tc>
        <w:tc>
          <w:tcPr>
            <w:tcW w:w="1172"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pacing w:val="-1"/>
                <w:sz w:val="18"/>
              </w:rPr>
              <w:t>3,490.03</w:t>
            </w:r>
          </w:p>
        </w:tc>
        <w:tc>
          <w:tcPr>
            <w:tcW w:w="285"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3,490.03</w:t>
            </w:r>
          </w:p>
        </w:tc>
      </w:tr>
      <w:tr>
        <w:trPr>
          <w:trHeight w:val="392"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MS UI Gothic" w:hAnsi="MS UI Gothic" w:cs="MS UI Gothic" w:eastAsia="MS UI Gothic" w:hint="default"/>
                <w:sz w:val="18"/>
                <w:szCs w:val="18"/>
              </w:rPr>
              <w:t>⑫ </w:t>
            </w:r>
            <w:r>
              <w:rPr>
                <w:rFonts w:ascii="宋体" w:hAnsi="宋体" w:cs="宋体" w:eastAsia="宋体" w:hint="default"/>
                <w:sz w:val="18"/>
                <w:szCs w:val="18"/>
              </w:rPr>
              <w:t>办公 </w:t>
            </w:r>
            <w:r>
              <w:rPr>
                <w:rFonts w:ascii="宋体" w:hAnsi="宋体" w:cs="宋体" w:eastAsia="宋体" w:hint="default"/>
                <w:sz w:val="18"/>
                <w:szCs w:val="18"/>
              </w:rPr>
              <w:t>OFFICE</w:t>
            </w:r>
            <w:r>
              <w:rPr>
                <w:rFonts w:ascii="宋体" w:hAnsi="宋体" w:cs="宋体" w:eastAsia="宋体" w:hint="default"/>
                <w:spacing w:val="-57"/>
                <w:sz w:val="18"/>
                <w:szCs w:val="18"/>
              </w:rPr>
              <w:t> </w:t>
            </w:r>
            <w:r>
              <w:rPr>
                <w:rFonts w:ascii="宋体" w:hAnsi="宋体" w:cs="宋体" w:eastAsia="宋体" w:hint="default"/>
                <w:sz w:val="18"/>
                <w:szCs w:val="18"/>
              </w:rPr>
              <w:t>软件</w:t>
            </w:r>
          </w:p>
        </w:tc>
        <w:tc>
          <w:tcPr>
            <w:tcW w:w="1172"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pacing w:val="-1"/>
                <w:sz w:val="18"/>
              </w:rPr>
              <w:t>1,025.17</w:t>
            </w:r>
          </w:p>
        </w:tc>
        <w:tc>
          <w:tcPr>
            <w:tcW w:w="285"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1,025.17</w:t>
            </w:r>
          </w:p>
        </w:tc>
      </w:tr>
      <w:tr>
        <w:trPr>
          <w:trHeight w:val="392"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MS UI Gothic" w:hAnsi="MS UI Gothic" w:cs="MS UI Gothic" w:eastAsia="MS UI Gothic" w:hint="default"/>
                <w:sz w:val="18"/>
                <w:szCs w:val="18"/>
              </w:rPr>
              <w:t>⑬  </w:t>
            </w:r>
            <w:r>
              <w:rPr>
                <w:rFonts w:ascii="宋体" w:hAnsi="宋体" w:cs="宋体" w:eastAsia="宋体" w:hint="default"/>
                <w:sz w:val="18"/>
                <w:szCs w:val="18"/>
              </w:rPr>
              <w:t>WPS</w:t>
            </w:r>
            <w:r>
              <w:rPr>
                <w:rFonts w:ascii="宋体" w:hAnsi="宋体" w:cs="宋体" w:eastAsia="宋体" w:hint="default"/>
                <w:spacing w:val="-64"/>
                <w:sz w:val="18"/>
                <w:szCs w:val="18"/>
              </w:rPr>
              <w:t> </w:t>
            </w:r>
            <w:r>
              <w:rPr>
                <w:rFonts w:ascii="宋体" w:hAnsi="宋体" w:cs="宋体" w:eastAsia="宋体" w:hint="default"/>
                <w:sz w:val="18"/>
                <w:szCs w:val="18"/>
              </w:rPr>
              <w:t>软件</w:t>
            </w:r>
          </w:p>
        </w:tc>
        <w:tc>
          <w:tcPr>
            <w:tcW w:w="1172"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1,733.14</w:t>
            </w:r>
          </w:p>
        </w:tc>
        <w:tc>
          <w:tcPr>
            <w:tcW w:w="285"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1,733.14</w:t>
            </w:r>
          </w:p>
        </w:tc>
      </w:tr>
      <w:tr>
        <w:trPr>
          <w:trHeight w:val="391"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MS UI Gothic" w:hAnsi="MS UI Gothic" w:cs="MS UI Gothic" w:eastAsia="MS UI Gothic" w:hint="default"/>
                <w:sz w:val="18"/>
                <w:szCs w:val="18"/>
              </w:rPr>
              <w:t>⑭</w:t>
            </w:r>
            <w:r>
              <w:rPr>
                <w:rFonts w:ascii="MS UI Gothic" w:hAnsi="MS UI Gothic" w:cs="MS UI Gothic" w:eastAsia="MS UI Gothic" w:hint="default"/>
                <w:spacing w:val="35"/>
                <w:sz w:val="18"/>
                <w:szCs w:val="18"/>
              </w:rPr>
              <w:t> </w:t>
            </w:r>
            <w:r>
              <w:rPr>
                <w:rFonts w:ascii="宋体" w:hAnsi="宋体" w:cs="宋体" w:eastAsia="宋体" w:hint="default"/>
                <w:sz w:val="18"/>
                <w:szCs w:val="18"/>
              </w:rPr>
              <w:t>微软软件</w:t>
            </w:r>
          </w:p>
        </w:tc>
        <w:tc>
          <w:tcPr>
            <w:tcW w:w="1172"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pacing w:val="-1"/>
                <w:sz w:val="18"/>
              </w:rPr>
              <w:t>4,059.83</w:t>
            </w:r>
          </w:p>
        </w:tc>
        <w:tc>
          <w:tcPr>
            <w:tcW w:w="285"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4,059.83</w:t>
            </w:r>
          </w:p>
        </w:tc>
      </w:tr>
      <w:tr>
        <w:trPr>
          <w:trHeight w:val="286"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三、减值准备累计金额合计</w:t>
            </w:r>
          </w:p>
        </w:tc>
        <w:tc>
          <w:tcPr>
            <w:tcW w:w="1172"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c>
          <w:tcPr>
            <w:tcW w:w="285"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307"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1332" w:top="1100" w:bottom="152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tbl>
      <w:tblPr>
        <w:tblW w:w="0" w:type="auto"/>
        <w:jc w:val="left"/>
        <w:tblInd w:w="294" w:type="dxa"/>
        <w:tblLayout w:type="fixed"/>
        <w:tblCellMar>
          <w:top w:w="0" w:type="dxa"/>
          <w:left w:w="0" w:type="dxa"/>
          <w:bottom w:w="0" w:type="dxa"/>
          <w:right w:w="0" w:type="dxa"/>
        </w:tblCellMar>
        <w:tblLook w:val="01E0"/>
      </w:tblPr>
      <w:tblGrid>
        <w:gridCol w:w="4059"/>
        <w:gridCol w:w="1558"/>
        <w:gridCol w:w="1200"/>
        <w:gridCol w:w="1264"/>
        <w:gridCol w:w="1384"/>
      </w:tblGrid>
      <w:tr>
        <w:trPr>
          <w:trHeight w:val="292" w:hRule="exact"/>
        </w:trPr>
        <w:tc>
          <w:tcPr>
            <w:tcW w:w="4059" w:type="dxa"/>
            <w:tcBorders>
              <w:top w:val="nil" w:sz="6" w:space="0" w:color="auto"/>
              <w:left w:val="nil" w:sz="6" w:space="0" w:color="auto"/>
              <w:bottom w:val="single" w:sz="4" w:space="0" w:color="000000"/>
              <w:right w:val="nil" w:sz="6" w:space="0" w:color="auto"/>
            </w:tcBorders>
          </w:tcPr>
          <w:p>
            <w:pPr>
              <w:pStyle w:val="TableParagraph"/>
              <w:spacing w:line="180" w:lineRule="exact"/>
              <w:ind w:right="24"/>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58" w:type="dxa"/>
            <w:tcBorders>
              <w:top w:val="nil" w:sz="6" w:space="0" w:color="auto"/>
              <w:left w:val="nil" w:sz="6" w:space="0" w:color="auto"/>
              <w:bottom w:val="single" w:sz="4" w:space="0" w:color="000000"/>
              <w:right w:val="nil" w:sz="6" w:space="0" w:color="auto"/>
            </w:tcBorders>
          </w:tcPr>
          <w:p>
            <w:pPr>
              <w:pStyle w:val="TableParagraph"/>
              <w:spacing w:line="180" w:lineRule="exact"/>
              <w:ind w:left="34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200" w:type="dxa"/>
            <w:tcBorders>
              <w:top w:val="nil" w:sz="6" w:space="0" w:color="auto"/>
              <w:left w:val="nil" w:sz="6" w:space="0" w:color="auto"/>
              <w:bottom w:val="single" w:sz="4" w:space="0" w:color="000000"/>
              <w:right w:val="nil" w:sz="6" w:space="0" w:color="auto"/>
            </w:tcBorders>
          </w:tcPr>
          <w:p>
            <w:pPr>
              <w:pStyle w:val="TableParagraph"/>
              <w:spacing w:line="180" w:lineRule="exact"/>
              <w:ind w:left="218"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264" w:type="dxa"/>
            <w:tcBorders>
              <w:top w:val="nil" w:sz="6" w:space="0" w:color="auto"/>
              <w:left w:val="nil" w:sz="6" w:space="0" w:color="auto"/>
              <w:bottom w:val="single" w:sz="4" w:space="0" w:color="000000"/>
              <w:right w:val="nil" w:sz="6" w:space="0" w:color="auto"/>
            </w:tcBorders>
          </w:tcPr>
          <w:p>
            <w:pPr>
              <w:pStyle w:val="TableParagraph"/>
              <w:spacing w:line="180" w:lineRule="exact"/>
              <w:ind w:left="259"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384" w:type="dxa"/>
            <w:tcBorders>
              <w:top w:val="nil" w:sz="6" w:space="0" w:color="auto"/>
              <w:left w:val="nil" w:sz="6" w:space="0" w:color="auto"/>
              <w:bottom w:val="single" w:sz="4" w:space="0" w:color="000000"/>
              <w:right w:val="nil" w:sz="6" w:space="0" w:color="auto"/>
            </w:tcBorders>
          </w:tcPr>
          <w:p>
            <w:pPr>
              <w:pStyle w:val="TableParagraph"/>
              <w:spacing w:line="180" w:lineRule="exact"/>
              <w:ind w:left="28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96" w:hRule="exact"/>
        </w:trPr>
        <w:tc>
          <w:tcPr>
            <w:tcW w:w="405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1"/>
                <w:sz w:val="18"/>
                <w:szCs w:val="18"/>
              </w:rPr>
              <w:t> </w:t>
            </w:r>
            <w:r>
              <w:rPr>
                <w:rFonts w:ascii="宋体" w:hAnsi="宋体" w:cs="宋体" w:eastAsia="宋体" w:hint="default"/>
                <w:sz w:val="18"/>
                <w:szCs w:val="18"/>
              </w:rPr>
              <w:t>船舶智能配电板技术</w:t>
            </w:r>
          </w:p>
        </w:tc>
        <w:tc>
          <w:tcPr>
            <w:tcW w:w="1558" w:type="dxa"/>
            <w:tcBorders>
              <w:top w:val="single" w:sz="4" w:space="0" w:color="000000"/>
              <w:left w:val="nil" w:sz="6" w:space="0" w:color="auto"/>
              <w:bottom w:val="nil" w:sz="6" w:space="0" w:color="auto"/>
              <w:right w:val="nil" w:sz="6" w:space="0" w:color="auto"/>
            </w:tcBorders>
          </w:tcPr>
          <w:p>
            <w:pPr/>
          </w:p>
        </w:tc>
        <w:tc>
          <w:tcPr>
            <w:tcW w:w="1200" w:type="dxa"/>
            <w:tcBorders>
              <w:top w:val="single" w:sz="4" w:space="0" w:color="000000"/>
              <w:left w:val="nil" w:sz="6" w:space="0" w:color="auto"/>
              <w:bottom w:val="nil" w:sz="6" w:space="0" w:color="auto"/>
              <w:right w:val="nil" w:sz="6" w:space="0" w:color="auto"/>
            </w:tcBorders>
          </w:tcPr>
          <w:p>
            <w:pPr/>
          </w:p>
        </w:tc>
        <w:tc>
          <w:tcPr>
            <w:tcW w:w="1264" w:type="dxa"/>
            <w:tcBorders>
              <w:top w:val="single" w:sz="4" w:space="0" w:color="000000"/>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nil" w:sz="6" w:space="0" w:color="auto"/>
              <w:right w:val="nil" w:sz="6" w:space="0" w:color="auto"/>
            </w:tcBorders>
          </w:tcPr>
          <w:p>
            <w:pPr/>
          </w:p>
        </w:tc>
      </w:tr>
      <w:tr>
        <w:trPr>
          <w:trHeight w:val="703"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314" w:lineRule="auto" w:before="51"/>
              <w:ind w:left="110" w:right="166"/>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3"/>
                <w:sz w:val="18"/>
                <w:szCs w:val="18"/>
              </w:rPr>
              <w:t> </w:t>
            </w: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宋体" w:hAnsi="宋体" w:cs="宋体" w:eastAsia="宋体" w:hint="default"/>
                <w:sz w:val="18"/>
                <w:szCs w:val="18"/>
              </w:rPr>
              <w:t>ARM/CPLD</w:t>
            </w:r>
            <w:r>
              <w:rPr>
                <w:rFonts w:ascii="宋体" w:hAnsi="宋体" w:cs="宋体" w:eastAsia="宋体" w:hint="default"/>
                <w:spacing w:val="-45"/>
                <w:sz w:val="18"/>
                <w:szCs w:val="18"/>
              </w:rPr>
              <w:t> </w:t>
            </w:r>
            <w:r>
              <w:rPr>
                <w:rFonts w:ascii="宋体" w:hAnsi="宋体" w:cs="宋体" w:eastAsia="宋体" w:hint="default"/>
                <w:sz w:val="18"/>
                <w:szCs w:val="18"/>
              </w:rPr>
              <w:t>技术的可变信息情报板研制技 术</w:t>
            </w:r>
          </w:p>
        </w:tc>
        <w:tc>
          <w:tcPr>
            <w:tcW w:w="155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r>
      <w:tr>
        <w:trPr>
          <w:trHeight w:val="392"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③</w:t>
            </w:r>
            <w:r>
              <w:rPr>
                <w:rFonts w:ascii="宋体" w:hAnsi="宋体" w:cs="宋体" w:eastAsia="宋体" w:hint="default"/>
                <w:spacing w:val="1"/>
                <w:sz w:val="18"/>
                <w:szCs w:val="18"/>
              </w:rPr>
              <w:t> </w:t>
            </w:r>
            <w:r>
              <w:rPr>
                <w:rFonts w:ascii="宋体" w:hAnsi="宋体" w:cs="宋体" w:eastAsia="宋体" w:hint="default"/>
                <w:sz w:val="18"/>
                <w:szCs w:val="18"/>
              </w:rPr>
              <w:t>视频交通事件和交通参数检测技术</w:t>
            </w:r>
          </w:p>
        </w:tc>
        <w:tc>
          <w:tcPr>
            <w:tcW w:w="155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r>
      <w:tr>
        <w:trPr>
          <w:trHeight w:val="392"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④</w:t>
            </w:r>
            <w:r>
              <w:rPr>
                <w:rFonts w:ascii="宋体" w:hAnsi="宋体" w:cs="宋体" w:eastAsia="宋体" w:hint="default"/>
                <w:spacing w:val="1"/>
                <w:sz w:val="18"/>
                <w:szCs w:val="18"/>
              </w:rPr>
              <w:t> </w:t>
            </w:r>
            <w:r>
              <w:rPr>
                <w:rFonts w:ascii="宋体" w:hAnsi="宋体" w:cs="宋体" w:eastAsia="宋体" w:hint="default"/>
                <w:sz w:val="18"/>
                <w:szCs w:val="18"/>
              </w:rPr>
              <w:t>交技资产管理软件</w:t>
            </w:r>
          </w:p>
        </w:tc>
        <w:tc>
          <w:tcPr>
            <w:tcW w:w="155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r>
      <w:tr>
        <w:trPr>
          <w:trHeight w:val="392"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⑤ </w:t>
            </w:r>
            <w:r>
              <w:rPr>
                <w:rFonts w:ascii="宋体" w:hAnsi="宋体" w:cs="宋体" w:eastAsia="宋体" w:hint="default"/>
                <w:sz w:val="18"/>
                <w:szCs w:val="18"/>
              </w:rPr>
              <w:t>ETC</w:t>
            </w:r>
            <w:r>
              <w:rPr>
                <w:rFonts w:ascii="宋体" w:hAnsi="宋体" w:cs="宋体" w:eastAsia="宋体" w:hint="default"/>
                <w:spacing w:val="-44"/>
                <w:sz w:val="18"/>
                <w:szCs w:val="18"/>
              </w:rPr>
              <w:t> </w:t>
            </w:r>
            <w:r>
              <w:rPr>
                <w:rFonts w:ascii="宋体" w:hAnsi="宋体" w:cs="宋体" w:eastAsia="宋体" w:hint="default"/>
                <w:sz w:val="18"/>
                <w:szCs w:val="18"/>
              </w:rPr>
              <w:t>电子不停车收费技术</w:t>
            </w:r>
          </w:p>
        </w:tc>
        <w:tc>
          <w:tcPr>
            <w:tcW w:w="155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r>
      <w:tr>
        <w:trPr>
          <w:trHeight w:val="391"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⑥</w:t>
            </w:r>
            <w:r>
              <w:rPr>
                <w:rFonts w:ascii="宋体" w:hAnsi="宋体" w:cs="宋体" w:eastAsia="宋体" w:hint="default"/>
                <w:spacing w:val="-2"/>
                <w:sz w:val="18"/>
                <w:szCs w:val="18"/>
              </w:rPr>
              <w:t> </w:t>
            </w:r>
            <w:r>
              <w:rPr>
                <w:rFonts w:ascii="宋体" w:hAnsi="宋体" w:cs="宋体" w:eastAsia="宋体" w:hint="default"/>
                <w:sz w:val="18"/>
                <w:szCs w:val="18"/>
              </w:rPr>
              <w:t>CAD</w:t>
            </w: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z w:val="18"/>
                <w:szCs w:val="18"/>
              </w:rPr>
              <w:t>）软件</w:t>
            </w:r>
          </w:p>
        </w:tc>
        <w:tc>
          <w:tcPr>
            <w:tcW w:w="155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r>
      <w:tr>
        <w:trPr>
          <w:trHeight w:val="392"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⑦ </w:t>
            </w:r>
            <w:r>
              <w:rPr>
                <w:rFonts w:ascii="宋体" w:hAnsi="宋体" w:cs="宋体" w:eastAsia="宋体" w:hint="default"/>
                <w:sz w:val="18"/>
                <w:szCs w:val="18"/>
              </w:rPr>
              <w:t>ARC GIS</w:t>
            </w:r>
            <w:r>
              <w:rPr>
                <w:rFonts w:ascii="宋体" w:hAnsi="宋体" w:cs="宋体" w:eastAsia="宋体" w:hint="default"/>
                <w:spacing w:val="-45"/>
                <w:sz w:val="18"/>
                <w:szCs w:val="18"/>
              </w:rPr>
              <w:t> </w:t>
            </w:r>
            <w:r>
              <w:rPr>
                <w:rFonts w:ascii="宋体" w:hAnsi="宋体" w:cs="宋体" w:eastAsia="宋体" w:hint="default"/>
                <w:sz w:val="18"/>
                <w:szCs w:val="18"/>
              </w:rPr>
              <w:t>软件</w:t>
            </w:r>
          </w:p>
        </w:tc>
        <w:tc>
          <w:tcPr>
            <w:tcW w:w="155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r>
      <w:tr>
        <w:trPr>
          <w:trHeight w:val="393"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⑧</w:t>
            </w:r>
            <w:r>
              <w:rPr>
                <w:rFonts w:ascii="宋体" w:hAnsi="宋体" w:cs="宋体" w:eastAsia="宋体" w:hint="default"/>
                <w:spacing w:val="1"/>
                <w:sz w:val="18"/>
                <w:szCs w:val="18"/>
              </w:rPr>
              <w:t> </w:t>
            </w:r>
            <w:r>
              <w:rPr>
                <w:rFonts w:ascii="宋体" w:hAnsi="宋体" w:cs="宋体" w:eastAsia="宋体" w:hint="default"/>
                <w:sz w:val="18"/>
                <w:szCs w:val="18"/>
              </w:rPr>
              <w:t>测试管理工具</w:t>
            </w:r>
          </w:p>
        </w:tc>
        <w:tc>
          <w:tcPr>
            <w:tcW w:w="155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r>
      <w:tr>
        <w:trPr>
          <w:trHeight w:val="391"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⑨ </w:t>
            </w:r>
            <w:r>
              <w:rPr>
                <w:rFonts w:ascii="宋体" w:hAnsi="宋体" w:cs="宋体" w:eastAsia="宋体" w:hint="default"/>
                <w:sz w:val="18"/>
                <w:szCs w:val="18"/>
              </w:rPr>
              <w:t>IBM</w:t>
            </w:r>
            <w:r>
              <w:rPr>
                <w:rFonts w:ascii="宋体" w:hAnsi="宋体" w:cs="宋体" w:eastAsia="宋体" w:hint="default"/>
                <w:spacing w:val="-44"/>
                <w:sz w:val="18"/>
                <w:szCs w:val="18"/>
              </w:rPr>
              <w:t> </w:t>
            </w:r>
            <w:r>
              <w:rPr>
                <w:rFonts w:ascii="宋体" w:hAnsi="宋体" w:cs="宋体" w:eastAsia="宋体" w:hint="default"/>
                <w:sz w:val="18"/>
                <w:szCs w:val="18"/>
              </w:rPr>
              <w:t>团队开发软件</w:t>
            </w:r>
          </w:p>
        </w:tc>
        <w:tc>
          <w:tcPr>
            <w:tcW w:w="155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r>
      <w:tr>
        <w:trPr>
          <w:trHeight w:val="392"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⑩ 网络电气设计软件</w:t>
            </w:r>
            <w:r>
              <w:rPr>
                <w:rFonts w:ascii="宋体" w:hAnsi="宋体" w:cs="宋体" w:eastAsia="宋体" w:hint="default"/>
                <w:spacing w:val="-48"/>
                <w:sz w:val="18"/>
                <w:szCs w:val="18"/>
              </w:rPr>
              <w:t> </w:t>
            </w:r>
            <w:r>
              <w:rPr>
                <w:rFonts w:ascii="宋体" w:hAnsi="宋体" w:cs="宋体" w:eastAsia="宋体" w:hint="default"/>
                <w:sz w:val="18"/>
                <w:szCs w:val="18"/>
              </w:rPr>
              <w:t>elecworks</w:t>
            </w:r>
          </w:p>
        </w:tc>
        <w:tc>
          <w:tcPr>
            <w:tcW w:w="155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r>
      <w:tr>
        <w:trPr>
          <w:trHeight w:val="392"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MS UI Gothic" w:hAnsi="MS UI Gothic" w:cs="MS UI Gothic" w:eastAsia="MS UI Gothic" w:hint="default"/>
                <w:sz w:val="18"/>
                <w:szCs w:val="18"/>
              </w:rPr>
              <w:t>⑪</w:t>
            </w:r>
            <w:r>
              <w:rPr>
                <w:rFonts w:ascii="MS UI Gothic" w:hAnsi="MS UI Gothic" w:cs="MS UI Gothic" w:eastAsia="MS UI Gothic" w:hint="default"/>
                <w:spacing w:val="35"/>
                <w:sz w:val="18"/>
                <w:szCs w:val="18"/>
              </w:rPr>
              <w:t> </w:t>
            </w:r>
            <w:r>
              <w:rPr>
                <w:rFonts w:ascii="宋体" w:hAnsi="宋体" w:cs="宋体" w:eastAsia="宋体" w:hint="default"/>
                <w:sz w:val="18"/>
                <w:szCs w:val="18"/>
              </w:rPr>
              <w:t>用友软件</w:t>
            </w:r>
          </w:p>
        </w:tc>
        <w:tc>
          <w:tcPr>
            <w:tcW w:w="155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r>
      <w:tr>
        <w:trPr>
          <w:trHeight w:val="391"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MS UI Gothic" w:hAnsi="MS UI Gothic" w:cs="MS UI Gothic" w:eastAsia="MS UI Gothic" w:hint="default"/>
                <w:sz w:val="18"/>
                <w:szCs w:val="18"/>
              </w:rPr>
              <w:t>⑫ </w:t>
            </w:r>
            <w:r>
              <w:rPr>
                <w:rFonts w:ascii="宋体" w:hAnsi="宋体" w:cs="宋体" w:eastAsia="宋体" w:hint="default"/>
                <w:sz w:val="18"/>
                <w:szCs w:val="18"/>
              </w:rPr>
              <w:t>办公 </w:t>
            </w:r>
            <w:r>
              <w:rPr>
                <w:rFonts w:ascii="宋体" w:hAnsi="宋体" w:cs="宋体" w:eastAsia="宋体" w:hint="default"/>
                <w:sz w:val="18"/>
                <w:szCs w:val="18"/>
              </w:rPr>
              <w:t>OFFICE</w:t>
            </w:r>
            <w:r>
              <w:rPr>
                <w:rFonts w:ascii="宋体" w:hAnsi="宋体" w:cs="宋体" w:eastAsia="宋体" w:hint="default"/>
                <w:spacing w:val="-57"/>
                <w:sz w:val="18"/>
                <w:szCs w:val="18"/>
              </w:rPr>
              <w:t> </w:t>
            </w:r>
            <w:r>
              <w:rPr>
                <w:rFonts w:ascii="宋体" w:hAnsi="宋体" w:cs="宋体" w:eastAsia="宋体" w:hint="default"/>
                <w:sz w:val="18"/>
                <w:szCs w:val="18"/>
              </w:rPr>
              <w:t>软件</w:t>
            </w:r>
          </w:p>
        </w:tc>
        <w:tc>
          <w:tcPr>
            <w:tcW w:w="155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r>
      <w:tr>
        <w:trPr>
          <w:trHeight w:val="392"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MS UI Gothic" w:hAnsi="MS UI Gothic" w:cs="MS UI Gothic" w:eastAsia="MS UI Gothic" w:hint="default"/>
                <w:sz w:val="18"/>
                <w:szCs w:val="18"/>
              </w:rPr>
              <w:t>⑬  </w:t>
            </w:r>
            <w:r>
              <w:rPr>
                <w:rFonts w:ascii="宋体" w:hAnsi="宋体" w:cs="宋体" w:eastAsia="宋体" w:hint="default"/>
                <w:sz w:val="18"/>
                <w:szCs w:val="18"/>
              </w:rPr>
              <w:t>WPS</w:t>
            </w:r>
            <w:r>
              <w:rPr>
                <w:rFonts w:ascii="宋体" w:hAnsi="宋体" w:cs="宋体" w:eastAsia="宋体" w:hint="default"/>
                <w:spacing w:val="-64"/>
                <w:sz w:val="18"/>
                <w:szCs w:val="18"/>
              </w:rPr>
              <w:t> </w:t>
            </w:r>
            <w:r>
              <w:rPr>
                <w:rFonts w:ascii="宋体" w:hAnsi="宋体" w:cs="宋体" w:eastAsia="宋体" w:hint="default"/>
                <w:sz w:val="18"/>
                <w:szCs w:val="18"/>
              </w:rPr>
              <w:t>软件</w:t>
            </w:r>
          </w:p>
        </w:tc>
        <w:tc>
          <w:tcPr>
            <w:tcW w:w="155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r>
      <w:tr>
        <w:trPr>
          <w:trHeight w:val="392"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MS UI Gothic" w:hAnsi="MS UI Gothic" w:cs="MS UI Gothic" w:eastAsia="MS UI Gothic" w:hint="default"/>
                <w:sz w:val="18"/>
                <w:szCs w:val="18"/>
              </w:rPr>
              <w:t>⑭</w:t>
            </w:r>
            <w:r>
              <w:rPr>
                <w:rFonts w:ascii="MS UI Gothic" w:hAnsi="MS UI Gothic" w:cs="MS UI Gothic" w:eastAsia="MS UI Gothic" w:hint="default"/>
                <w:spacing w:val="35"/>
                <w:sz w:val="18"/>
                <w:szCs w:val="18"/>
              </w:rPr>
              <w:t> </w:t>
            </w:r>
            <w:r>
              <w:rPr>
                <w:rFonts w:ascii="宋体" w:hAnsi="宋体" w:cs="宋体" w:eastAsia="宋体" w:hint="default"/>
                <w:sz w:val="18"/>
                <w:szCs w:val="18"/>
              </w:rPr>
              <w:t>微软软件</w:t>
            </w:r>
          </w:p>
        </w:tc>
        <w:tc>
          <w:tcPr>
            <w:tcW w:w="155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r>
      <w:tr>
        <w:trPr>
          <w:trHeight w:val="391"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四、账面价值合计</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6"/>
              <w:jc w:val="right"/>
              <w:rPr>
                <w:rFonts w:ascii="宋体" w:hAnsi="宋体" w:cs="宋体" w:eastAsia="宋体" w:hint="default"/>
                <w:sz w:val="18"/>
                <w:szCs w:val="18"/>
              </w:rPr>
            </w:pPr>
            <w:r>
              <w:rPr>
                <w:rFonts w:ascii="宋体"/>
                <w:sz w:val="18"/>
              </w:rPr>
            </w:r>
            <w:r>
              <w:rPr>
                <w:rFonts w:ascii="宋体"/>
                <w:spacing w:val="-1"/>
                <w:sz w:val="18"/>
                <w:u w:val="thick" w:color="000000"/>
              </w:rPr>
              <w:t>10,256,694.49</w:t>
            </w:r>
            <w:r>
              <w:rPr>
                <w:rFonts w:ascii="宋体"/>
                <w:spacing w:val="-1"/>
                <w:sz w:val="18"/>
              </w:rPr>
            </w:r>
          </w:p>
        </w:tc>
        <w:tc>
          <w:tcPr>
            <w:tcW w:w="1200"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z w:val="18"/>
              </w:rPr>
            </w:r>
            <w:r>
              <w:rPr>
                <w:rFonts w:ascii="宋体"/>
                <w:spacing w:val="-1"/>
                <w:sz w:val="18"/>
                <w:u w:val="thick" w:color="000000"/>
              </w:rPr>
              <w:t>9,232,589.30</w:t>
            </w:r>
            <w:r>
              <w:rPr>
                <w:rFonts w:ascii="宋体"/>
                <w:spacing w:val="-1"/>
                <w:sz w:val="18"/>
              </w:rPr>
            </w:r>
          </w:p>
        </w:tc>
      </w:tr>
      <w:tr>
        <w:trPr>
          <w:trHeight w:val="392"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1"/>
                <w:sz w:val="18"/>
                <w:szCs w:val="18"/>
              </w:rPr>
              <w:t> </w:t>
            </w:r>
            <w:r>
              <w:rPr>
                <w:rFonts w:ascii="宋体" w:hAnsi="宋体" w:cs="宋体" w:eastAsia="宋体" w:hint="default"/>
                <w:sz w:val="18"/>
                <w:szCs w:val="18"/>
              </w:rPr>
              <w:t>船舶智能配电板技术</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6"/>
              <w:jc w:val="right"/>
              <w:rPr>
                <w:rFonts w:ascii="宋体" w:hAnsi="宋体" w:cs="宋体" w:eastAsia="宋体" w:hint="default"/>
                <w:sz w:val="18"/>
                <w:szCs w:val="18"/>
              </w:rPr>
            </w:pPr>
            <w:r>
              <w:rPr>
                <w:rFonts w:ascii="宋体"/>
                <w:spacing w:val="-1"/>
                <w:sz w:val="18"/>
              </w:rPr>
              <w:t>1,675,496.11</w:t>
            </w:r>
          </w:p>
        </w:tc>
        <w:tc>
          <w:tcPr>
            <w:tcW w:w="1200"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1,495,978.67</w:t>
            </w:r>
          </w:p>
        </w:tc>
      </w:tr>
      <w:tr>
        <w:trPr>
          <w:trHeight w:val="704"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316" w:lineRule="auto" w:before="51"/>
              <w:ind w:left="110" w:right="166"/>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3"/>
                <w:sz w:val="18"/>
                <w:szCs w:val="18"/>
              </w:rPr>
              <w:t> </w:t>
            </w: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宋体" w:hAnsi="宋体" w:cs="宋体" w:eastAsia="宋体" w:hint="default"/>
                <w:sz w:val="18"/>
                <w:szCs w:val="18"/>
              </w:rPr>
              <w:t>ARM/CPLD</w:t>
            </w:r>
            <w:r>
              <w:rPr>
                <w:rFonts w:ascii="宋体" w:hAnsi="宋体" w:cs="宋体" w:eastAsia="宋体" w:hint="default"/>
                <w:spacing w:val="-45"/>
                <w:sz w:val="18"/>
                <w:szCs w:val="18"/>
              </w:rPr>
              <w:t> </w:t>
            </w:r>
            <w:r>
              <w:rPr>
                <w:rFonts w:ascii="宋体" w:hAnsi="宋体" w:cs="宋体" w:eastAsia="宋体" w:hint="default"/>
                <w:sz w:val="18"/>
                <w:szCs w:val="18"/>
              </w:rPr>
              <w:t>技术的可变信息情报板研制技 术</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6"/>
              <w:jc w:val="right"/>
              <w:rPr>
                <w:rFonts w:ascii="宋体" w:hAnsi="宋体" w:cs="宋体" w:eastAsia="宋体" w:hint="default"/>
                <w:sz w:val="18"/>
                <w:szCs w:val="18"/>
              </w:rPr>
            </w:pPr>
            <w:r>
              <w:rPr>
                <w:rFonts w:ascii="宋体"/>
                <w:spacing w:val="-1"/>
                <w:sz w:val="18"/>
              </w:rPr>
              <w:t>2,662,335.77</w:t>
            </w:r>
          </w:p>
        </w:tc>
        <w:tc>
          <w:tcPr>
            <w:tcW w:w="1200"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2,377,085.51</w:t>
            </w:r>
          </w:p>
        </w:tc>
      </w:tr>
      <w:tr>
        <w:trPr>
          <w:trHeight w:val="392"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③</w:t>
            </w:r>
            <w:r>
              <w:rPr>
                <w:rFonts w:ascii="宋体" w:hAnsi="宋体" w:cs="宋体" w:eastAsia="宋体" w:hint="default"/>
                <w:spacing w:val="1"/>
                <w:sz w:val="18"/>
                <w:szCs w:val="18"/>
              </w:rPr>
              <w:t> </w:t>
            </w:r>
            <w:r>
              <w:rPr>
                <w:rFonts w:ascii="宋体" w:hAnsi="宋体" w:cs="宋体" w:eastAsia="宋体" w:hint="default"/>
                <w:sz w:val="18"/>
                <w:szCs w:val="18"/>
              </w:rPr>
              <w:t>视频交通事件和交通参数检测技术</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16"/>
              <w:jc w:val="right"/>
              <w:rPr>
                <w:rFonts w:ascii="宋体" w:hAnsi="宋体" w:cs="宋体" w:eastAsia="宋体" w:hint="default"/>
                <w:sz w:val="18"/>
                <w:szCs w:val="18"/>
              </w:rPr>
            </w:pPr>
            <w:r>
              <w:rPr>
                <w:rFonts w:ascii="宋体"/>
                <w:spacing w:val="-1"/>
                <w:sz w:val="18"/>
              </w:rPr>
              <w:t>1,224,832.76</w:t>
            </w:r>
          </w:p>
        </w:tc>
        <w:tc>
          <w:tcPr>
            <w:tcW w:w="1200"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1,092,418.40</w:t>
            </w:r>
          </w:p>
        </w:tc>
      </w:tr>
      <w:tr>
        <w:trPr>
          <w:trHeight w:val="392"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④</w:t>
            </w:r>
            <w:r>
              <w:rPr>
                <w:rFonts w:ascii="宋体" w:hAnsi="宋体" w:cs="宋体" w:eastAsia="宋体" w:hint="default"/>
                <w:spacing w:val="1"/>
                <w:sz w:val="18"/>
                <w:szCs w:val="18"/>
              </w:rPr>
              <w:t> </w:t>
            </w:r>
            <w:r>
              <w:rPr>
                <w:rFonts w:ascii="宋体" w:hAnsi="宋体" w:cs="宋体" w:eastAsia="宋体" w:hint="default"/>
                <w:sz w:val="18"/>
                <w:szCs w:val="18"/>
              </w:rPr>
              <w:t>交技资产管理软件</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6"/>
              <w:jc w:val="right"/>
              <w:rPr>
                <w:rFonts w:ascii="宋体" w:hAnsi="宋体" w:cs="宋体" w:eastAsia="宋体" w:hint="default"/>
                <w:sz w:val="18"/>
                <w:szCs w:val="18"/>
              </w:rPr>
            </w:pPr>
            <w:r>
              <w:rPr>
                <w:rFonts w:ascii="宋体"/>
                <w:spacing w:val="-1"/>
                <w:sz w:val="18"/>
              </w:rPr>
              <w:t>736,481.19</w:t>
            </w:r>
          </w:p>
        </w:tc>
        <w:tc>
          <w:tcPr>
            <w:tcW w:w="1200"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578,663.79</w:t>
            </w:r>
          </w:p>
        </w:tc>
      </w:tr>
      <w:tr>
        <w:trPr>
          <w:trHeight w:val="392"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⑤ </w:t>
            </w:r>
            <w:r>
              <w:rPr>
                <w:rFonts w:ascii="宋体" w:hAnsi="宋体" w:cs="宋体" w:eastAsia="宋体" w:hint="default"/>
                <w:sz w:val="18"/>
                <w:szCs w:val="18"/>
              </w:rPr>
              <w:t>ETC</w:t>
            </w:r>
            <w:r>
              <w:rPr>
                <w:rFonts w:ascii="宋体" w:hAnsi="宋体" w:cs="宋体" w:eastAsia="宋体" w:hint="default"/>
                <w:spacing w:val="-45"/>
                <w:sz w:val="18"/>
                <w:szCs w:val="18"/>
              </w:rPr>
              <w:t> </w:t>
            </w:r>
            <w:r>
              <w:rPr>
                <w:rFonts w:ascii="宋体" w:hAnsi="宋体" w:cs="宋体" w:eastAsia="宋体" w:hint="default"/>
                <w:sz w:val="18"/>
                <w:szCs w:val="18"/>
              </w:rPr>
              <w:t>电子不停车收费技术</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16"/>
              <w:jc w:val="right"/>
              <w:rPr>
                <w:rFonts w:ascii="宋体" w:hAnsi="宋体" w:cs="宋体" w:eastAsia="宋体" w:hint="default"/>
                <w:sz w:val="18"/>
                <w:szCs w:val="18"/>
              </w:rPr>
            </w:pPr>
            <w:r>
              <w:rPr>
                <w:rFonts w:ascii="宋体"/>
                <w:spacing w:val="-1"/>
                <w:sz w:val="18"/>
              </w:rPr>
              <w:t>2,680,359.43</w:t>
            </w:r>
          </w:p>
        </w:tc>
        <w:tc>
          <w:tcPr>
            <w:tcW w:w="1200"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2,407,780.50</w:t>
            </w:r>
          </w:p>
        </w:tc>
      </w:tr>
      <w:tr>
        <w:trPr>
          <w:trHeight w:val="391"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⑥</w:t>
            </w:r>
            <w:r>
              <w:rPr>
                <w:rFonts w:ascii="宋体" w:hAnsi="宋体" w:cs="宋体" w:eastAsia="宋体" w:hint="default"/>
                <w:spacing w:val="-2"/>
                <w:sz w:val="18"/>
                <w:szCs w:val="18"/>
              </w:rPr>
              <w:t> </w:t>
            </w:r>
            <w:r>
              <w:rPr>
                <w:rFonts w:ascii="宋体" w:hAnsi="宋体" w:cs="宋体" w:eastAsia="宋体" w:hint="default"/>
                <w:sz w:val="18"/>
                <w:szCs w:val="18"/>
              </w:rPr>
              <w:t>CAD</w:t>
            </w:r>
            <w:r>
              <w:rPr>
                <w:rFonts w:ascii="宋体" w:hAnsi="宋体" w:cs="宋体" w:eastAsia="宋体" w:hint="default"/>
                <w:sz w:val="18"/>
                <w:szCs w:val="18"/>
              </w:rPr>
              <w:t>（</w:t>
            </w:r>
            <w:r>
              <w:rPr>
                <w:rFonts w:ascii="宋体" w:hAnsi="宋体" w:cs="宋体" w:eastAsia="宋体" w:hint="default"/>
                <w:sz w:val="18"/>
                <w:szCs w:val="18"/>
              </w:rPr>
              <w:t>2010</w:t>
            </w:r>
            <w:r>
              <w:rPr>
                <w:rFonts w:ascii="宋体" w:hAnsi="宋体" w:cs="宋体" w:eastAsia="宋体" w:hint="default"/>
                <w:sz w:val="18"/>
                <w:szCs w:val="18"/>
              </w:rPr>
              <w:t>）软件</w:t>
            </w:r>
          </w:p>
        </w:tc>
        <w:tc>
          <w:tcPr>
            <w:tcW w:w="155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r>
      <w:tr>
        <w:trPr>
          <w:trHeight w:val="392"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⑦ </w:t>
            </w:r>
            <w:r>
              <w:rPr>
                <w:rFonts w:ascii="宋体" w:hAnsi="宋体" w:cs="宋体" w:eastAsia="宋体" w:hint="default"/>
                <w:sz w:val="18"/>
                <w:szCs w:val="18"/>
              </w:rPr>
              <w:t>ARC GIS</w:t>
            </w:r>
            <w:r>
              <w:rPr>
                <w:rFonts w:ascii="宋体" w:hAnsi="宋体" w:cs="宋体" w:eastAsia="宋体" w:hint="default"/>
                <w:spacing w:val="-45"/>
                <w:sz w:val="18"/>
                <w:szCs w:val="18"/>
              </w:rPr>
              <w:t> </w:t>
            </w:r>
            <w:r>
              <w:rPr>
                <w:rFonts w:ascii="宋体" w:hAnsi="宋体" w:cs="宋体" w:eastAsia="宋体" w:hint="default"/>
                <w:sz w:val="18"/>
                <w:szCs w:val="18"/>
              </w:rPr>
              <w:t>软件</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6"/>
              <w:jc w:val="right"/>
              <w:rPr>
                <w:rFonts w:ascii="宋体" w:hAnsi="宋体" w:cs="宋体" w:eastAsia="宋体" w:hint="default"/>
                <w:sz w:val="18"/>
                <w:szCs w:val="18"/>
              </w:rPr>
            </w:pPr>
            <w:r>
              <w:rPr>
                <w:rFonts w:ascii="宋体"/>
                <w:spacing w:val="-1"/>
                <w:sz w:val="18"/>
              </w:rPr>
              <w:t>294,159.54</w:t>
            </w:r>
          </w:p>
        </w:tc>
        <w:tc>
          <w:tcPr>
            <w:tcW w:w="1200"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234,330.48</w:t>
            </w:r>
          </w:p>
        </w:tc>
      </w:tr>
      <w:tr>
        <w:trPr>
          <w:trHeight w:val="392"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⑧</w:t>
            </w:r>
            <w:r>
              <w:rPr>
                <w:rFonts w:ascii="宋体" w:hAnsi="宋体" w:cs="宋体" w:eastAsia="宋体" w:hint="default"/>
                <w:spacing w:val="1"/>
                <w:sz w:val="18"/>
                <w:szCs w:val="18"/>
              </w:rPr>
              <w:t> </w:t>
            </w:r>
            <w:r>
              <w:rPr>
                <w:rFonts w:ascii="宋体" w:hAnsi="宋体" w:cs="宋体" w:eastAsia="宋体" w:hint="default"/>
                <w:sz w:val="18"/>
                <w:szCs w:val="18"/>
              </w:rPr>
              <w:t>测试管理工具</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16"/>
              <w:jc w:val="right"/>
              <w:rPr>
                <w:rFonts w:ascii="宋体" w:hAnsi="宋体" w:cs="宋体" w:eastAsia="宋体" w:hint="default"/>
                <w:sz w:val="18"/>
                <w:szCs w:val="18"/>
              </w:rPr>
            </w:pPr>
            <w:r>
              <w:rPr>
                <w:rFonts w:ascii="宋体"/>
                <w:spacing w:val="-1"/>
                <w:sz w:val="18"/>
              </w:rPr>
              <w:t>239,625.11</w:t>
            </w:r>
          </w:p>
        </w:tc>
        <w:tc>
          <w:tcPr>
            <w:tcW w:w="1200"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190,047.50</w:t>
            </w:r>
          </w:p>
        </w:tc>
      </w:tr>
      <w:tr>
        <w:trPr>
          <w:trHeight w:val="391"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⑨ </w:t>
            </w:r>
            <w:r>
              <w:rPr>
                <w:rFonts w:ascii="宋体" w:hAnsi="宋体" w:cs="宋体" w:eastAsia="宋体" w:hint="default"/>
                <w:sz w:val="18"/>
                <w:szCs w:val="18"/>
              </w:rPr>
              <w:t>IBM</w:t>
            </w:r>
            <w:r>
              <w:rPr>
                <w:rFonts w:ascii="宋体" w:hAnsi="宋体" w:cs="宋体" w:eastAsia="宋体" w:hint="default"/>
                <w:spacing w:val="-44"/>
                <w:sz w:val="18"/>
                <w:szCs w:val="18"/>
              </w:rPr>
              <w:t> </w:t>
            </w:r>
            <w:r>
              <w:rPr>
                <w:rFonts w:ascii="宋体" w:hAnsi="宋体" w:cs="宋体" w:eastAsia="宋体" w:hint="default"/>
                <w:sz w:val="18"/>
                <w:szCs w:val="18"/>
              </w:rPr>
              <w:t>团队开发软件</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6"/>
              <w:jc w:val="right"/>
              <w:rPr>
                <w:rFonts w:ascii="宋体" w:hAnsi="宋体" w:cs="宋体" w:eastAsia="宋体" w:hint="default"/>
                <w:sz w:val="18"/>
                <w:szCs w:val="18"/>
              </w:rPr>
            </w:pPr>
            <w:r>
              <w:rPr>
                <w:rFonts w:ascii="宋体"/>
                <w:spacing w:val="-1"/>
                <w:sz w:val="18"/>
              </w:rPr>
              <w:t>705,584.05</w:t>
            </w:r>
          </w:p>
        </w:tc>
        <w:tc>
          <w:tcPr>
            <w:tcW w:w="1200"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559,601.14</w:t>
            </w:r>
          </w:p>
        </w:tc>
      </w:tr>
      <w:tr>
        <w:trPr>
          <w:trHeight w:val="393"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⑩ 网络电气设计软件</w:t>
            </w:r>
            <w:r>
              <w:rPr>
                <w:rFonts w:ascii="宋体" w:hAnsi="宋体" w:cs="宋体" w:eastAsia="宋体" w:hint="default"/>
                <w:spacing w:val="-48"/>
                <w:sz w:val="18"/>
                <w:szCs w:val="18"/>
              </w:rPr>
              <w:t> </w:t>
            </w:r>
            <w:r>
              <w:rPr>
                <w:rFonts w:ascii="宋体" w:hAnsi="宋体" w:cs="宋体" w:eastAsia="宋体" w:hint="default"/>
                <w:sz w:val="18"/>
                <w:szCs w:val="18"/>
              </w:rPr>
              <w:t>elecworks</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16"/>
              <w:jc w:val="right"/>
              <w:rPr>
                <w:rFonts w:ascii="宋体" w:hAnsi="宋体" w:cs="宋体" w:eastAsia="宋体" w:hint="default"/>
                <w:sz w:val="18"/>
                <w:szCs w:val="18"/>
              </w:rPr>
            </w:pPr>
            <w:r>
              <w:rPr>
                <w:rFonts w:ascii="宋体"/>
                <w:spacing w:val="-1"/>
                <w:sz w:val="18"/>
              </w:rPr>
              <w:t>37,820.53</w:t>
            </w:r>
          </w:p>
        </w:tc>
        <w:tc>
          <w:tcPr>
            <w:tcW w:w="1200"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30,128.22</w:t>
            </w:r>
          </w:p>
        </w:tc>
      </w:tr>
      <w:tr>
        <w:trPr>
          <w:trHeight w:val="393"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MS UI Gothic" w:hAnsi="MS UI Gothic" w:cs="MS UI Gothic" w:eastAsia="MS UI Gothic" w:hint="default"/>
                <w:sz w:val="18"/>
                <w:szCs w:val="18"/>
              </w:rPr>
              <w:t>⑪</w:t>
            </w:r>
            <w:r>
              <w:rPr>
                <w:rFonts w:ascii="MS UI Gothic" w:hAnsi="MS UI Gothic" w:cs="MS UI Gothic" w:eastAsia="MS UI Gothic" w:hint="default"/>
                <w:spacing w:val="35"/>
                <w:sz w:val="18"/>
                <w:szCs w:val="18"/>
              </w:rPr>
              <w:t> </w:t>
            </w:r>
            <w:r>
              <w:rPr>
                <w:rFonts w:ascii="宋体" w:hAnsi="宋体" w:cs="宋体" w:eastAsia="宋体" w:hint="default"/>
                <w:sz w:val="18"/>
                <w:szCs w:val="18"/>
              </w:rPr>
              <w:t>用友软件</w:t>
            </w:r>
          </w:p>
        </w:tc>
        <w:tc>
          <w:tcPr>
            <w:tcW w:w="155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27,920.23</w:t>
            </w:r>
          </w:p>
        </w:tc>
      </w:tr>
      <w:tr>
        <w:trPr>
          <w:trHeight w:val="391"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MS UI Gothic" w:hAnsi="MS UI Gothic" w:cs="MS UI Gothic" w:eastAsia="MS UI Gothic" w:hint="default"/>
                <w:sz w:val="18"/>
                <w:szCs w:val="18"/>
              </w:rPr>
              <w:t>⑫ </w:t>
            </w:r>
            <w:r>
              <w:rPr>
                <w:rFonts w:ascii="宋体" w:hAnsi="宋体" w:cs="宋体" w:eastAsia="宋体" w:hint="default"/>
                <w:sz w:val="18"/>
                <w:szCs w:val="18"/>
              </w:rPr>
              <w:t>办公 </w:t>
            </w:r>
            <w:r>
              <w:rPr>
                <w:rFonts w:ascii="宋体" w:hAnsi="宋体" w:cs="宋体" w:eastAsia="宋体" w:hint="default"/>
                <w:sz w:val="18"/>
                <w:szCs w:val="18"/>
              </w:rPr>
              <w:t>OFFICE</w:t>
            </w:r>
            <w:r>
              <w:rPr>
                <w:rFonts w:ascii="宋体" w:hAnsi="宋体" w:cs="宋体" w:eastAsia="宋体" w:hint="default"/>
                <w:spacing w:val="-57"/>
                <w:sz w:val="18"/>
                <w:szCs w:val="18"/>
              </w:rPr>
              <w:t> </w:t>
            </w:r>
            <w:r>
              <w:rPr>
                <w:rFonts w:ascii="宋体" w:hAnsi="宋体" w:cs="宋体" w:eastAsia="宋体" w:hint="default"/>
                <w:sz w:val="18"/>
                <w:szCs w:val="18"/>
              </w:rPr>
              <w:t>软件</w:t>
            </w:r>
          </w:p>
        </w:tc>
        <w:tc>
          <w:tcPr>
            <w:tcW w:w="155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35,880.82</w:t>
            </w:r>
          </w:p>
        </w:tc>
      </w:tr>
      <w:tr>
        <w:trPr>
          <w:trHeight w:val="392"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MS UI Gothic" w:hAnsi="MS UI Gothic" w:cs="MS UI Gothic" w:eastAsia="MS UI Gothic" w:hint="default"/>
                <w:sz w:val="18"/>
                <w:szCs w:val="18"/>
              </w:rPr>
              <w:t>⑬  </w:t>
            </w:r>
            <w:r>
              <w:rPr>
                <w:rFonts w:ascii="宋体" w:hAnsi="宋体" w:cs="宋体" w:eastAsia="宋体" w:hint="default"/>
                <w:sz w:val="18"/>
                <w:szCs w:val="18"/>
              </w:rPr>
              <w:t>WPS</w:t>
            </w:r>
            <w:r>
              <w:rPr>
                <w:rFonts w:ascii="宋体" w:hAnsi="宋体" w:cs="宋体" w:eastAsia="宋体" w:hint="default"/>
                <w:spacing w:val="-64"/>
                <w:sz w:val="18"/>
                <w:szCs w:val="18"/>
              </w:rPr>
              <w:t> </w:t>
            </w:r>
            <w:r>
              <w:rPr>
                <w:rFonts w:ascii="宋体" w:hAnsi="宋体" w:cs="宋体" w:eastAsia="宋体" w:hint="default"/>
                <w:sz w:val="18"/>
                <w:szCs w:val="18"/>
              </w:rPr>
              <w:t>软件</w:t>
            </w:r>
          </w:p>
        </w:tc>
        <w:tc>
          <w:tcPr>
            <w:tcW w:w="155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60,660.02</w:t>
            </w:r>
          </w:p>
        </w:tc>
      </w:tr>
      <w:tr>
        <w:trPr>
          <w:trHeight w:val="287" w:hRule="exact"/>
        </w:trPr>
        <w:tc>
          <w:tcPr>
            <w:tcW w:w="405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MS UI Gothic" w:hAnsi="MS UI Gothic" w:cs="MS UI Gothic" w:eastAsia="MS UI Gothic" w:hint="default"/>
                <w:sz w:val="18"/>
                <w:szCs w:val="18"/>
              </w:rPr>
              <w:t>⑭</w:t>
            </w:r>
            <w:r>
              <w:rPr>
                <w:rFonts w:ascii="MS UI Gothic" w:hAnsi="MS UI Gothic" w:cs="MS UI Gothic" w:eastAsia="MS UI Gothic" w:hint="default"/>
                <w:spacing w:val="35"/>
                <w:sz w:val="18"/>
                <w:szCs w:val="18"/>
              </w:rPr>
              <w:t> </w:t>
            </w:r>
            <w:r>
              <w:rPr>
                <w:rFonts w:ascii="宋体" w:hAnsi="宋体" w:cs="宋体" w:eastAsia="宋体" w:hint="default"/>
                <w:sz w:val="18"/>
                <w:szCs w:val="18"/>
              </w:rPr>
              <w:t>微软软件</w:t>
            </w:r>
          </w:p>
        </w:tc>
        <w:tc>
          <w:tcPr>
            <w:tcW w:w="1558"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142,094.02</w:t>
            </w:r>
          </w:p>
        </w:tc>
      </w:tr>
    </w:tbl>
    <w:p>
      <w:pPr>
        <w:spacing w:line="240" w:lineRule="auto" w:before="8"/>
        <w:rPr>
          <w:rFonts w:ascii="宋体" w:hAnsi="宋体" w:cs="宋体" w:eastAsia="宋体" w:hint="default"/>
          <w:sz w:val="13"/>
          <w:szCs w:val="13"/>
        </w:rPr>
      </w:pPr>
    </w:p>
    <w:p>
      <w:pPr>
        <w:pStyle w:val="BodyText"/>
        <w:spacing w:line="240" w:lineRule="auto" w:before="44"/>
        <w:ind w:left="513" w:right="981"/>
        <w:jc w:val="left"/>
      </w:pPr>
      <w:r>
        <w:rPr/>
        <w:t>注：本期无形资产摊销额为</w:t>
      </w:r>
      <w:r>
        <w:rPr>
          <w:spacing w:val="-48"/>
        </w:rPr>
        <w:t> </w:t>
      </w:r>
      <w:r>
        <w:rPr>
          <w:rFonts w:ascii="宋体" w:hAnsi="宋体" w:cs="宋体" w:eastAsia="宋体" w:hint="default"/>
        </w:rPr>
        <w:t>1,300,968.45</w:t>
      </w:r>
      <w:r>
        <w:rPr>
          <w:rFonts w:ascii="宋体" w:hAnsi="宋体" w:cs="宋体" w:eastAsia="宋体" w:hint="default"/>
          <w:spacing w:val="-45"/>
        </w:rPr>
        <w:t> </w:t>
      </w:r>
      <w:r>
        <w:rPr/>
        <w:t>元。</w:t>
      </w:r>
    </w:p>
    <w:p>
      <w:pPr>
        <w:spacing w:line="240" w:lineRule="auto" w:before="8"/>
        <w:rPr>
          <w:rFonts w:ascii="宋体" w:hAnsi="宋体" w:cs="宋体" w:eastAsia="宋体" w:hint="default"/>
          <w:sz w:val="21"/>
          <w:szCs w:val="21"/>
        </w:rPr>
      </w:pPr>
    </w:p>
    <w:p>
      <w:pPr>
        <w:pStyle w:val="BodyText"/>
        <w:spacing w:line="240" w:lineRule="auto"/>
        <w:ind w:left="513" w:right="981"/>
        <w:jc w:val="left"/>
      </w:pPr>
      <w:r>
        <w:rPr/>
        <w:t>（</w:t>
      </w:r>
      <w:r>
        <w:rPr>
          <w:rFonts w:ascii="宋体" w:hAnsi="宋体" w:cs="宋体" w:eastAsia="宋体" w:hint="default"/>
        </w:rPr>
        <w:t>2</w:t>
      </w:r>
      <w:r>
        <w:rPr/>
        <w:t>）期末无用于抵押的无形资产。</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w:t>
      </w:r>
      <w:r>
        <w:rPr>
          <w:rFonts w:ascii="宋体" w:hAnsi="宋体" w:cs="宋体" w:eastAsia="宋体" w:hint="default"/>
        </w:rPr>
        <w:t>3</w:t>
      </w:r>
      <w:r>
        <w:rPr/>
        <w:t>）公司内部研究开发项目支出</w:t>
      </w:r>
    </w:p>
    <w:p>
      <w:pPr>
        <w:spacing w:after="0" w:line="240" w:lineRule="auto"/>
        <w:jc w:val="left"/>
        <w:sectPr>
          <w:pgSz w:w="11910" w:h="16840"/>
          <w:pgMar w:header="877" w:footer="1332" w:top="1100" w:bottom="152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tbl>
      <w:tblPr>
        <w:tblW w:w="0" w:type="auto"/>
        <w:jc w:val="left"/>
        <w:tblInd w:w="215" w:type="dxa"/>
        <w:tblLayout w:type="fixed"/>
        <w:tblCellMar>
          <w:top w:w="0" w:type="dxa"/>
          <w:left w:w="0" w:type="dxa"/>
          <w:bottom w:w="0" w:type="dxa"/>
          <w:right w:w="0" w:type="dxa"/>
        </w:tblCellMar>
        <w:tblLook w:val="01E0"/>
      </w:tblPr>
      <w:tblGrid>
        <w:gridCol w:w="2427"/>
        <w:gridCol w:w="1253"/>
        <w:gridCol w:w="1586"/>
        <w:gridCol w:w="1441"/>
        <w:gridCol w:w="2929"/>
      </w:tblGrid>
      <w:tr>
        <w:trPr>
          <w:trHeight w:val="204" w:hRule="exact"/>
        </w:trPr>
        <w:tc>
          <w:tcPr>
            <w:tcW w:w="2427"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
        </w:tc>
        <w:tc>
          <w:tcPr>
            <w:tcW w:w="4370"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1107"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r>
      <w:tr>
        <w:trPr>
          <w:trHeight w:val="227"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204" w:lineRule="exact"/>
              <w:ind w:right="9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53" w:type="dxa"/>
            <w:tcBorders>
              <w:top w:val="nil" w:sz="6" w:space="0" w:color="auto"/>
              <w:left w:val="nil" w:sz="6" w:space="0" w:color="auto"/>
              <w:bottom w:val="nil" w:sz="6" w:space="0" w:color="auto"/>
              <w:right w:val="nil" w:sz="6" w:space="0" w:color="auto"/>
            </w:tcBorders>
          </w:tcPr>
          <w:p>
            <w:pPr>
              <w:pStyle w:val="TableParagraph"/>
              <w:spacing w:line="204" w:lineRule="exact"/>
              <w:ind w:left="20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586" w:type="dxa"/>
            <w:tcBorders>
              <w:top w:val="nil" w:sz="6" w:space="0" w:color="auto"/>
              <w:left w:val="nil" w:sz="6" w:space="0" w:color="auto"/>
              <w:bottom w:val="nil" w:sz="6" w:space="0" w:color="auto"/>
              <w:right w:val="nil" w:sz="6" w:space="0" w:color="auto"/>
            </w:tcBorders>
          </w:tcPr>
          <w:p>
            <w:pPr>
              <w:pStyle w:val="TableParagraph"/>
              <w:spacing w:line="204" w:lineRule="exact"/>
              <w:ind w:left="324"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41" w:type="dxa"/>
            <w:tcBorders>
              <w:top w:val="nil" w:sz="6" w:space="0" w:color="auto"/>
              <w:left w:val="nil" w:sz="6" w:space="0" w:color="auto"/>
              <w:bottom w:val="nil" w:sz="6" w:space="0" w:color="auto"/>
              <w:right w:val="nil" w:sz="6" w:space="0" w:color="auto"/>
            </w:tcBorders>
          </w:tcPr>
          <w:p>
            <w:pPr/>
          </w:p>
        </w:tc>
        <w:tc>
          <w:tcPr>
            <w:tcW w:w="2929" w:type="dxa"/>
            <w:tcBorders>
              <w:top w:val="nil" w:sz="6" w:space="0" w:color="auto"/>
              <w:left w:val="nil" w:sz="6" w:space="0" w:color="auto"/>
              <w:bottom w:val="nil" w:sz="6" w:space="0" w:color="auto"/>
              <w:right w:val="nil" w:sz="6" w:space="0" w:color="auto"/>
            </w:tcBorders>
          </w:tcPr>
          <w:p>
            <w:pPr>
              <w:pStyle w:val="TableParagraph"/>
              <w:spacing w:line="204" w:lineRule="exact"/>
              <w:ind w:right="247"/>
              <w:jc w:val="righ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sz w:val="18"/>
                <w:szCs w:val="18"/>
              </w:rPr>
            </w:r>
          </w:p>
        </w:tc>
      </w:tr>
      <w:tr>
        <w:trPr>
          <w:trHeight w:val="348" w:hRule="exact"/>
        </w:trPr>
        <w:tc>
          <w:tcPr>
            <w:tcW w:w="2427" w:type="dxa"/>
            <w:tcBorders>
              <w:top w:val="nil" w:sz="6" w:space="0" w:color="auto"/>
              <w:left w:val="nil" w:sz="6" w:space="0" w:color="auto"/>
              <w:bottom w:val="single" w:sz="4" w:space="0" w:color="000000"/>
              <w:right w:val="nil" w:sz="6" w:space="0" w:color="auto"/>
            </w:tcBorders>
          </w:tcPr>
          <w:p>
            <w:pPr/>
          </w:p>
        </w:tc>
        <w:tc>
          <w:tcPr>
            <w:tcW w:w="1253" w:type="dxa"/>
            <w:tcBorders>
              <w:top w:val="nil" w:sz="6" w:space="0" w:color="auto"/>
              <w:left w:val="nil" w:sz="6" w:space="0" w:color="auto"/>
              <w:bottom w:val="single" w:sz="4" w:space="0" w:color="000000"/>
              <w:right w:val="nil" w:sz="6" w:space="0" w:color="auto"/>
            </w:tcBorders>
          </w:tcPr>
          <w:p>
            <w:pPr/>
          </w:p>
        </w:tc>
        <w:tc>
          <w:tcPr>
            <w:tcW w:w="1586" w:type="dxa"/>
            <w:tcBorders>
              <w:top w:val="nil" w:sz="6" w:space="0" w:color="auto"/>
              <w:left w:val="nil" w:sz="6" w:space="0" w:color="auto"/>
              <w:bottom w:val="single" w:sz="4" w:space="0" w:color="000000"/>
              <w:right w:val="nil" w:sz="6" w:space="0" w:color="auto"/>
            </w:tcBorders>
          </w:tcPr>
          <w:p>
            <w:pPr/>
          </w:p>
        </w:tc>
        <w:tc>
          <w:tcPr>
            <w:tcW w:w="1441" w:type="dxa"/>
            <w:tcBorders>
              <w:top w:val="nil" w:sz="6" w:space="0" w:color="auto"/>
              <w:left w:val="nil" w:sz="6" w:space="0" w:color="auto"/>
              <w:bottom w:val="single" w:sz="4" w:space="0" w:color="000000"/>
              <w:right w:val="nil" w:sz="6" w:space="0" w:color="auto"/>
            </w:tcBorders>
          </w:tcPr>
          <w:p>
            <w:pPr>
              <w:pStyle w:val="TableParagraph"/>
              <w:spacing w:line="203" w:lineRule="exact"/>
              <w:ind w:left="104" w:right="0"/>
              <w:jc w:val="left"/>
              <w:rPr>
                <w:rFonts w:ascii="宋体" w:hAnsi="宋体" w:cs="宋体" w:eastAsia="宋体" w:hint="default"/>
                <w:sz w:val="18"/>
                <w:szCs w:val="18"/>
              </w:rPr>
            </w:pPr>
            <w:r>
              <w:rPr>
                <w:rFonts w:ascii="宋体" w:hAnsi="宋体" w:cs="宋体" w:eastAsia="宋体" w:hint="default"/>
                <w:b/>
                <w:bCs/>
                <w:sz w:val="18"/>
                <w:szCs w:val="18"/>
              </w:rPr>
              <w:t>计入当期损益</w:t>
            </w:r>
            <w:r>
              <w:rPr>
                <w:rFonts w:ascii="宋体" w:hAnsi="宋体" w:cs="宋体" w:eastAsia="宋体" w:hint="default"/>
                <w:sz w:val="18"/>
                <w:szCs w:val="18"/>
              </w:rPr>
            </w:r>
          </w:p>
        </w:tc>
        <w:tc>
          <w:tcPr>
            <w:tcW w:w="2929" w:type="dxa"/>
            <w:tcBorders>
              <w:top w:val="nil" w:sz="6" w:space="0" w:color="auto"/>
              <w:left w:val="nil" w:sz="6" w:space="0" w:color="auto"/>
              <w:bottom w:val="single" w:sz="4" w:space="0" w:color="000000"/>
              <w:right w:val="nil" w:sz="6" w:space="0" w:color="auto"/>
            </w:tcBorders>
          </w:tcPr>
          <w:p>
            <w:pPr>
              <w:pStyle w:val="TableParagraph"/>
              <w:spacing w:line="203" w:lineRule="exact"/>
              <w:ind w:left="252" w:right="0"/>
              <w:jc w:val="left"/>
              <w:rPr>
                <w:rFonts w:ascii="宋体" w:hAnsi="宋体" w:cs="宋体" w:eastAsia="宋体" w:hint="default"/>
                <w:sz w:val="18"/>
                <w:szCs w:val="18"/>
              </w:rPr>
            </w:pPr>
            <w:r>
              <w:rPr>
                <w:rFonts w:ascii="宋体" w:hAnsi="宋体" w:cs="宋体" w:eastAsia="宋体" w:hint="default"/>
                <w:b/>
                <w:bCs/>
                <w:sz w:val="18"/>
                <w:szCs w:val="18"/>
              </w:rPr>
              <w:t>确认为无形资产</w:t>
            </w:r>
            <w:r>
              <w:rPr>
                <w:rFonts w:ascii="宋体" w:hAnsi="宋体" w:cs="宋体" w:eastAsia="宋体" w:hint="default"/>
                <w:sz w:val="18"/>
                <w:szCs w:val="18"/>
              </w:rPr>
            </w:r>
          </w:p>
        </w:tc>
      </w:tr>
      <w:tr>
        <w:trPr>
          <w:trHeight w:val="885" w:hRule="exact"/>
        </w:trPr>
        <w:tc>
          <w:tcPr>
            <w:tcW w:w="2427" w:type="dxa"/>
            <w:tcBorders>
              <w:top w:val="single" w:sz="4" w:space="0" w:color="000000"/>
              <w:left w:val="nil" w:sz="6" w:space="0" w:color="auto"/>
              <w:bottom w:val="nil" w:sz="6" w:space="0" w:color="auto"/>
              <w:right w:val="nil" w:sz="6" w:space="0" w:color="auto"/>
            </w:tcBorders>
          </w:tcPr>
          <w:p>
            <w:pPr>
              <w:pStyle w:val="TableParagraph"/>
              <w:spacing w:line="237" w:lineRule="auto" w:before="80"/>
              <w:ind w:left="107" w:right="204"/>
              <w:jc w:val="both"/>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智能交通视频参数、事件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检测器研发及产业化项目</w:t>
            </w:r>
            <w:r>
              <w:rPr>
                <w:rFonts w:ascii="宋体" w:hAnsi="宋体" w:cs="宋体" w:eastAsia="宋体" w:hint="default"/>
                <w:spacing w:val="12"/>
                <w:sz w:val="18"/>
                <w:szCs w:val="18"/>
              </w:rPr>
              <w:t> </w:t>
            </w:r>
            <w:r>
              <w:rPr>
                <w:rFonts w:ascii="宋体" w:hAnsi="宋体" w:cs="宋体" w:eastAsia="宋体" w:hint="default"/>
                <w:sz w:val="18"/>
                <w:szCs w:val="18"/>
              </w:rPr>
              <w:t>建设（一期研发）</w:t>
            </w:r>
          </w:p>
        </w:tc>
        <w:tc>
          <w:tcPr>
            <w:tcW w:w="1253" w:type="dxa"/>
            <w:tcBorders>
              <w:top w:val="single" w:sz="4" w:space="0" w:color="000000"/>
              <w:left w:val="nil" w:sz="6" w:space="0" w:color="auto"/>
              <w:bottom w:val="nil" w:sz="6" w:space="0" w:color="auto"/>
              <w:right w:val="nil" w:sz="6" w:space="0" w:color="auto"/>
            </w:tcBorders>
          </w:tcPr>
          <w:p>
            <w:pPr/>
          </w:p>
        </w:tc>
        <w:tc>
          <w:tcPr>
            <w:tcW w:w="158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313"/>
              <w:jc w:val="right"/>
              <w:rPr>
                <w:rFonts w:ascii="宋体" w:hAnsi="宋体" w:cs="宋体" w:eastAsia="宋体" w:hint="default"/>
                <w:sz w:val="18"/>
                <w:szCs w:val="18"/>
              </w:rPr>
            </w:pPr>
            <w:r>
              <w:rPr>
                <w:rFonts w:ascii="宋体"/>
                <w:spacing w:val="-1"/>
                <w:sz w:val="18"/>
              </w:rPr>
              <w:t>1,841,386.48</w:t>
            </w:r>
          </w:p>
        </w:tc>
        <w:tc>
          <w:tcPr>
            <w:tcW w:w="144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43"/>
              <w:jc w:val="right"/>
              <w:rPr>
                <w:rFonts w:ascii="宋体" w:hAnsi="宋体" w:cs="宋体" w:eastAsia="宋体" w:hint="default"/>
                <w:sz w:val="18"/>
                <w:szCs w:val="18"/>
              </w:rPr>
            </w:pPr>
            <w:r>
              <w:rPr>
                <w:rFonts w:ascii="宋体"/>
                <w:spacing w:val="-1"/>
                <w:sz w:val="18"/>
              </w:rPr>
              <w:t>1,841,386.48</w:t>
            </w:r>
          </w:p>
        </w:tc>
        <w:tc>
          <w:tcPr>
            <w:tcW w:w="2929" w:type="dxa"/>
            <w:tcBorders>
              <w:top w:val="single" w:sz="4" w:space="0" w:color="000000"/>
              <w:left w:val="nil" w:sz="6" w:space="0" w:color="auto"/>
              <w:bottom w:val="nil" w:sz="6" w:space="0" w:color="auto"/>
              <w:right w:val="nil" w:sz="6" w:space="0" w:color="auto"/>
            </w:tcBorders>
          </w:tcPr>
          <w:p>
            <w:pPr/>
          </w:p>
        </w:tc>
      </w:tr>
      <w:tr>
        <w:trPr>
          <w:trHeight w:val="61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232" w:lineRule="exact" w:before="70"/>
              <w:ind w:left="107" w:right="217"/>
              <w:jc w:val="left"/>
              <w:rPr>
                <w:rFonts w:ascii="宋体" w:hAnsi="宋体" w:cs="宋体" w:eastAsia="宋体" w:hint="default"/>
                <w:sz w:val="18"/>
                <w:szCs w:val="18"/>
              </w:rPr>
            </w:pPr>
            <w:r>
              <w:rPr>
                <w:rFonts w:ascii="宋体" w:hAnsi="宋体" w:cs="宋体" w:eastAsia="宋体" w:hint="default"/>
                <w:sz w:val="18"/>
                <w:szCs w:val="18"/>
              </w:rPr>
              <w:t>2.iScope</w:t>
            </w:r>
            <w:r>
              <w:rPr>
                <w:rFonts w:ascii="宋体" w:hAnsi="宋体" w:cs="宋体" w:eastAsia="宋体" w:hint="default"/>
                <w:spacing w:val="8"/>
                <w:sz w:val="18"/>
                <w:szCs w:val="18"/>
              </w:rPr>
              <w:t> </w:t>
            </w:r>
            <w:r>
              <w:rPr>
                <w:rFonts w:ascii="宋体" w:hAnsi="宋体" w:cs="宋体" w:eastAsia="宋体" w:hint="default"/>
                <w:spacing w:val="2"/>
                <w:sz w:val="18"/>
                <w:szCs w:val="18"/>
              </w:rPr>
              <w:t>交通一体化监控</w:t>
            </w:r>
            <w:r>
              <w:rPr>
                <w:rFonts w:ascii="宋体" w:hAnsi="宋体" w:cs="宋体" w:eastAsia="宋体" w:hint="default"/>
                <w:sz w:val="18"/>
                <w:szCs w:val="18"/>
              </w:rPr>
              <w:t> 平台软件</w:t>
            </w:r>
            <w:r>
              <w:rPr>
                <w:rFonts w:ascii="宋体" w:hAnsi="宋体" w:cs="宋体" w:eastAsia="宋体" w:hint="default"/>
                <w:spacing w:val="-44"/>
                <w:sz w:val="18"/>
                <w:szCs w:val="18"/>
              </w:rPr>
              <w:t> </w:t>
            </w:r>
            <w:r>
              <w:rPr>
                <w:rFonts w:ascii="宋体" w:hAnsi="宋体" w:cs="宋体" w:eastAsia="宋体" w:hint="default"/>
                <w:sz w:val="18"/>
                <w:szCs w:val="18"/>
              </w:rPr>
              <w:t>V3.0</w:t>
            </w:r>
          </w:p>
        </w:tc>
        <w:tc>
          <w:tcPr>
            <w:tcW w:w="125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13"/>
              <w:jc w:val="right"/>
              <w:rPr>
                <w:rFonts w:ascii="宋体" w:hAnsi="宋体" w:cs="宋体" w:eastAsia="宋体" w:hint="default"/>
                <w:sz w:val="18"/>
                <w:szCs w:val="18"/>
              </w:rPr>
            </w:pPr>
            <w:r>
              <w:rPr>
                <w:rFonts w:ascii="宋体"/>
                <w:spacing w:val="-1"/>
                <w:sz w:val="18"/>
              </w:rPr>
              <w:t>919,969.21</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4"/>
              <w:jc w:val="right"/>
              <w:rPr>
                <w:rFonts w:ascii="宋体" w:hAnsi="宋体" w:cs="宋体" w:eastAsia="宋体" w:hint="default"/>
                <w:sz w:val="18"/>
                <w:szCs w:val="18"/>
              </w:rPr>
            </w:pPr>
            <w:r>
              <w:rPr>
                <w:rFonts w:ascii="宋体"/>
                <w:spacing w:val="-1"/>
                <w:sz w:val="18"/>
              </w:rPr>
              <w:t>919,969.21</w:t>
            </w:r>
          </w:p>
        </w:tc>
        <w:tc>
          <w:tcPr>
            <w:tcW w:w="2929" w:type="dxa"/>
            <w:tcBorders>
              <w:top w:val="nil" w:sz="6" w:space="0" w:color="auto"/>
              <w:left w:val="nil" w:sz="6" w:space="0" w:color="auto"/>
              <w:bottom w:val="nil" w:sz="6" w:space="0" w:color="auto"/>
              <w:right w:val="nil" w:sz="6" w:space="0" w:color="auto"/>
            </w:tcBorders>
          </w:tcPr>
          <w:p>
            <w:pPr/>
          </w:p>
        </w:tc>
      </w:tr>
      <w:tr>
        <w:trPr>
          <w:trHeight w:val="864"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237" w:lineRule="auto" w:before="46"/>
              <w:ind w:left="107" w:right="217"/>
              <w:jc w:val="both"/>
              <w:rPr>
                <w:rFonts w:ascii="宋体" w:hAnsi="宋体" w:cs="宋体" w:eastAsia="宋体" w:hint="default"/>
                <w:sz w:val="18"/>
                <w:szCs w:val="18"/>
              </w:rPr>
            </w:pPr>
            <w:r>
              <w:rPr>
                <w:rFonts w:ascii="宋体" w:hAnsi="宋体" w:cs="宋体" w:eastAsia="宋体" w:hint="default"/>
                <w:spacing w:val="9"/>
                <w:sz w:val="18"/>
                <w:szCs w:val="18"/>
              </w:rPr>
              <w:t>3.</w:t>
            </w:r>
            <w:r>
              <w:rPr>
                <w:rFonts w:ascii="宋体" w:hAnsi="宋体" w:cs="宋体" w:eastAsia="宋体" w:hint="default"/>
                <w:spacing w:val="9"/>
                <w:sz w:val="18"/>
                <w:szCs w:val="18"/>
              </w:rPr>
              <w:t>新一代高速公路收费综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合业务平台研发、推广及技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术支持服务中心</w:t>
            </w:r>
          </w:p>
        </w:tc>
        <w:tc>
          <w:tcPr>
            <w:tcW w:w="125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313"/>
              <w:jc w:val="right"/>
              <w:rPr>
                <w:rFonts w:ascii="宋体" w:hAnsi="宋体" w:cs="宋体" w:eastAsia="宋体" w:hint="default"/>
                <w:sz w:val="18"/>
                <w:szCs w:val="18"/>
              </w:rPr>
            </w:pPr>
            <w:r>
              <w:rPr>
                <w:rFonts w:ascii="宋体"/>
                <w:spacing w:val="-1"/>
                <w:sz w:val="18"/>
              </w:rPr>
              <w:t>2,668,410.22</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43"/>
              <w:jc w:val="right"/>
              <w:rPr>
                <w:rFonts w:ascii="宋体" w:hAnsi="宋体" w:cs="宋体" w:eastAsia="宋体" w:hint="default"/>
                <w:sz w:val="18"/>
                <w:szCs w:val="18"/>
              </w:rPr>
            </w:pPr>
            <w:r>
              <w:rPr>
                <w:rFonts w:ascii="宋体"/>
                <w:spacing w:val="-1"/>
                <w:sz w:val="18"/>
              </w:rPr>
              <w:t>2,668,410.22</w:t>
            </w:r>
          </w:p>
        </w:tc>
        <w:tc>
          <w:tcPr>
            <w:tcW w:w="2929" w:type="dxa"/>
            <w:tcBorders>
              <w:top w:val="nil" w:sz="6" w:space="0" w:color="auto"/>
              <w:left w:val="nil" w:sz="6" w:space="0" w:color="auto"/>
              <w:bottom w:val="nil" w:sz="6" w:space="0" w:color="auto"/>
              <w:right w:val="nil" w:sz="6" w:space="0" w:color="auto"/>
            </w:tcBorders>
          </w:tcPr>
          <w:p>
            <w:pPr/>
          </w:p>
        </w:tc>
      </w:tr>
      <w:tr>
        <w:trPr>
          <w:trHeight w:val="621"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232" w:lineRule="exact" w:before="88"/>
              <w:ind w:left="107" w:right="217"/>
              <w:jc w:val="left"/>
              <w:rPr>
                <w:rFonts w:ascii="宋体" w:hAnsi="宋体" w:cs="宋体" w:eastAsia="宋体" w:hint="default"/>
                <w:sz w:val="18"/>
                <w:szCs w:val="18"/>
              </w:rPr>
            </w:pPr>
            <w:r>
              <w:rPr>
                <w:rFonts w:ascii="宋体" w:hAnsi="宋体" w:cs="宋体" w:eastAsia="宋体" w:hint="default"/>
                <w:spacing w:val="9"/>
                <w:sz w:val="18"/>
                <w:szCs w:val="18"/>
              </w:rPr>
              <w:t>4.</w:t>
            </w:r>
            <w:r>
              <w:rPr>
                <w:rFonts w:ascii="宋体" w:hAnsi="宋体" w:cs="宋体" w:eastAsia="宋体" w:hint="default"/>
                <w:spacing w:val="9"/>
                <w:sz w:val="18"/>
                <w:szCs w:val="18"/>
              </w:rPr>
              <w:t>违章停车自动抓拍系统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研发项目</w:t>
            </w:r>
          </w:p>
        </w:tc>
        <w:tc>
          <w:tcPr>
            <w:tcW w:w="125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313"/>
              <w:jc w:val="right"/>
              <w:rPr>
                <w:rFonts w:ascii="宋体" w:hAnsi="宋体" w:cs="宋体" w:eastAsia="宋体" w:hint="default"/>
                <w:sz w:val="18"/>
                <w:szCs w:val="18"/>
              </w:rPr>
            </w:pPr>
            <w:r>
              <w:rPr>
                <w:rFonts w:ascii="宋体"/>
                <w:spacing w:val="-1"/>
                <w:sz w:val="18"/>
              </w:rPr>
              <w:t>538,871.34</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44"/>
              <w:jc w:val="right"/>
              <w:rPr>
                <w:rFonts w:ascii="宋体" w:hAnsi="宋体" w:cs="宋体" w:eastAsia="宋体" w:hint="default"/>
                <w:sz w:val="18"/>
                <w:szCs w:val="18"/>
              </w:rPr>
            </w:pPr>
            <w:r>
              <w:rPr>
                <w:rFonts w:ascii="宋体"/>
                <w:spacing w:val="-1"/>
                <w:sz w:val="18"/>
              </w:rPr>
              <w:t>538,871.34</w:t>
            </w:r>
          </w:p>
        </w:tc>
        <w:tc>
          <w:tcPr>
            <w:tcW w:w="2929" w:type="dxa"/>
            <w:tcBorders>
              <w:top w:val="nil" w:sz="6" w:space="0" w:color="auto"/>
              <w:left w:val="nil" w:sz="6" w:space="0" w:color="auto"/>
              <w:bottom w:val="nil" w:sz="6" w:space="0" w:color="auto"/>
              <w:right w:val="nil" w:sz="6" w:space="0" w:color="auto"/>
            </w:tcBorders>
          </w:tcPr>
          <w:p>
            <w:pPr/>
          </w:p>
        </w:tc>
      </w:tr>
      <w:tr>
        <w:trPr>
          <w:trHeight w:val="271"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3"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13"/>
              <w:jc w:val="right"/>
              <w:rPr>
                <w:rFonts w:ascii="宋体" w:hAnsi="宋体" w:cs="宋体" w:eastAsia="宋体" w:hint="default"/>
                <w:sz w:val="18"/>
                <w:szCs w:val="18"/>
              </w:rPr>
            </w:pPr>
            <w:r>
              <w:rPr>
                <w:rFonts w:ascii="宋体"/>
                <w:sz w:val="18"/>
              </w:rPr>
            </w:r>
            <w:r>
              <w:rPr>
                <w:rFonts w:ascii="宋体"/>
                <w:spacing w:val="-1"/>
                <w:sz w:val="18"/>
                <w:u w:val="thick" w:color="000000"/>
              </w:rPr>
              <w:t>5,968,637.25</w:t>
            </w:r>
            <w:r>
              <w:rPr>
                <w:rFonts w:ascii="宋体"/>
                <w:spacing w:val="-1"/>
                <w:sz w:val="18"/>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
              <w:jc w:val="right"/>
              <w:rPr>
                <w:rFonts w:ascii="宋体" w:hAnsi="宋体" w:cs="宋体" w:eastAsia="宋体" w:hint="default"/>
                <w:sz w:val="18"/>
                <w:szCs w:val="18"/>
              </w:rPr>
            </w:pPr>
            <w:r>
              <w:rPr>
                <w:rFonts w:ascii="宋体"/>
                <w:sz w:val="18"/>
              </w:rPr>
            </w:r>
            <w:r>
              <w:rPr>
                <w:rFonts w:ascii="宋体"/>
                <w:spacing w:val="-1"/>
                <w:sz w:val="18"/>
                <w:u w:val="thick" w:color="000000"/>
              </w:rPr>
              <w:t>5,968,637.25</w:t>
            </w:r>
            <w:r>
              <w:rPr>
                <w:rFonts w:ascii="宋体"/>
                <w:spacing w:val="-1"/>
                <w:sz w:val="18"/>
              </w:rPr>
            </w:r>
          </w:p>
        </w:tc>
        <w:tc>
          <w:tcPr>
            <w:tcW w:w="2929"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before="44"/>
        <w:ind w:left="573" w:right="1034"/>
        <w:jc w:val="left"/>
      </w:pPr>
      <w:r>
        <w:rPr>
          <w:rFonts w:ascii="宋体" w:hAnsi="宋体" w:cs="宋体" w:eastAsia="宋体" w:hint="default"/>
        </w:rPr>
        <w:t>13.</w:t>
      </w:r>
      <w:r>
        <w:rPr/>
        <w:t>资产减值准备</w:t>
      </w:r>
    </w:p>
    <w:p>
      <w:pPr>
        <w:spacing w:line="240" w:lineRule="auto" w:before="9"/>
        <w:rPr>
          <w:rFonts w:ascii="宋体" w:hAnsi="宋体" w:cs="宋体" w:eastAsia="宋体" w:hint="default"/>
          <w:sz w:val="23"/>
          <w:szCs w:val="23"/>
        </w:rPr>
      </w:pPr>
    </w:p>
    <w:tbl>
      <w:tblPr>
        <w:tblW w:w="0" w:type="auto"/>
        <w:jc w:val="left"/>
        <w:tblInd w:w="212" w:type="dxa"/>
        <w:tblLayout w:type="fixed"/>
        <w:tblCellMar>
          <w:top w:w="0" w:type="dxa"/>
          <w:left w:w="0" w:type="dxa"/>
          <w:bottom w:w="0" w:type="dxa"/>
          <w:right w:w="0" w:type="dxa"/>
        </w:tblCellMar>
        <w:tblLook w:val="01E0"/>
      </w:tblPr>
      <w:tblGrid>
        <w:gridCol w:w="1989"/>
        <w:gridCol w:w="1996"/>
        <w:gridCol w:w="2664"/>
        <w:gridCol w:w="2977"/>
      </w:tblGrid>
      <w:tr>
        <w:trPr>
          <w:trHeight w:val="190" w:hRule="exact"/>
        </w:trPr>
        <w:tc>
          <w:tcPr>
            <w:tcW w:w="1989"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
        </w:tc>
        <w:tc>
          <w:tcPr>
            <w:tcW w:w="5641"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right="341"/>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r>
      <w:tr>
        <w:trPr>
          <w:trHeight w:val="198" w:hRule="exact"/>
        </w:trPr>
        <w:tc>
          <w:tcPr>
            <w:tcW w:w="1989" w:type="dxa"/>
            <w:tcBorders>
              <w:top w:val="nil" w:sz="6" w:space="0" w:color="auto"/>
              <w:left w:val="nil" w:sz="6" w:space="0" w:color="auto"/>
              <w:bottom w:val="nil" w:sz="6" w:space="0" w:color="auto"/>
              <w:right w:val="nil" w:sz="6" w:space="0" w:color="auto"/>
            </w:tcBorders>
          </w:tcPr>
          <w:p>
            <w:pPr>
              <w:pStyle w:val="TableParagraph"/>
              <w:spacing w:line="190" w:lineRule="exact"/>
              <w:ind w:left="28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96" w:type="dxa"/>
            <w:tcBorders>
              <w:top w:val="nil" w:sz="6" w:space="0" w:color="auto"/>
              <w:left w:val="nil" w:sz="6" w:space="0" w:color="auto"/>
              <w:bottom w:val="nil" w:sz="6" w:space="0" w:color="auto"/>
              <w:right w:val="nil" w:sz="6" w:space="0" w:color="auto"/>
            </w:tcBorders>
          </w:tcPr>
          <w:p>
            <w:pPr>
              <w:pStyle w:val="TableParagraph"/>
              <w:spacing w:line="190" w:lineRule="exact"/>
              <w:ind w:left="70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664" w:type="dxa"/>
            <w:tcBorders>
              <w:top w:val="nil" w:sz="6" w:space="0" w:color="auto"/>
              <w:left w:val="nil" w:sz="6" w:space="0" w:color="auto"/>
              <w:bottom w:val="nil" w:sz="6" w:space="0" w:color="auto"/>
              <w:right w:val="nil" w:sz="6" w:space="0" w:color="auto"/>
            </w:tcBorders>
          </w:tcPr>
          <w:p>
            <w:pPr>
              <w:pStyle w:val="TableParagraph"/>
              <w:spacing w:line="190" w:lineRule="exact"/>
              <w:ind w:left="285"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2977" w:type="dxa"/>
            <w:tcBorders>
              <w:top w:val="nil" w:sz="6" w:space="0" w:color="auto"/>
              <w:left w:val="nil" w:sz="6" w:space="0" w:color="auto"/>
              <w:bottom w:val="nil" w:sz="6" w:space="0" w:color="auto"/>
              <w:right w:val="nil" w:sz="6" w:space="0" w:color="auto"/>
            </w:tcBorders>
          </w:tcPr>
          <w:p>
            <w:pPr>
              <w:pStyle w:val="TableParagraph"/>
              <w:spacing w:line="190" w:lineRule="exact"/>
              <w:ind w:left="172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05" w:hRule="exact"/>
        </w:trPr>
        <w:tc>
          <w:tcPr>
            <w:tcW w:w="1989" w:type="dxa"/>
            <w:tcBorders>
              <w:top w:val="nil" w:sz="6" w:space="0" w:color="auto"/>
              <w:left w:val="nil" w:sz="6" w:space="0" w:color="auto"/>
              <w:bottom w:val="single" w:sz="4" w:space="0" w:color="000000"/>
              <w:right w:val="nil" w:sz="6" w:space="0" w:color="auto"/>
            </w:tcBorders>
          </w:tcPr>
          <w:p>
            <w:pPr/>
          </w:p>
        </w:tc>
        <w:tc>
          <w:tcPr>
            <w:tcW w:w="1996" w:type="dxa"/>
            <w:tcBorders>
              <w:top w:val="nil" w:sz="6" w:space="0" w:color="auto"/>
              <w:left w:val="nil" w:sz="6" w:space="0" w:color="auto"/>
              <w:bottom w:val="single" w:sz="4" w:space="0" w:color="000000"/>
              <w:right w:val="nil" w:sz="6" w:space="0" w:color="auto"/>
            </w:tcBorders>
          </w:tcPr>
          <w:p>
            <w:pPr/>
          </w:p>
        </w:tc>
        <w:tc>
          <w:tcPr>
            <w:tcW w:w="2664" w:type="dxa"/>
            <w:tcBorders>
              <w:top w:val="nil" w:sz="6" w:space="0" w:color="auto"/>
              <w:left w:val="nil" w:sz="6" w:space="0" w:color="auto"/>
              <w:bottom w:val="single" w:sz="4" w:space="0" w:color="000000"/>
              <w:right w:val="nil" w:sz="6" w:space="0" w:color="auto"/>
            </w:tcBorders>
          </w:tcPr>
          <w:p>
            <w:pPr>
              <w:pStyle w:val="TableParagraph"/>
              <w:spacing w:line="188" w:lineRule="exact"/>
              <w:ind w:right="422"/>
              <w:jc w:val="right"/>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2977" w:type="dxa"/>
            <w:tcBorders>
              <w:top w:val="nil" w:sz="6" w:space="0" w:color="auto"/>
              <w:left w:val="nil" w:sz="6" w:space="0" w:color="auto"/>
              <w:bottom w:val="single" w:sz="4" w:space="0" w:color="000000"/>
              <w:right w:val="nil" w:sz="6" w:space="0" w:color="auto"/>
            </w:tcBorders>
          </w:tcPr>
          <w:p>
            <w:pPr>
              <w:pStyle w:val="TableParagraph"/>
              <w:spacing w:line="188" w:lineRule="exact"/>
              <w:ind w:left="424" w:right="0"/>
              <w:jc w:val="left"/>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r>
      <w:tr>
        <w:trPr>
          <w:trHeight w:val="394" w:hRule="exact"/>
        </w:trPr>
        <w:tc>
          <w:tcPr>
            <w:tcW w:w="198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9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671" w:right="0"/>
              <w:jc w:val="left"/>
              <w:rPr>
                <w:rFonts w:ascii="宋体" w:hAnsi="宋体" w:cs="宋体" w:eastAsia="宋体" w:hint="default"/>
                <w:sz w:val="18"/>
                <w:szCs w:val="18"/>
              </w:rPr>
            </w:pPr>
            <w:r>
              <w:rPr>
                <w:rFonts w:ascii="宋体"/>
                <w:sz w:val="18"/>
              </w:rPr>
              <w:t>7,170,552.82</w:t>
            </w:r>
          </w:p>
        </w:tc>
        <w:tc>
          <w:tcPr>
            <w:tcW w:w="266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44" w:right="0"/>
              <w:jc w:val="left"/>
              <w:rPr>
                <w:rFonts w:ascii="宋体" w:hAnsi="宋体" w:cs="宋体" w:eastAsia="宋体" w:hint="default"/>
                <w:sz w:val="18"/>
                <w:szCs w:val="18"/>
              </w:rPr>
            </w:pPr>
            <w:r>
              <w:rPr>
                <w:rFonts w:ascii="宋体"/>
                <w:sz w:val="18"/>
              </w:rPr>
              <w:t>5,554,807.19</w:t>
            </w:r>
          </w:p>
        </w:tc>
        <w:tc>
          <w:tcPr>
            <w:tcW w:w="297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12,725,360.01</w:t>
            </w:r>
          </w:p>
        </w:tc>
      </w:tr>
      <w:tr>
        <w:trPr>
          <w:trHeight w:val="284" w:hRule="exact"/>
        </w:trPr>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671" w:right="0"/>
              <w:jc w:val="left"/>
              <w:rPr>
                <w:rFonts w:ascii="宋体" w:hAnsi="宋体" w:cs="宋体" w:eastAsia="宋体" w:hint="default"/>
                <w:sz w:val="18"/>
                <w:szCs w:val="18"/>
              </w:rPr>
            </w:pPr>
            <w:r>
              <w:rPr>
                <w:rFonts w:ascii="宋体"/>
                <w:sz w:val="18"/>
              </w:rPr>
            </w:r>
            <w:r>
              <w:rPr>
                <w:rFonts w:ascii="宋体"/>
                <w:sz w:val="18"/>
                <w:u w:val="thick" w:color="000000"/>
              </w:rPr>
              <w:t>7,170,552.82</w:t>
            </w:r>
            <w:r>
              <w:rPr>
                <w:rFonts w:ascii="宋体"/>
                <w:sz w:val="18"/>
              </w:rPr>
            </w:r>
          </w:p>
        </w:tc>
        <w:tc>
          <w:tcPr>
            <w:tcW w:w="266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44" w:right="0"/>
              <w:jc w:val="left"/>
              <w:rPr>
                <w:rFonts w:ascii="宋体" w:hAnsi="宋体" w:cs="宋体" w:eastAsia="宋体" w:hint="default"/>
                <w:sz w:val="18"/>
                <w:szCs w:val="18"/>
              </w:rPr>
            </w:pPr>
            <w:r>
              <w:rPr>
                <w:rFonts w:ascii="宋体"/>
                <w:sz w:val="18"/>
              </w:rPr>
            </w:r>
            <w:r>
              <w:rPr>
                <w:rFonts w:ascii="宋体"/>
                <w:sz w:val="18"/>
                <w:u w:val="thick" w:color="000000"/>
              </w:rPr>
              <w:t>5,554,807.19</w:t>
            </w:r>
            <w:r>
              <w:rPr>
                <w:rFonts w:ascii="宋体"/>
                <w:sz w:val="18"/>
              </w:rPr>
            </w:r>
          </w:p>
        </w:tc>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z w:val="18"/>
              </w:rPr>
            </w:r>
            <w:r>
              <w:rPr>
                <w:rFonts w:ascii="宋体"/>
                <w:spacing w:val="-1"/>
                <w:sz w:val="18"/>
                <w:u w:val="thick" w:color="000000"/>
              </w:rPr>
              <w:t>12,725,360.01</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before="44"/>
        <w:ind w:left="573" w:right="1034"/>
        <w:jc w:val="left"/>
      </w:pPr>
      <w:r>
        <w:rPr>
          <w:rFonts w:ascii="宋体" w:hAnsi="宋体" w:cs="宋体" w:eastAsia="宋体" w:hint="default"/>
        </w:rPr>
        <w:t>14.</w:t>
      </w:r>
      <w:r>
        <w:rPr/>
        <w:t>所有权受到限制的资产</w:t>
      </w:r>
    </w:p>
    <w:p>
      <w:pPr>
        <w:spacing w:line="240" w:lineRule="auto" w:before="6"/>
        <w:rPr>
          <w:rFonts w:ascii="宋体" w:hAnsi="宋体" w:cs="宋体" w:eastAsia="宋体" w:hint="default"/>
          <w:sz w:val="23"/>
          <w:szCs w:val="23"/>
        </w:rPr>
      </w:pPr>
    </w:p>
    <w:tbl>
      <w:tblPr>
        <w:tblW w:w="0" w:type="auto"/>
        <w:jc w:val="left"/>
        <w:tblInd w:w="200" w:type="dxa"/>
        <w:tblLayout w:type="fixed"/>
        <w:tblCellMar>
          <w:top w:w="0" w:type="dxa"/>
          <w:left w:w="0" w:type="dxa"/>
          <w:bottom w:w="0" w:type="dxa"/>
          <w:right w:w="0" w:type="dxa"/>
        </w:tblCellMar>
        <w:tblLook w:val="01E0"/>
      </w:tblPr>
      <w:tblGrid>
        <w:gridCol w:w="2793"/>
        <w:gridCol w:w="1911"/>
        <w:gridCol w:w="1707"/>
        <w:gridCol w:w="1707"/>
        <w:gridCol w:w="1547"/>
      </w:tblGrid>
      <w:tr>
        <w:trPr>
          <w:trHeight w:val="296" w:hRule="exact"/>
        </w:trPr>
        <w:tc>
          <w:tcPr>
            <w:tcW w:w="2793" w:type="dxa"/>
            <w:tcBorders>
              <w:top w:val="nil" w:sz="6" w:space="0" w:color="auto"/>
              <w:left w:val="nil" w:sz="6" w:space="0" w:color="auto"/>
              <w:bottom w:val="single" w:sz="4" w:space="0" w:color="000000"/>
              <w:right w:val="nil" w:sz="6" w:space="0" w:color="auto"/>
            </w:tcBorders>
          </w:tcPr>
          <w:p>
            <w:pPr>
              <w:pStyle w:val="TableParagraph"/>
              <w:spacing w:line="180" w:lineRule="exact"/>
              <w:ind w:left="514" w:right="0"/>
              <w:jc w:val="left"/>
              <w:rPr>
                <w:rFonts w:ascii="宋体" w:hAnsi="宋体" w:cs="宋体" w:eastAsia="宋体" w:hint="default"/>
                <w:sz w:val="18"/>
                <w:szCs w:val="18"/>
              </w:rPr>
            </w:pPr>
            <w:r>
              <w:rPr>
                <w:rFonts w:ascii="宋体" w:hAnsi="宋体" w:cs="宋体" w:eastAsia="宋体" w:hint="default"/>
                <w:b/>
                <w:bCs/>
                <w:sz w:val="18"/>
                <w:szCs w:val="18"/>
              </w:rPr>
              <w:t>所有权受到限制的资产</w:t>
            </w:r>
            <w:r>
              <w:rPr>
                <w:rFonts w:ascii="宋体" w:hAnsi="宋体" w:cs="宋体" w:eastAsia="宋体" w:hint="default"/>
                <w:sz w:val="18"/>
                <w:szCs w:val="18"/>
              </w:rPr>
            </w:r>
          </w:p>
        </w:tc>
        <w:tc>
          <w:tcPr>
            <w:tcW w:w="1911" w:type="dxa"/>
            <w:tcBorders>
              <w:top w:val="nil" w:sz="6" w:space="0" w:color="auto"/>
              <w:left w:val="nil" w:sz="6" w:space="0" w:color="auto"/>
              <w:bottom w:val="single" w:sz="4" w:space="0" w:color="000000"/>
              <w:right w:val="nil" w:sz="6" w:space="0" w:color="auto"/>
            </w:tcBorders>
          </w:tcPr>
          <w:p>
            <w:pPr>
              <w:pStyle w:val="TableParagraph"/>
              <w:spacing w:line="180" w:lineRule="exact"/>
              <w:ind w:left="53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707" w:type="dxa"/>
            <w:tcBorders>
              <w:top w:val="nil" w:sz="6" w:space="0" w:color="auto"/>
              <w:left w:val="nil" w:sz="6" w:space="0" w:color="auto"/>
              <w:bottom w:val="single" w:sz="4" w:space="0" w:color="000000"/>
              <w:right w:val="nil" w:sz="6" w:space="0" w:color="auto"/>
            </w:tcBorders>
          </w:tcPr>
          <w:p>
            <w:pPr>
              <w:pStyle w:val="TableParagraph"/>
              <w:spacing w:line="180" w:lineRule="exact"/>
              <w:ind w:left="332"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707" w:type="dxa"/>
            <w:tcBorders>
              <w:top w:val="nil" w:sz="6" w:space="0" w:color="auto"/>
              <w:left w:val="nil" w:sz="6" w:space="0" w:color="auto"/>
              <w:bottom w:val="single" w:sz="4" w:space="0" w:color="000000"/>
              <w:right w:val="nil" w:sz="6" w:space="0" w:color="auto"/>
            </w:tcBorders>
          </w:tcPr>
          <w:p>
            <w:pPr>
              <w:pStyle w:val="TableParagraph"/>
              <w:spacing w:line="180" w:lineRule="exact"/>
              <w:ind w:left="332"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47" w:type="dxa"/>
            <w:tcBorders>
              <w:top w:val="nil" w:sz="6" w:space="0" w:color="auto"/>
              <w:left w:val="nil" w:sz="6" w:space="0" w:color="auto"/>
              <w:bottom w:val="single" w:sz="4" w:space="0" w:color="000000"/>
              <w:right w:val="nil" w:sz="6" w:space="0" w:color="auto"/>
            </w:tcBorders>
          </w:tcPr>
          <w:p>
            <w:pPr>
              <w:pStyle w:val="TableParagraph"/>
              <w:spacing w:line="180" w:lineRule="exact"/>
              <w:ind w:left="33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00" w:hRule="exact"/>
        </w:trPr>
        <w:tc>
          <w:tcPr>
            <w:tcW w:w="279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1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65"/>
              <w:jc w:val="right"/>
              <w:rPr>
                <w:rFonts w:ascii="宋体" w:hAnsi="宋体" w:cs="宋体" w:eastAsia="宋体" w:hint="default"/>
                <w:sz w:val="18"/>
                <w:szCs w:val="18"/>
              </w:rPr>
            </w:pPr>
            <w:r>
              <w:rPr>
                <w:rFonts w:ascii="宋体"/>
                <w:spacing w:val="-1"/>
                <w:sz w:val="18"/>
              </w:rPr>
              <w:t>15,221,368.45</w:t>
            </w:r>
          </w:p>
        </w:tc>
        <w:tc>
          <w:tcPr>
            <w:tcW w:w="170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67" w:right="0"/>
              <w:jc w:val="left"/>
              <w:rPr>
                <w:rFonts w:ascii="宋体" w:hAnsi="宋体" w:cs="宋体" w:eastAsia="宋体" w:hint="default"/>
                <w:sz w:val="18"/>
                <w:szCs w:val="18"/>
              </w:rPr>
            </w:pPr>
            <w:r>
              <w:rPr>
                <w:rFonts w:ascii="宋体"/>
                <w:sz w:val="18"/>
              </w:rPr>
              <w:t>26,199,182.94</w:t>
            </w:r>
          </w:p>
        </w:tc>
        <w:tc>
          <w:tcPr>
            <w:tcW w:w="170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67" w:right="0"/>
              <w:jc w:val="left"/>
              <w:rPr>
                <w:rFonts w:ascii="宋体" w:hAnsi="宋体" w:cs="宋体" w:eastAsia="宋体" w:hint="default"/>
                <w:sz w:val="18"/>
                <w:szCs w:val="18"/>
              </w:rPr>
            </w:pPr>
            <w:r>
              <w:rPr>
                <w:rFonts w:ascii="宋体"/>
                <w:sz w:val="18"/>
              </w:rPr>
              <w:t>30,047,933.78</w:t>
            </w:r>
          </w:p>
        </w:tc>
        <w:tc>
          <w:tcPr>
            <w:tcW w:w="154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11,372,617.61</w:t>
            </w:r>
          </w:p>
        </w:tc>
      </w:tr>
      <w:tr>
        <w:trPr>
          <w:trHeight w:val="290" w:hRule="exact"/>
        </w:trPr>
        <w:tc>
          <w:tcPr>
            <w:tcW w:w="279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5"/>
              <w:jc w:val="right"/>
              <w:rPr>
                <w:rFonts w:ascii="宋体" w:hAnsi="宋体" w:cs="宋体" w:eastAsia="宋体" w:hint="default"/>
                <w:sz w:val="18"/>
                <w:szCs w:val="18"/>
              </w:rPr>
            </w:pPr>
            <w:r>
              <w:rPr>
                <w:rFonts w:ascii="宋体"/>
                <w:sz w:val="18"/>
              </w:rPr>
            </w:r>
            <w:r>
              <w:rPr>
                <w:rFonts w:ascii="宋体"/>
                <w:spacing w:val="-1"/>
                <w:sz w:val="18"/>
                <w:u w:val="thick" w:color="000000"/>
              </w:rPr>
              <w:t>15,221,368.45</w:t>
            </w:r>
            <w:r>
              <w:rPr>
                <w:rFonts w:ascii="宋体"/>
                <w:spacing w:val="-1"/>
                <w:sz w:val="18"/>
              </w:rPr>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67" w:right="0"/>
              <w:jc w:val="left"/>
              <w:rPr>
                <w:rFonts w:ascii="宋体" w:hAnsi="宋体" w:cs="宋体" w:eastAsia="宋体" w:hint="default"/>
                <w:sz w:val="18"/>
                <w:szCs w:val="18"/>
              </w:rPr>
            </w:pPr>
            <w:r>
              <w:rPr>
                <w:rFonts w:ascii="宋体"/>
                <w:sz w:val="18"/>
              </w:rPr>
            </w:r>
            <w:r>
              <w:rPr>
                <w:rFonts w:ascii="宋体"/>
                <w:sz w:val="18"/>
                <w:u w:val="thick" w:color="000000"/>
              </w:rPr>
              <w:t>26,199,182.94</w:t>
            </w:r>
            <w:r>
              <w:rPr>
                <w:rFonts w:ascii="宋体"/>
                <w:sz w:val="18"/>
              </w:rPr>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67" w:right="0"/>
              <w:jc w:val="left"/>
              <w:rPr>
                <w:rFonts w:ascii="宋体" w:hAnsi="宋体" w:cs="宋体" w:eastAsia="宋体" w:hint="default"/>
                <w:sz w:val="18"/>
                <w:szCs w:val="18"/>
              </w:rPr>
            </w:pPr>
            <w:r>
              <w:rPr>
                <w:rFonts w:ascii="宋体"/>
                <w:sz w:val="18"/>
              </w:rPr>
            </w:r>
            <w:r>
              <w:rPr>
                <w:rFonts w:ascii="宋体"/>
                <w:sz w:val="18"/>
                <w:u w:val="thick" w:color="000000"/>
              </w:rPr>
              <w:t>30,047,933.78</w:t>
            </w:r>
            <w:r>
              <w:rPr>
                <w:rFonts w:ascii="宋体"/>
                <w:sz w:val="18"/>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宋体" w:hAnsi="宋体" w:cs="宋体" w:eastAsia="宋体" w:hint="default"/>
                <w:sz w:val="18"/>
                <w:szCs w:val="18"/>
              </w:rPr>
            </w:pPr>
            <w:r>
              <w:rPr>
                <w:rFonts w:ascii="宋体"/>
                <w:sz w:val="18"/>
              </w:rPr>
            </w:r>
            <w:r>
              <w:rPr>
                <w:rFonts w:ascii="宋体"/>
                <w:spacing w:val="-1"/>
                <w:sz w:val="18"/>
                <w:u w:val="thick" w:color="000000"/>
              </w:rPr>
              <w:t>11,372,617.61</w:t>
            </w:r>
            <w:r>
              <w:rPr>
                <w:rFonts w:ascii="宋体"/>
                <w:spacing w:val="-1"/>
                <w:sz w:val="18"/>
              </w:rPr>
            </w:r>
          </w:p>
        </w:tc>
      </w:tr>
    </w:tbl>
    <w:p>
      <w:pPr>
        <w:spacing w:line="240" w:lineRule="auto" w:before="11"/>
        <w:rPr>
          <w:rFonts w:ascii="宋体" w:hAnsi="宋体" w:cs="宋体" w:eastAsia="宋体" w:hint="default"/>
          <w:sz w:val="13"/>
          <w:szCs w:val="13"/>
        </w:rPr>
      </w:pPr>
    </w:p>
    <w:p>
      <w:pPr>
        <w:pStyle w:val="BodyText"/>
        <w:spacing w:line="240" w:lineRule="auto" w:before="44"/>
        <w:ind w:left="573" w:right="1034"/>
        <w:jc w:val="left"/>
      </w:pPr>
      <w:r>
        <w:rPr/>
        <w:t>注：本公司期末货币资金中存在银行承兑汇票保证金</w:t>
      </w:r>
      <w:r>
        <w:rPr>
          <w:spacing w:val="-48"/>
        </w:rPr>
        <w:t> </w:t>
      </w:r>
      <w:r>
        <w:rPr>
          <w:rFonts w:ascii="宋体" w:hAnsi="宋体" w:cs="宋体" w:eastAsia="宋体" w:hint="default"/>
        </w:rPr>
        <w:t>465,515.64</w:t>
      </w:r>
      <w:r>
        <w:rPr>
          <w:rFonts w:ascii="宋体" w:hAnsi="宋体" w:cs="宋体" w:eastAsia="宋体" w:hint="default"/>
          <w:spacing w:val="-45"/>
        </w:rPr>
        <w:t> </w:t>
      </w:r>
      <w:r>
        <w:rPr/>
        <w:t>元、银行保函保证金</w:t>
      </w:r>
      <w:r>
        <w:rPr>
          <w:spacing w:val="-50"/>
        </w:rPr>
        <w:t> </w:t>
      </w:r>
      <w:r>
        <w:rPr>
          <w:rFonts w:ascii="宋体" w:hAnsi="宋体" w:cs="宋体" w:eastAsia="宋体" w:hint="default"/>
        </w:rPr>
        <w:t>10,907,101.97</w:t>
      </w:r>
      <w:r>
        <w:rPr>
          <w:rFonts w:ascii="宋体" w:hAnsi="宋体" w:cs="宋体" w:eastAsia="宋体" w:hint="default"/>
          <w:spacing w:val="-45"/>
        </w:rPr>
        <w:t>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5"/>
          <w:szCs w:val="25"/>
        </w:rPr>
      </w:pPr>
    </w:p>
    <w:p>
      <w:pPr>
        <w:pStyle w:val="BodyText"/>
        <w:spacing w:line="240" w:lineRule="auto"/>
        <w:ind w:left="573" w:right="1034"/>
        <w:jc w:val="left"/>
      </w:pPr>
      <w:r>
        <w:rPr>
          <w:rFonts w:ascii="宋体" w:hAnsi="宋体" w:cs="宋体" w:eastAsia="宋体" w:hint="default"/>
        </w:rPr>
        <w:t>15.</w:t>
      </w:r>
      <w:r>
        <w:rPr/>
        <w:t>应付票据</w:t>
      </w:r>
    </w:p>
    <w:p>
      <w:pPr>
        <w:spacing w:line="240" w:lineRule="auto" w:before="6"/>
        <w:rPr>
          <w:rFonts w:ascii="宋体" w:hAnsi="宋体" w:cs="宋体" w:eastAsia="宋体" w:hint="default"/>
          <w:sz w:val="21"/>
          <w:szCs w:val="21"/>
        </w:rPr>
      </w:pPr>
    </w:p>
    <w:p>
      <w:pPr>
        <w:pStyle w:val="BodyText"/>
        <w:spacing w:line="240" w:lineRule="auto"/>
        <w:ind w:left="573" w:right="1034"/>
        <w:jc w:val="left"/>
      </w:pPr>
      <w:r>
        <w:rPr/>
        <w:t>（</w:t>
      </w:r>
      <w:r>
        <w:rPr>
          <w:rFonts w:ascii="宋体" w:hAnsi="宋体" w:cs="宋体" w:eastAsia="宋体" w:hint="default"/>
        </w:rPr>
        <w:t>1</w:t>
      </w:r>
      <w:r>
        <w:rPr/>
        <w:t>）分类列示</w:t>
      </w:r>
    </w:p>
    <w:p>
      <w:pPr>
        <w:spacing w:line="240" w:lineRule="auto" w:before="7"/>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3118"/>
        <w:gridCol w:w="3817"/>
        <w:gridCol w:w="2695"/>
      </w:tblGrid>
      <w:tr>
        <w:trPr>
          <w:trHeight w:val="296" w:hRule="exact"/>
        </w:trPr>
        <w:tc>
          <w:tcPr>
            <w:tcW w:w="3118" w:type="dxa"/>
            <w:tcBorders>
              <w:top w:val="nil" w:sz="6" w:space="0" w:color="auto"/>
              <w:left w:val="nil" w:sz="6" w:space="0" w:color="auto"/>
              <w:bottom w:val="single" w:sz="4" w:space="0" w:color="000000"/>
              <w:right w:val="nil" w:sz="6" w:space="0" w:color="auto"/>
            </w:tcBorders>
          </w:tcPr>
          <w:p>
            <w:pPr>
              <w:pStyle w:val="TableParagraph"/>
              <w:spacing w:line="180" w:lineRule="exact"/>
              <w:ind w:right="55"/>
              <w:jc w:val="center"/>
              <w:rPr>
                <w:rFonts w:ascii="宋体" w:hAnsi="宋体" w:cs="宋体" w:eastAsia="宋体" w:hint="default"/>
                <w:sz w:val="18"/>
                <w:szCs w:val="18"/>
              </w:rPr>
            </w:pPr>
            <w:r>
              <w:rPr>
                <w:rFonts w:ascii="宋体" w:hAnsi="宋体" w:cs="宋体" w:eastAsia="宋体" w:hint="default"/>
                <w:b/>
                <w:bCs/>
                <w:sz w:val="18"/>
                <w:szCs w:val="18"/>
              </w:rPr>
              <w:t>票据种类</w:t>
            </w:r>
            <w:r>
              <w:rPr>
                <w:rFonts w:ascii="宋体" w:hAnsi="宋体" w:cs="宋体" w:eastAsia="宋体" w:hint="default"/>
                <w:sz w:val="18"/>
                <w:szCs w:val="18"/>
              </w:rPr>
            </w:r>
          </w:p>
        </w:tc>
        <w:tc>
          <w:tcPr>
            <w:tcW w:w="3817" w:type="dxa"/>
            <w:tcBorders>
              <w:top w:val="nil" w:sz="6" w:space="0" w:color="auto"/>
              <w:left w:val="nil" w:sz="6" w:space="0" w:color="auto"/>
              <w:bottom w:val="single" w:sz="4" w:space="0" w:color="000000"/>
              <w:right w:val="nil" w:sz="6" w:space="0" w:color="auto"/>
            </w:tcBorders>
          </w:tcPr>
          <w:p>
            <w:pPr>
              <w:pStyle w:val="TableParagraph"/>
              <w:spacing w:line="180" w:lineRule="exact"/>
              <w:ind w:left="122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695" w:type="dxa"/>
            <w:tcBorders>
              <w:top w:val="nil" w:sz="6" w:space="0" w:color="auto"/>
              <w:left w:val="nil" w:sz="6" w:space="0" w:color="auto"/>
              <w:bottom w:val="single" w:sz="4" w:space="0" w:color="000000"/>
              <w:right w:val="nil" w:sz="6" w:space="0" w:color="auto"/>
            </w:tcBorders>
          </w:tcPr>
          <w:p>
            <w:pPr>
              <w:pStyle w:val="TableParagraph"/>
              <w:spacing w:line="180" w:lineRule="exact"/>
              <w:ind w:left="69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93" w:hRule="exact"/>
        </w:trPr>
        <w:tc>
          <w:tcPr>
            <w:tcW w:w="3118"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817"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691"/>
              <w:jc w:val="right"/>
              <w:rPr>
                <w:rFonts w:ascii="宋体" w:hAnsi="宋体" w:cs="宋体" w:eastAsia="宋体" w:hint="default"/>
                <w:sz w:val="18"/>
                <w:szCs w:val="18"/>
              </w:rPr>
            </w:pPr>
            <w:r>
              <w:rPr>
                <w:rFonts w:ascii="宋体"/>
                <w:spacing w:val="-1"/>
                <w:sz w:val="18"/>
              </w:rPr>
              <w:t>4,655,156.37</w:t>
            </w:r>
          </w:p>
        </w:tc>
        <w:tc>
          <w:tcPr>
            <w:tcW w:w="269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3"/>
              <w:jc w:val="right"/>
              <w:rPr>
                <w:rFonts w:ascii="宋体" w:hAnsi="宋体" w:cs="宋体" w:eastAsia="宋体" w:hint="default"/>
                <w:sz w:val="18"/>
                <w:szCs w:val="18"/>
              </w:rPr>
            </w:pPr>
            <w:r>
              <w:rPr>
                <w:rFonts w:ascii="宋体"/>
                <w:spacing w:val="-1"/>
                <w:sz w:val="18"/>
              </w:rPr>
              <w:t>21,040,769.00</w:t>
            </w:r>
          </w:p>
        </w:tc>
      </w:tr>
      <w:tr>
        <w:trPr>
          <w:trHeight w:val="395"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81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91"/>
              <w:jc w:val="right"/>
              <w:rPr>
                <w:rFonts w:ascii="宋体" w:hAnsi="宋体" w:cs="宋体" w:eastAsia="宋体" w:hint="default"/>
                <w:sz w:val="18"/>
                <w:szCs w:val="18"/>
              </w:rPr>
            </w:pPr>
            <w:r>
              <w:rPr>
                <w:rFonts w:ascii="宋体"/>
                <w:spacing w:val="-1"/>
                <w:sz w:val="18"/>
              </w:rPr>
              <w:t>7,689,667.55</w:t>
            </w:r>
          </w:p>
        </w:tc>
        <w:tc>
          <w:tcPr>
            <w:tcW w:w="26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4,571,008.00</w:t>
            </w:r>
          </w:p>
        </w:tc>
      </w:tr>
      <w:tr>
        <w:trPr>
          <w:trHeight w:val="289" w:hRule="exact"/>
        </w:trPr>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91"/>
              <w:jc w:val="right"/>
              <w:rPr>
                <w:rFonts w:ascii="宋体" w:hAnsi="宋体" w:cs="宋体" w:eastAsia="宋体" w:hint="default"/>
                <w:sz w:val="18"/>
                <w:szCs w:val="18"/>
              </w:rPr>
            </w:pPr>
            <w:r>
              <w:rPr>
                <w:rFonts w:ascii="宋体"/>
                <w:sz w:val="18"/>
              </w:rPr>
            </w:r>
            <w:r>
              <w:rPr>
                <w:rFonts w:ascii="宋体"/>
                <w:spacing w:val="-1"/>
                <w:sz w:val="18"/>
                <w:u w:val="thick" w:color="000000"/>
              </w:rPr>
              <w:t>12,344,823.92</w:t>
            </w:r>
            <w:r>
              <w:rPr>
                <w:rFonts w:ascii="宋体"/>
                <w:spacing w:val="-1"/>
                <w:sz w:val="18"/>
              </w:rPr>
            </w:r>
          </w:p>
        </w:tc>
        <w:tc>
          <w:tcPr>
            <w:tcW w:w="26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r>
            <w:r>
              <w:rPr>
                <w:rFonts w:ascii="宋体"/>
                <w:spacing w:val="-1"/>
                <w:sz w:val="18"/>
                <w:u w:val="thick" w:color="000000"/>
              </w:rPr>
              <w:t>25,611,777.00</w:t>
            </w:r>
            <w:r>
              <w:rPr>
                <w:rFonts w:ascii="宋体"/>
                <w:spacing w:val="-1"/>
                <w:sz w:val="18"/>
              </w:rPr>
            </w:r>
          </w:p>
        </w:tc>
      </w:tr>
    </w:tbl>
    <w:p>
      <w:pPr>
        <w:spacing w:line="240" w:lineRule="auto" w:before="13"/>
        <w:rPr>
          <w:rFonts w:ascii="宋体" w:hAnsi="宋体" w:cs="宋体" w:eastAsia="宋体" w:hint="default"/>
          <w:sz w:val="13"/>
          <w:szCs w:val="13"/>
        </w:rPr>
      </w:pPr>
    </w:p>
    <w:p>
      <w:pPr>
        <w:pStyle w:val="BodyText"/>
        <w:spacing w:line="240" w:lineRule="auto" w:before="44"/>
        <w:ind w:left="573" w:right="1034"/>
        <w:jc w:val="left"/>
      </w:pPr>
      <w:r>
        <w:rPr/>
        <w:t>注：下一会计期间将到期的金额为</w:t>
      </w:r>
      <w:r>
        <w:rPr>
          <w:spacing w:val="-47"/>
        </w:rPr>
        <w:t> </w:t>
      </w:r>
      <w:r>
        <w:rPr>
          <w:rFonts w:ascii="宋体" w:hAnsi="宋体" w:cs="宋体" w:eastAsia="宋体" w:hint="default"/>
        </w:rPr>
        <w:t>12,344,823.92</w:t>
      </w:r>
      <w:r>
        <w:rPr>
          <w:rFonts w:ascii="宋体" w:hAnsi="宋体" w:cs="宋体" w:eastAsia="宋体" w:hint="default"/>
          <w:spacing w:val="-46"/>
        </w:rPr>
        <w:t> </w:t>
      </w:r>
      <w:r>
        <w:rPr/>
        <w:t>元。</w:t>
      </w:r>
    </w:p>
    <w:p>
      <w:pPr>
        <w:spacing w:line="240" w:lineRule="auto" w:before="6"/>
        <w:rPr>
          <w:rFonts w:ascii="宋体" w:hAnsi="宋体" w:cs="宋体" w:eastAsia="宋体" w:hint="default"/>
          <w:sz w:val="21"/>
          <w:szCs w:val="21"/>
        </w:rPr>
      </w:pPr>
    </w:p>
    <w:p>
      <w:pPr>
        <w:pStyle w:val="BodyText"/>
        <w:spacing w:line="240" w:lineRule="auto"/>
        <w:ind w:left="573" w:right="1034"/>
        <w:jc w:val="left"/>
      </w:pPr>
      <w:r>
        <w:rPr/>
        <w:t>（</w:t>
      </w:r>
      <w:r>
        <w:rPr>
          <w:rFonts w:ascii="宋体" w:hAnsi="宋体" w:cs="宋体" w:eastAsia="宋体" w:hint="default"/>
        </w:rPr>
        <w:t>2</w:t>
      </w:r>
      <w:r>
        <w:rPr/>
        <w:t>）期末应付票据中无欠持本公司</w:t>
      </w:r>
      <w:r>
        <w:rPr>
          <w:spacing w:val="-44"/>
        </w:rPr>
        <w:t> </w:t>
      </w:r>
      <w:r>
        <w:rPr>
          <w:rFonts w:ascii="宋体" w:hAnsi="宋体" w:cs="宋体" w:eastAsia="宋体" w:hint="default"/>
        </w:rPr>
        <w:t>5%</w:t>
      </w:r>
      <w:r>
        <w:rPr/>
        <w:t>以上（含</w:t>
      </w:r>
      <w:r>
        <w:rPr>
          <w:spacing w:val="-47"/>
        </w:rPr>
        <w:t> </w:t>
      </w:r>
      <w:r>
        <w:rPr>
          <w:rFonts w:ascii="宋体" w:hAnsi="宋体" w:cs="宋体" w:eastAsia="宋体" w:hint="default"/>
        </w:rPr>
        <w:t>5%</w:t>
      </w:r>
      <w:r>
        <w:rPr/>
        <w:t>）表决权股份的股东金额款项。</w:t>
      </w:r>
    </w:p>
    <w:p>
      <w:pPr>
        <w:spacing w:after="0" w:line="240" w:lineRule="auto"/>
        <w:jc w:val="left"/>
        <w:sectPr>
          <w:pgSz w:w="11910" w:h="16840"/>
          <w:pgMar w:header="877" w:footer="1332" w:top="1100" w:bottom="1520" w:left="920" w:right="0"/>
        </w:sectPr>
      </w:pPr>
    </w:p>
    <w:p>
      <w:pPr>
        <w:spacing w:line="240" w:lineRule="auto" w:before="2"/>
        <w:rPr>
          <w:rFonts w:ascii="宋体" w:hAnsi="宋体" w:cs="宋体" w:eastAsia="宋体" w:hint="default"/>
          <w:sz w:val="27"/>
          <w:szCs w:val="27"/>
        </w:rPr>
      </w:pPr>
    </w:p>
    <w:p>
      <w:pPr>
        <w:pStyle w:val="BodyText"/>
        <w:spacing w:line="240" w:lineRule="auto" w:before="44"/>
        <w:ind w:left="513" w:right="981"/>
        <w:jc w:val="left"/>
      </w:pPr>
      <w:r>
        <w:rPr/>
        <w:t>（</w:t>
      </w:r>
      <w:r>
        <w:rPr>
          <w:rFonts w:ascii="宋体" w:hAnsi="宋体" w:cs="宋体" w:eastAsia="宋体" w:hint="default"/>
        </w:rPr>
        <w:t>3</w:t>
      </w:r>
      <w:r>
        <w:rPr/>
        <w:t>）期末应付票据中无欠关联方款项。</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w:t>
      </w:r>
      <w:r>
        <w:rPr>
          <w:rFonts w:ascii="宋体" w:hAnsi="宋体" w:cs="宋体" w:eastAsia="宋体" w:hint="default"/>
        </w:rPr>
        <w:t>4</w:t>
      </w:r>
      <w:r>
        <w:rPr/>
        <w:t>）期末应付票据余额较期初减少</w:t>
      </w:r>
      <w:r>
        <w:rPr>
          <w:spacing w:val="-48"/>
        </w:rPr>
        <w:t> </w:t>
      </w:r>
      <w:r>
        <w:rPr>
          <w:rFonts w:ascii="宋体" w:hAnsi="宋体" w:cs="宋体" w:eastAsia="宋体" w:hint="default"/>
        </w:rPr>
        <w:t>13,266,953.08</w:t>
      </w:r>
      <w:r>
        <w:rPr>
          <w:rFonts w:ascii="宋体" w:hAnsi="宋体" w:cs="宋体" w:eastAsia="宋体" w:hint="default"/>
          <w:spacing w:val="-47"/>
        </w:rPr>
        <w:t> </w:t>
      </w:r>
      <w:r>
        <w:rPr/>
        <w:t>元，减少</w:t>
      </w:r>
      <w:r>
        <w:rPr>
          <w:spacing w:val="-50"/>
        </w:rPr>
        <w:t> </w:t>
      </w:r>
      <w:r>
        <w:rPr>
          <w:rFonts w:ascii="宋体" w:hAnsi="宋体" w:cs="宋体" w:eastAsia="宋体" w:hint="default"/>
        </w:rPr>
        <w:t>51.80%</w:t>
      </w:r>
      <w:r>
        <w:rPr/>
        <w:t>，系票据到期兑付所致。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pStyle w:val="BodyText"/>
        <w:spacing w:line="240" w:lineRule="auto"/>
        <w:ind w:left="513" w:right="981"/>
        <w:jc w:val="left"/>
      </w:pPr>
      <w:r>
        <w:rPr>
          <w:rFonts w:ascii="宋体" w:hAnsi="宋体" w:cs="宋体" w:eastAsia="宋体" w:hint="default"/>
        </w:rPr>
        <w:t>16.</w:t>
      </w:r>
      <w:r>
        <w:rPr/>
        <w:t>应付账款</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w:t>
      </w:r>
      <w:r>
        <w:rPr>
          <w:rFonts w:ascii="宋体" w:hAnsi="宋体" w:cs="宋体" w:eastAsia="宋体" w:hint="default"/>
        </w:rPr>
        <w:t>1</w:t>
      </w:r>
      <w:r>
        <w:rPr/>
        <w:t>）应付账款期末余额</w:t>
      </w:r>
      <w:r>
        <w:rPr>
          <w:spacing w:val="-48"/>
        </w:rPr>
        <w:t> </w:t>
      </w:r>
      <w:r>
        <w:rPr>
          <w:rFonts w:ascii="宋体" w:hAnsi="宋体" w:cs="宋体" w:eastAsia="宋体" w:hint="default"/>
        </w:rPr>
        <w:t>135,335,561.38</w:t>
      </w:r>
      <w:r>
        <w:rPr>
          <w:rFonts w:ascii="宋体" w:hAnsi="宋体" w:cs="宋体" w:eastAsia="宋体" w:hint="default"/>
          <w:spacing w:val="-45"/>
        </w:rPr>
        <w:t> </w:t>
      </w:r>
      <w:r>
        <w:rPr/>
        <w:t>元，其中账龄超过</w:t>
      </w:r>
      <w:r>
        <w:rPr>
          <w:spacing w:val="-50"/>
        </w:rPr>
        <w:t> </w:t>
      </w:r>
      <w:r>
        <w:rPr>
          <w:rFonts w:ascii="宋体" w:hAnsi="宋体" w:cs="宋体" w:eastAsia="宋体" w:hint="default"/>
        </w:rPr>
        <w:t>1</w:t>
      </w:r>
      <w:r>
        <w:rPr>
          <w:rFonts w:ascii="宋体" w:hAnsi="宋体" w:cs="宋体" w:eastAsia="宋体" w:hint="default"/>
          <w:spacing w:val="-46"/>
        </w:rPr>
        <w:t> </w:t>
      </w:r>
      <w:r>
        <w:rPr/>
        <w:t>年的大额应付账款情况如下：</w:t>
      </w:r>
    </w:p>
    <w:p>
      <w:pPr>
        <w:spacing w:line="240" w:lineRule="auto" w:before="9"/>
        <w:rPr>
          <w:rFonts w:ascii="宋体" w:hAnsi="宋体" w:cs="宋体" w:eastAsia="宋体" w:hint="default"/>
          <w:sz w:val="23"/>
          <w:szCs w:val="23"/>
        </w:rPr>
      </w:pPr>
    </w:p>
    <w:tbl>
      <w:tblPr>
        <w:tblW w:w="0" w:type="auto"/>
        <w:jc w:val="left"/>
        <w:tblInd w:w="294" w:type="dxa"/>
        <w:tblLayout w:type="fixed"/>
        <w:tblCellMar>
          <w:top w:w="0" w:type="dxa"/>
          <w:left w:w="0" w:type="dxa"/>
          <w:bottom w:w="0" w:type="dxa"/>
          <w:right w:w="0" w:type="dxa"/>
        </w:tblCellMar>
        <w:tblLook w:val="01E0"/>
      </w:tblPr>
      <w:tblGrid>
        <w:gridCol w:w="2165"/>
        <w:gridCol w:w="2907"/>
        <w:gridCol w:w="2354"/>
        <w:gridCol w:w="1984"/>
      </w:tblGrid>
      <w:tr>
        <w:trPr>
          <w:trHeight w:val="294" w:hRule="exact"/>
        </w:trPr>
        <w:tc>
          <w:tcPr>
            <w:tcW w:w="2165" w:type="dxa"/>
            <w:tcBorders>
              <w:top w:val="nil" w:sz="6" w:space="0" w:color="auto"/>
              <w:left w:val="nil" w:sz="6" w:space="0" w:color="auto"/>
              <w:bottom w:val="single" w:sz="4" w:space="0" w:color="000000"/>
              <w:right w:val="nil" w:sz="6" w:space="0" w:color="auto"/>
            </w:tcBorders>
          </w:tcPr>
          <w:p>
            <w:pPr>
              <w:pStyle w:val="TableParagraph"/>
              <w:spacing w:line="180" w:lineRule="exact"/>
              <w:ind w:left="10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07" w:type="dxa"/>
            <w:tcBorders>
              <w:top w:val="nil" w:sz="6" w:space="0" w:color="auto"/>
              <w:left w:val="nil" w:sz="6" w:space="0" w:color="auto"/>
              <w:bottom w:val="single" w:sz="4" w:space="0" w:color="000000"/>
              <w:right w:val="nil" w:sz="6" w:space="0" w:color="auto"/>
            </w:tcBorders>
          </w:tcPr>
          <w:p>
            <w:pPr>
              <w:pStyle w:val="TableParagraph"/>
              <w:spacing w:line="180" w:lineRule="exact"/>
              <w:ind w:left="794"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c>
          <w:tcPr>
            <w:tcW w:w="2354" w:type="dxa"/>
            <w:tcBorders>
              <w:top w:val="nil" w:sz="6" w:space="0" w:color="auto"/>
              <w:left w:val="nil" w:sz="6" w:space="0" w:color="auto"/>
              <w:bottom w:val="single" w:sz="4" w:space="0" w:color="000000"/>
              <w:right w:val="nil" w:sz="6" w:space="0" w:color="auto"/>
            </w:tcBorders>
          </w:tcPr>
          <w:p>
            <w:pPr>
              <w:pStyle w:val="TableParagraph"/>
              <w:spacing w:line="180" w:lineRule="exact"/>
              <w:ind w:left="444" w:right="0"/>
              <w:jc w:val="left"/>
              <w:rPr>
                <w:rFonts w:ascii="宋体" w:hAnsi="宋体" w:cs="宋体" w:eastAsia="宋体" w:hint="default"/>
                <w:sz w:val="18"/>
                <w:szCs w:val="18"/>
              </w:rPr>
            </w:pPr>
            <w:r>
              <w:rPr>
                <w:rFonts w:ascii="宋体" w:hAnsi="宋体" w:cs="宋体" w:eastAsia="宋体" w:hint="default"/>
                <w:b/>
                <w:bCs/>
                <w:sz w:val="18"/>
                <w:szCs w:val="18"/>
              </w:rPr>
              <w:t>未偿还原因</w:t>
            </w:r>
            <w:r>
              <w:rPr>
                <w:rFonts w:ascii="宋体" w:hAnsi="宋体" w:cs="宋体" w:eastAsia="宋体" w:hint="default"/>
                <w:sz w:val="18"/>
                <w:szCs w:val="18"/>
              </w:rPr>
            </w:r>
          </w:p>
        </w:tc>
        <w:tc>
          <w:tcPr>
            <w:tcW w:w="1984" w:type="dxa"/>
            <w:tcBorders>
              <w:top w:val="nil" w:sz="6" w:space="0" w:color="auto"/>
              <w:left w:val="nil" w:sz="6" w:space="0" w:color="auto"/>
              <w:bottom w:val="single" w:sz="4" w:space="0" w:color="000000"/>
              <w:right w:val="nil" w:sz="6" w:space="0" w:color="auto"/>
            </w:tcBorders>
          </w:tcPr>
          <w:p>
            <w:pPr>
              <w:pStyle w:val="TableParagraph"/>
              <w:spacing w:line="180" w:lineRule="exact"/>
              <w:ind w:left="335" w:right="0"/>
              <w:jc w:val="left"/>
              <w:rPr>
                <w:rFonts w:ascii="宋体" w:hAnsi="宋体" w:cs="宋体" w:eastAsia="宋体" w:hint="default"/>
                <w:sz w:val="18"/>
                <w:szCs w:val="18"/>
              </w:rPr>
            </w:pPr>
            <w:r>
              <w:rPr>
                <w:rFonts w:ascii="宋体" w:hAnsi="宋体" w:cs="宋体" w:eastAsia="宋体" w:hint="default"/>
                <w:b/>
                <w:bCs/>
                <w:sz w:val="18"/>
                <w:szCs w:val="18"/>
              </w:rPr>
              <w:t>期后是否偿还</w:t>
            </w:r>
            <w:r>
              <w:rPr>
                <w:rFonts w:ascii="宋体" w:hAnsi="宋体" w:cs="宋体" w:eastAsia="宋体" w:hint="default"/>
                <w:sz w:val="18"/>
                <w:szCs w:val="18"/>
              </w:rPr>
            </w:r>
          </w:p>
        </w:tc>
      </w:tr>
      <w:tr>
        <w:trPr>
          <w:trHeight w:val="395" w:hRule="exact"/>
        </w:trPr>
        <w:tc>
          <w:tcPr>
            <w:tcW w:w="216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应付工程材料款</w:t>
            </w:r>
          </w:p>
        </w:tc>
        <w:tc>
          <w:tcPr>
            <w:tcW w:w="290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442"/>
              <w:jc w:val="right"/>
              <w:rPr>
                <w:rFonts w:ascii="宋体" w:hAnsi="宋体" w:cs="宋体" w:eastAsia="宋体" w:hint="default"/>
                <w:sz w:val="18"/>
                <w:szCs w:val="18"/>
              </w:rPr>
            </w:pPr>
            <w:r>
              <w:rPr>
                <w:rFonts w:ascii="宋体"/>
                <w:spacing w:val="-1"/>
                <w:sz w:val="18"/>
              </w:rPr>
              <w:t>38,467,937.19</w:t>
            </w:r>
          </w:p>
        </w:tc>
        <w:tc>
          <w:tcPr>
            <w:tcW w:w="235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578" w:right="0"/>
              <w:jc w:val="left"/>
              <w:rPr>
                <w:rFonts w:ascii="宋体" w:hAnsi="宋体" w:cs="宋体" w:eastAsia="宋体" w:hint="default"/>
                <w:sz w:val="18"/>
                <w:szCs w:val="18"/>
              </w:rPr>
            </w:pPr>
            <w:r>
              <w:rPr>
                <w:rFonts w:ascii="宋体" w:hAnsi="宋体" w:cs="宋体" w:eastAsia="宋体" w:hint="default"/>
                <w:sz w:val="18"/>
                <w:szCs w:val="18"/>
              </w:rPr>
              <w:t>合同尚未履行完毕</w:t>
            </w:r>
          </w:p>
        </w:tc>
        <w:tc>
          <w:tcPr>
            <w:tcW w:w="198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155" w:right="0"/>
              <w:jc w:val="left"/>
              <w:rPr>
                <w:rFonts w:ascii="宋体" w:hAnsi="宋体" w:cs="宋体" w:eastAsia="宋体" w:hint="default"/>
                <w:sz w:val="18"/>
                <w:szCs w:val="18"/>
              </w:rPr>
            </w:pPr>
            <w:r>
              <w:rPr>
                <w:rFonts w:ascii="宋体" w:hAnsi="宋体" w:cs="宋体" w:eastAsia="宋体" w:hint="default"/>
                <w:sz w:val="18"/>
                <w:szCs w:val="18"/>
              </w:rPr>
              <w:t>尚未偿还</w:t>
            </w:r>
          </w:p>
        </w:tc>
      </w:tr>
      <w:tr>
        <w:trPr>
          <w:trHeight w:val="286" w:hRule="exact"/>
        </w:trPr>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42"/>
              <w:jc w:val="right"/>
              <w:rPr>
                <w:rFonts w:ascii="宋体" w:hAnsi="宋体" w:cs="宋体" w:eastAsia="宋体" w:hint="default"/>
                <w:sz w:val="18"/>
                <w:szCs w:val="18"/>
              </w:rPr>
            </w:pPr>
            <w:r>
              <w:rPr>
                <w:rFonts w:ascii="宋体"/>
                <w:sz w:val="18"/>
              </w:rPr>
            </w:r>
            <w:r>
              <w:rPr>
                <w:rFonts w:ascii="宋体"/>
                <w:spacing w:val="-1"/>
                <w:sz w:val="18"/>
                <w:u w:val="thick" w:color="000000"/>
              </w:rPr>
              <w:t>38,467,937.19</w:t>
            </w:r>
            <w:r>
              <w:rPr>
                <w:rFonts w:ascii="宋体"/>
                <w:spacing w:val="-1"/>
                <w:sz w:val="18"/>
              </w:rPr>
            </w:r>
          </w:p>
        </w:tc>
        <w:tc>
          <w:tcPr>
            <w:tcW w:w="2354"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513" w:right="981"/>
        <w:jc w:val="left"/>
      </w:pPr>
      <w:r>
        <w:rPr/>
        <w:t>（</w:t>
      </w:r>
      <w:r>
        <w:rPr>
          <w:rFonts w:ascii="宋体" w:hAnsi="宋体" w:cs="宋体" w:eastAsia="宋体" w:hint="default"/>
        </w:rPr>
        <w:t>2</w:t>
      </w:r>
      <w:r>
        <w:rPr/>
        <w:t>）期末应付账款中无欠持本公司</w:t>
      </w:r>
      <w:r>
        <w:rPr>
          <w:spacing w:val="-44"/>
        </w:rPr>
        <w:t> </w:t>
      </w:r>
      <w:r>
        <w:rPr>
          <w:rFonts w:ascii="宋体" w:hAnsi="宋体" w:cs="宋体" w:eastAsia="宋体" w:hint="default"/>
        </w:rPr>
        <w:t>5%</w:t>
      </w:r>
      <w:r>
        <w:rPr/>
        <w:t>以上（含</w:t>
      </w:r>
      <w:r>
        <w:rPr>
          <w:spacing w:val="-47"/>
        </w:rPr>
        <w:t> </w:t>
      </w:r>
      <w:r>
        <w:rPr>
          <w:rFonts w:ascii="宋体" w:hAnsi="宋体" w:cs="宋体" w:eastAsia="宋体" w:hint="default"/>
        </w:rPr>
        <w:t>5%</w:t>
      </w:r>
      <w:r>
        <w:rPr/>
        <w:t>）表决权股份的股东单位款项。</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w:t>
      </w:r>
      <w:r>
        <w:rPr>
          <w:rFonts w:ascii="宋体" w:hAnsi="宋体" w:cs="宋体" w:eastAsia="宋体" w:hint="default"/>
        </w:rPr>
        <w:t>3</w:t>
      </w:r>
      <w:r>
        <w:rPr/>
        <w:t>）期末应付账款余额中无欠关联方的款项金额。</w:t>
      </w:r>
    </w:p>
    <w:p>
      <w:pPr>
        <w:spacing w:line="240" w:lineRule="auto" w:before="6"/>
        <w:rPr>
          <w:rFonts w:ascii="宋体" w:hAnsi="宋体" w:cs="宋体" w:eastAsia="宋体" w:hint="default"/>
          <w:sz w:val="21"/>
          <w:szCs w:val="21"/>
        </w:rPr>
      </w:pPr>
    </w:p>
    <w:p>
      <w:pPr>
        <w:pStyle w:val="BodyText"/>
        <w:spacing w:line="367" w:lineRule="auto"/>
        <w:ind w:right="1123" w:firstLine="360"/>
        <w:jc w:val="left"/>
      </w:pPr>
      <w:r>
        <w:rPr/>
        <w:t>（</w:t>
      </w:r>
      <w:r>
        <w:rPr>
          <w:rFonts w:ascii="宋体" w:hAnsi="宋体" w:cs="宋体" w:eastAsia="宋体" w:hint="default"/>
        </w:rPr>
        <w:t>4</w:t>
      </w:r>
      <w:r>
        <w:rPr/>
        <w:t>）期末应付账款余额较期初增加</w:t>
      </w:r>
      <w:r>
        <w:rPr>
          <w:spacing w:val="-56"/>
        </w:rPr>
        <w:t> </w:t>
      </w:r>
      <w:r>
        <w:rPr>
          <w:rFonts w:ascii="宋体" w:hAnsi="宋体" w:cs="宋体" w:eastAsia="宋体" w:hint="default"/>
        </w:rPr>
        <w:t>39,679,360.13</w:t>
      </w:r>
      <w:r>
        <w:rPr>
          <w:rFonts w:ascii="宋体" w:hAnsi="宋体" w:cs="宋体" w:eastAsia="宋体" w:hint="default"/>
          <w:spacing w:val="-54"/>
        </w:rPr>
        <w:t> </w:t>
      </w:r>
      <w:r>
        <w:rPr>
          <w:spacing w:val="-3"/>
        </w:rPr>
        <w:t>元，增长</w:t>
      </w:r>
      <w:r>
        <w:rPr>
          <w:spacing w:val="-57"/>
        </w:rPr>
        <w:t> </w:t>
      </w:r>
      <w:r>
        <w:rPr>
          <w:rFonts w:ascii="宋体" w:hAnsi="宋体" w:cs="宋体" w:eastAsia="宋体" w:hint="default"/>
        </w:rPr>
        <w:t>41.48%</w:t>
      </w:r>
      <w:r>
        <w:rPr/>
        <w:t>，系本期主要工程项目集中于下半年度开工，未到 付款期所致。</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BodyText"/>
        <w:spacing w:line="240" w:lineRule="auto"/>
        <w:ind w:left="513" w:right="981"/>
        <w:jc w:val="left"/>
      </w:pPr>
      <w:r>
        <w:rPr>
          <w:rFonts w:ascii="宋体" w:hAnsi="宋体" w:cs="宋体" w:eastAsia="宋体" w:hint="default"/>
        </w:rPr>
        <w:t>17.</w:t>
      </w:r>
      <w:r>
        <w:rPr/>
        <w:t>预收款项</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w:t>
      </w:r>
      <w:r>
        <w:rPr>
          <w:rFonts w:ascii="宋体" w:hAnsi="宋体" w:cs="宋体" w:eastAsia="宋体" w:hint="default"/>
        </w:rPr>
        <w:t>1</w:t>
      </w:r>
      <w:r>
        <w:rPr/>
        <w:t>）预收款项期末余额</w:t>
      </w:r>
      <w:r>
        <w:rPr>
          <w:spacing w:val="-47"/>
        </w:rPr>
        <w:t> </w:t>
      </w:r>
      <w:r>
        <w:rPr>
          <w:rFonts w:ascii="宋体" w:hAnsi="宋体" w:cs="宋体" w:eastAsia="宋体" w:hint="default"/>
        </w:rPr>
        <w:t>64,072,231.66</w:t>
      </w:r>
      <w:r>
        <w:rPr>
          <w:rFonts w:ascii="宋体" w:hAnsi="宋体" w:cs="宋体" w:eastAsia="宋体" w:hint="default"/>
          <w:spacing w:val="-44"/>
        </w:rPr>
        <w:t> </w:t>
      </w:r>
      <w:r>
        <w:rPr/>
        <w:t>元，其中账龄超过</w:t>
      </w:r>
      <w:r>
        <w:rPr>
          <w:spacing w:val="-49"/>
        </w:rPr>
        <w:t> </w:t>
      </w:r>
      <w:r>
        <w:rPr>
          <w:rFonts w:ascii="宋体" w:hAnsi="宋体" w:cs="宋体" w:eastAsia="宋体" w:hint="default"/>
        </w:rPr>
        <w:t>1</w:t>
      </w:r>
      <w:r>
        <w:rPr>
          <w:rFonts w:ascii="宋体" w:hAnsi="宋体" w:cs="宋体" w:eastAsia="宋体" w:hint="default"/>
          <w:spacing w:val="-48"/>
        </w:rPr>
        <w:t> </w:t>
      </w:r>
      <w:r>
        <w:rPr/>
        <w:t>年的大额预收款项情况如下：</w:t>
      </w:r>
    </w:p>
    <w:p>
      <w:pPr>
        <w:spacing w:line="240" w:lineRule="auto" w:before="9"/>
        <w:rPr>
          <w:rFonts w:ascii="宋体" w:hAnsi="宋体" w:cs="宋体" w:eastAsia="宋体" w:hint="default"/>
          <w:sz w:val="23"/>
          <w:szCs w:val="23"/>
        </w:rPr>
      </w:pPr>
    </w:p>
    <w:tbl>
      <w:tblPr>
        <w:tblW w:w="0" w:type="auto"/>
        <w:jc w:val="left"/>
        <w:tblInd w:w="294" w:type="dxa"/>
        <w:tblLayout w:type="fixed"/>
        <w:tblCellMar>
          <w:top w:w="0" w:type="dxa"/>
          <w:left w:w="0" w:type="dxa"/>
          <w:bottom w:w="0" w:type="dxa"/>
          <w:right w:w="0" w:type="dxa"/>
        </w:tblCellMar>
        <w:tblLook w:val="01E0"/>
      </w:tblPr>
      <w:tblGrid>
        <w:gridCol w:w="1784"/>
        <w:gridCol w:w="2643"/>
        <w:gridCol w:w="3225"/>
        <w:gridCol w:w="1769"/>
      </w:tblGrid>
      <w:tr>
        <w:trPr>
          <w:trHeight w:val="296" w:hRule="exact"/>
        </w:trPr>
        <w:tc>
          <w:tcPr>
            <w:tcW w:w="1784" w:type="dxa"/>
            <w:tcBorders>
              <w:top w:val="nil" w:sz="6" w:space="0" w:color="auto"/>
              <w:left w:val="nil" w:sz="6" w:space="0" w:color="auto"/>
              <w:bottom w:val="single" w:sz="4" w:space="0" w:color="000000"/>
              <w:right w:val="nil" w:sz="6" w:space="0" w:color="auto"/>
            </w:tcBorders>
          </w:tcPr>
          <w:p>
            <w:pPr>
              <w:pStyle w:val="TableParagraph"/>
              <w:spacing w:line="180" w:lineRule="exact"/>
              <w:ind w:right="73"/>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43" w:type="dxa"/>
            <w:tcBorders>
              <w:top w:val="nil" w:sz="6" w:space="0" w:color="auto"/>
              <w:left w:val="nil" w:sz="6" w:space="0" w:color="auto"/>
              <w:bottom w:val="single" w:sz="4" w:space="0" w:color="000000"/>
              <w:right w:val="nil" w:sz="6" w:space="0" w:color="auto"/>
            </w:tcBorders>
          </w:tcPr>
          <w:p>
            <w:pPr>
              <w:pStyle w:val="TableParagraph"/>
              <w:spacing w:line="180" w:lineRule="exact"/>
              <w:ind w:left="413" w:right="0"/>
              <w:jc w:val="left"/>
              <w:rPr>
                <w:rFonts w:ascii="宋体" w:hAnsi="宋体" w:cs="宋体" w:eastAsia="宋体" w:hint="default"/>
                <w:sz w:val="18"/>
                <w:szCs w:val="18"/>
              </w:rPr>
            </w:pPr>
            <w:r>
              <w:rPr>
                <w:rFonts w:ascii="宋体" w:hAnsi="宋体" w:cs="宋体" w:eastAsia="宋体" w:hint="default"/>
                <w:b/>
                <w:bCs/>
                <w:sz w:val="18"/>
                <w:szCs w:val="18"/>
              </w:rPr>
              <w:t>期末账面余额</w:t>
            </w:r>
            <w:r>
              <w:rPr>
                <w:rFonts w:ascii="宋体" w:hAnsi="宋体" w:cs="宋体" w:eastAsia="宋体" w:hint="default"/>
                <w:sz w:val="18"/>
                <w:szCs w:val="18"/>
              </w:rPr>
            </w:r>
          </w:p>
        </w:tc>
        <w:tc>
          <w:tcPr>
            <w:tcW w:w="3225" w:type="dxa"/>
            <w:tcBorders>
              <w:top w:val="nil" w:sz="6" w:space="0" w:color="auto"/>
              <w:left w:val="nil" w:sz="6" w:space="0" w:color="auto"/>
              <w:bottom w:val="single" w:sz="4" w:space="0" w:color="000000"/>
              <w:right w:val="nil" w:sz="6" w:space="0" w:color="auto"/>
            </w:tcBorders>
          </w:tcPr>
          <w:p>
            <w:pPr>
              <w:pStyle w:val="TableParagraph"/>
              <w:spacing w:line="180" w:lineRule="exact"/>
              <w:ind w:left="757" w:right="0"/>
              <w:jc w:val="left"/>
              <w:rPr>
                <w:rFonts w:ascii="宋体" w:hAnsi="宋体" w:cs="宋体" w:eastAsia="宋体" w:hint="default"/>
                <w:sz w:val="18"/>
                <w:szCs w:val="18"/>
              </w:rPr>
            </w:pPr>
            <w:r>
              <w:rPr>
                <w:rFonts w:ascii="宋体" w:hAnsi="宋体" w:cs="宋体" w:eastAsia="宋体" w:hint="default"/>
                <w:b/>
                <w:bCs/>
                <w:sz w:val="18"/>
                <w:szCs w:val="18"/>
              </w:rPr>
              <w:t>未偿还原因</w:t>
            </w:r>
            <w:r>
              <w:rPr>
                <w:rFonts w:ascii="宋体" w:hAnsi="宋体" w:cs="宋体" w:eastAsia="宋体" w:hint="default"/>
                <w:sz w:val="18"/>
                <w:szCs w:val="18"/>
              </w:rPr>
            </w:r>
          </w:p>
        </w:tc>
        <w:tc>
          <w:tcPr>
            <w:tcW w:w="1769" w:type="dxa"/>
            <w:tcBorders>
              <w:top w:val="nil" w:sz="6" w:space="0" w:color="auto"/>
              <w:left w:val="nil" w:sz="6" w:space="0" w:color="auto"/>
              <w:bottom w:val="single" w:sz="4" w:space="0" w:color="000000"/>
              <w:right w:val="nil" w:sz="6" w:space="0" w:color="auto"/>
            </w:tcBorders>
          </w:tcPr>
          <w:p>
            <w:pPr>
              <w:pStyle w:val="TableParagraph"/>
              <w:spacing w:line="180" w:lineRule="exact"/>
              <w:ind w:right="154"/>
              <w:jc w:val="center"/>
              <w:rPr>
                <w:rFonts w:ascii="宋体" w:hAnsi="宋体" w:cs="宋体" w:eastAsia="宋体" w:hint="default"/>
                <w:sz w:val="18"/>
                <w:szCs w:val="18"/>
              </w:rPr>
            </w:pPr>
            <w:r>
              <w:rPr>
                <w:rFonts w:ascii="宋体" w:hAnsi="宋体" w:cs="宋体" w:eastAsia="宋体" w:hint="default"/>
                <w:b/>
                <w:bCs/>
                <w:sz w:val="18"/>
                <w:szCs w:val="18"/>
              </w:rPr>
              <w:t>期后是否偿还</w:t>
            </w:r>
            <w:r>
              <w:rPr>
                <w:rFonts w:ascii="宋体" w:hAnsi="宋体" w:cs="宋体" w:eastAsia="宋体" w:hint="default"/>
                <w:sz w:val="18"/>
                <w:szCs w:val="18"/>
              </w:rPr>
            </w:r>
          </w:p>
        </w:tc>
      </w:tr>
      <w:tr>
        <w:trPr>
          <w:trHeight w:val="394" w:hRule="exact"/>
        </w:trPr>
        <w:tc>
          <w:tcPr>
            <w:tcW w:w="178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预收工程项目款</w:t>
            </w:r>
          </w:p>
        </w:tc>
        <w:tc>
          <w:tcPr>
            <w:tcW w:w="264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755"/>
              <w:jc w:val="right"/>
              <w:rPr>
                <w:rFonts w:ascii="宋体" w:hAnsi="宋体" w:cs="宋体" w:eastAsia="宋体" w:hint="default"/>
                <w:sz w:val="18"/>
                <w:szCs w:val="18"/>
              </w:rPr>
            </w:pPr>
            <w:r>
              <w:rPr>
                <w:rFonts w:ascii="宋体"/>
                <w:spacing w:val="-1"/>
                <w:sz w:val="18"/>
              </w:rPr>
              <w:t>5,868,590.11</w:t>
            </w:r>
          </w:p>
        </w:tc>
        <w:tc>
          <w:tcPr>
            <w:tcW w:w="322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160" w:right="0"/>
              <w:jc w:val="left"/>
              <w:rPr>
                <w:rFonts w:ascii="宋体" w:hAnsi="宋体" w:cs="宋体" w:eastAsia="宋体" w:hint="default"/>
                <w:sz w:val="18"/>
                <w:szCs w:val="18"/>
              </w:rPr>
            </w:pPr>
            <w:r>
              <w:rPr>
                <w:rFonts w:ascii="宋体" w:hAnsi="宋体" w:cs="宋体" w:eastAsia="宋体" w:hint="default"/>
                <w:sz w:val="18"/>
                <w:szCs w:val="18"/>
              </w:rPr>
              <w:t>尚未达到收入确认条件</w:t>
            </w:r>
          </w:p>
        </w:tc>
        <w:tc>
          <w:tcPr>
            <w:tcW w:w="176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5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4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55"/>
              <w:jc w:val="right"/>
              <w:rPr>
                <w:rFonts w:ascii="宋体" w:hAnsi="宋体" w:cs="宋体" w:eastAsia="宋体" w:hint="default"/>
                <w:sz w:val="18"/>
                <w:szCs w:val="18"/>
              </w:rPr>
            </w:pPr>
            <w:r>
              <w:rPr>
                <w:rFonts w:ascii="宋体"/>
                <w:sz w:val="18"/>
              </w:rPr>
            </w:r>
            <w:r>
              <w:rPr>
                <w:rFonts w:ascii="宋体"/>
                <w:spacing w:val="-1"/>
                <w:sz w:val="18"/>
                <w:u w:val="thick" w:color="000000"/>
              </w:rPr>
              <w:t>5,868,590.11</w:t>
            </w:r>
            <w:r>
              <w:rPr>
                <w:rFonts w:ascii="宋体"/>
                <w:spacing w:val="-1"/>
                <w:sz w:val="18"/>
              </w:rPr>
            </w:r>
          </w:p>
        </w:tc>
        <w:tc>
          <w:tcPr>
            <w:tcW w:w="3225"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513" w:right="981"/>
        <w:jc w:val="left"/>
      </w:pPr>
      <w:r>
        <w:rPr/>
        <w:t>（</w:t>
      </w:r>
      <w:r>
        <w:rPr>
          <w:rFonts w:ascii="宋体" w:hAnsi="宋体" w:cs="宋体" w:eastAsia="宋体" w:hint="default"/>
        </w:rPr>
        <w:t>2</w:t>
      </w:r>
      <w:r>
        <w:rPr/>
        <w:t>）期末预收款项中无预收持本公司</w:t>
      </w:r>
      <w:r>
        <w:rPr>
          <w:spacing w:val="-44"/>
        </w:rPr>
        <w:t> </w:t>
      </w:r>
      <w:r>
        <w:rPr>
          <w:rFonts w:ascii="宋体" w:hAnsi="宋体" w:cs="宋体" w:eastAsia="宋体" w:hint="default"/>
        </w:rPr>
        <w:t>5%</w:t>
      </w:r>
      <w:r>
        <w:rPr/>
        <w:t>以上（含</w:t>
      </w:r>
      <w:r>
        <w:rPr>
          <w:spacing w:val="-47"/>
        </w:rPr>
        <w:t> </w:t>
      </w:r>
      <w:r>
        <w:rPr>
          <w:rFonts w:ascii="宋体" w:hAnsi="宋体" w:cs="宋体" w:eastAsia="宋体" w:hint="default"/>
        </w:rPr>
        <w:t>5%</w:t>
      </w:r>
      <w:r>
        <w:rPr/>
        <w:t>）表决权股份的股东单位款项。</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w:t>
      </w:r>
      <w:r>
        <w:rPr>
          <w:rFonts w:ascii="宋体" w:hAnsi="宋体" w:cs="宋体" w:eastAsia="宋体" w:hint="default"/>
        </w:rPr>
        <w:t>3</w:t>
      </w:r>
      <w:r>
        <w:rPr/>
        <w:t>）期末预收款项中无预收关联方款项。</w:t>
      </w:r>
    </w:p>
    <w:p>
      <w:pPr>
        <w:spacing w:line="240" w:lineRule="auto" w:before="6"/>
        <w:rPr>
          <w:rFonts w:ascii="宋体" w:hAnsi="宋体" w:cs="宋体" w:eastAsia="宋体" w:hint="default"/>
          <w:sz w:val="21"/>
          <w:szCs w:val="21"/>
        </w:rPr>
      </w:pPr>
    </w:p>
    <w:p>
      <w:pPr>
        <w:pStyle w:val="BodyText"/>
        <w:spacing w:line="367" w:lineRule="auto"/>
        <w:ind w:right="1123" w:firstLine="360"/>
        <w:jc w:val="left"/>
      </w:pPr>
      <w:r>
        <w:rPr/>
        <w:t>（</w:t>
      </w:r>
      <w:r>
        <w:rPr>
          <w:rFonts w:ascii="宋体" w:hAnsi="宋体" w:cs="宋体" w:eastAsia="宋体" w:hint="default"/>
        </w:rPr>
        <w:t>4</w:t>
      </w:r>
      <w:r>
        <w:rPr/>
        <w:t>）期末预收款项较期初减少</w:t>
      </w:r>
      <w:r>
        <w:rPr>
          <w:spacing w:val="-54"/>
        </w:rPr>
        <w:t> </w:t>
      </w:r>
      <w:r>
        <w:rPr>
          <w:rFonts w:ascii="宋体" w:hAnsi="宋体" w:cs="宋体" w:eastAsia="宋体" w:hint="default"/>
        </w:rPr>
        <w:t>48,103,093.33</w:t>
      </w:r>
      <w:r>
        <w:rPr>
          <w:rFonts w:ascii="宋体" w:hAnsi="宋体" w:cs="宋体" w:eastAsia="宋体" w:hint="default"/>
          <w:spacing w:val="-53"/>
        </w:rPr>
        <w:t> </w:t>
      </w:r>
      <w:r>
        <w:rPr>
          <w:spacing w:val="-4"/>
        </w:rPr>
        <w:t>元，减少</w:t>
      </w:r>
      <w:r>
        <w:rPr>
          <w:spacing w:val="-56"/>
        </w:rPr>
        <w:t> </w:t>
      </w:r>
      <w:r>
        <w:rPr>
          <w:rFonts w:ascii="宋体" w:hAnsi="宋体" w:cs="宋体" w:eastAsia="宋体" w:hint="default"/>
        </w:rPr>
        <w:t>42.88%</w:t>
      </w:r>
      <w:r>
        <w:rPr/>
        <w:t>，系本期部分款项按照工程项目进度结转为收入和项目 集中于下半年度开工所致。</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BodyText"/>
        <w:spacing w:line="240" w:lineRule="auto"/>
        <w:ind w:left="513" w:right="981"/>
        <w:jc w:val="left"/>
      </w:pPr>
      <w:r>
        <w:rPr>
          <w:rFonts w:ascii="宋体" w:hAnsi="宋体" w:cs="宋体" w:eastAsia="宋体" w:hint="default"/>
        </w:rPr>
        <w:t>18.</w:t>
      </w:r>
      <w:r>
        <w:rPr/>
        <w:t>应付职工薪酬</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w:t>
      </w:r>
      <w:r>
        <w:rPr>
          <w:rFonts w:ascii="宋体" w:hAnsi="宋体" w:cs="宋体" w:eastAsia="宋体" w:hint="default"/>
        </w:rPr>
        <w:t>1</w:t>
      </w:r>
      <w:r>
        <w:rPr/>
        <w:t>）本期应付职工薪酬的内容</w:t>
      </w:r>
    </w:p>
    <w:p>
      <w:pPr>
        <w:spacing w:line="240" w:lineRule="auto" w:before="9"/>
        <w:rPr>
          <w:rFonts w:ascii="宋体" w:hAnsi="宋体" w:cs="宋体" w:eastAsia="宋体" w:hint="default"/>
          <w:sz w:val="23"/>
          <w:szCs w:val="23"/>
        </w:rPr>
      </w:pPr>
    </w:p>
    <w:tbl>
      <w:tblPr>
        <w:tblW w:w="0" w:type="auto"/>
        <w:jc w:val="left"/>
        <w:tblInd w:w="186" w:type="dxa"/>
        <w:tblLayout w:type="fixed"/>
        <w:tblCellMar>
          <w:top w:w="0" w:type="dxa"/>
          <w:left w:w="0" w:type="dxa"/>
          <w:bottom w:w="0" w:type="dxa"/>
          <w:right w:w="0" w:type="dxa"/>
        </w:tblCellMar>
        <w:tblLook w:val="01E0"/>
      </w:tblPr>
      <w:tblGrid>
        <w:gridCol w:w="2811"/>
        <w:gridCol w:w="1557"/>
        <w:gridCol w:w="2003"/>
        <w:gridCol w:w="1852"/>
        <w:gridCol w:w="1351"/>
      </w:tblGrid>
      <w:tr>
        <w:trPr>
          <w:trHeight w:val="294" w:hRule="exact"/>
        </w:trPr>
        <w:tc>
          <w:tcPr>
            <w:tcW w:w="2811" w:type="dxa"/>
            <w:tcBorders>
              <w:top w:val="nil" w:sz="6" w:space="0" w:color="auto"/>
              <w:left w:val="nil" w:sz="6" w:space="0" w:color="auto"/>
              <w:bottom w:val="single" w:sz="4" w:space="0" w:color="000000"/>
              <w:right w:val="nil" w:sz="6" w:space="0" w:color="auto"/>
            </w:tcBorders>
          </w:tcPr>
          <w:p>
            <w:pPr>
              <w:pStyle w:val="TableParagraph"/>
              <w:spacing w:line="180" w:lineRule="exact"/>
              <w:ind w:right="29"/>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57" w:type="dxa"/>
            <w:tcBorders>
              <w:top w:val="nil" w:sz="6" w:space="0" w:color="auto"/>
              <w:left w:val="nil" w:sz="6" w:space="0" w:color="auto"/>
              <w:bottom w:val="single" w:sz="4" w:space="0" w:color="000000"/>
              <w:right w:val="nil" w:sz="6" w:space="0" w:color="auto"/>
            </w:tcBorders>
          </w:tcPr>
          <w:p>
            <w:pPr>
              <w:pStyle w:val="TableParagraph"/>
              <w:spacing w:line="180" w:lineRule="exact"/>
              <w:ind w:left="36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003" w:type="dxa"/>
            <w:tcBorders>
              <w:top w:val="nil" w:sz="6" w:space="0" w:color="auto"/>
              <w:left w:val="nil" w:sz="6" w:space="0" w:color="auto"/>
              <w:bottom w:val="single" w:sz="4" w:space="0" w:color="000000"/>
              <w:right w:val="nil" w:sz="6" w:space="0" w:color="auto"/>
            </w:tcBorders>
          </w:tcPr>
          <w:p>
            <w:pPr>
              <w:pStyle w:val="TableParagraph"/>
              <w:spacing w:line="180" w:lineRule="exact"/>
              <w:ind w:left="471" w:right="0"/>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sz w:val="18"/>
                <w:szCs w:val="18"/>
              </w:rPr>
            </w:r>
          </w:p>
        </w:tc>
        <w:tc>
          <w:tcPr>
            <w:tcW w:w="1852" w:type="dxa"/>
            <w:tcBorders>
              <w:top w:val="nil" w:sz="6" w:space="0" w:color="auto"/>
              <w:left w:val="nil" w:sz="6" w:space="0" w:color="auto"/>
              <w:bottom w:val="single" w:sz="4" w:space="0" w:color="000000"/>
              <w:right w:val="nil" w:sz="6" w:space="0" w:color="auto"/>
            </w:tcBorders>
          </w:tcPr>
          <w:p>
            <w:pPr>
              <w:pStyle w:val="TableParagraph"/>
              <w:spacing w:line="180" w:lineRule="exact"/>
              <w:ind w:left="365" w:right="0"/>
              <w:jc w:val="left"/>
              <w:rPr>
                <w:rFonts w:ascii="宋体" w:hAnsi="宋体" w:cs="宋体" w:eastAsia="宋体" w:hint="default"/>
                <w:sz w:val="18"/>
                <w:szCs w:val="18"/>
              </w:rPr>
            </w:pPr>
            <w:r>
              <w:rPr>
                <w:rFonts w:ascii="宋体" w:hAnsi="宋体" w:cs="宋体" w:eastAsia="宋体" w:hint="default"/>
                <w:b/>
                <w:bCs/>
                <w:sz w:val="18"/>
                <w:szCs w:val="18"/>
              </w:rPr>
              <w:t>本期支付</w:t>
            </w:r>
            <w:r>
              <w:rPr>
                <w:rFonts w:ascii="宋体" w:hAnsi="宋体" w:cs="宋体" w:eastAsia="宋体" w:hint="default"/>
                <w:sz w:val="18"/>
                <w:szCs w:val="18"/>
              </w:rPr>
            </w:r>
          </w:p>
        </w:tc>
        <w:tc>
          <w:tcPr>
            <w:tcW w:w="1351" w:type="dxa"/>
            <w:tcBorders>
              <w:top w:val="nil" w:sz="6" w:space="0" w:color="auto"/>
              <w:left w:val="nil" w:sz="6" w:space="0" w:color="auto"/>
              <w:bottom w:val="single" w:sz="4" w:space="0" w:color="000000"/>
              <w:right w:val="nil" w:sz="6" w:space="0" w:color="auto"/>
            </w:tcBorders>
          </w:tcPr>
          <w:p>
            <w:pPr>
              <w:pStyle w:val="TableParagraph"/>
              <w:spacing w:line="180" w:lineRule="exact"/>
              <w:ind w:left="24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95" w:hRule="exact"/>
        </w:trPr>
        <w:tc>
          <w:tcPr>
            <w:tcW w:w="281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557" w:type="dxa"/>
            <w:tcBorders>
              <w:top w:val="single" w:sz="4" w:space="0" w:color="000000"/>
              <w:left w:val="nil" w:sz="6" w:space="0" w:color="auto"/>
              <w:bottom w:val="nil" w:sz="6" w:space="0" w:color="auto"/>
              <w:right w:val="nil" w:sz="6" w:space="0" w:color="auto"/>
            </w:tcBorders>
          </w:tcPr>
          <w:p>
            <w:pPr/>
          </w:p>
        </w:tc>
        <w:tc>
          <w:tcPr>
            <w:tcW w:w="200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63"/>
              <w:jc w:val="right"/>
              <w:rPr>
                <w:rFonts w:ascii="宋体" w:hAnsi="宋体" w:cs="宋体" w:eastAsia="宋体" w:hint="default"/>
                <w:sz w:val="18"/>
                <w:szCs w:val="18"/>
              </w:rPr>
            </w:pPr>
            <w:r>
              <w:rPr>
                <w:rFonts w:ascii="宋体"/>
                <w:spacing w:val="-1"/>
                <w:sz w:val="18"/>
              </w:rPr>
              <w:t>37,055,000.00</w:t>
            </w:r>
          </w:p>
        </w:tc>
        <w:tc>
          <w:tcPr>
            <w:tcW w:w="185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42"/>
              <w:jc w:val="right"/>
              <w:rPr>
                <w:rFonts w:ascii="宋体" w:hAnsi="宋体" w:cs="宋体" w:eastAsia="宋体" w:hint="default"/>
                <w:sz w:val="18"/>
                <w:szCs w:val="18"/>
              </w:rPr>
            </w:pPr>
            <w:r>
              <w:rPr>
                <w:rFonts w:ascii="宋体"/>
                <w:spacing w:val="-1"/>
                <w:sz w:val="18"/>
              </w:rPr>
              <w:t>36,746,097.23</w:t>
            </w:r>
          </w:p>
        </w:tc>
        <w:tc>
          <w:tcPr>
            <w:tcW w:w="135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343" w:right="0"/>
              <w:jc w:val="left"/>
              <w:rPr>
                <w:rFonts w:ascii="宋体" w:hAnsi="宋体" w:cs="宋体" w:eastAsia="宋体" w:hint="default"/>
                <w:sz w:val="18"/>
                <w:szCs w:val="18"/>
              </w:rPr>
            </w:pPr>
            <w:r>
              <w:rPr>
                <w:rFonts w:ascii="宋体"/>
                <w:sz w:val="18"/>
              </w:rPr>
              <w:t>308,902.77</w:t>
            </w:r>
          </w:p>
        </w:tc>
      </w:tr>
      <w:tr>
        <w:trPr>
          <w:trHeight w:val="286" w:hRule="exact"/>
        </w:trPr>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557" w:type="dxa"/>
            <w:tcBorders>
              <w:top w:val="nil" w:sz="6" w:space="0" w:color="auto"/>
              <w:left w:val="nil" w:sz="6" w:space="0" w:color="auto"/>
              <w:bottom w:val="nil" w:sz="6" w:space="0" w:color="auto"/>
              <w:right w:val="nil" w:sz="6" w:space="0" w:color="auto"/>
            </w:tcBorders>
          </w:tcPr>
          <w:p>
            <w:pPr/>
          </w:p>
        </w:tc>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63"/>
              <w:jc w:val="right"/>
              <w:rPr>
                <w:rFonts w:ascii="宋体" w:hAnsi="宋体" w:cs="宋体" w:eastAsia="宋体" w:hint="default"/>
                <w:sz w:val="18"/>
                <w:szCs w:val="18"/>
              </w:rPr>
            </w:pPr>
            <w:r>
              <w:rPr>
                <w:rFonts w:ascii="宋体"/>
                <w:spacing w:val="-1"/>
                <w:sz w:val="18"/>
              </w:rPr>
              <w:t>1,828,426.87</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2"/>
              <w:jc w:val="right"/>
              <w:rPr>
                <w:rFonts w:ascii="宋体" w:hAnsi="宋体" w:cs="宋体" w:eastAsia="宋体" w:hint="default"/>
                <w:sz w:val="18"/>
                <w:szCs w:val="18"/>
              </w:rPr>
            </w:pPr>
            <w:r>
              <w:rPr>
                <w:rFonts w:ascii="宋体"/>
                <w:spacing w:val="-1"/>
                <w:sz w:val="18"/>
              </w:rPr>
              <w:t>1,828,426.87</w:t>
            </w:r>
          </w:p>
        </w:tc>
        <w:tc>
          <w:tcPr>
            <w:tcW w:w="1351"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1332" w:top="1100" w:bottom="152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2"/>
          <w:szCs w:val="12"/>
        </w:rPr>
      </w:pPr>
    </w:p>
    <w:tbl>
      <w:tblPr>
        <w:tblW w:w="0" w:type="auto"/>
        <w:jc w:val="left"/>
        <w:tblInd w:w="186" w:type="dxa"/>
        <w:tblLayout w:type="fixed"/>
        <w:tblCellMar>
          <w:top w:w="0" w:type="dxa"/>
          <w:left w:w="0" w:type="dxa"/>
          <w:bottom w:w="0" w:type="dxa"/>
          <w:right w:w="0" w:type="dxa"/>
        </w:tblCellMar>
        <w:tblLook w:val="01E0"/>
      </w:tblPr>
      <w:tblGrid>
        <w:gridCol w:w="2677"/>
        <w:gridCol w:w="1830"/>
        <w:gridCol w:w="1863"/>
        <w:gridCol w:w="1811"/>
        <w:gridCol w:w="1391"/>
      </w:tblGrid>
      <w:tr>
        <w:trPr>
          <w:trHeight w:val="294" w:hRule="exact"/>
        </w:trPr>
        <w:tc>
          <w:tcPr>
            <w:tcW w:w="2677" w:type="dxa"/>
            <w:tcBorders>
              <w:top w:val="nil" w:sz="6" w:space="0" w:color="auto"/>
              <w:left w:val="nil" w:sz="6" w:space="0" w:color="auto"/>
              <w:bottom w:val="single" w:sz="4" w:space="0" w:color="000000"/>
              <w:right w:val="nil" w:sz="6" w:space="0" w:color="auto"/>
            </w:tcBorders>
          </w:tcPr>
          <w:p>
            <w:pPr>
              <w:pStyle w:val="TableParagraph"/>
              <w:spacing w:line="180" w:lineRule="exact"/>
              <w:ind w:left="10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30" w:type="dxa"/>
            <w:tcBorders>
              <w:top w:val="nil" w:sz="6" w:space="0" w:color="auto"/>
              <w:left w:val="nil" w:sz="6" w:space="0" w:color="auto"/>
              <w:bottom w:val="single" w:sz="4" w:space="0" w:color="000000"/>
              <w:right w:val="nil" w:sz="6" w:space="0" w:color="auto"/>
            </w:tcBorders>
          </w:tcPr>
          <w:p>
            <w:pPr>
              <w:pStyle w:val="TableParagraph"/>
              <w:spacing w:line="180" w:lineRule="exact"/>
              <w:ind w:left="49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863" w:type="dxa"/>
            <w:tcBorders>
              <w:top w:val="nil" w:sz="6" w:space="0" w:color="auto"/>
              <w:left w:val="nil" w:sz="6" w:space="0" w:color="auto"/>
              <w:bottom w:val="single" w:sz="4" w:space="0" w:color="000000"/>
              <w:right w:val="nil" w:sz="6" w:space="0" w:color="auto"/>
            </w:tcBorders>
          </w:tcPr>
          <w:p>
            <w:pPr>
              <w:pStyle w:val="TableParagraph"/>
              <w:spacing w:line="180" w:lineRule="exact"/>
              <w:ind w:left="332" w:right="0"/>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sz w:val="18"/>
                <w:szCs w:val="18"/>
              </w:rPr>
            </w:r>
          </w:p>
        </w:tc>
        <w:tc>
          <w:tcPr>
            <w:tcW w:w="1811" w:type="dxa"/>
            <w:tcBorders>
              <w:top w:val="nil" w:sz="6" w:space="0" w:color="auto"/>
              <w:left w:val="nil" w:sz="6" w:space="0" w:color="auto"/>
              <w:bottom w:val="single" w:sz="4" w:space="0" w:color="000000"/>
              <w:right w:val="nil" w:sz="6" w:space="0" w:color="auto"/>
            </w:tcBorders>
          </w:tcPr>
          <w:p>
            <w:pPr>
              <w:pStyle w:val="TableParagraph"/>
              <w:spacing w:line="180" w:lineRule="exact"/>
              <w:ind w:left="365" w:right="0"/>
              <w:jc w:val="left"/>
              <w:rPr>
                <w:rFonts w:ascii="宋体" w:hAnsi="宋体" w:cs="宋体" w:eastAsia="宋体" w:hint="default"/>
                <w:sz w:val="18"/>
                <w:szCs w:val="18"/>
              </w:rPr>
            </w:pPr>
            <w:r>
              <w:rPr>
                <w:rFonts w:ascii="宋体" w:hAnsi="宋体" w:cs="宋体" w:eastAsia="宋体" w:hint="default"/>
                <w:b/>
                <w:bCs/>
                <w:sz w:val="18"/>
                <w:szCs w:val="18"/>
              </w:rPr>
              <w:t>本期支付</w:t>
            </w:r>
            <w:r>
              <w:rPr>
                <w:rFonts w:ascii="宋体" w:hAnsi="宋体" w:cs="宋体" w:eastAsia="宋体" w:hint="default"/>
                <w:sz w:val="18"/>
                <w:szCs w:val="18"/>
              </w:rPr>
            </w:r>
          </w:p>
        </w:tc>
        <w:tc>
          <w:tcPr>
            <w:tcW w:w="1391" w:type="dxa"/>
            <w:tcBorders>
              <w:top w:val="nil" w:sz="6" w:space="0" w:color="auto"/>
              <w:left w:val="nil" w:sz="6" w:space="0" w:color="auto"/>
              <w:bottom w:val="single" w:sz="4" w:space="0" w:color="000000"/>
              <w:right w:val="nil" w:sz="6" w:space="0" w:color="auto"/>
            </w:tcBorders>
          </w:tcPr>
          <w:p>
            <w:pPr>
              <w:pStyle w:val="TableParagraph"/>
              <w:spacing w:line="180" w:lineRule="exact"/>
              <w:ind w:left="28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02" w:hRule="exact"/>
        </w:trPr>
        <w:tc>
          <w:tcPr>
            <w:tcW w:w="2677"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30" w:type="dxa"/>
            <w:tcBorders>
              <w:top w:val="single" w:sz="4" w:space="0" w:color="000000"/>
              <w:left w:val="nil" w:sz="6" w:space="0" w:color="auto"/>
              <w:bottom w:val="nil" w:sz="6" w:space="0" w:color="auto"/>
              <w:right w:val="nil" w:sz="6" w:space="0" w:color="auto"/>
            </w:tcBorders>
          </w:tcPr>
          <w:p>
            <w:pPr/>
          </w:p>
        </w:tc>
        <w:tc>
          <w:tcPr>
            <w:tcW w:w="186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325" w:right="0"/>
              <w:jc w:val="left"/>
              <w:rPr>
                <w:rFonts w:ascii="宋体" w:hAnsi="宋体" w:cs="宋体" w:eastAsia="宋体" w:hint="default"/>
                <w:sz w:val="18"/>
                <w:szCs w:val="18"/>
              </w:rPr>
            </w:pPr>
            <w:r>
              <w:rPr>
                <w:rFonts w:ascii="宋体"/>
                <w:sz w:val="18"/>
              </w:rPr>
              <w:t>10,697,114.84</w:t>
            </w:r>
          </w:p>
        </w:tc>
        <w:tc>
          <w:tcPr>
            <w:tcW w:w="1811"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02"/>
              <w:jc w:val="right"/>
              <w:rPr>
                <w:rFonts w:ascii="宋体" w:hAnsi="宋体" w:cs="宋体" w:eastAsia="宋体" w:hint="default"/>
                <w:sz w:val="18"/>
                <w:szCs w:val="18"/>
              </w:rPr>
            </w:pPr>
            <w:r>
              <w:rPr>
                <w:rFonts w:ascii="宋体"/>
                <w:spacing w:val="-1"/>
                <w:sz w:val="18"/>
              </w:rPr>
              <w:t>10,697,114.84</w:t>
            </w:r>
          </w:p>
        </w:tc>
        <w:tc>
          <w:tcPr>
            <w:tcW w:w="1391" w:type="dxa"/>
            <w:tcBorders>
              <w:top w:val="single" w:sz="4" w:space="0" w:color="000000"/>
              <w:left w:val="nil" w:sz="6" w:space="0" w:color="auto"/>
              <w:bottom w:val="nil" w:sz="6" w:space="0" w:color="auto"/>
              <w:right w:val="nil" w:sz="6" w:space="0" w:color="auto"/>
            </w:tcBorders>
          </w:tcPr>
          <w:p>
            <w:pPr/>
          </w:p>
        </w:tc>
      </w:tr>
      <w:tr>
        <w:trPr>
          <w:trHeight w:val="396" w:hRule="exact"/>
        </w:trPr>
        <w:tc>
          <w:tcPr>
            <w:tcW w:w="267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z w:val="18"/>
                <w:szCs w:val="18"/>
              </w:rPr>
              <w:t>、基本医疗保险费</w:t>
            </w:r>
          </w:p>
        </w:tc>
        <w:tc>
          <w:tcPr>
            <w:tcW w:w="1830"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3"/>
              <w:jc w:val="right"/>
              <w:rPr>
                <w:rFonts w:ascii="宋体" w:hAnsi="宋体" w:cs="宋体" w:eastAsia="宋体" w:hint="default"/>
                <w:sz w:val="18"/>
                <w:szCs w:val="18"/>
              </w:rPr>
            </w:pPr>
            <w:r>
              <w:rPr>
                <w:rFonts w:ascii="宋体"/>
                <w:spacing w:val="-1"/>
                <w:sz w:val="18"/>
              </w:rPr>
              <w:t>2,823,876.06</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2"/>
              <w:jc w:val="right"/>
              <w:rPr>
                <w:rFonts w:ascii="宋体" w:hAnsi="宋体" w:cs="宋体" w:eastAsia="宋体" w:hint="default"/>
                <w:sz w:val="18"/>
                <w:szCs w:val="18"/>
              </w:rPr>
            </w:pPr>
            <w:r>
              <w:rPr>
                <w:rFonts w:ascii="宋体"/>
                <w:spacing w:val="-1"/>
                <w:sz w:val="18"/>
              </w:rPr>
              <w:t>2,823,876.06</w:t>
            </w:r>
          </w:p>
        </w:tc>
        <w:tc>
          <w:tcPr>
            <w:tcW w:w="1391" w:type="dxa"/>
            <w:tcBorders>
              <w:top w:val="nil" w:sz="6" w:space="0" w:color="auto"/>
              <w:left w:val="nil" w:sz="6" w:space="0" w:color="auto"/>
              <w:bottom w:val="nil" w:sz="6" w:space="0" w:color="auto"/>
              <w:right w:val="nil" w:sz="6" w:space="0" w:color="auto"/>
            </w:tcBorders>
          </w:tcPr>
          <w:p>
            <w:pPr/>
          </w:p>
        </w:tc>
      </w:tr>
      <w:tr>
        <w:trPr>
          <w:trHeight w:val="397" w:hRule="exact"/>
        </w:trPr>
        <w:tc>
          <w:tcPr>
            <w:tcW w:w="26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95"/>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、补充医疗保险费</w:t>
            </w:r>
          </w:p>
        </w:tc>
        <w:tc>
          <w:tcPr>
            <w:tcW w:w="1830"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3"/>
              <w:jc w:val="right"/>
              <w:rPr>
                <w:rFonts w:ascii="宋体" w:hAnsi="宋体" w:cs="宋体" w:eastAsia="宋体" w:hint="default"/>
                <w:sz w:val="18"/>
                <w:szCs w:val="18"/>
              </w:rPr>
            </w:pPr>
            <w:r>
              <w:rPr>
                <w:rFonts w:ascii="宋体"/>
                <w:spacing w:val="-1"/>
                <w:sz w:val="18"/>
              </w:rPr>
              <w:t>1,566,413.02</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2"/>
              <w:jc w:val="right"/>
              <w:rPr>
                <w:rFonts w:ascii="宋体" w:hAnsi="宋体" w:cs="宋体" w:eastAsia="宋体" w:hint="default"/>
                <w:sz w:val="18"/>
                <w:szCs w:val="18"/>
              </w:rPr>
            </w:pPr>
            <w:r>
              <w:rPr>
                <w:rFonts w:ascii="宋体"/>
                <w:spacing w:val="-1"/>
                <w:sz w:val="18"/>
              </w:rPr>
              <w:t>1,566,413.02</w:t>
            </w:r>
          </w:p>
        </w:tc>
        <w:tc>
          <w:tcPr>
            <w:tcW w:w="1391" w:type="dxa"/>
            <w:tcBorders>
              <w:top w:val="nil" w:sz="6" w:space="0" w:color="auto"/>
              <w:left w:val="nil" w:sz="6" w:space="0" w:color="auto"/>
              <w:bottom w:val="nil" w:sz="6" w:space="0" w:color="auto"/>
              <w:right w:val="nil" w:sz="6" w:space="0" w:color="auto"/>
            </w:tcBorders>
          </w:tcPr>
          <w:p>
            <w:pPr/>
          </w:p>
        </w:tc>
      </w:tr>
      <w:tr>
        <w:trPr>
          <w:trHeight w:val="397" w:hRule="exact"/>
        </w:trPr>
        <w:tc>
          <w:tcPr>
            <w:tcW w:w="267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95"/>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、基本养老保险费</w:t>
            </w:r>
          </w:p>
        </w:tc>
        <w:tc>
          <w:tcPr>
            <w:tcW w:w="1830"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3"/>
              <w:jc w:val="right"/>
              <w:rPr>
                <w:rFonts w:ascii="宋体" w:hAnsi="宋体" w:cs="宋体" w:eastAsia="宋体" w:hint="default"/>
                <w:sz w:val="18"/>
                <w:szCs w:val="18"/>
              </w:rPr>
            </w:pPr>
            <w:r>
              <w:rPr>
                <w:rFonts w:ascii="宋体"/>
                <w:spacing w:val="-1"/>
                <w:sz w:val="18"/>
              </w:rPr>
              <w:t>5,237,526.93</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2"/>
              <w:jc w:val="right"/>
              <w:rPr>
                <w:rFonts w:ascii="宋体" w:hAnsi="宋体" w:cs="宋体" w:eastAsia="宋体" w:hint="default"/>
                <w:sz w:val="18"/>
                <w:szCs w:val="18"/>
              </w:rPr>
            </w:pPr>
            <w:r>
              <w:rPr>
                <w:rFonts w:ascii="宋体"/>
                <w:spacing w:val="-1"/>
                <w:sz w:val="18"/>
              </w:rPr>
              <w:t>5,237,526.93</w:t>
            </w:r>
          </w:p>
        </w:tc>
        <w:tc>
          <w:tcPr>
            <w:tcW w:w="1391" w:type="dxa"/>
            <w:tcBorders>
              <w:top w:val="nil" w:sz="6" w:space="0" w:color="auto"/>
              <w:left w:val="nil" w:sz="6" w:space="0" w:color="auto"/>
              <w:bottom w:val="nil" w:sz="6" w:space="0" w:color="auto"/>
              <w:right w:val="nil" w:sz="6" w:space="0" w:color="auto"/>
            </w:tcBorders>
          </w:tcPr>
          <w:p>
            <w:pPr/>
          </w:p>
        </w:tc>
      </w:tr>
      <w:tr>
        <w:trPr>
          <w:trHeight w:val="397" w:hRule="exact"/>
        </w:trPr>
        <w:tc>
          <w:tcPr>
            <w:tcW w:w="267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、年金缴费</w:t>
            </w:r>
          </w:p>
        </w:tc>
        <w:tc>
          <w:tcPr>
            <w:tcW w:w="1830"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
        </w:tc>
        <w:tc>
          <w:tcPr>
            <w:tcW w:w="1811"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r>
      <w:tr>
        <w:trPr>
          <w:trHeight w:val="397" w:hRule="exact"/>
        </w:trPr>
        <w:tc>
          <w:tcPr>
            <w:tcW w:w="267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、失业保险费</w:t>
            </w:r>
          </w:p>
        </w:tc>
        <w:tc>
          <w:tcPr>
            <w:tcW w:w="1830"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3"/>
              <w:jc w:val="right"/>
              <w:rPr>
                <w:rFonts w:ascii="宋体" w:hAnsi="宋体" w:cs="宋体" w:eastAsia="宋体" w:hint="default"/>
                <w:sz w:val="18"/>
                <w:szCs w:val="18"/>
              </w:rPr>
            </w:pPr>
            <w:r>
              <w:rPr>
                <w:rFonts w:ascii="宋体"/>
                <w:spacing w:val="-1"/>
                <w:sz w:val="18"/>
              </w:rPr>
              <w:t>407,799.09</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2"/>
              <w:jc w:val="right"/>
              <w:rPr>
                <w:rFonts w:ascii="宋体" w:hAnsi="宋体" w:cs="宋体" w:eastAsia="宋体" w:hint="default"/>
                <w:sz w:val="18"/>
                <w:szCs w:val="18"/>
              </w:rPr>
            </w:pPr>
            <w:r>
              <w:rPr>
                <w:rFonts w:ascii="宋体"/>
                <w:spacing w:val="-1"/>
                <w:sz w:val="18"/>
              </w:rPr>
              <w:t>407,799.09</w:t>
            </w:r>
          </w:p>
        </w:tc>
        <w:tc>
          <w:tcPr>
            <w:tcW w:w="1391" w:type="dxa"/>
            <w:tcBorders>
              <w:top w:val="nil" w:sz="6" w:space="0" w:color="auto"/>
              <w:left w:val="nil" w:sz="6" w:space="0" w:color="auto"/>
              <w:bottom w:val="nil" w:sz="6" w:space="0" w:color="auto"/>
              <w:right w:val="nil" w:sz="6" w:space="0" w:color="auto"/>
            </w:tcBorders>
          </w:tcPr>
          <w:p>
            <w:pPr/>
          </w:p>
        </w:tc>
      </w:tr>
      <w:tr>
        <w:trPr>
          <w:trHeight w:val="397" w:hRule="exact"/>
        </w:trPr>
        <w:tc>
          <w:tcPr>
            <w:tcW w:w="267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8"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、工伤保险费</w:t>
            </w:r>
          </w:p>
        </w:tc>
        <w:tc>
          <w:tcPr>
            <w:tcW w:w="1830"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3"/>
              <w:jc w:val="right"/>
              <w:rPr>
                <w:rFonts w:ascii="宋体" w:hAnsi="宋体" w:cs="宋体" w:eastAsia="宋体" w:hint="default"/>
                <w:sz w:val="18"/>
                <w:szCs w:val="18"/>
              </w:rPr>
            </w:pPr>
            <w:r>
              <w:rPr>
                <w:rFonts w:ascii="宋体"/>
                <w:spacing w:val="-1"/>
                <w:sz w:val="18"/>
              </w:rPr>
              <w:t>160,210.78</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2"/>
              <w:jc w:val="right"/>
              <w:rPr>
                <w:rFonts w:ascii="宋体" w:hAnsi="宋体" w:cs="宋体" w:eastAsia="宋体" w:hint="default"/>
                <w:sz w:val="18"/>
                <w:szCs w:val="18"/>
              </w:rPr>
            </w:pPr>
            <w:r>
              <w:rPr>
                <w:rFonts w:ascii="宋体"/>
                <w:spacing w:val="-1"/>
                <w:sz w:val="18"/>
              </w:rPr>
              <w:t>160,210.78</w:t>
            </w:r>
          </w:p>
        </w:tc>
        <w:tc>
          <w:tcPr>
            <w:tcW w:w="1391" w:type="dxa"/>
            <w:tcBorders>
              <w:top w:val="nil" w:sz="6" w:space="0" w:color="auto"/>
              <w:left w:val="nil" w:sz="6" w:space="0" w:color="auto"/>
              <w:bottom w:val="nil" w:sz="6" w:space="0" w:color="auto"/>
              <w:right w:val="nil" w:sz="6" w:space="0" w:color="auto"/>
            </w:tcBorders>
          </w:tcPr>
          <w:p>
            <w:pPr/>
          </w:p>
        </w:tc>
      </w:tr>
      <w:tr>
        <w:trPr>
          <w:trHeight w:val="397" w:hRule="exact"/>
        </w:trPr>
        <w:tc>
          <w:tcPr>
            <w:tcW w:w="267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、生育保险费</w:t>
            </w:r>
          </w:p>
        </w:tc>
        <w:tc>
          <w:tcPr>
            <w:tcW w:w="1830"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3"/>
              <w:jc w:val="right"/>
              <w:rPr>
                <w:rFonts w:ascii="宋体" w:hAnsi="宋体" w:cs="宋体" w:eastAsia="宋体" w:hint="default"/>
                <w:sz w:val="18"/>
                <w:szCs w:val="18"/>
              </w:rPr>
            </w:pPr>
            <w:r>
              <w:rPr>
                <w:rFonts w:ascii="宋体"/>
                <w:spacing w:val="-1"/>
                <w:sz w:val="18"/>
              </w:rPr>
              <w:t>186,794.06</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2"/>
              <w:jc w:val="right"/>
              <w:rPr>
                <w:rFonts w:ascii="宋体" w:hAnsi="宋体" w:cs="宋体" w:eastAsia="宋体" w:hint="default"/>
                <w:sz w:val="18"/>
                <w:szCs w:val="18"/>
              </w:rPr>
            </w:pPr>
            <w:r>
              <w:rPr>
                <w:rFonts w:ascii="宋体"/>
                <w:spacing w:val="-1"/>
                <w:sz w:val="18"/>
              </w:rPr>
              <w:t>186,794.06</w:t>
            </w:r>
          </w:p>
        </w:tc>
        <w:tc>
          <w:tcPr>
            <w:tcW w:w="1391" w:type="dxa"/>
            <w:tcBorders>
              <w:top w:val="nil" w:sz="6" w:space="0" w:color="auto"/>
              <w:left w:val="nil" w:sz="6" w:space="0" w:color="auto"/>
              <w:bottom w:val="nil" w:sz="6" w:space="0" w:color="auto"/>
              <w:right w:val="nil" w:sz="6" w:space="0" w:color="auto"/>
            </w:tcBorders>
          </w:tcPr>
          <w:p>
            <w:pPr/>
          </w:p>
        </w:tc>
      </w:tr>
      <w:tr>
        <w:trPr>
          <w:trHeight w:val="396" w:hRule="exact"/>
        </w:trPr>
        <w:tc>
          <w:tcPr>
            <w:tcW w:w="267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8"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、残疾人保证金</w:t>
            </w:r>
          </w:p>
        </w:tc>
        <w:tc>
          <w:tcPr>
            <w:tcW w:w="1830"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3"/>
              <w:jc w:val="right"/>
              <w:rPr>
                <w:rFonts w:ascii="宋体" w:hAnsi="宋体" w:cs="宋体" w:eastAsia="宋体" w:hint="default"/>
                <w:sz w:val="18"/>
                <w:szCs w:val="18"/>
              </w:rPr>
            </w:pPr>
            <w:r>
              <w:rPr>
                <w:rFonts w:ascii="宋体"/>
                <w:spacing w:val="-1"/>
                <w:sz w:val="18"/>
              </w:rPr>
              <w:t>314,494.90</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1"/>
              <w:jc w:val="right"/>
              <w:rPr>
                <w:rFonts w:ascii="宋体" w:hAnsi="宋体" w:cs="宋体" w:eastAsia="宋体" w:hint="default"/>
                <w:sz w:val="18"/>
                <w:szCs w:val="18"/>
              </w:rPr>
            </w:pPr>
            <w:r>
              <w:rPr>
                <w:rFonts w:ascii="宋体"/>
                <w:spacing w:val="-1"/>
                <w:sz w:val="18"/>
              </w:rPr>
              <w:t>314,494.90</w:t>
            </w:r>
          </w:p>
        </w:tc>
        <w:tc>
          <w:tcPr>
            <w:tcW w:w="1391" w:type="dxa"/>
            <w:tcBorders>
              <w:top w:val="nil" w:sz="6" w:space="0" w:color="auto"/>
              <w:left w:val="nil" w:sz="6" w:space="0" w:color="auto"/>
              <w:bottom w:val="nil" w:sz="6" w:space="0" w:color="auto"/>
              <w:right w:val="nil" w:sz="6" w:space="0" w:color="auto"/>
            </w:tcBorders>
          </w:tcPr>
          <w:p>
            <w:pPr/>
          </w:p>
        </w:tc>
      </w:tr>
      <w:tr>
        <w:trPr>
          <w:trHeight w:val="398" w:hRule="exact"/>
        </w:trPr>
        <w:tc>
          <w:tcPr>
            <w:tcW w:w="267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30"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3"/>
              <w:jc w:val="right"/>
              <w:rPr>
                <w:rFonts w:ascii="宋体" w:hAnsi="宋体" w:cs="宋体" w:eastAsia="宋体" w:hint="default"/>
                <w:sz w:val="18"/>
                <w:szCs w:val="18"/>
              </w:rPr>
            </w:pPr>
            <w:r>
              <w:rPr>
                <w:rFonts w:ascii="宋体"/>
                <w:spacing w:val="-1"/>
                <w:sz w:val="18"/>
              </w:rPr>
              <w:t>2,739,245.40</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1"/>
              <w:jc w:val="right"/>
              <w:rPr>
                <w:rFonts w:ascii="宋体" w:hAnsi="宋体" w:cs="宋体" w:eastAsia="宋体" w:hint="default"/>
                <w:sz w:val="18"/>
                <w:szCs w:val="18"/>
              </w:rPr>
            </w:pPr>
            <w:r>
              <w:rPr>
                <w:rFonts w:ascii="宋体"/>
                <w:spacing w:val="-1"/>
                <w:sz w:val="18"/>
              </w:rPr>
              <w:t>2,739,245.40</w:t>
            </w:r>
          </w:p>
        </w:tc>
        <w:tc>
          <w:tcPr>
            <w:tcW w:w="1391" w:type="dxa"/>
            <w:tcBorders>
              <w:top w:val="nil" w:sz="6" w:space="0" w:color="auto"/>
              <w:left w:val="nil" w:sz="6" w:space="0" w:color="auto"/>
              <w:bottom w:val="nil" w:sz="6" w:space="0" w:color="auto"/>
              <w:right w:val="nil" w:sz="6" w:space="0" w:color="auto"/>
            </w:tcBorders>
          </w:tcPr>
          <w:p>
            <w:pPr/>
          </w:p>
        </w:tc>
      </w:tr>
      <w:tr>
        <w:trPr>
          <w:trHeight w:val="397" w:hRule="exact"/>
        </w:trPr>
        <w:tc>
          <w:tcPr>
            <w:tcW w:w="267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五、工会经费</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23"/>
              <w:jc w:val="right"/>
              <w:rPr>
                <w:rFonts w:ascii="宋体" w:hAnsi="宋体" w:cs="宋体" w:eastAsia="宋体" w:hint="default"/>
                <w:sz w:val="18"/>
                <w:szCs w:val="18"/>
              </w:rPr>
            </w:pPr>
            <w:r>
              <w:rPr>
                <w:rFonts w:ascii="宋体"/>
                <w:spacing w:val="-1"/>
                <w:sz w:val="18"/>
              </w:rPr>
              <w:t>235,111.92</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3"/>
              <w:jc w:val="right"/>
              <w:rPr>
                <w:rFonts w:ascii="宋体" w:hAnsi="宋体" w:cs="宋体" w:eastAsia="宋体" w:hint="default"/>
                <w:sz w:val="18"/>
                <w:szCs w:val="18"/>
              </w:rPr>
            </w:pPr>
            <w:r>
              <w:rPr>
                <w:rFonts w:ascii="宋体"/>
                <w:spacing w:val="-1"/>
                <w:sz w:val="18"/>
              </w:rPr>
              <w:t>741,100.00</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2"/>
              <w:jc w:val="right"/>
              <w:rPr>
                <w:rFonts w:ascii="宋体" w:hAnsi="宋体" w:cs="宋体" w:eastAsia="宋体" w:hint="default"/>
                <w:sz w:val="18"/>
                <w:szCs w:val="18"/>
              </w:rPr>
            </w:pPr>
            <w:r>
              <w:rPr>
                <w:rFonts w:ascii="宋体"/>
                <w:spacing w:val="-1"/>
                <w:sz w:val="18"/>
              </w:rPr>
              <w:t>450,529.92</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宋体" w:hAnsi="宋体" w:cs="宋体" w:eastAsia="宋体" w:hint="default"/>
                <w:sz w:val="18"/>
                <w:szCs w:val="18"/>
              </w:rPr>
            </w:pPr>
            <w:r>
              <w:rPr>
                <w:rFonts w:ascii="宋体"/>
                <w:spacing w:val="-1"/>
                <w:sz w:val="18"/>
              </w:rPr>
              <w:t>525,682.00</w:t>
            </w:r>
          </w:p>
        </w:tc>
      </w:tr>
      <w:tr>
        <w:trPr>
          <w:trHeight w:val="397" w:hRule="exact"/>
        </w:trPr>
        <w:tc>
          <w:tcPr>
            <w:tcW w:w="267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六、职工教育经费</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23"/>
              <w:jc w:val="right"/>
              <w:rPr>
                <w:rFonts w:ascii="宋体" w:hAnsi="宋体" w:cs="宋体" w:eastAsia="宋体" w:hint="default"/>
                <w:sz w:val="18"/>
                <w:szCs w:val="18"/>
              </w:rPr>
            </w:pPr>
            <w:r>
              <w:rPr>
                <w:rFonts w:ascii="宋体"/>
                <w:spacing w:val="-1"/>
                <w:sz w:val="18"/>
              </w:rPr>
              <w:t>376,218.64</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3"/>
              <w:jc w:val="right"/>
              <w:rPr>
                <w:rFonts w:ascii="宋体" w:hAnsi="宋体" w:cs="宋体" w:eastAsia="宋体" w:hint="default"/>
                <w:sz w:val="18"/>
                <w:szCs w:val="18"/>
              </w:rPr>
            </w:pPr>
            <w:r>
              <w:rPr>
                <w:rFonts w:ascii="宋体"/>
                <w:spacing w:val="-1"/>
                <w:sz w:val="18"/>
              </w:rPr>
              <w:t>926,375.00</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1"/>
              <w:jc w:val="right"/>
              <w:rPr>
                <w:rFonts w:ascii="宋体" w:hAnsi="宋体" w:cs="宋体" w:eastAsia="宋体" w:hint="default"/>
                <w:sz w:val="18"/>
                <w:szCs w:val="18"/>
              </w:rPr>
            </w:pPr>
            <w:r>
              <w:rPr>
                <w:rFonts w:ascii="宋体"/>
                <w:spacing w:val="-1"/>
                <w:sz w:val="18"/>
              </w:rPr>
              <w:t>718,345.20</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584,248.44</w:t>
            </w:r>
          </w:p>
        </w:tc>
      </w:tr>
      <w:tr>
        <w:trPr>
          <w:trHeight w:val="397" w:hRule="exact"/>
        </w:trPr>
        <w:tc>
          <w:tcPr>
            <w:tcW w:w="267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七、外包劳务</w:t>
            </w:r>
          </w:p>
        </w:tc>
        <w:tc>
          <w:tcPr>
            <w:tcW w:w="1830"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3"/>
              <w:jc w:val="right"/>
              <w:rPr>
                <w:rFonts w:ascii="宋体" w:hAnsi="宋体" w:cs="宋体" w:eastAsia="宋体" w:hint="default"/>
                <w:sz w:val="18"/>
                <w:szCs w:val="18"/>
              </w:rPr>
            </w:pPr>
            <w:r>
              <w:rPr>
                <w:rFonts w:ascii="宋体"/>
                <w:spacing w:val="-1"/>
                <w:sz w:val="18"/>
              </w:rPr>
              <w:t>2,810,957.90</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1"/>
              <w:jc w:val="right"/>
              <w:rPr>
                <w:rFonts w:ascii="宋体" w:hAnsi="宋体" w:cs="宋体" w:eastAsia="宋体" w:hint="default"/>
                <w:sz w:val="18"/>
                <w:szCs w:val="18"/>
              </w:rPr>
            </w:pPr>
            <w:r>
              <w:rPr>
                <w:rFonts w:ascii="宋体"/>
                <w:spacing w:val="-1"/>
                <w:sz w:val="18"/>
              </w:rPr>
              <w:t>2,810,957.90</w:t>
            </w:r>
          </w:p>
        </w:tc>
        <w:tc>
          <w:tcPr>
            <w:tcW w:w="1391" w:type="dxa"/>
            <w:tcBorders>
              <w:top w:val="nil" w:sz="6" w:space="0" w:color="auto"/>
              <w:left w:val="nil" w:sz="6" w:space="0" w:color="auto"/>
              <w:bottom w:val="nil" w:sz="6" w:space="0" w:color="auto"/>
              <w:right w:val="nil" w:sz="6" w:space="0" w:color="auto"/>
            </w:tcBorders>
          </w:tcPr>
          <w:p>
            <w:pPr/>
          </w:p>
        </w:tc>
      </w:tr>
      <w:tr>
        <w:trPr>
          <w:trHeight w:val="396" w:hRule="exact"/>
        </w:trPr>
        <w:tc>
          <w:tcPr>
            <w:tcW w:w="267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830"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3"/>
              <w:jc w:val="right"/>
              <w:rPr>
                <w:rFonts w:ascii="宋体" w:hAnsi="宋体" w:cs="宋体" w:eastAsia="宋体" w:hint="default"/>
                <w:sz w:val="18"/>
                <w:szCs w:val="18"/>
              </w:rPr>
            </w:pPr>
            <w:r>
              <w:rPr>
                <w:rFonts w:ascii="宋体"/>
                <w:spacing w:val="-1"/>
                <w:sz w:val="18"/>
              </w:rPr>
              <w:t>1,176,013.01</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2"/>
              <w:jc w:val="right"/>
              <w:rPr>
                <w:rFonts w:ascii="宋体" w:hAnsi="宋体" w:cs="宋体" w:eastAsia="宋体" w:hint="default"/>
                <w:sz w:val="18"/>
                <w:szCs w:val="18"/>
              </w:rPr>
            </w:pPr>
            <w:r>
              <w:rPr>
                <w:rFonts w:ascii="宋体"/>
                <w:spacing w:val="-1"/>
                <w:sz w:val="18"/>
              </w:rPr>
              <w:t>1,176,013.01</w:t>
            </w:r>
          </w:p>
        </w:tc>
        <w:tc>
          <w:tcPr>
            <w:tcW w:w="1391" w:type="dxa"/>
            <w:tcBorders>
              <w:top w:val="nil" w:sz="6" w:space="0" w:color="auto"/>
              <w:left w:val="nil" w:sz="6" w:space="0" w:color="auto"/>
              <w:bottom w:val="nil" w:sz="6" w:space="0" w:color="auto"/>
              <w:right w:val="nil" w:sz="6" w:space="0" w:color="auto"/>
            </w:tcBorders>
          </w:tcPr>
          <w:p>
            <w:pPr/>
          </w:p>
        </w:tc>
      </w:tr>
      <w:tr>
        <w:trPr>
          <w:trHeight w:val="288" w:hRule="exact"/>
        </w:trPr>
        <w:tc>
          <w:tcPr>
            <w:tcW w:w="267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23"/>
              <w:jc w:val="right"/>
              <w:rPr>
                <w:rFonts w:ascii="宋体" w:hAnsi="宋体" w:cs="宋体" w:eastAsia="宋体" w:hint="default"/>
                <w:sz w:val="18"/>
                <w:szCs w:val="18"/>
              </w:rPr>
            </w:pPr>
            <w:r>
              <w:rPr>
                <w:rFonts w:ascii="宋体"/>
                <w:sz w:val="18"/>
              </w:rPr>
            </w:r>
            <w:r>
              <w:rPr>
                <w:rFonts w:ascii="宋体"/>
                <w:spacing w:val="-1"/>
                <w:sz w:val="18"/>
                <w:u w:val="thick" w:color="000000"/>
              </w:rPr>
              <w:t>611,330.56</w:t>
            </w:r>
            <w:r>
              <w:rPr>
                <w:rFonts w:ascii="宋体"/>
                <w:spacing w:val="-1"/>
                <w:sz w:val="18"/>
              </w:rPr>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25" w:right="0"/>
              <w:jc w:val="left"/>
              <w:rPr>
                <w:rFonts w:ascii="宋体" w:hAnsi="宋体" w:cs="宋体" w:eastAsia="宋体" w:hint="default"/>
                <w:sz w:val="18"/>
                <w:szCs w:val="18"/>
              </w:rPr>
            </w:pPr>
            <w:r>
              <w:rPr>
                <w:rFonts w:ascii="宋体"/>
                <w:sz w:val="18"/>
              </w:rPr>
            </w:r>
            <w:r>
              <w:rPr>
                <w:rFonts w:ascii="宋体"/>
                <w:sz w:val="18"/>
                <w:u w:val="thick" w:color="000000"/>
              </w:rPr>
              <w:t>57,974,233.02</w:t>
            </w:r>
            <w:r>
              <w:rPr>
                <w:rFonts w:ascii="宋体"/>
                <w:sz w:val="18"/>
              </w:rPr>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2"/>
              <w:jc w:val="right"/>
              <w:rPr>
                <w:rFonts w:ascii="宋体" w:hAnsi="宋体" w:cs="宋体" w:eastAsia="宋体" w:hint="default"/>
                <w:sz w:val="18"/>
                <w:szCs w:val="18"/>
              </w:rPr>
            </w:pPr>
            <w:r>
              <w:rPr>
                <w:rFonts w:ascii="宋体"/>
                <w:sz w:val="18"/>
              </w:rPr>
            </w:r>
            <w:r>
              <w:rPr>
                <w:rFonts w:ascii="宋体"/>
                <w:spacing w:val="-1"/>
                <w:sz w:val="18"/>
                <w:u w:val="thick" w:color="000000"/>
              </w:rPr>
              <w:t>57,166,730.37</w:t>
            </w:r>
            <w:r>
              <w:rPr>
                <w:rFonts w:ascii="宋体"/>
                <w:spacing w:val="-1"/>
                <w:sz w:val="18"/>
              </w:rPr>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r>
            <w:r>
              <w:rPr>
                <w:rFonts w:ascii="宋体"/>
                <w:spacing w:val="-1"/>
                <w:sz w:val="18"/>
                <w:u w:val="thick" w:color="000000"/>
              </w:rPr>
              <w:t>1,418,833.21</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ind w:left="513" w:right="981"/>
        <w:jc w:val="left"/>
      </w:pPr>
      <w:r>
        <w:rPr/>
        <w:t>（</w:t>
      </w:r>
      <w:r>
        <w:rPr>
          <w:rFonts w:ascii="宋体" w:hAnsi="宋体" w:cs="宋体" w:eastAsia="宋体" w:hint="default"/>
        </w:rPr>
        <w:t>2</w:t>
      </w:r>
      <w:r>
        <w:rPr/>
        <w:t>）期末应付职工薪酬中无属于拖欠性质的款项。</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w:t>
      </w:r>
      <w:r>
        <w:rPr>
          <w:rFonts w:ascii="宋体" w:hAnsi="宋体" w:cs="宋体" w:eastAsia="宋体" w:hint="default"/>
        </w:rPr>
        <w:t>3</w:t>
      </w:r>
      <w:r>
        <w:rPr/>
        <w:t>）期末工资、奖金、津贴和补贴余额，公司已于</w:t>
      </w:r>
      <w:r>
        <w:rPr>
          <w:spacing w:val="-44"/>
        </w:rPr>
        <w:t> </w:t>
      </w:r>
      <w:r>
        <w:rPr>
          <w:rFonts w:ascii="宋体" w:hAnsi="宋体" w:cs="宋体" w:eastAsia="宋体" w:hint="default"/>
        </w:rPr>
        <w:t>2013</w:t>
      </w:r>
      <w:r>
        <w:rPr>
          <w:rFonts w:ascii="宋体" w:hAnsi="宋体" w:cs="宋体" w:eastAsia="宋体" w:hint="default"/>
          <w:spacing w:val="-46"/>
        </w:rPr>
        <w:t> </w:t>
      </w:r>
      <w:r>
        <w:rPr/>
        <w:t>年</w:t>
      </w:r>
      <w:r>
        <w:rPr>
          <w:spacing w:val="-45"/>
        </w:rPr>
        <w:t> </w:t>
      </w:r>
      <w:r>
        <w:rPr>
          <w:rFonts w:ascii="宋体" w:hAnsi="宋体" w:cs="宋体" w:eastAsia="宋体" w:hint="default"/>
        </w:rPr>
        <w:t>1</w:t>
      </w:r>
      <w:r>
        <w:rPr>
          <w:rFonts w:ascii="宋体" w:hAnsi="宋体" w:cs="宋体" w:eastAsia="宋体" w:hint="default"/>
          <w:spacing w:val="-46"/>
        </w:rPr>
        <w:t> </w:t>
      </w:r>
      <w:r>
        <w:rPr/>
        <w:t>月</w:t>
      </w:r>
      <w:r>
        <w:rPr>
          <w:spacing w:val="-45"/>
        </w:rPr>
        <w:t> </w:t>
      </w:r>
      <w:r>
        <w:rPr>
          <w:rFonts w:ascii="宋体" w:hAnsi="宋体" w:cs="宋体" w:eastAsia="宋体" w:hint="default"/>
        </w:rPr>
        <w:t>8</w:t>
      </w:r>
      <w:r>
        <w:rPr>
          <w:rFonts w:ascii="宋体" w:hAnsi="宋体" w:cs="宋体" w:eastAsia="宋体" w:hint="default"/>
          <w:spacing w:val="-44"/>
        </w:rPr>
        <w:t> </w:t>
      </w:r>
      <w:r>
        <w:rPr/>
        <w:t>日发放完毕。</w:t>
      </w:r>
    </w:p>
    <w:p>
      <w:pPr>
        <w:spacing w:line="240" w:lineRule="auto" w:before="1"/>
        <w:rPr>
          <w:rFonts w:ascii="宋体" w:hAnsi="宋体" w:cs="宋体" w:eastAsia="宋体" w:hint="default"/>
          <w:sz w:val="16"/>
          <w:szCs w:val="16"/>
        </w:rPr>
      </w:pPr>
    </w:p>
    <w:p>
      <w:pPr>
        <w:pStyle w:val="BodyText"/>
        <w:spacing w:line="316" w:lineRule="auto"/>
        <w:ind w:right="1123" w:firstLine="360"/>
        <w:jc w:val="left"/>
      </w:pPr>
      <w:r>
        <w:rPr/>
        <w:t>（</w:t>
      </w:r>
      <w:r>
        <w:rPr>
          <w:rFonts w:ascii="宋体" w:hAnsi="宋体" w:cs="宋体" w:eastAsia="宋体" w:hint="default"/>
        </w:rPr>
        <w:t>4</w:t>
      </w:r>
      <w:r>
        <w:rPr/>
        <w:t>）期末应付职工薪酬金额较期初增加</w:t>
      </w:r>
      <w:r>
        <w:rPr>
          <w:spacing w:val="-55"/>
        </w:rPr>
        <w:t> </w:t>
      </w:r>
      <w:r>
        <w:rPr>
          <w:rFonts w:ascii="宋体" w:hAnsi="宋体" w:cs="宋体" w:eastAsia="宋体" w:hint="default"/>
        </w:rPr>
        <w:t>807,502.65</w:t>
      </w:r>
      <w:r>
        <w:rPr>
          <w:rFonts w:ascii="宋体" w:hAnsi="宋体" w:cs="宋体" w:eastAsia="宋体" w:hint="default"/>
          <w:spacing w:val="-54"/>
        </w:rPr>
        <w:t> </w:t>
      </w:r>
      <w:r>
        <w:rPr>
          <w:spacing w:val="-4"/>
        </w:rPr>
        <w:t>元，增长</w:t>
      </w:r>
      <w:r>
        <w:rPr>
          <w:spacing w:val="-54"/>
        </w:rPr>
        <w:t> </w:t>
      </w:r>
      <w:r>
        <w:rPr>
          <w:rFonts w:ascii="宋体" w:hAnsi="宋体" w:cs="宋体" w:eastAsia="宋体" w:hint="default"/>
        </w:rPr>
        <w:t>132.09%</w:t>
      </w:r>
      <w:r>
        <w:rPr/>
        <w:t>，系本期计提的工资尚未发放完毕，同时工会经 费、职工教育经费存有余额所致。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BodyText"/>
        <w:spacing w:line="240" w:lineRule="auto"/>
        <w:ind w:left="513" w:right="981"/>
        <w:jc w:val="left"/>
      </w:pPr>
      <w:r>
        <w:rPr>
          <w:rFonts w:ascii="宋体" w:hAnsi="宋体" w:cs="宋体" w:eastAsia="宋体" w:hint="default"/>
        </w:rPr>
        <w:t>19.</w:t>
      </w:r>
      <w:r>
        <w:rPr/>
        <w:t>应交税费</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w:t>
      </w:r>
      <w:r>
        <w:rPr>
          <w:rFonts w:ascii="宋体" w:hAnsi="宋体" w:cs="宋体" w:eastAsia="宋体" w:hint="default"/>
        </w:rPr>
        <w:t>1</w:t>
      </w:r>
      <w:r>
        <w:rPr/>
        <w:t>）分类列示</w:t>
      </w:r>
    </w:p>
    <w:p>
      <w:pPr>
        <w:spacing w:line="240" w:lineRule="auto" w:before="9"/>
        <w:rPr>
          <w:rFonts w:ascii="宋体" w:hAnsi="宋体" w:cs="宋体" w:eastAsia="宋体" w:hint="default"/>
          <w:sz w:val="23"/>
          <w:szCs w:val="23"/>
        </w:rPr>
      </w:pPr>
    </w:p>
    <w:tbl>
      <w:tblPr>
        <w:tblW w:w="0" w:type="auto"/>
        <w:jc w:val="left"/>
        <w:tblInd w:w="152" w:type="dxa"/>
        <w:tblLayout w:type="fixed"/>
        <w:tblCellMar>
          <w:top w:w="0" w:type="dxa"/>
          <w:left w:w="0" w:type="dxa"/>
          <w:bottom w:w="0" w:type="dxa"/>
          <w:right w:w="0" w:type="dxa"/>
        </w:tblCellMar>
        <w:tblLook w:val="01E0"/>
      </w:tblPr>
      <w:tblGrid>
        <w:gridCol w:w="657"/>
        <w:gridCol w:w="2829"/>
        <w:gridCol w:w="3473"/>
        <w:gridCol w:w="2406"/>
      </w:tblGrid>
      <w:tr>
        <w:trPr>
          <w:trHeight w:val="296" w:hRule="exact"/>
        </w:trPr>
        <w:tc>
          <w:tcPr>
            <w:tcW w:w="657" w:type="dxa"/>
            <w:tcBorders>
              <w:top w:val="nil" w:sz="6" w:space="0" w:color="auto"/>
              <w:left w:val="nil" w:sz="6" w:space="0" w:color="auto"/>
              <w:bottom w:val="single" w:sz="4" w:space="0" w:color="000000"/>
              <w:right w:val="nil" w:sz="6" w:space="0" w:color="auto"/>
            </w:tcBorders>
          </w:tcPr>
          <w:p>
            <w:pPr>
              <w:pStyle w:val="TableParagraph"/>
              <w:spacing w:line="180" w:lineRule="exact"/>
              <w:ind w:left="158"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829" w:type="dxa"/>
            <w:tcBorders>
              <w:top w:val="nil" w:sz="6" w:space="0" w:color="auto"/>
              <w:left w:val="nil" w:sz="6" w:space="0" w:color="auto"/>
              <w:bottom w:val="single" w:sz="4" w:space="0" w:color="000000"/>
              <w:right w:val="nil" w:sz="6" w:space="0" w:color="auto"/>
            </w:tcBorders>
          </w:tcPr>
          <w:p>
            <w:pPr>
              <w:pStyle w:val="TableParagraph"/>
              <w:spacing w:line="180" w:lineRule="exact"/>
              <w:ind w:left="116" w:right="0"/>
              <w:jc w:val="center"/>
              <w:rPr>
                <w:rFonts w:ascii="宋体" w:hAnsi="宋体" w:cs="宋体" w:eastAsia="宋体" w:hint="default"/>
                <w:sz w:val="18"/>
                <w:szCs w:val="18"/>
              </w:rPr>
            </w:pPr>
            <w:r>
              <w:rPr>
                <w:rFonts w:ascii="宋体" w:hAnsi="宋体" w:cs="宋体" w:eastAsia="宋体" w:hint="default"/>
                <w:b/>
                <w:bCs/>
                <w:sz w:val="18"/>
                <w:szCs w:val="18"/>
              </w:rPr>
              <w:t>税种</w:t>
            </w:r>
            <w:r>
              <w:rPr>
                <w:rFonts w:ascii="宋体" w:hAnsi="宋体" w:cs="宋体" w:eastAsia="宋体" w:hint="default"/>
                <w:sz w:val="18"/>
                <w:szCs w:val="18"/>
              </w:rPr>
            </w:r>
          </w:p>
        </w:tc>
        <w:tc>
          <w:tcPr>
            <w:tcW w:w="3473" w:type="dxa"/>
            <w:tcBorders>
              <w:top w:val="nil" w:sz="6" w:space="0" w:color="auto"/>
              <w:left w:val="nil" w:sz="6" w:space="0" w:color="auto"/>
              <w:bottom w:val="single" w:sz="4" w:space="0" w:color="000000"/>
              <w:right w:val="nil" w:sz="6" w:space="0" w:color="auto"/>
            </w:tcBorders>
          </w:tcPr>
          <w:p>
            <w:pPr>
              <w:pStyle w:val="TableParagraph"/>
              <w:spacing w:line="180" w:lineRule="exact"/>
              <w:ind w:right="40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406" w:type="dxa"/>
            <w:tcBorders>
              <w:top w:val="nil" w:sz="6" w:space="0" w:color="auto"/>
              <w:left w:val="nil" w:sz="6" w:space="0" w:color="auto"/>
              <w:bottom w:val="single" w:sz="4" w:space="0" w:color="000000"/>
              <w:right w:val="nil" w:sz="6" w:space="0" w:color="auto"/>
            </w:tcBorders>
          </w:tcPr>
          <w:p>
            <w:pPr>
              <w:pStyle w:val="TableParagraph"/>
              <w:spacing w:line="180" w:lineRule="exact"/>
              <w:ind w:left="598"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94" w:hRule="exact"/>
        </w:trPr>
        <w:tc>
          <w:tcPr>
            <w:tcW w:w="65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sz w:val="18"/>
              </w:rPr>
              <w:t>1</w:t>
            </w:r>
          </w:p>
        </w:tc>
        <w:tc>
          <w:tcPr>
            <w:tcW w:w="282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3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47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597"/>
              <w:jc w:val="right"/>
              <w:rPr>
                <w:rFonts w:ascii="宋体" w:hAnsi="宋体" w:cs="宋体" w:eastAsia="宋体" w:hint="default"/>
                <w:sz w:val="18"/>
                <w:szCs w:val="18"/>
              </w:rPr>
            </w:pPr>
            <w:r>
              <w:rPr>
                <w:rFonts w:ascii="宋体"/>
                <w:spacing w:val="-1"/>
                <w:sz w:val="18"/>
              </w:rPr>
              <w:t>-510,782.22</w:t>
            </w:r>
          </w:p>
        </w:tc>
        <w:tc>
          <w:tcPr>
            <w:tcW w:w="240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-841,560.82</w:t>
            </w:r>
          </w:p>
        </w:tc>
      </w:tr>
      <w:tr>
        <w:trPr>
          <w:trHeight w:val="393" w:hRule="exact"/>
        </w:trPr>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sz w:val="18"/>
              </w:rPr>
              <w:t>2</w:t>
            </w:r>
          </w:p>
        </w:tc>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3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47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596"/>
              <w:jc w:val="right"/>
              <w:rPr>
                <w:rFonts w:ascii="宋体" w:hAnsi="宋体" w:cs="宋体" w:eastAsia="宋体" w:hint="default"/>
                <w:sz w:val="18"/>
                <w:szCs w:val="18"/>
              </w:rPr>
            </w:pPr>
            <w:r>
              <w:rPr>
                <w:rFonts w:ascii="宋体"/>
                <w:spacing w:val="-1"/>
                <w:sz w:val="18"/>
              </w:rPr>
              <w:t>563,720.99</w:t>
            </w:r>
          </w:p>
        </w:tc>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2"/>
              <w:jc w:val="right"/>
              <w:rPr>
                <w:rFonts w:ascii="宋体" w:hAnsi="宋体" w:cs="宋体" w:eastAsia="宋体" w:hint="default"/>
                <w:sz w:val="18"/>
                <w:szCs w:val="18"/>
              </w:rPr>
            </w:pPr>
            <w:r>
              <w:rPr>
                <w:rFonts w:ascii="宋体"/>
                <w:spacing w:val="-1"/>
                <w:sz w:val="18"/>
              </w:rPr>
              <w:t>676,710.92</w:t>
            </w:r>
          </w:p>
        </w:tc>
      </w:tr>
      <w:tr>
        <w:trPr>
          <w:trHeight w:val="397" w:hRule="exact"/>
        </w:trPr>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sz w:val="18"/>
              </w:rPr>
              <w:t>3</w:t>
            </w:r>
          </w:p>
        </w:tc>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3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4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97"/>
              <w:jc w:val="right"/>
              <w:rPr>
                <w:rFonts w:ascii="宋体" w:hAnsi="宋体" w:cs="宋体" w:eastAsia="宋体" w:hint="default"/>
                <w:sz w:val="18"/>
                <w:szCs w:val="18"/>
              </w:rPr>
            </w:pPr>
            <w:r>
              <w:rPr>
                <w:rFonts w:ascii="宋体"/>
                <w:spacing w:val="-1"/>
                <w:sz w:val="18"/>
              </w:rPr>
              <w:t>11,609,058.83</w:t>
            </w:r>
          </w:p>
        </w:tc>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4,115,088.07</w:t>
            </w:r>
          </w:p>
        </w:tc>
      </w:tr>
      <w:tr>
        <w:trPr>
          <w:trHeight w:val="397" w:hRule="exact"/>
        </w:trPr>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sz w:val="18"/>
              </w:rPr>
              <w:t>4</w:t>
            </w:r>
          </w:p>
        </w:tc>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47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97"/>
              <w:jc w:val="right"/>
              <w:rPr>
                <w:rFonts w:ascii="宋体" w:hAnsi="宋体" w:cs="宋体" w:eastAsia="宋体" w:hint="default"/>
                <w:sz w:val="18"/>
                <w:szCs w:val="18"/>
              </w:rPr>
            </w:pPr>
            <w:r>
              <w:rPr>
                <w:rFonts w:ascii="宋体"/>
                <w:spacing w:val="-1"/>
                <w:sz w:val="18"/>
              </w:rPr>
              <w:t>566,936.81</w:t>
            </w:r>
          </w:p>
        </w:tc>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239,714.29</w:t>
            </w:r>
          </w:p>
        </w:tc>
      </w:tr>
      <w:tr>
        <w:trPr>
          <w:trHeight w:val="413" w:hRule="exact"/>
        </w:trPr>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sz w:val="18"/>
              </w:rPr>
              <w:t>5</w:t>
            </w:r>
          </w:p>
        </w:tc>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3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4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97"/>
              <w:jc w:val="right"/>
              <w:rPr>
                <w:rFonts w:ascii="宋体" w:hAnsi="宋体" w:cs="宋体" w:eastAsia="宋体" w:hint="default"/>
                <w:sz w:val="18"/>
                <w:szCs w:val="18"/>
              </w:rPr>
            </w:pPr>
            <w:r>
              <w:rPr>
                <w:rFonts w:ascii="宋体"/>
                <w:spacing w:val="-1"/>
                <w:sz w:val="18"/>
              </w:rPr>
              <w:t>1,960,826.93</w:t>
            </w:r>
          </w:p>
        </w:tc>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587,410.08</w:t>
            </w:r>
          </w:p>
        </w:tc>
      </w:tr>
      <w:tr>
        <w:trPr>
          <w:trHeight w:val="428" w:hRule="exact"/>
        </w:trPr>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sz w:val="18"/>
              </w:rPr>
              <w:t>6</w:t>
            </w:r>
          </w:p>
        </w:tc>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3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47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597"/>
              <w:jc w:val="right"/>
              <w:rPr>
                <w:rFonts w:ascii="宋体" w:hAnsi="宋体" w:cs="宋体" w:eastAsia="宋体" w:hint="default"/>
                <w:sz w:val="18"/>
                <w:szCs w:val="18"/>
              </w:rPr>
            </w:pPr>
            <w:r>
              <w:rPr>
                <w:rFonts w:ascii="宋体"/>
                <w:spacing w:val="-1"/>
                <w:sz w:val="18"/>
              </w:rPr>
              <w:t>339,147.41</w:t>
            </w:r>
          </w:p>
        </w:tc>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3"/>
              <w:jc w:val="right"/>
              <w:rPr>
                <w:rFonts w:ascii="宋体" w:hAnsi="宋体" w:cs="宋体" w:eastAsia="宋体" w:hint="default"/>
                <w:sz w:val="18"/>
                <w:szCs w:val="18"/>
              </w:rPr>
            </w:pPr>
            <w:r>
              <w:rPr>
                <w:rFonts w:ascii="宋体"/>
                <w:spacing w:val="-1"/>
                <w:sz w:val="18"/>
              </w:rPr>
              <w:t>108,440.88</w:t>
            </w:r>
          </w:p>
        </w:tc>
      </w:tr>
      <w:tr>
        <w:trPr>
          <w:trHeight w:val="413" w:hRule="exact"/>
        </w:trPr>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07" w:right="0"/>
              <w:jc w:val="left"/>
              <w:rPr>
                <w:rFonts w:ascii="宋体" w:hAnsi="宋体" w:cs="宋体" w:eastAsia="宋体" w:hint="default"/>
                <w:sz w:val="18"/>
                <w:szCs w:val="18"/>
              </w:rPr>
            </w:pPr>
            <w:r>
              <w:rPr>
                <w:rFonts w:ascii="宋体"/>
                <w:sz w:val="18"/>
              </w:rPr>
              <w:t>7</w:t>
            </w:r>
          </w:p>
        </w:tc>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3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47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596"/>
              <w:jc w:val="right"/>
              <w:rPr>
                <w:rFonts w:ascii="宋体" w:hAnsi="宋体" w:cs="宋体" w:eastAsia="宋体" w:hint="default"/>
                <w:sz w:val="18"/>
                <w:szCs w:val="18"/>
              </w:rPr>
            </w:pPr>
            <w:r>
              <w:rPr>
                <w:rFonts w:ascii="宋体"/>
                <w:spacing w:val="-1"/>
                <w:sz w:val="18"/>
              </w:rPr>
              <w:t>84,072.76</w:t>
            </w:r>
          </w:p>
        </w:tc>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2"/>
              <w:jc w:val="right"/>
              <w:rPr>
                <w:rFonts w:ascii="宋体" w:hAnsi="宋体" w:cs="宋体" w:eastAsia="宋体" w:hint="default"/>
                <w:sz w:val="18"/>
                <w:szCs w:val="18"/>
              </w:rPr>
            </w:pPr>
            <w:r>
              <w:rPr>
                <w:rFonts w:ascii="宋体"/>
                <w:spacing w:val="-1"/>
                <w:sz w:val="18"/>
              </w:rPr>
              <w:t>-31,172.58</w:t>
            </w:r>
          </w:p>
        </w:tc>
      </w:tr>
      <w:tr>
        <w:trPr>
          <w:trHeight w:val="289" w:hRule="exact"/>
        </w:trPr>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sz w:val="18"/>
              </w:rPr>
              <w:t>8</w:t>
            </w:r>
          </w:p>
        </w:tc>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3"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47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96"/>
              <w:jc w:val="right"/>
              <w:rPr>
                <w:rFonts w:ascii="宋体" w:hAnsi="宋体" w:cs="宋体" w:eastAsia="宋体" w:hint="default"/>
                <w:sz w:val="18"/>
                <w:szCs w:val="18"/>
              </w:rPr>
            </w:pPr>
            <w:r>
              <w:rPr>
                <w:rFonts w:ascii="宋体"/>
                <w:spacing w:val="-1"/>
                <w:sz w:val="18"/>
              </w:rPr>
              <w:t>2,389.50</w:t>
            </w:r>
          </w:p>
        </w:tc>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-18,957.56</w:t>
            </w:r>
          </w:p>
        </w:tc>
      </w:tr>
    </w:tbl>
    <w:p>
      <w:pPr>
        <w:spacing w:after="0" w:line="240" w:lineRule="auto"/>
        <w:jc w:val="right"/>
        <w:rPr>
          <w:rFonts w:ascii="宋体" w:hAnsi="宋体" w:cs="宋体" w:eastAsia="宋体" w:hint="default"/>
          <w:sz w:val="18"/>
          <w:szCs w:val="18"/>
        </w:rPr>
        <w:sectPr>
          <w:pgSz w:w="11910" w:h="16840"/>
          <w:pgMar w:header="877" w:footer="1332" w:top="1100" w:bottom="152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2"/>
          <w:szCs w:val="12"/>
        </w:rPr>
      </w:pPr>
    </w:p>
    <w:tbl>
      <w:tblPr>
        <w:tblW w:w="0" w:type="auto"/>
        <w:jc w:val="left"/>
        <w:tblInd w:w="192" w:type="dxa"/>
        <w:tblLayout w:type="fixed"/>
        <w:tblCellMar>
          <w:top w:w="0" w:type="dxa"/>
          <w:left w:w="0" w:type="dxa"/>
          <w:bottom w:w="0" w:type="dxa"/>
          <w:right w:w="0" w:type="dxa"/>
        </w:tblCellMar>
        <w:tblLook w:val="01E0"/>
      </w:tblPr>
      <w:tblGrid>
        <w:gridCol w:w="1235"/>
        <w:gridCol w:w="2250"/>
        <w:gridCol w:w="2874"/>
        <w:gridCol w:w="3005"/>
      </w:tblGrid>
      <w:tr>
        <w:trPr>
          <w:trHeight w:val="294" w:hRule="exact"/>
        </w:trPr>
        <w:tc>
          <w:tcPr>
            <w:tcW w:w="1235" w:type="dxa"/>
            <w:tcBorders>
              <w:top w:val="nil" w:sz="6" w:space="0" w:color="auto"/>
              <w:left w:val="nil" w:sz="6" w:space="0" w:color="auto"/>
              <w:bottom w:val="single" w:sz="4" w:space="0" w:color="000000"/>
              <w:right w:val="nil" w:sz="6" w:space="0" w:color="auto"/>
            </w:tcBorders>
          </w:tcPr>
          <w:p>
            <w:pPr>
              <w:pStyle w:val="TableParagraph"/>
              <w:spacing w:line="180" w:lineRule="exact"/>
              <w:ind w:left="158"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250" w:type="dxa"/>
            <w:tcBorders>
              <w:top w:val="nil" w:sz="6" w:space="0" w:color="auto"/>
              <w:left w:val="nil" w:sz="6" w:space="0" w:color="auto"/>
              <w:bottom w:val="single" w:sz="4" w:space="0" w:color="000000"/>
              <w:right w:val="nil" w:sz="6" w:space="0" w:color="auto"/>
            </w:tcBorders>
          </w:tcPr>
          <w:p>
            <w:pPr>
              <w:pStyle w:val="TableParagraph"/>
              <w:spacing w:line="180" w:lineRule="exact"/>
              <w:ind w:left="711" w:right="0"/>
              <w:jc w:val="left"/>
              <w:rPr>
                <w:rFonts w:ascii="宋体" w:hAnsi="宋体" w:cs="宋体" w:eastAsia="宋体" w:hint="default"/>
                <w:sz w:val="18"/>
                <w:szCs w:val="18"/>
              </w:rPr>
            </w:pPr>
            <w:r>
              <w:rPr>
                <w:rFonts w:ascii="宋体" w:hAnsi="宋体" w:cs="宋体" w:eastAsia="宋体" w:hint="default"/>
                <w:b/>
                <w:bCs/>
                <w:sz w:val="18"/>
                <w:szCs w:val="18"/>
              </w:rPr>
              <w:t>税种</w:t>
            </w:r>
            <w:r>
              <w:rPr>
                <w:rFonts w:ascii="宋体" w:hAnsi="宋体" w:cs="宋体" w:eastAsia="宋体" w:hint="default"/>
                <w:sz w:val="18"/>
                <w:szCs w:val="18"/>
              </w:rPr>
            </w:r>
          </w:p>
        </w:tc>
        <w:tc>
          <w:tcPr>
            <w:tcW w:w="2874" w:type="dxa"/>
            <w:tcBorders>
              <w:top w:val="nil" w:sz="6" w:space="0" w:color="auto"/>
              <w:left w:val="nil" w:sz="6" w:space="0" w:color="auto"/>
              <w:bottom w:val="single" w:sz="4" w:space="0" w:color="000000"/>
              <w:right w:val="nil" w:sz="6" w:space="0" w:color="auto"/>
            </w:tcBorders>
          </w:tcPr>
          <w:p>
            <w:pPr>
              <w:pStyle w:val="TableParagraph"/>
              <w:spacing w:line="180" w:lineRule="exact"/>
              <w:ind w:left="196"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005" w:type="dxa"/>
            <w:tcBorders>
              <w:top w:val="nil" w:sz="6" w:space="0" w:color="auto"/>
              <w:left w:val="nil" w:sz="6" w:space="0" w:color="auto"/>
              <w:bottom w:val="single" w:sz="4" w:space="0" w:color="000000"/>
              <w:right w:val="nil" w:sz="6" w:space="0" w:color="auto"/>
            </w:tcBorders>
          </w:tcPr>
          <w:p>
            <w:pPr>
              <w:pStyle w:val="TableParagraph"/>
              <w:spacing w:line="180" w:lineRule="exact"/>
              <w:ind w:left="112"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12" w:hRule="exact"/>
        </w:trPr>
        <w:tc>
          <w:tcPr>
            <w:tcW w:w="123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0" w:type="dxa"/>
            <w:tcBorders>
              <w:top w:val="single" w:sz="4" w:space="0" w:color="000000"/>
              <w:left w:val="nil" w:sz="6" w:space="0" w:color="auto"/>
              <w:bottom w:val="nil" w:sz="6" w:space="0" w:color="auto"/>
              <w:right w:val="nil" w:sz="6" w:space="0" w:color="auto"/>
            </w:tcBorders>
          </w:tcPr>
          <w:p>
            <w:pPr/>
          </w:p>
        </w:tc>
        <w:tc>
          <w:tcPr>
            <w:tcW w:w="2874"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left="1702" w:right="0"/>
              <w:jc w:val="left"/>
              <w:rPr>
                <w:rFonts w:ascii="宋体" w:hAnsi="宋体" w:cs="宋体" w:eastAsia="宋体" w:hint="default"/>
                <w:sz w:val="18"/>
                <w:szCs w:val="18"/>
              </w:rPr>
            </w:pPr>
            <w:r>
              <w:rPr>
                <w:rFonts w:ascii="宋体"/>
                <w:sz w:val="18"/>
              </w:rPr>
              <w:t>14,615,371.01</w:t>
            </w:r>
          </w:p>
        </w:tc>
        <w:tc>
          <w:tcPr>
            <w:tcW w:w="3005"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left="1819" w:right="0"/>
              <w:jc w:val="left"/>
              <w:rPr>
                <w:rFonts w:ascii="宋体" w:hAnsi="宋体" w:cs="宋体" w:eastAsia="宋体" w:hint="default"/>
                <w:sz w:val="18"/>
                <w:szCs w:val="18"/>
              </w:rPr>
            </w:pPr>
            <w:r>
              <w:rPr>
                <w:rFonts w:ascii="宋体"/>
                <w:sz w:val="18"/>
              </w:rPr>
              <w:t>4,835,673.28</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300" w:lineRule="auto"/>
        <w:ind w:left="192" w:right="1123" w:firstLine="360"/>
        <w:jc w:val="left"/>
      </w:pPr>
      <w:r>
        <w:rPr/>
        <w:t>（</w:t>
      </w:r>
      <w:r>
        <w:rPr>
          <w:rFonts w:ascii="Times New Roman" w:hAnsi="Times New Roman" w:cs="Times New Roman" w:eastAsia="Times New Roman" w:hint="default"/>
        </w:rPr>
        <w:t>2</w:t>
      </w:r>
      <w:r>
        <w:rPr/>
        <w:t>）期末应交税费余额较期初增加</w:t>
      </w:r>
      <w:r>
        <w:rPr>
          <w:spacing w:val="-54"/>
        </w:rPr>
        <w:t> </w:t>
      </w:r>
      <w:r>
        <w:rPr>
          <w:rFonts w:ascii="宋体" w:hAnsi="宋体" w:cs="宋体" w:eastAsia="宋体" w:hint="default"/>
        </w:rPr>
        <w:t>9,779,697.73</w:t>
      </w:r>
      <w:r>
        <w:rPr>
          <w:rFonts w:ascii="宋体" w:hAnsi="宋体" w:cs="宋体" w:eastAsia="宋体" w:hint="default"/>
          <w:spacing w:val="-54"/>
        </w:rPr>
        <w:t> </w:t>
      </w:r>
      <w:r>
        <w:rPr>
          <w:spacing w:val="-4"/>
        </w:rPr>
        <w:t>元，增长</w:t>
      </w:r>
      <w:r>
        <w:rPr>
          <w:spacing w:val="-55"/>
        </w:rPr>
        <w:t> </w:t>
      </w:r>
      <w:r>
        <w:rPr>
          <w:rFonts w:ascii="宋体" w:hAnsi="宋体" w:cs="宋体" w:eastAsia="宋体" w:hint="default"/>
        </w:rPr>
        <w:t>202.24%</w:t>
      </w:r>
      <w:r>
        <w:rPr/>
        <w:t>，主要系公司部分外地项目由业主代扣代交营业税 及附加</w:t>
      </w:r>
      <w:r>
        <w:rPr>
          <w:rFonts w:ascii="宋体" w:hAnsi="宋体" w:cs="宋体" w:eastAsia="宋体" w:hint="default"/>
        </w:rPr>
        <w:t>,</w:t>
      </w:r>
      <w:r>
        <w:rPr/>
        <w:t>在报告期内业主未申报上缴</w:t>
      </w:r>
      <w:r>
        <w:rPr>
          <w:rFonts w:ascii="宋体" w:hAnsi="宋体" w:cs="宋体" w:eastAsia="宋体" w:hint="default"/>
        </w:rPr>
        <w:t>,</w:t>
      </w:r>
      <w:r>
        <w:rPr/>
        <w:t>导致公司期末未交税费余额较大。</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BodyText"/>
        <w:spacing w:line="240" w:lineRule="auto"/>
        <w:ind w:left="553" w:right="1123"/>
        <w:jc w:val="left"/>
      </w:pPr>
      <w:r>
        <w:rPr>
          <w:rFonts w:ascii="宋体" w:hAnsi="宋体" w:cs="宋体" w:eastAsia="宋体" w:hint="default"/>
        </w:rPr>
        <w:t>20.</w:t>
      </w:r>
      <w:r>
        <w:rPr/>
        <w:t>其他应付款</w:t>
      </w:r>
    </w:p>
    <w:p>
      <w:pPr>
        <w:spacing w:line="240" w:lineRule="auto" w:before="2"/>
        <w:rPr>
          <w:rFonts w:ascii="宋体" w:hAnsi="宋体" w:cs="宋体" w:eastAsia="宋体" w:hint="default"/>
          <w:sz w:val="22"/>
          <w:szCs w:val="22"/>
        </w:rPr>
      </w:pPr>
    </w:p>
    <w:p>
      <w:pPr>
        <w:pStyle w:val="BodyText"/>
        <w:spacing w:line="240" w:lineRule="auto"/>
        <w:ind w:left="553" w:right="1123"/>
        <w:jc w:val="left"/>
      </w:pPr>
      <w:r>
        <w:rPr/>
        <w:t>（</w:t>
      </w:r>
      <w:r>
        <w:rPr>
          <w:rFonts w:ascii="宋体" w:hAnsi="宋体" w:cs="宋体" w:eastAsia="宋体" w:hint="default"/>
        </w:rPr>
        <w:t>1</w:t>
      </w:r>
      <w:r>
        <w:rPr/>
        <w:t>）其他应付款期末余额</w:t>
      </w:r>
      <w:r>
        <w:rPr>
          <w:spacing w:val="-47"/>
        </w:rPr>
        <w:t> </w:t>
      </w:r>
      <w:r>
        <w:rPr>
          <w:rFonts w:ascii="宋体" w:hAnsi="宋体" w:cs="宋体" w:eastAsia="宋体" w:hint="default"/>
        </w:rPr>
        <w:t>625,031.77</w:t>
      </w:r>
      <w:r>
        <w:rPr>
          <w:rFonts w:ascii="宋体" w:hAnsi="宋体" w:cs="宋体" w:eastAsia="宋体" w:hint="default"/>
          <w:spacing w:val="-45"/>
        </w:rPr>
        <w:t> </w:t>
      </w:r>
      <w:r>
        <w:rPr/>
        <w:t>元，无账龄超过</w:t>
      </w:r>
      <w:r>
        <w:rPr>
          <w:spacing w:val="-49"/>
        </w:rPr>
        <w:t> </w:t>
      </w:r>
      <w:r>
        <w:rPr>
          <w:rFonts w:ascii="宋体" w:hAnsi="宋体" w:cs="宋体" w:eastAsia="宋体" w:hint="default"/>
        </w:rPr>
        <w:t>1</w:t>
      </w:r>
      <w:r>
        <w:rPr>
          <w:rFonts w:ascii="宋体" w:hAnsi="宋体" w:cs="宋体" w:eastAsia="宋体" w:hint="default"/>
          <w:spacing w:val="-46"/>
        </w:rPr>
        <w:t> </w:t>
      </w:r>
      <w:r>
        <w:rPr/>
        <w:t>年的大额其他应付款。</w:t>
      </w:r>
    </w:p>
    <w:p>
      <w:pPr>
        <w:spacing w:line="240" w:lineRule="auto" w:before="9"/>
        <w:rPr>
          <w:rFonts w:ascii="宋体" w:hAnsi="宋体" w:cs="宋体" w:eastAsia="宋体" w:hint="default"/>
          <w:sz w:val="20"/>
          <w:szCs w:val="20"/>
        </w:rPr>
      </w:pPr>
    </w:p>
    <w:p>
      <w:pPr>
        <w:pStyle w:val="BodyText"/>
        <w:spacing w:line="477" w:lineRule="auto"/>
        <w:ind w:left="553" w:right="1120"/>
        <w:jc w:val="left"/>
      </w:pPr>
      <w:r>
        <w:rPr>
          <w:spacing w:val="-1"/>
        </w:rPr>
        <w:t>（</w:t>
      </w:r>
      <w:r>
        <w:rPr>
          <w:rFonts w:ascii="宋体" w:hAnsi="宋体" w:cs="宋体" w:eastAsia="宋体" w:hint="default"/>
          <w:spacing w:val="-1"/>
        </w:rPr>
        <w:t>2</w:t>
      </w:r>
      <w:r>
        <w:rPr>
          <w:spacing w:val="-1"/>
        </w:rPr>
        <w:t>）期末其他应付款中无欠持本公司</w:t>
      </w:r>
      <w:r>
        <w:rPr>
          <w:spacing w:val="-38"/>
        </w:rPr>
        <w:t> </w:t>
      </w:r>
      <w:r>
        <w:rPr>
          <w:rFonts w:ascii="宋体" w:hAnsi="宋体" w:cs="宋体" w:eastAsia="宋体" w:hint="default"/>
          <w:spacing w:val="-3"/>
        </w:rPr>
        <w:t>5</w:t>
      </w:r>
      <w:r>
        <w:rPr>
          <w:spacing w:val="-3"/>
        </w:rPr>
        <w:t>％以上（含</w:t>
      </w:r>
      <w:r>
        <w:rPr>
          <w:spacing w:val="-39"/>
        </w:rPr>
        <w:t> </w:t>
      </w:r>
      <w:r>
        <w:rPr>
          <w:rFonts w:ascii="宋体" w:hAnsi="宋体" w:cs="宋体" w:eastAsia="宋体" w:hint="default"/>
          <w:spacing w:val="-5"/>
        </w:rPr>
        <w:t>5</w:t>
      </w:r>
      <w:r>
        <w:rPr>
          <w:spacing w:val="-5"/>
        </w:rPr>
        <w:t>％）表决权股份的股东单位款项。（</w:t>
      </w:r>
      <w:r>
        <w:rPr>
          <w:rFonts w:ascii="宋体" w:hAnsi="宋体" w:cs="宋体" w:eastAsia="宋体" w:hint="default"/>
          <w:spacing w:val="-5"/>
        </w:rPr>
        <w:t>3</w:t>
      </w:r>
      <w:r>
        <w:rPr>
          <w:spacing w:val="-5"/>
        </w:rPr>
        <w:t>）期末其他应付款中无欠关联</w:t>
      </w:r>
      <w:r>
        <w:rPr/>
        <w:t> 方款项。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3"/>
        <w:ind w:left="553" w:right="1123"/>
        <w:jc w:val="left"/>
      </w:pPr>
      <w:r>
        <w:rPr>
          <w:rFonts w:ascii="宋体" w:hAnsi="宋体" w:cs="宋体" w:eastAsia="宋体" w:hint="default"/>
        </w:rPr>
        <w:t>21.</w:t>
      </w:r>
      <w:r>
        <w:rPr/>
        <w:t>股本（金额单位：人民币万元）</w:t>
      </w:r>
    </w:p>
    <w:p>
      <w:pPr>
        <w:spacing w:line="240" w:lineRule="auto" w:before="9"/>
        <w:rPr>
          <w:rFonts w:ascii="宋体" w:hAnsi="宋体" w:cs="宋体" w:eastAsia="宋体" w:hint="default"/>
          <w:sz w:val="23"/>
          <w:szCs w:val="23"/>
        </w:rPr>
      </w:pPr>
    </w:p>
    <w:tbl>
      <w:tblPr>
        <w:tblW w:w="0" w:type="auto"/>
        <w:jc w:val="left"/>
        <w:tblInd w:w="101" w:type="dxa"/>
        <w:tblLayout w:type="fixed"/>
        <w:tblCellMar>
          <w:top w:w="0" w:type="dxa"/>
          <w:left w:w="0" w:type="dxa"/>
          <w:bottom w:w="0" w:type="dxa"/>
          <w:right w:w="0" w:type="dxa"/>
        </w:tblCellMar>
        <w:tblLook w:val="01E0"/>
      </w:tblPr>
      <w:tblGrid>
        <w:gridCol w:w="2227"/>
        <w:gridCol w:w="1050"/>
        <w:gridCol w:w="925"/>
        <w:gridCol w:w="1115"/>
        <w:gridCol w:w="735"/>
        <w:gridCol w:w="1193"/>
        <w:gridCol w:w="467"/>
        <w:gridCol w:w="721"/>
        <w:gridCol w:w="472"/>
        <w:gridCol w:w="917"/>
      </w:tblGrid>
      <w:tr>
        <w:trPr>
          <w:trHeight w:val="276" w:hRule="exact"/>
        </w:trPr>
        <w:tc>
          <w:tcPr>
            <w:tcW w:w="7245" w:type="dxa"/>
            <w:gridSpan w:val="6"/>
            <w:tcBorders>
              <w:top w:val="nil" w:sz="6" w:space="0" w:color="auto"/>
              <w:left w:val="nil" w:sz="6" w:space="0" w:color="auto"/>
              <w:bottom w:val="nil" w:sz="6" w:space="0" w:color="auto"/>
              <w:right w:val="nil" w:sz="6" w:space="0" w:color="auto"/>
            </w:tcBorders>
          </w:tcPr>
          <w:p>
            <w:pPr>
              <w:pStyle w:val="TableParagraph"/>
              <w:spacing w:line="180" w:lineRule="exact"/>
              <w:ind w:right="382"/>
              <w:jc w:val="right"/>
              <w:rPr>
                <w:rFonts w:ascii="宋体" w:hAnsi="宋体" w:cs="宋体" w:eastAsia="宋体" w:hint="default"/>
                <w:sz w:val="18"/>
                <w:szCs w:val="18"/>
              </w:rPr>
            </w:pPr>
            <w:r>
              <w:rPr>
                <w:rFonts w:ascii="宋体" w:hAnsi="宋体" w:cs="宋体" w:eastAsia="宋体" w:hint="default"/>
                <w:b/>
                <w:bCs/>
                <w:w w:val="95"/>
                <w:sz w:val="18"/>
                <w:szCs w:val="18"/>
              </w:rPr>
              <w:t>本期增减变动（</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467"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
        </w:tc>
        <w:tc>
          <w:tcPr>
            <w:tcW w:w="472"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284" w:hRule="exact"/>
        </w:trPr>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9"/>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8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925" w:type="dxa"/>
            <w:vMerge w:val="restart"/>
            <w:tcBorders>
              <w:top w:val="nil" w:sz="6" w:space="0" w:color="auto"/>
              <w:left w:val="nil" w:sz="6" w:space="0" w:color="auto"/>
              <w:right w:val="nil" w:sz="6" w:space="0" w:color="auto"/>
            </w:tcBorders>
          </w:tcPr>
          <w:p>
            <w:pPr>
              <w:pStyle w:val="TableParagraph"/>
              <w:spacing w:line="357" w:lineRule="auto" w:before="62"/>
              <w:ind w:left="335" w:right="222"/>
              <w:jc w:val="left"/>
              <w:rPr>
                <w:rFonts w:ascii="宋体" w:hAnsi="宋体" w:cs="宋体" w:eastAsia="宋体" w:hint="default"/>
                <w:sz w:val="18"/>
                <w:szCs w:val="18"/>
              </w:rPr>
            </w:pPr>
            <w:r>
              <w:rPr>
                <w:rFonts w:ascii="宋体" w:hAnsi="宋体" w:cs="宋体" w:eastAsia="宋体" w:hint="default"/>
                <w:b/>
                <w:bCs/>
                <w:sz w:val="18"/>
                <w:szCs w:val="18"/>
              </w:rPr>
              <w:t>发行</w:t>
            </w:r>
            <w:r>
              <w:rPr>
                <w:rFonts w:ascii="宋体" w:hAnsi="宋体" w:cs="宋体" w:eastAsia="宋体" w:hint="default"/>
                <w:b/>
                <w:bCs/>
                <w:spacing w:val="-89"/>
                <w:sz w:val="18"/>
                <w:szCs w:val="18"/>
              </w:rPr>
              <w:t> </w:t>
            </w:r>
            <w:r>
              <w:rPr>
                <w:rFonts w:ascii="宋体" w:hAnsi="宋体" w:cs="宋体" w:eastAsia="宋体" w:hint="default"/>
                <w:b/>
                <w:bCs/>
                <w:sz w:val="18"/>
                <w:szCs w:val="18"/>
              </w:rPr>
              <w:t>新股</w:t>
            </w:r>
            <w:r>
              <w:rPr>
                <w:rFonts w:ascii="宋体" w:hAnsi="宋体" w:cs="宋体" w:eastAsia="宋体" w:hint="default"/>
                <w:sz w:val="18"/>
                <w:szCs w:val="18"/>
              </w:rPr>
            </w:r>
          </w:p>
        </w:tc>
        <w:tc>
          <w:tcPr>
            <w:tcW w:w="1115" w:type="dxa"/>
            <w:tcBorders>
              <w:top w:val="nil" w:sz="6" w:space="0" w:color="auto"/>
              <w:left w:val="nil" w:sz="6" w:space="0" w:color="auto"/>
              <w:bottom w:val="nil" w:sz="6" w:space="0" w:color="auto"/>
              <w:right w:val="nil" w:sz="6" w:space="0" w:color="auto"/>
            </w:tcBorders>
          </w:tcPr>
          <w:p>
            <w:pPr/>
          </w:p>
        </w:tc>
        <w:tc>
          <w:tcPr>
            <w:tcW w:w="735" w:type="dxa"/>
            <w:vMerge w:val="restart"/>
            <w:tcBorders>
              <w:top w:val="nil" w:sz="6" w:space="0" w:color="auto"/>
              <w:left w:val="nil" w:sz="6" w:space="0" w:color="auto"/>
              <w:right w:val="nil" w:sz="6" w:space="0" w:color="auto"/>
            </w:tcBorders>
          </w:tcPr>
          <w:p>
            <w:pPr>
              <w:pStyle w:val="TableParagraph"/>
              <w:spacing w:line="357" w:lineRule="auto" w:before="62"/>
              <w:ind w:left="88" w:right="190" w:hanging="89"/>
              <w:jc w:val="left"/>
              <w:rPr>
                <w:rFonts w:ascii="宋体" w:hAnsi="宋体" w:cs="宋体" w:eastAsia="宋体" w:hint="default"/>
                <w:sz w:val="18"/>
                <w:szCs w:val="18"/>
              </w:rPr>
            </w:pPr>
            <w:r>
              <w:rPr>
                <w:rFonts w:ascii="宋体" w:hAnsi="宋体" w:cs="宋体" w:eastAsia="宋体" w:hint="default"/>
                <w:b/>
                <w:bCs/>
                <w:sz w:val="18"/>
                <w:szCs w:val="18"/>
              </w:rPr>
              <w:t>公积金</w:t>
            </w:r>
            <w:r>
              <w:rPr>
                <w:rFonts w:ascii="宋体" w:hAnsi="宋体" w:cs="宋体" w:eastAsia="宋体" w:hint="default"/>
                <w:b/>
                <w:bCs/>
                <w:w w:val="99"/>
                <w:sz w:val="18"/>
                <w:szCs w:val="18"/>
              </w:rPr>
              <w:t> </w:t>
            </w:r>
            <w:r>
              <w:rPr>
                <w:rFonts w:ascii="宋体" w:hAnsi="宋体" w:cs="宋体" w:eastAsia="宋体" w:hint="default"/>
                <w:b/>
                <w:bCs/>
                <w:sz w:val="18"/>
                <w:szCs w:val="18"/>
              </w:rPr>
              <w:t>转股</w:t>
            </w:r>
            <w:r>
              <w:rPr>
                <w:rFonts w:ascii="宋体" w:hAnsi="宋体" w:cs="宋体" w:eastAsia="宋体" w:hint="default"/>
                <w:sz w:val="18"/>
                <w:szCs w:val="18"/>
              </w:rPr>
            </w:r>
          </w:p>
        </w:tc>
        <w:tc>
          <w:tcPr>
            <w:tcW w:w="1193" w:type="dxa"/>
            <w:tcBorders>
              <w:top w:val="nil" w:sz="6" w:space="0" w:color="auto"/>
              <w:left w:val="nil" w:sz="6" w:space="0" w:color="auto"/>
              <w:bottom w:val="nil" w:sz="6" w:space="0" w:color="auto"/>
              <w:right w:val="nil" w:sz="6" w:space="0" w:color="auto"/>
            </w:tcBorders>
          </w:tcPr>
          <w:p>
            <w:pPr/>
          </w:p>
        </w:tc>
        <w:tc>
          <w:tcPr>
            <w:tcW w:w="467"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
        </w:tc>
        <w:tc>
          <w:tcPr>
            <w:tcW w:w="472"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
        </w:tc>
      </w:tr>
      <w:tr>
        <w:trPr>
          <w:trHeight w:val="477" w:hRule="exact"/>
        </w:trPr>
        <w:tc>
          <w:tcPr>
            <w:tcW w:w="2227" w:type="dxa"/>
            <w:tcBorders>
              <w:top w:val="nil" w:sz="6" w:space="0" w:color="auto"/>
              <w:left w:val="nil" w:sz="6" w:space="0" w:color="auto"/>
              <w:bottom w:val="single" w:sz="4" w:space="0" w:color="000000"/>
              <w:right w:val="nil" w:sz="6" w:space="0" w:color="auto"/>
            </w:tcBorders>
          </w:tcPr>
          <w:p>
            <w:pPr/>
          </w:p>
        </w:tc>
        <w:tc>
          <w:tcPr>
            <w:tcW w:w="1050" w:type="dxa"/>
            <w:tcBorders>
              <w:top w:val="nil" w:sz="6" w:space="0" w:color="auto"/>
              <w:left w:val="nil" w:sz="6" w:space="0" w:color="auto"/>
              <w:bottom w:val="single" w:sz="4" w:space="0" w:color="000000"/>
              <w:right w:val="nil" w:sz="6" w:space="0" w:color="auto"/>
            </w:tcBorders>
          </w:tcPr>
          <w:p>
            <w:pPr/>
          </w:p>
        </w:tc>
        <w:tc>
          <w:tcPr>
            <w:tcW w:w="925" w:type="dxa"/>
            <w:vMerge/>
            <w:tcBorders>
              <w:left w:val="nil" w:sz="6" w:space="0" w:color="auto"/>
              <w:bottom w:val="single" w:sz="4" w:space="0" w:color="000000"/>
              <w:right w:val="nil" w:sz="6" w:space="0" w:color="auto"/>
            </w:tcBorders>
          </w:tcPr>
          <w:p>
            <w:pPr/>
          </w:p>
        </w:tc>
        <w:tc>
          <w:tcPr>
            <w:tcW w:w="1115" w:type="dxa"/>
            <w:tcBorders>
              <w:top w:val="nil" w:sz="6" w:space="0" w:color="auto"/>
              <w:left w:val="nil" w:sz="6" w:space="0" w:color="auto"/>
              <w:bottom w:val="single" w:sz="4" w:space="0" w:color="000000"/>
              <w:right w:val="nil" w:sz="6" w:space="0" w:color="auto"/>
            </w:tcBorders>
          </w:tcPr>
          <w:p>
            <w:pPr>
              <w:pStyle w:val="TableParagraph"/>
              <w:spacing w:line="188" w:lineRule="exact"/>
              <w:ind w:left="224" w:right="0"/>
              <w:jc w:val="left"/>
              <w:rPr>
                <w:rFonts w:ascii="宋体" w:hAnsi="宋体" w:cs="宋体" w:eastAsia="宋体" w:hint="default"/>
                <w:sz w:val="18"/>
                <w:szCs w:val="18"/>
              </w:rPr>
            </w:pPr>
            <w:r>
              <w:rPr>
                <w:rFonts w:ascii="宋体" w:hAnsi="宋体" w:cs="宋体" w:eastAsia="宋体" w:hint="default"/>
                <w:b/>
                <w:bCs/>
                <w:sz w:val="18"/>
                <w:szCs w:val="18"/>
              </w:rPr>
              <w:t>送股</w:t>
            </w:r>
            <w:r>
              <w:rPr>
                <w:rFonts w:ascii="宋体" w:hAnsi="宋体" w:cs="宋体" w:eastAsia="宋体" w:hint="default"/>
                <w:sz w:val="18"/>
                <w:szCs w:val="18"/>
              </w:rPr>
            </w:r>
          </w:p>
        </w:tc>
        <w:tc>
          <w:tcPr>
            <w:tcW w:w="735" w:type="dxa"/>
            <w:vMerge/>
            <w:tcBorders>
              <w:left w:val="nil" w:sz="6" w:space="0" w:color="auto"/>
              <w:bottom w:val="single" w:sz="4" w:space="0" w:color="000000"/>
              <w:right w:val="nil" w:sz="6" w:space="0" w:color="auto"/>
            </w:tcBorders>
          </w:tcPr>
          <w:p>
            <w:pPr/>
          </w:p>
        </w:tc>
        <w:tc>
          <w:tcPr>
            <w:tcW w:w="1193" w:type="dxa"/>
            <w:tcBorders>
              <w:top w:val="nil" w:sz="6" w:space="0" w:color="auto"/>
              <w:left w:val="nil" w:sz="6" w:space="0" w:color="auto"/>
              <w:bottom w:val="single" w:sz="4" w:space="0" w:color="000000"/>
              <w:right w:val="nil" w:sz="6" w:space="0" w:color="auto"/>
            </w:tcBorders>
          </w:tcPr>
          <w:p>
            <w:pPr>
              <w:pStyle w:val="TableParagraph"/>
              <w:spacing w:line="188" w:lineRule="exact"/>
              <w:ind w:left="522"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467" w:type="dxa"/>
            <w:tcBorders>
              <w:top w:val="nil" w:sz="6" w:space="0" w:color="auto"/>
              <w:left w:val="nil" w:sz="6" w:space="0" w:color="auto"/>
              <w:bottom w:val="single" w:sz="4" w:space="0" w:color="000000"/>
              <w:right w:val="nil" w:sz="6" w:space="0" w:color="auto"/>
            </w:tcBorders>
          </w:tcPr>
          <w:p>
            <w:pPr/>
          </w:p>
        </w:tc>
        <w:tc>
          <w:tcPr>
            <w:tcW w:w="721" w:type="dxa"/>
            <w:tcBorders>
              <w:top w:val="nil" w:sz="6" w:space="0" w:color="auto"/>
              <w:left w:val="nil" w:sz="6" w:space="0" w:color="auto"/>
              <w:bottom w:val="single" w:sz="4" w:space="0" w:color="000000"/>
              <w:right w:val="nil" w:sz="6" w:space="0" w:color="auto"/>
            </w:tcBorders>
          </w:tcPr>
          <w:p>
            <w:pPr>
              <w:pStyle w:val="TableParagraph"/>
              <w:spacing w:line="188" w:lineRule="exact"/>
              <w:ind w:left="5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72" w:type="dxa"/>
            <w:tcBorders>
              <w:top w:val="nil" w:sz="6" w:space="0" w:color="auto"/>
              <w:left w:val="nil" w:sz="6" w:space="0" w:color="auto"/>
              <w:bottom w:val="single" w:sz="4" w:space="0" w:color="000000"/>
              <w:right w:val="nil" w:sz="6" w:space="0" w:color="auto"/>
            </w:tcBorders>
          </w:tcPr>
          <w:p>
            <w:pPr/>
          </w:p>
        </w:tc>
        <w:tc>
          <w:tcPr>
            <w:tcW w:w="917" w:type="dxa"/>
            <w:tcBorders>
              <w:top w:val="nil" w:sz="6" w:space="0" w:color="auto"/>
              <w:left w:val="nil" w:sz="6" w:space="0" w:color="auto"/>
              <w:bottom w:val="single" w:sz="4" w:space="0" w:color="000000"/>
              <w:right w:val="nil" w:sz="6" w:space="0" w:color="auto"/>
            </w:tcBorders>
          </w:tcPr>
          <w:p>
            <w:pPr/>
          </w:p>
        </w:tc>
      </w:tr>
      <w:tr>
        <w:trPr>
          <w:trHeight w:val="298" w:hRule="exact"/>
        </w:trPr>
        <w:tc>
          <w:tcPr>
            <w:tcW w:w="222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5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0"/>
              <w:jc w:val="right"/>
              <w:rPr>
                <w:rFonts w:ascii="宋体" w:hAnsi="宋体" w:cs="宋体" w:eastAsia="宋体" w:hint="default"/>
                <w:sz w:val="18"/>
                <w:szCs w:val="18"/>
              </w:rPr>
            </w:pPr>
            <w:r>
              <w:rPr>
                <w:rFonts w:ascii="宋体"/>
                <w:spacing w:val="-1"/>
                <w:sz w:val="18"/>
              </w:rPr>
              <w:t>6,552.87</w:t>
            </w:r>
          </w:p>
        </w:tc>
        <w:tc>
          <w:tcPr>
            <w:tcW w:w="925" w:type="dxa"/>
            <w:tcBorders>
              <w:top w:val="single" w:sz="4" w:space="0" w:color="000000"/>
              <w:left w:val="nil" w:sz="6" w:space="0" w:color="auto"/>
              <w:bottom w:val="nil" w:sz="6" w:space="0" w:color="auto"/>
              <w:right w:val="nil" w:sz="6" w:space="0" w:color="auto"/>
            </w:tcBorders>
          </w:tcPr>
          <w:p>
            <w:pPr/>
          </w:p>
        </w:tc>
        <w:tc>
          <w:tcPr>
            <w:tcW w:w="1115" w:type="dxa"/>
            <w:tcBorders>
              <w:top w:val="single" w:sz="4" w:space="0" w:color="000000"/>
              <w:left w:val="nil" w:sz="6" w:space="0" w:color="auto"/>
              <w:bottom w:val="nil" w:sz="6" w:space="0" w:color="auto"/>
              <w:right w:val="nil" w:sz="6" w:space="0" w:color="auto"/>
            </w:tcBorders>
          </w:tcPr>
          <w:p>
            <w:pPr/>
          </w:p>
        </w:tc>
        <w:tc>
          <w:tcPr>
            <w:tcW w:w="735"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0"/>
              <w:jc w:val="right"/>
              <w:rPr>
                <w:rFonts w:ascii="宋体" w:hAnsi="宋体" w:cs="宋体" w:eastAsia="宋体" w:hint="default"/>
                <w:sz w:val="18"/>
                <w:szCs w:val="18"/>
              </w:rPr>
            </w:pPr>
            <w:r>
              <w:rPr>
                <w:rFonts w:ascii="宋体"/>
                <w:spacing w:val="-1"/>
                <w:sz w:val="18"/>
              </w:rPr>
              <w:t>5,870.18</w:t>
            </w:r>
          </w:p>
        </w:tc>
        <w:tc>
          <w:tcPr>
            <w:tcW w:w="119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0"/>
              <w:jc w:val="right"/>
              <w:rPr>
                <w:rFonts w:ascii="宋体" w:hAnsi="宋体" w:cs="宋体" w:eastAsia="宋体" w:hint="default"/>
                <w:sz w:val="18"/>
                <w:szCs w:val="18"/>
              </w:rPr>
            </w:pPr>
            <w:r>
              <w:rPr>
                <w:rFonts w:ascii="宋体"/>
                <w:spacing w:val="-1"/>
                <w:sz w:val="18"/>
              </w:rPr>
              <w:t>-30.44</w:t>
            </w:r>
          </w:p>
        </w:tc>
        <w:tc>
          <w:tcPr>
            <w:tcW w:w="467" w:type="dxa"/>
            <w:tcBorders>
              <w:top w:val="single" w:sz="4" w:space="0" w:color="000000"/>
              <w:left w:val="nil" w:sz="6" w:space="0" w:color="auto"/>
              <w:bottom w:val="nil" w:sz="6" w:space="0" w:color="auto"/>
              <w:right w:val="nil" w:sz="6" w:space="0" w:color="auto"/>
            </w:tcBorders>
          </w:tcPr>
          <w:p>
            <w:pPr/>
          </w:p>
        </w:tc>
        <w:tc>
          <w:tcPr>
            <w:tcW w:w="721"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0"/>
              <w:jc w:val="right"/>
              <w:rPr>
                <w:rFonts w:ascii="宋体" w:hAnsi="宋体" w:cs="宋体" w:eastAsia="宋体" w:hint="default"/>
                <w:sz w:val="18"/>
                <w:szCs w:val="18"/>
              </w:rPr>
            </w:pPr>
            <w:r>
              <w:rPr>
                <w:rFonts w:ascii="宋体"/>
                <w:spacing w:val="-1"/>
                <w:sz w:val="18"/>
              </w:rPr>
              <w:t>5,839.74</w:t>
            </w:r>
          </w:p>
        </w:tc>
        <w:tc>
          <w:tcPr>
            <w:tcW w:w="472" w:type="dxa"/>
            <w:tcBorders>
              <w:top w:val="single" w:sz="4" w:space="0" w:color="000000"/>
              <w:left w:val="nil" w:sz="6" w:space="0" w:color="auto"/>
              <w:bottom w:val="nil" w:sz="6" w:space="0" w:color="auto"/>
              <w:right w:val="nil" w:sz="6" w:space="0" w:color="auto"/>
            </w:tcBorders>
          </w:tcPr>
          <w:p>
            <w:pPr/>
          </w:p>
        </w:tc>
        <w:tc>
          <w:tcPr>
            <w:tcW w:w="917"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12,392.61</w:t>
            </w:r>
          </w:p>
        </w:tc>
      </w:tr>
      <w:tr>
        <w:trPr>
          <w:trHeight w:val="491" w:hRule="exact"/>
        </w:trPr>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050" w:type="dxa"/>
            <w:tcBorders>
              <w:top w:val="single" w:sz="4" w:space="0" w:color="000000"/>
              <w:left w:val="nil" w:sz="6" w:space="0" w:color="auto"/>
              <w:bottom w:val="nil" w:sz="6" w:space="0" w:color="auto"/>
              <w:right w:val="nil" w:sz="6" w:space="0" w:color="auto"/>
            </w:tcBorders>
          </w:tcPr>
          <w:p>
            <w:pPr/>
          </w:p>
        </w:tc>
        <w:tc>
          <w:tcPr>
            <w:tcW w:w="925"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c>
          <w:tcPr>
            <w:tcW w:w="735" w:type="dxa"/>
            <w:tcBorders>
              <w:top w:val="single" w:sz="4" w:space="0" w:color="000000"/>
              <w:left w:val="nil" w:sz="6" w:space="0" w:color="auto"/>
              <w:bottom w:val="nil" w:sz="6" w:space="0" w:color="auto"/>
              <w:right w:val="nil" w:sz="6" w:space="0" w:color="auto"/>
            </w:tcBorders>
          </w:tcPr>
          <w:p>
            <w:pPr/>
          </w:p>
        </w:tc>
        <w:tc>
          <w:tcPr>
            <w:tcW w:w="1193" w:type="dxa"/>
            <w:tcBorders>
              <w:top w:val="single" w:sz="4" w:space="0" w:color="000000"/>
              <w:left w:val="nil" w:sz="6" w:space="0" w:color="auto"/>
              <w:bottom w:val="nil" w:sz="6" w:space="0" w:color="auto"/>
              <w:right w:val="nil" w:sz="6" w:space="0" w:color="auto"/>
            </w:tcBorders>
          </w:tcPr>
          <w:p>
            <w:pPr/>
          </w:p>
        </w:tc>
        <w:tc>
          <w:tcPr>
            <w:tcW w:w="467" w:type="dxa"/>
            <w:tcBorders>
              <w:top w:val="nil" w:sz="6" w:space="0" w:color="auto"/>
              <w:left w:val="nil" w:sz="6" w:space="0" w:color="auto"/>
              <w:bottom w:val="nil" w:sz="6" w:space="0" w:color="auto"/>
              <w:right w:val="nil" w:sz="6" w:space="0" w:color="auto"/>
            </w:tcBorders>
          </w:tcPr>
          <w:p>
            <w:pPr/>
          </w:p>
        </w:tc>
        <w:tc>
          <w:tcPr>
            <w:tcW w:w="721" w:type="dxa"/>
            <w:tcBorders>
              <w:top w:val="single" w:sz="4" w:space="0" w:color="000000"/>
              <w:left w:val="nil" w:sz="6" w:space="0" w:color="auto"/>
              <w:bottom w:val="nil" w:sz="6" w:space="0" w:color="auto"/>
              <w:right w:val="nil" w:sz="6" w:space="0" w:color="auto"/>
            </w:tcBorders>
          </w:tcPr>
          <w:p>
            <w:pPr/>
          </w:p>
        </w:tc>
        <w:tc>
          <w:tcPr>
            <w:tcW w:w="472" w:type="dxa"/>
            <w:tcBorders>
              <w:top w:val="nil" w:sz="6" w:space="0" w:color="auto"/>
              <w:left w:val="nil" w:sz="6" w:space="0" w:color="auto"/>
              <w:bottom w:val="nil" w:sz="6" w:space="0" w:color="auto"/>
              <w:right w:val="nil" w:sz="6" w:space="0" w:color="auto"/>
            </w:tcBorders>
          </w:tcPr>
          <w:p>
            <w:pPr/>
          </w:p>
        </w:tc>
        <w:tc>
          <w:tcPr>
            <w:tcW w:w="917" w:type="dxa"/>
            <w:tcBorders>
              <w:top w:val="single" w:sz="4" w:space="0" w:color="000000"/>
              <w:left w:val="nil" w:sz="6" w:space="0" w:color="auto"/>
              <w:bottom w:val="nil" w:sz="6" w:space="0" w:color="auto"/>
              <w:right w:val="nil" w:sz="6" w:space="0" w:color="auto"/>
            </w:tcBorders>
          </w:tcPr>
          <w:p>
            <w:pPr/>
          </w:p>
        </w:tc>
      </w:tr>
      <w:tr>
        <w:trPr>
          <w:trHeight w:val="396" w:hRule="exact"/>
        </w:trPr>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6,188.34</w:t>
            </w:r>
          </w:p>
        </w:tc>
        <w:tc>
          <w:tcPr>
            <w:tcW w:w="925"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5,569.51</w:t>
            </w:r>
          </w:p>
        </w:tc>
        <w:tc>
          <w:tcPr>
            <w:tcW w:w="1193" w:type="dxa"/>
            <w:tcBorders>
              <w:top w:val="nil" w:sz="6" w:space="0" w:color="auto"/>
              <w:left w:val="nil" w:sz="6" w:space="0" w:color="auto"/>
              <w:bottom w:val="nil" w:sz="6" w:space="0" w:color="auto"/>
              <w:right w:val="nil" w:sz="6" w:space="0" w:color="auto"/>
            </w:tcBorders>
          </w:tcPr>
          <w:p>
            <w:pPr/>
          </w:p>
        </w:tc>
        <w:tc>
          <w:tcPr>
            <w:tcW w:w="467"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5,569.51</w:t>
            </w:r>
          </w:p>
        </w:tc>
        <w:tc>
          <w:tcPr>
            <w:tcW w:w="472"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11,757.85</w:t>
            </w:r>
          </w:p>
        </w:tc>
      </w:tr>
      <w:tr>
        <w:trPr>
          <w:trHeight w:val="397" w:hRule="exact"/>
        </w:trPr>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364.53</w:t>
            </w:r>
          </w:p>
        </w:tc>
        <w:tc>
          <w:tcPr>
            <w:tcW w:w="925"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300.67</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-30.44</w:t>
            </w:r>
          </w:p>
        </w:tc>
        <w:tc>
          <w:tcPr>
            <w:tcW w:w="467"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270.23</w:t>
            </w:r>
          </w:p>
        </w:tc>
        <w:tc>
          <w:tcPr>
            <w:tcW w:w="472"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634.76</w:t>
            </w:r>
          </w:p>
        </w:tc>
      </w:tr>
      <w:tr>
        <w:trPr>
          <w:trHeight w:val="397" w:hRule="exact"/>
        </w:trPr>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50" w:type="dxa"/>
            <w:tcBorders>
              <w:top w:val="nil" w:sz="6" w:space="0" w:color="auto"/>
              <w:left w:val="nil" w:sz="6" w:space="0" w:color="auto"/>
              <w:bottom w:val="nil" w:sz="6" w:space="0" w:color="auto"/>
              <w:right w:val="nil" w:sz="6" w:space="0" w:color="auto"/>
            </w:tcBorders>
          </w:tcPr>
          <w:p>
            <w:pPr/>
          </w:p>
        </w:tc>
        <w:tc>
          <w:tcPr>
            <w:tcW w:w="925"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c>
          <w:tcPr>
            <w:tcW w:w="735"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467"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
        </w:tc>
        <w:tc>
          <w:tcPr>
            <w:tcW w:w="472"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
        </w:tc>
      </w:tr>
      <w:tr>
        <w:trPr>
          <w:trHeight w:val="397" w:hRule="exact"/>
        </w:trPr>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364.53</w:t>
            </w:r>
          </w:p>
        </w:tc>
        <w:tc>
          <w:tcPr>
            <w:tcW w:w="925"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300.67</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-30.44</w:t>
            </w:r>
          </w:p>
        </w:tc>
        <w:tc>
          <w:tcPr>
            <w:tcW w:w="467"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270.23</w:t>
            </w:r>
          </w:p>
        </w:tc>
        <w:tc>
          <w:tcPr>
            <w:tcW w:w="472"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634.76</w:t>
            </w:r>
          </w:p>
        </w:tc>
      </w:tr>
      <w:tr>
        <w:trPr>
          <w:trHeight w:val="397" w:hRule="exact"/>
        </w:trPr>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境外持股</w:t>
            </w:r>
          </w:p>
        </w:tc>
        <w:tc>
          <w:tcPr>
            <w:tcW w:w="1050" w:type="dxa"/>
            <w:tcBorders>
              <w:top w:val="nil" w:sz="6" w:space="0" w:color="auto"/>
              <w:left w:val="nil" w:sz="6" w:space="0" w:color="auto"/>
              <w:bottom w:val="nil" w:sz="6" w:space="0" w:color="auto"/>
              <w:right w:val="nil" w:sz="6" w:space="0" w:color="auto"/>
            </w:tcBorders>
          </w:tcPr>
          <w:p>
            <w:pPr/>
          </w:p>
        </w:tc>
        <w:tc>
          <w:tcPr>
            <w:tcW w:w="925"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c>
          <w:tcPr>
            <w:tcW w:w="735"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467"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
        </w:tc>
        <w:tc>
          <w:tcPr>
            <w:tcW w:w="472"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
        </w:tc>
      </w:tr>
      <w:tr>
        <w:trPr>
          <w:trHeight w:val="396" w:hRule="exact"/>
        </w:trPr>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50" w:type="dxa"/>
            <w:tcBorders>
              <w:top w:val="nil" w:sz="6" w:space="0" w:color="auto"/>
              <w:left w:val="nil" w:sz="6" w:space="0" w:color="auto"/>
              <w:bottom w:val="nil" w:sz="6" w:space="0" w:color="auto"/>
              <w:right w:val="nil" w:sz="6" w:space="0" w:color="auto"/>
            </w:tcBorders>
          </w:tcPr>
          <w:p>
            <w:pPr/>
          </w:p>
        </w:tc>
        <w:tc>
          <w:tcPr>
            <w:tcW w:w="925"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c>
          <w:tcPr>
            <w:tcW w:w="735"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467"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
        </w:tc>
        <w:tc>
          <w:tcPr>
            <w:tcW w:w="472"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
        </w:tc>
      </w:tr>
      <w:tr>
        <w:trPr>
          <w:trHeight w:val="397" w:hRule="exact"/>
        </w:trPr>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050" w:type="dxa"/>
            <w:tcBorders>
              <w:top w:val="nil" w:sz="6" w:space="0" w:color="auto"/>
              <w:left w:val="nil" w:sz="6" w:space="0" w:color="auto"/>
              <w:bottom w:val="nil" w:sz="6" w:space="0" w:color="auto"/>
              <w:right w:val="nil" w:sz="6" w:space="0" w:color="auto"/>
            </w:tcBorders>
          </w:tcPr>
          <w:p>
            <w:pPr/>
          </w:p>
        </w:tc>
        <w:tc>
          <w:tcPr>
            <w:tcW w:w="925"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c>
          <w:tcPr>
            <w:tcW w:w="735"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467"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
        </w:tc>
        <w:tc>
          <w:tcPr>
            <w:tcW w:w="472"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
        </w:tc>
      </w:tr>
      <w:tr>
        <w:trPr>
          <w:trHeight w:val="397" w:hRule="exact"/>
        </w:trPr>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pacing w:val="-4"/>
                <w:sz w:val="18"/>
                <w:szCs w:val="18"/>
              </w:rPr>
              <w:t>二、无限售条件流通股份</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r>
            <w:r>
              <w:rPr>
                <w:rFonts w:ascii="宋体"/>
                <w:spacing w:val="-1"/>
                <w:sz w:val="18"/>
                <w:u w:val="single" w:color="000000"/>
              </w:rPr>
              <w:t>4,087.13</w:t>
            </w:r>
            <w:r>
              <w:rPr>
                <w:rFonts w:ascii="宋体"/>
                <w:spacing w:val="-1"/>
                <w:sz w:val="18"/>
              </w:rPr>
            </w:r>
          </w:p>
        </w:tc>
        <w:tc>
          <w:tcPr>
            <w:tcW w:w="925"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r>
            <w:r>
              <w:rPr>
                <w:rFonts w:ascii="宋体"/>
                <w:spacing w:val="-1"/>
                <w:sz w:val="18"/>
                <w:u w:val="single" w:color="000000"/>
              </w:rPr>
              <w:t>3,705.82</w:t>
            </w:r>
            <w:r>
              <w:rPr>
                <w:rFonts w:ascii="宋体"/>
                <w:spacing w:val="-1"/>
                <w:sz w:val="18"/>
              </w:rPr>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r>
            <w:r>
              <w:rPr>
                <w:rFonts w:ascii="宋体"/>
                <w:sz w:val="18"/>
                <w:u w:val="single" w:color="000000"/>
              </w:rPr>
              <w:t>30.44</w:t>
            </w:r>
            <w:r>
              <w:rPr>
                <w:rFonts w:ascii="宋体"/>
                <w:sz w:val="18"/>
              </w:rPr>
            </w:r>
          </w:p>
        </w:tc>
        <w:tc>
          <w:tcPr>
            <w:tcW w:w="467"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r>
            <w:r>
              <w:rPr>
                <w:rFonts w:ascii="宋体"/>
                <w:spacing w:val="-1"/>
                <w:sz w:val="18"/>
                <w:u w:val="single" w:color="000000"/>
              </w:rPr>
              <w:t>3,736.26</w:t>
            </w:r>
            <w:r>
              <w:rPr>
                <w:rFonts w:ascii="宋体"/>
                <w:spacing w:val="-1"/>
                <w:sz w:val="18"/>
              </w:rPr>
            </w:r>
          </w:p>
        </w:tc>
        <w:tc>
          <w:tcPr>
            <w:tcW w:w="472"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r>
            <w:r>
              <w:rPr>
                <w:rFonts w:ascii="宋体"/>
                <w:spacing w:val="-1"/>
                <w:sz w:val="18"/>
                <w:u w:val="single" w:color="000000"/>
              </w:rPr>
              <w:t>7,823.39</w:t>
            </w:r>
            <w:r>
              <w:rPr>
                <w:rFonts w:ascii="宋体"/>
                <w:spacing w:val="-1"/>
                <w:sz w:val="18"/>
              </w:rPr>
            </w:r>
          </w:p>
        </w:tc>
      </w:tr>
      <w:tr>
        <w:trPr>
          <w:trHeight w:val="397" w:hRule="exact"/>
        </w:trPr>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4,087.13</w:t>
            </w:r>
          </w:p>
        </w:tc>
        <w:tc>
          <w:tcPr>
            <w:tcW w:w="925"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3,705.82</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t>30.44</w:t>
            </w:r>
          </w:p>
        </w:tc>
        <w:tc>
          <w:tcPr>
            <w:tcW w:w="467"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3,736.26</w:t>
            </w:r>
          </w:p>
        </w:tc>
        <w:tc>
          <w:tcPr>
            <w:tcW w:w="472"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7,823.39</w:t>
            </w:r>
          </w:p>
        </w:tc>
      </w:tr>
      <w:tr>
        <w:trPr>
          <w:trHeight w:val="398" w:hRule="exact"/>
        </w:trPr>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境内上市外资股</w:t>
            </w:r>
          </w:p>
        </w:tc>
        <w:tc>
          <w:tcPr>
            <w:tcW w:w="1050" w:type="dxa"/>
            <w:tcBorders>
              <w:top w:val="nil" w:sz="6" w:space="0" w:color="auto"/>
              <w:left w:val="nil" w:sz="6" w:space="0" w:color="auto"/>
              <w:bottom w:val="nil" w:sz="6" w:space="0" w:color="auto"/>
              <w:right w:val="nil" w:sz="6" w:space="0" w:color="auto"/>
            </w:tcBorders>
          </w:tcPr>
          <w:p>
            <w:pPr/>
          </w:p>
        </w:tc>
        <w:tc>
          <w:tcPr>
            <w:tcW w:w="925"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c>
          <w:tcPr>
            <w:tcW w:w="735"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467"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
        </w:tc>
        <w:tc>
          <w:tcPr>
            <w:tcW w:w="472"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
        </w:tc>
      </w:tr>
      <w:tr>
        <w:trPr>
          <w:trHeight w:val="398" w:hRule="exact"/>
        </w:trPr>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境外上市外资股</w:t>
            </w:r>
          </w:p>
        </w:tc>
        <w:tc>
          <w:tcPr>
            <w:tcW w:w="1050" w:type="dxa"/>
            <w:tcBorders>
              <w:top w:val="nil" w:sz="6" w:space="0" w:color="auto"/>
              <w:left w:val="nil" w:sz="6" w:space="0" w:color="auto"/>
              <w:bottom w:val="nil" w:sz="6" w:space="0" w:color="auto"/>
              <w:right w:val="nil" w:sz="6" w:space="0" w:color="auto"/>
            </w:tcBorders>
          </w:tcPr>
          <w:p>
            <w:pPr/>
          </w:p>
        </w:tc>
        <w:tc>
          <w:tcPr>
            <w:tcW w:w="925"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c>
          <w:tcPr>
            <w:tcW w:w="735"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467"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
        </w:tc>
        <w:tc>
          <w:tcPr>
            <w:tcW w:w="472"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
        </w:tc>
      </w:tr>
      <w:tr>
        <w:trPr>
          <w:trHeight w:val="397" w:hRule="exact"/>
        </w:trPr>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50" w:type="dxa"/>
            <w:tcBorders>
              <w:top w:val="nil" w:sz="6" w:space="0" w:color="auto"/>
              <w:left w:val="nil" w:sz="6" w:space="0" w:color="auto"/>
              <w:bottom w:val="nil" w:sz="6" w:space="0" w:color="auto"/>
              <w:right w:val="nil" w:sz="6" w:space="0" w:color="auto"/>
            </w:tcBorders>
          </w:tcPr>
          <w:p>
            <w:pPr/>
          </w:p>
        </w:tc>
        <w:tc>
          <w:tcPr>
            <w:tcW w:w="925"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c>
          <w:tcPr>
            <w:tcW w:w="735"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
        </w:tc>
        <w:tc>
          <w:tcPr>
            <w:tcW w:w="467"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
        </w:tc>
        <w:tc>
          <w:tcPr>
            <w:tcW w:w="472"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
        </w:tc>
      </w:tr>
      <w:tr>
        <w:trPr>
          <w:trHeight w:val="288" w:hRule="exact"/>
        </w:trPr>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r>
            <w:r>
              <w:rPr>
                <w:rFonts w:ascii="宋体"/>
                <w:spacing w:val="-1"/>
                <w:sz w:val="18"/>
                <w:u w:val="thick" w:color="000000"/>
              </w:rPr>
              <w:t>10,640.00</w:t>
            </w:r>
            <w:r>
              <w:rPr>
                <w:rFonts w:ascii="宋体"/>
                <w:spacing w:val="-1"/>
                <w:sz w:val="18"/>
              </w:rPr>
            </w:r>
          </w:p>
        </w:tc>
        <w:tc>
          <w:tcPr>
            <w:tcW w:w="925"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r>
            <w:r>
              <w:rPr>
                <w:rFonts w:ascii="宋体"/>
                <w:spacing w:val="-1"/>
                <w:sz w:val="18"/>
                <w:u w:val="thick" w:color="000000"/>
              </w:rPr>
              <w:t>9,576.00</w:t>
            </w:r>
            <w:r>
              <w:rPr>
                <w:rFonts w:ascii="宋体"/>
                <w:spacing w:val="-1"/>
                <w:sz w:val="18"/>
              </w:rPr>
            </w:r>
          </w:p>
        </w:tc>
        <w:tc>
          <w:tcPr>
            <w:tcW w:w="1193" w:type="dxa"/>
            <w:tcBorders>
              <w:top w:val="nil" w:sz="6" w:space="0" w:color="auto"/>
              <w:left w:val="nil" w:sz="6" w:space="0" w:color="auto"/>
              <w:bottom w:val="nil" w:sz="6" w:space="0" w:color="auto"/>
              <w:right w:val="nil" w:sz="6" w:space="0" w:color="auto"/>
            </w:tcBorders>
          </w:tcPr>
          <w:p>
            <w:pPr/>
          </w:p>
        </w:tc>
        <w:tc>
          <w:tcPr>
            <w:tcW w:w="467" w:type="dxa"/>
            <w:tcBorders>
              <w:top w:val="nil" w:sz="6" w:space="0" w:color="auto"/>
              <w:left w:val="nil" w:sz="6" w:space="0" w:color="auto"/>
              <w:bottom w:val="nil" w:sz="6" w:space="0" w:color="auto"/>
              <w:right w:val="nil" w:sz="6" w:space="0" w:color="auto"/>
            </w:tcBorders>
          </w:tcPr>
          <w:p>
            <w:pPr/>
          </w:p>
        </w:tc>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r>
            <w:r>
              <w:rPr>
                <w:rFonts w:ascii="宋体"/>
                <w:spacing w:val="-1"/>
                <w:sz w:val="18"/>
                <w:u w:val="thick" w:color="000000"/>
              </w:rPr>
              <w:t>9,576.00</w:t>
            </w:r>
            <w:r>
              <w:rPr>
                <w:rFonts w:ascii="宋体"/>
                <w:spacing w:val="-1"/>
                <w:sz w:val="18"/>
              </w:rPr>
            </w:r>
          </w:p>
        </w:tc>
        <w:tc>
          <w:tcPr>
            <w:tcW w:w="472"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r>
            <w:r>
              <w:rPr>
                <w:rFonts w:ascii="宋体"/>
                <w:spacing w:val="-1"/>
                <w:sz w:val="18"/>
                <w:u w:val="thick" w:color="000000"/>
              </w:rPr>
              <w:t>20,216.00</w:t>
            </w:r>
            <w:r>
              <w:rPr>
                <w:rFonts w:ascii="宋体"/>
                <w:spacing w:val="-1"/>
                <w:sz w:val="18"/>
              </w:rPr>
            </w:r>
          </w:p>
        </w:tc>
      </w:tr>
    </w:tbl>
    <w:p>
      <w:pPr>
        <w:spacing w:line="240" w:lineRule="auto" w:before="11"/>
        <w:rPr>
          <w:rFonts w:ascii="宋体" w:hAnsi="宋体" w:cs="宋体" w:eastAsia="宋体" w:hint="default"/>
          <w:sz w:val="13"/>
          <w:szCs w:val="13"/>
        </w:rPr>
      </w:pPr>
    </w:p>
    <w:p>
      <w:pPr>
        <w:pStyle w:val="BodyText"/>
        <w:spacing w:line="240" w:lineRule="auto" w:before="44"/>
        <w:ind w:left="553" w:right="0"/>
        <w:jc w:val="left"/>
      </w:pPr>
      <w:r>
        <w:rPr/>
        <w:t>注</w:t>
      </w:r>
      <w:r>
        <w:rPr>
          <w:spacing w:val="-54"/>
        </w:rPr>
        <w:t> </w:t>
      </w:r>
      <w:r>
        <w:rPr>
          <w:rFonts w:ascii="宋体" w:hAnsi="宋体" w:cs="宋体" w:eastAsia="宋体" w:hint="default"/>
        </w:rPr>
        <w:t>1</w:t>
      </w:r>
      <w:r>
        <w:rPr/>
        <w:t>：本期股本增加系根据公司第四届董事会第十二次会议及公司</w:t>
      </w:r>
      <w:r>
        <w:rPr>
          <w:spacing w:val="-53"/>
        </w:rPr>
        <w:t> </w:t>
      </w:r>
      <w:r>
        <w:rPr>
          <w:rFonts w:ascii="宋体" w:hAnsi="宋体" w:cs="宋体" w:eastAsia="宋体" w:hint="default"/>
        </w:rPr>
        <w:t>2011</w:t>
      </w:r>
      <w:r>
        <w:rPr>
          <w:rFonts w:ascii="宋体" w:hAnsi="宋体" w:cs="宋体" w:eastAsia="宋体" w:hint="default"/>
          <w:spacing w:val="-52"/>
        </w:rPr>
        <w:t> </w:t>
      </w:r>
      <w:r>
        <w:rPr/>
        <w:t>年度股东大会决议，以总股本</w:t>
      </w:r>
      <w:r>
        <w:rPr>
          <w:spacing w:val="-53"/>
        </w:rPr>
        <w:t> </w:t>
      </w:r>
      <w:r>
        <w:rPr>
          <w:rFonts w:ascii="宋体" w:hAnsi="宋体" w:cs="宋体" w:eastAsia="宋体" w:hint="default"/>
        </w:rPr>
        <w:t>10,640</w:t>
      </w:r>
      <w:r>
        <w:rPr>
          <w:rFonts w:ascii="宋体" w:hAnsi="宋体" w:cs="宋体" w:eastAsia="宋体" w:hint="default"/>
          <w:spacing w:val="-52"/>
        </w:rPr>
        <w:t> </w:t>
      </w:r>
      <w:r>
        <w:rPr/>
        <w:t>万股为基</w:t>
      </w:r>
    </w:p>
    <w:p>
      <w:pPr>
        <w:pStyle w:val="BodyText"/>
        <w:spacing w:line="367" w:lineRule="auto" w:before="127"/>
        <w:ind w:left="192" w:right="1129"/>
        <w:jc w:val="left"/>
      </w:pPr>
      <w:r>
        <w:rPr/>
        <w:t>数，以资本公积向全体股东每</w:t>
      </w:r>
      <w:r>
        <w:rPr>
          <w:spacing w:val="-41"/>
        </w:rPr>
        <w:t> </w:t>
      </w:r>
      <w:r>
        <w:rPr>
          <w:rFonts w:ascii="宋体" w:hAnsi="宋体" w:cs="宋体" w:eastAsia="宋体" w:hint="default"/>
        </w:rPr>
        <w:t>10</w:t>
      </w:r>
      <w:r>
        <w:rPr>
          <w:rFonts w:ascii="宋体" w:hAnsi="宋体" w:cs="宋体" w:eastAsia="宋体" w:hint="default"/>
          <w:spacing w:val="-40"/>
        </w:rPr>
        <w:t> </w:t>
      </w:r>
      <w:r>
        <w:rPr/>
        <w:t>股转增</w:t>
      </w:r>
      <w:r>
        <w:rPr>
          <w:spacing w:val="-40"/>
        </w:rPr>
        <w:t> </w:t>
      </w:r>
      <w:r>
        <w:rPr>
          <w:rFonts w:ascii="宋体" w:hAnsi="宋体" w:cs="宋体" w:eastAsia="宋体" w:hint="default"/>
        </w:rPr>
        <w:t>9</w:t>
      </w:r>
      <w:r>
        <w:rPr>
          <w:rFonts w:ascii="宋体" w:hAnsi="宋体" w:cs="宋体" w:eastAsia="宋体" w:hint="default"/>
          <w:spacing w:val="-40"/>
        </w:rPr>
        <w:t> </w:t>
      </w:r>
      <w:r>
        <w:rPr/>
        <w:t>股，共计转增</w:t>
      </w:r>
      <w:r>
        <w:rPr>
          <w:spacing w:val="-41"/>
        </w:rPr>
        <w:t> </w:t>
      </w:r>
      <w:r>
        <w:rPr>
          <w:rFonts w:ascii="宋体" w:hAnsi="宋体" w:cs="宋体" w:eastAsia="宋体" w:hint="default"/>
        </w:rPr>
        <w:t>9,576</w:t>
      </w:r>
      <w:r>
        <w:rPr>
          <w:rFonts w:ascii="宋体" w:hAnsi="宋体" w:cs="宋体" w:eastAsia="宋体" w:hint="default"/>
          <w:spacing w:val="-40"/>
        </w:rPr>
        <w:t> </w:t>
      </w:r>
      <w:r>
        <w:rPr/>
        <w:t>万股。转增前公司总股本为</w:t>
      </w:r>
      <w:r>
        <w:rPr>
          <w:spacing w:val="-41"/>
        </w:rPr>
        <w:t> </w:t>
      </w:r>
      <w:r>
        <w:rPr>
          <w:rFonts w:ascii="宋体" w:hAnsi="宋体" w:cs="宋体" w:eastAsia="宋体" w:hint="default"/>
        </w:rPr>
        <w:t>10,640</w:t>
      </w:r>
      <w:r>
        <w:rPr>
          <w:rFonts w:ascii="宋体" w:hAnsi="宋体" w:cs="宋体" w:eastAsia="宋体" w:hint="default"/>
          <w:spacing w:val="-39"/>
        </w:rPr>
        <w:t> </w:t>
      </w:r>
      <w:r>
        <w:rPr/>
        <w:t>万股，转增后为</w:t>
      </w:r>
      <w:r>
        <w:rPr>
          <w:spacing w:val="-43"/>
        </w:rPr>
        <w:t> </w:t>
      </w:r>
      <w:r>
        <w:rPr>
          <w:rFonts w:ascii="宋体" w:hAnsi="宋体" w:cs="宋体" w:eastAsia="宋体" w:hint="default"/>
        </w:rPr>
        <w:t>20,216 </w:t>
      </w:r>
      <w:r>
        <w:rPr/>
        <w:t>万股。该增资已经天职国际会计师事务所（特殊普通合伙）出具天职沪</w:t>
      </w:r>
      <w:r>
        <w:rPr>
          <w:spacing w:val="-47"/>
        </w:rPr>
        <w:t> </w:t>
      </w:r>
      <w:r>
        <w:rPr>
          <w:rFonts w:ascii="宋体" w:hAnsi="宋体" w:cs="宋体" w:eastAsia="宋体" w:hint="default"/>
        </w:rPr>
        <w:t>QJ[2012]T13</w:t>
      </w:r>
      <w:r>
        <w:rPr>
          <w:rFonts w:ascii="宋体" w:hAnsi="宋体" w:cs="宋体" w:eastAsia="宋体" w:hint="default"/>
          <w:spacing w:val="-47"/>
        </w:rPr>
        <w:t> </w:t>
      </w:r>
      <w:r>
        <w:rPr/>
        <w:t>号验资报告予以验证。</w:t>
      </w:r>
    </w:p>
    <w:p>
      <w:pPr>
        <w:spacing w:after="0" w:line="367" w:lineRule="auto"/>
        <w:jc w:val="left"/>
        <w:sectPr>
          <w:pgSz w:w="11910" w:h="16840"/>
          <w:pgMar w:header="877" w:footer="1332" w:top="1100" w:bottom="1520" w:left="940" w:right="0"/>
        </w:sectPr>
      </w:pPr>
    </w:p>
    <w:p>
      <w:pPr>
        <w:spacing w:line="240" w:lineRule="auto" w:before="2"/>
        <w:rPr>
          <w:rFonts w:ascii="宋体" w:hAnsi="宋体" w:cs="宋体" w:eastAsia="宋体" w:hint="default"/>
          <w:sz w:val="27"/>
          <w:szCs w:val="27"/>
        </w:rPr>
      </w:pPr>
      <w:r>
        <w:rPr/>
        <w:pict>
          <v:group style="position:absolute;margin-left:57.360001pt;margin-top:764.919983pt;width:538pt;height:77pt;mso-position-horizontal-relative:page;mso-position-vertical-relative:page;z-index:-559696" coordorigin="1147,15298" coordsize="10760,1540">
            <v:group style="position:absolute;left:1152;top:15324;width:3021;height:2" coordorigin="1152,15324" coordsize="3021,2">
              <v:shape style="position:absolute;left:1152;top:15324;width:3021;height:2" coordorigin="1152,15324" coordsize="3021,0" path="m1152,15324l4172,15324e" filled="false" stroked="true" strokeweight=".48pt" strokecolor="#000000">
                <v:path arrowok="t"/>
              </v:shape>
            </v:group>
            <v:group style="position:absolute;left:4158;top:15324;width:10;height:2" coordorigin="4158,15324" coordsize="10,2">
              <v:shape style="position:absolute;left:4158;top:15324;width:10;height:2" coordorigin="4158,15324" coordsize="10,0" path="m4158,15324l4167,15324e" filled="false" stroked="true" strokeweight=".48pt" strokecolor="#000000">
                <v:path arrowok="t"/>
              </v:shape>
            </v:group>
            <v:group style="position:absolute;left:4167;top:15324;width:3291;height:2" coordorigin="4167,15324" coordsize="3291,2">
              <v:shape style="position:absolute;left:4167;top:15324;width:3291;height:2" coordorigin="4167,15324" coordsize="3291,0" path="m4167,15324l7458,15324e" filled="false" stroked="true" strokeweight=".48pt" strokecolor="#000000">
                <v:path arrowok="t"/>
              </v:shape>
            </v:group>
            <v:group style="position:absolute;left:7444;top:15324;width:10;height:2" coordorigin="7444,15324" coordsize="10,2">
              <v:shape style="position:absolute;left:7444;top:15324;width:10;height:2" coordorigin="7444,15324" coordsize="10,0" path="m7444,15324l7453,15324e" filled="false" stroked="true" strokeweight=".48pt" strokecolor="#000000">
                <v:path arrowok="t"/>
              </v:shape>
            </v:group>
            <v:group style="position:absolute;left:7453;top:15324;width:3286;height:2" coordorigin="7453,15324" coordsize="3286,2">
              <v:shape style="position:absolute;left:7453;top:15324;width:3286;height:2" coordorigin="7453,15324" coordsize="3286,0" path="m7453,15324l10739,15324e" filled="false" stroked="true" strokeweight=".48pt" strokecolor="#000000">
                <v:path arrowok="t"/>
              </v:shape>
              <v:shape style="position:absolute;left:9206;top:15298;width:2700;height:1540" type="#_x0000_t75" stroked="false">
                <v:imagedata r:id="rId5" o:title=""/>
              </v:shape>
            </v:group>
            <w10:wrap type="none"/>
          </v:group>
        </w:pict>
      </w:r>
    </w:p>
    <w:p>
      <w:pPr>
        <w:pStyle w:val="BodyText"/>
        <w:spacing w:line="240" w:lineRule="auto" w:before="44"/>
        <w:ind w:left="513" w:right="981"/>
        <w:jc w:val="left"/>
      </w:pPr>
      <w:r>
        <w:rPr/>
        <w:t>注</w:t>
      </w:r>
      <w:r>
        <w:rPr>
          <w:spacing w:val="-48"/>
        </w:rPr>
        <w:t> </w:t>
      </w:r>
      <w:r>
        <w:rPr>
          <w:rFonts w:ascii="宋体" w:hAnsi="宋体" w:cs="宋体" w:eastAsia="宋体" w:hint="default"/>
        </w:rPr>
        <w:t>2</w:t>
      </w:r>
      <w:r>
        <w:rPr/>
        <w:t>：本期有限售条件股份减少</w:t>
      </w:r>
      <w:r>
        <w:rPr>
          <w:spacing w:val="-47"/>
        </w:rPr>
        <w:t> </w:t>
      </w:r>
      <w:r>
        <w:rPr>
          <w:rFonts w:ascii="宋体" w:hAnsi="宋体" w:cs="宋体" w:eastAsia="宋体" w:hint="default"/>
        </w:rPr>
        <w:t>30.44</w:t>
      </w:r>
      <w:r>
        <w:rPr>
          <w:rFonts w:ascii="宋体" w:hAnsi="宋体" w:cs="宋体" w:eastAsia="宋体" w:hint="default"/>
          <w:spacing w:val="-46"/>
        </w:rPr>
        <w:t> </w:t>
      </w:r>
      <w:r>
        <w:rPr/>
        <w:t>万元，系有限售条件股份到限售期转为无限售条件股份所致。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pStyle w:val="BodyText"/>
        <w:spacing w:line="240" w:lineRule="auto"/>
        <w:ind w:left="513" w:right="981"/>
        <w:jc w:val="left"/>
      </w:pPr>
      <w:r>
        <w:rPr>
          <w:rFonts w:ascii="宋体" w:hAnsi="宋体" w:cs="宋体" w:eastAsia="宋体" w:hint="default"/>
        </w:rPr>
        <w:t>22.</w:t>
      </w:r>
      <w:r>
        <w:rPr/>
        <w:t>资本公积</w:t>
      </w:r>
    </w:p>
    <w:p>
      <w:pPr>
        <w:spacing w:line="240" w:lineRule="auto" w:before="6"/>
        <w:rPr>
          <w:rFonts w:ascii="宋体" w:hAnsi="宋体" w:cs="宋体" w:eastAsia="宋体" w:hint="default"/>
          <w:sz w:val="23"/>
          <w:szCs w:val="23"/>
        </w:rPr>
      </w:pPr>
    </w:p>
    <w:tbl>
      <w:tblPr>
        <w:tblW w:w="0" w:type="auto"/>
        <w:jc w:val="left"/>
        <w:tblInd w:w="152" w:type="dxa"/>
        <w:tblLayout w:type="fixed"/>
        <w:tblCellMar>
          <w:top w:w="0" w:type="dxa"/>
          <w:left w:w="0" w:type="dxa"/>
          <w:bottom w:w="0" w:type="dxa"/>
          <w:right w:w="0" w:type="dxa"/>
        </w:tblCellMar>
        <w:tblLook w:val="01E0"/>
      </w:tblPr>
      <w:tblGrid>
        <w:gridCol w:w="1719"/>
        <w:gridCol w:w="2157"/>
        <w:gridCol w:w="1713"/>
        <w:gridCol w:w="2219"/>
        <w:gridCol w:w="1722"/>
      </w:tblGrid>
      <w:tr>
        <w:trPr>
          <w:trHeight w:val="296" w:hRule="exact"/>
        </w:trPr>
        <w:tc>
          <w:tcPr>
            <w:tcW w:w="1719" w:type="dxa"/>
            <w:tcBorders>
              <w:top w:val="nil" w:sz="6" w:space="0" w:color="auto"/>
              <w:left w:val="nil" w:sz="6" w:space="0" w:color="auto"/>
              <w:bottom w:val="single" w:sz="4" w:space="0" w:color="000000"/>
              <w:right w:val="nil" w:sz="6" w:space="0" w:color="auto"/>
            </w:tcBorders>
          </w:tcPr>
          <w:p>
            <w:pPr>
              <w:pStyle w:val="TableParagraph"/>
              <w:spacing w:line="180" w:lineRule="exact"/>
              <w:ind w:right="69"/>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57" w:type="dxa"/>
            <w:tcBorders>
              <w:top w:val="nil" w:sz="6" w:space="0" w:color="auto"/>
              <w:left w:val="nil" w:sz="6" w:space="0" w:color="auto"/>
              <w:bottom w:val="single" w:sz="4" w:space="0" w:color="000000"/>
              <w:right w:val="nil" w:sz="6" w:space="0" w:color="auto"/>
            </w:tcBorders>
          </w:tcPr>
          <w:p>
            <w:pPr>
              <w:pStyle w:val="TableParagraph"/>
              <w:spacing w:line="180" w:lineRule="exact"/>
              <w:ind w:left="59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713" w:type="dxa"/>
            <w:tcBorders>
              <w:top w:val="nil" w:sz="6" w:space="0" w:color="auto"/>
              <w:left w:val="nil" w:sz="6" w:space="0" w:color="auto"/>
              <w:bottom w:val="single" w:sz="4" w:space="0" w:color="000000"/>
              <w:right w:val="nil" w:sz="6" w:space="0" w:color="auto"/>
            </w:tcBorders>
          </w:tcPr>
          <w:p>
            <w:pPr>
              <w:pStyle w:val="TableParagraph"/>
              <w:spacing w:line="180" w:lineRule="exact"/>
              <w:ind w:left="366"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2219" w:type="dxa"/>
            <w:tcBorders>
              <w:top w:val="nil" w:sz="6" w:space="0" w:color="auto"/>
              <w:left w:val="nil" w:sz="6" w:space="0" w:color="auto"/>
              <w:bottom w:val="single" w:sz="4" w:space="0" w:color="000000"/>
              <w:right w:val="nil" w:sz="6" w:space="0" w:color="auto"/>
            </w:tcBorders>
          </w:tcPr>
          <w:p>
            <w:pPr>
              <w:pStyle w:val="TableParagraph"/>
              <w:spacing w:line="180" w:lineRule="exact"/>
              <w:ind w:left="624"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22" w:type="dxa"/>
            <w:tcBorders>
              <w:top w:val="nil" w:sz="6" w:space="0" w:color="auto"/>
              <w:left w:val="nil" w:sz="6" w:space="0" w:color="auto"/>
              <w:bottom w:val="single" w:sz="4" w:space="0" w:color="000000"/>
              <w:right w:val="nil" w:sz="6" w:space="0" w:color="auto"/>
            </w:tcBorders>
          </w:tcPr>
          <w:p>
            <w:pPr>
              <w:pStyle w:val="TableParagraph"/>
              <w:spacing w:line="180" w:lineRule="exact"/>
              <w:ind w:left="37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94" w:hRule="exact"/>
        </w:trPr>
        <w:tc>
          <w:tcPr>
            <w:tcW w:w="171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215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64"/>
              <w:jc w:val="right"/>
              <w:rPr>
                <w:rFonts w:ascii="宋体" w:hAnsi="宋体" w:cs="宋体" w:eastAsia="宋体" w:hint="default"/>
                <w:sz w:val="18"/>
                <w:szCs w:val="18"/>
              </w:rPr>
            </w:pPr>
            <w:r>
              <w:rPr>
                <w:rFonts w:ascii="宋体"/>
                <w:spacing w:val="-1"/>
                <w:sz w:val="18"/>
              </w:rPr>
              <w:t>280,641,876.76</w:t>
            </w:r>
          </w:p>
        </w:tc>
        <w:tc>
          <w:tcPr>
            <w:tcW w:w="1713" w:type="dxa"/>
            <w:tcBorders>
              <w:top w:val="single" w:sz="4" w:space="0" w:color="000000"/>
              <w:left w:val="nil" w:sz="6" w:space="0" w:color="auto"/>
              <w:bottom w:val="nil" w:sz="6" w:space="0" w:color="auto"/>
              <w:right w:val="nil" w:sz="6" w:space="0" w:color="auto"/>
            </w:tcBorders>
          </w:tcPr>
          <w:p>
            <w:pPr/>
          </w:p>
        </w:tc>
        <w:tc>
          <w:tcPr>
            <w:tcW w:w="221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54"/>
              <w:jc w:val="right"/>
              <w:rPr>
                <w:rFonts w:ascii="宋体" w:hAnsi="宋体" w:cs="宋体" w:eastAsia="宋体" w:hint="default"/>
                <w:sz w:val="18"/>
                <w:szCs w:val="18"/>
              </w:rPr>
            </w:pPr>
            <w:r>
              <w:rPr>
                <w:rFonts w:ascii="宋体"/>
                <w:spacing w:val="-1"/>
                <w:sz w:val="18"/>
              </w:rPr>
              <w:t>95,760,000.00</w:t>
            </w:r>
          </w:p>
        </w:tc>
        <w:tc>
          <w:tcPr>
            <w:tcW w:w="172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184,881,876.76</w:t>
            </w:r>
          </w:p>
        </w:tc>
      </w:tr>
      <w:tr>
        <w:trPr>
          <w:trHeight w:val="394"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64"/>
              <w:jc w:val="right"/>
              <w:rPr>
                <w:rFonts w:ascii="宋体" w:hAnsi="宋体" w:cs="宋体" w:eastAsia="宋体" w:hint="default"/>
                <w:sz w:val="18"/>
                <w:szCs w:val="18"/>
              </w:rPr>
            </w:pPr>
            <w:r>
              <w:rPr>
                <w:rFonts w:ascii="宋体"/>
                <w:spacing w:val="-1"/>
                <w:sz w:val="18"/>
              </w:rPr>
              <w:t>3,831,282.13</w:t>
            </w:r>
          </w:p>
        </w:tc>
        <w:tc>
          <w:tcPr>
            <w:tcW w:w="171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3,831,282.13</w:t>
            </w:r>
          </w:p>
        </w:tc>
      </w:tr>
      <w:tr>
        <w:trPr>
          <w:trHeight w:val="287"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64"/>
              <w:jc w:val="right"/>
              <w:rPr>
                <w:rFonts w:ascii="宋体" w:hAnsi="宋体" w:cs="宋体" w:eastAsia="宋体" w:hint="default"/>
                <w:sz w:val="18"/>
                <w:szCs w:val="18"/>
              </w:rPr>
            </w:pPr>
            <w:r>
              <w:rPr>
                <w:rFonts w:ascii="宋体"/>
                <w:sz w:val="18"/>
              </w:rPr>
            </w:r>
            <w:r>
              <w:rPr>
                <w:rFonts w:ascii="宋体"/>
                <w:spacing w:val="-1"/>
                <w:sz w:val="18"/>
                <w:u w:val="thick" w:color="000000"/>
              </w:rPr>
              <w:t>284,473,158.89</w:t>
            </w:r>
            <w:r>
              <w:rPr>
                <w:rFonts w:ascii="宋体"/>
                <w:spacing w:val="-1"/>
                <w:sz w:val="18"/>
              </w:rPr>
            </w:r>
          </w:p>
        </w:tc>
        <w:tc>
          <w:tcPr>
            <w:tcW w:w="1713"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54"/>
              <w:jc w:val="right"/>
              <w:rPr>
                <w:rFonts w:ascii="宋体" w:hAnsi="宋体" w:cs="宋体" w:eastAsia="宋体" w:hint="default"/>
                <w:sz w:val="18"/>
                <w:szCs w:val="18"/>
              </w:rPr>
            </w:pPr>
            <w:r>
              <w:rPr>
                <w:rFonts w:ascii="宋体"/>
                <w:sz w:val="18"/>
              </w:rPr>
            </w:r>
            <w:r>
              <w:rPr>
                <w:rFonts w:ascii="宋体"/>
                <w:spacing w:val="-1"/>
                <w:sz w:val="18"/>
                <w:u w:val="thick" w:color="000000"/>
              </w:rPr>
              <w:t>95,760,000.00</w:t>
            </w:r>
            <w:r>
              <w:rPr>
                <w:rFonts w:ascii="宋体"/>
                <w:spacing w:val="-1"/>
                <w:sz w:val="18"/>
              </w:rPr>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r>
            <w:r>
              <w:rPr>
                <w:rFonts w:ascii="宋体"/>
                <w:spacing w:val="-1"/>
                <w:sz w:val="18"/>
                <w:u w:val="thick" w:color="000000"/>
              </w:rPr>
              <w:t>188,713,158.89</w:t>
            </w:r>
            <w:r>
              <w:rPr>
                <w:rFonts w:ascii="宋体"/>
                <w:spacing w:val="-1"/>
                <w:sz w:val="18"/>
              </w:rPr>
            </w:r>
          </w:p>
        </w:tc>
      </w:tr>
    </w:tbl>
    <w:p>
      <w:pPr>
        <w:spacing w:line="240" w:lineRule="auto" w:before="13"/>
        <w:rPr>
          <w:rFonts w:ascii="宋体" w:hAnsi="宋体" w:cs="宋体" w:eastAsia="宋体" w:hint="default"/>
          <w:sz w:val="13"/>
          <w:szCs w:val="13"/>
        </w:rPr>
      </w:pPr>
    </w:p>
    <w:p>
      <w:pPr>
        <w:pStyle w:val="BodyText"/>
        <w:spacing w:line="528" w:lineRule="auto" w:before="44"/>
        <w:ind w:left="513" w:right="5938"/>
        <w:jc w:val="left"/>
      </w:pPr>
      <w:r>
        <w:rPr/>
        <w:t>注：公司本期资本公积减少详见附注七</w:t>
      </w:r>
      <w:r>
        <w:rPr>
          <w:rFonts w:ascii="宋体" w:hAnsi="宋体" w:cs="宋体" w:eastAsia="宋体" w:hint="default"/>
        </w:rPr>
        <w:t>.21</w:t>
      </w:r>
      <w:r>
        <w:rPr>
          <w:rFonts w:ascii="宋体" w:hAnsi="宋体" w:cs="宋体" w:eastAsia="宋体" w:hint="default"/>
          <w:spacing w:val="-45"/>
        </w:rPr>
        <w:t> </w:t>
      </w:r>
      <w:r>
        <w:rPr/>
        <w:t>股本的说明。 </w:t>
      </w:r>
      <w:r>
        <w:rPr>
          <w:rFonts w:ascii="宋体" w:hAnsi="宋体" w:cs="宋体" w:eastAsia="宋体" w:hint="default"/>
        </w:rPr>
        <w:t>23.</w:t>
      </w:r>
      <w:r>
        <w:rPr/>
        <w:t>盈余公积</w:t>
      </w:r>
    </w:p>
    <w:p>
      <w:pPr>
        <w:spacing w:line="240" w:lineRule="auto" w:before="0"/>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1701"/>
        <w:gridCol w:w="2120"/>
        <w:gridCol w:w="1972"/>
        <w:gridCol w:w="1711"/>
        <w:gridCol w:w="1971"/>
      </w:tblGrid>
      <w:tr>
        <w:trPr>
          <w:trHeight w:val="296" w:hRule="exact"/>
        </w:trPr>
        <w:tc>
          <w:tcPr>
            <w:tcW w:w="1701" w:type="dxa"/>
            <w:tcBorders>
              <w:top w:val="nil" w:sz="6" w:space="0" w:color="auto"/>
              <w:left w:val="nil" w:sz="6" w:space="0" w:color="auto"/>
              <w:bottom w:val="single" w:sz="4" w:space="0" w:color="000000"/>
              <w:right w:val="nil" w:sz="6" w:space="0" w:color="auto"/>
            </w:tcBorders>
          </w:tcPr>
          <w:p>
            <w:pPr>
              <w:pStyle w:val="TableParagraph"/>
              <w:spacing w:line="180" w:lineRule="exact"/>
              <w:ind w:right="108"/>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20" w:type="dxa"/>
            <w:tcBorders>
              <w:top w:val="nil" w:sz="6" w:space="0" w:color="auto"/>
              <w:left w:val="nil" w:sz="6" w:space="0" w:color="auto"/>
              <w:bottom w:val="single" w:sz="4" w:space="0" w:color="000000"/>
              <w:right w:val="nil" w:sz="6" w:space="0" w:color="auto"/>
            </w:tcBorders>
          </w:tcPr>
          <w:p>
            <w:pPr>
              <w:pStyle w:val="TableParagraph"/>
              <w:spacing w:line="180" w:lineRule="exact"/>
              <w:ind w:left="51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972" w:type="dxa"/>
            <w:tcBorders>
              <w:top w:val="nil" w:sz="6" w:space="0" w:color="auto"/>
              <w:left w:val="nil" w:sz="6" w:space="0" w:color="auto"/>
              <w:bottom w:val="single" w:sz="4" w:space="0" w:color="000000"/>
              <w:right w:val="nil" w:sz="6" w:space="0" w:color="auto"/>
            </w:tcBorders>
          </w:tcPr>
          <w:p>
            <w:pPr>
              <w:pStyle w:val="TableParagraph"/>
              <w:spacing w:line="180" w:lineRule="exact"/>
              <w:ind w:left="366"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711" w:type="dxa"/>
            <w:tcBorders>
              <w:top w:val="nil" w:sz="6" w:space="0" w:color="auto"/>
              <w:left w:val="nil" w:sz="6" w:space="0" w:color="auto"/>
              <w:bottom w:val="single" w:sz="4" w:space="0" w:color="000000"/>
              <w:right w:val="nil" w:sz="6" w:space="0" w:color="auto"/>
            </w:tcBorders>
          </w:tcPr>
          <w:p>
            <w:pPr>
              <w:pStyle w:val="TableParagraph"/>
              <w:spacing w:line="180" w:lineRule="exact"/>
              <w:ind w:left="364"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971" w:type="dxa"/>
            <w:tcBorders>
              <w:top w:val="nil" w:sz="6" w:space="0" w:color="auto"/>
              <w:left w:val="nil" w:sz="6" w:space="0" w:color="auto"/>
              <w:bottom w:val="single" w:sz="4" w:space="0" w:color="000000"/>
              <w:right w:val="nil" w:sz="6" w:space="0" w:color="auto"/>
            </w:tcBorders>
          </w:tcPr>
          <w:p>
            <w:pPr>
              <w:pStyle w:val="TableParagraph"/>
              <w:spacing w:line="180" w:lineRule="exact"/>
              <w:ind w:left="62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395" w:hRule="exact"/>
        </w:trPr>
        <w:tc>
          <w:tcPr>
            <w:tcW w:w="170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7"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212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64"/>
              <w:jc w:val="right"/>
              <w:rPr>
                <w:rFonts w:ascii="宋体" w:hAnsi="宋体" w:cs="宋体" w:eastAsia="宋体" w:hint="default"/>
                <w:sz w:val="18"/>
                <w:szCs w:val="18"/>
              </w:rPr>
            </w:pPr>
            <w:r>
              <w:rPr>
                <w:rFonts w:ascii="宋体"/>
                <w:spacing w:val="-1"/>
                <w:sz w:val="18"/>
              </w:rPr>
              <w:t>22,563,594.63</w:t>
            </w:r>
          </w:p>
        </w:tc>
        <w:tc>
          <w:tcPr>
            <w:tcW w:w="197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62"/>
              <w:jc w:val="right"/>
              <w:rPr>
                <w:rFonts w:ascii="宋体" w:hAnsi="宋体" w:cs="宋体" w:eastAsia="宋体" w:hint="default"/>
                <w:sz w:val="18"/>
                <w:szCs w:val="18"/>
              </w:rPr>
            </w:pPr>
            <w:r>
              <w:rPr>
                <w:rFonts w:ascii="宋体"/>
                <w:spacing w:val="-1"/>
                <w:sz w:val="18"/>
              </w:rPr>
              <w:t>4,554,107.19</w:t>
            </w:r>
          </w:p>
        </w:tc>
        <w:tc>
          <w:tcPr>
            <w:tcW w:w="1711" w:type="dxa"/>
            <w:tcBorders>
              <w:top w:val="single" w:sz="4" w:space="0" w:color="000000"/>
              <w:left w:val="nil" w:sz="6" w:space="0" w:color="auto"/>
              <w:bottom w:val="nil" w:sz="6" w:space="0" w:color="auto"/>
              <w:right w:val="nil" w:sz="6" w:space="0" w:color="auto"/>
            </w:tcBorders>
          </w:tcPr>
          <w:p>
            <w:pPr/>
          </w:p>
        </w:tc>
        <w:tc>
          <w:tcPr>
            <w:tcW w:w="197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27,117,701.82</w:t>
            </w:r>
          </w:p>
        </w:tc>
      </w:tr>
      <w:tr>
        <w:trPr>
          <w:trHeight w:val="286"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64"/>
              <w:jc w:val="right"/>
              <w:rPr>
                <w:rFonts w:ascii="宋体" w:hAnsi="宋体" w:cs="宋体" w:eastAsia="宋体" w:hint="default"/>
                <w:sz w:val="18"/>
                <w:szCs w:val="18"/>
              </w:rPr>
            </w:pPr>
            <w:r>
              <w:rPr>
                <w:rFonts w:ascii="宋体"/>
                <w:sz w:val="18"/>
              </w:rPr>
            </w:r>
            <w:r>
              <w:rPr>
                <w:rFonts w:ascii="宋体"/>
                <w:spacing w:val="-1"/>
                <w:sz w:val="18"/>
                <w:u w:val="thick" w:color="000000"/>
              </w:rPr>
              <w:t>22,563,594.63</w:t>
            </w:r>
            <w:r>
              <w:rPr>
                <w:rFonts w:ascii="宋体"/>
                <w:spacing w:val="-1"/>
                <w:sz w:val="18"/>
              </w:rPr>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62"/>
              <w:jc w:val="right"/>
              <w:rPr>
                <w:rFonts w:ascii="宋体" w:hAnsi="宋体" w:cs="宋体" w:eastAsia="宋体" w:hint="default"/>
                <w:sz w:val="18"/>
                <w:szCs w:val="18"/>
              </w:rPr>
            </w:pPr>
            <w:r>
              <w:rPr>
                <w:rFonts w:ascii="宋体"/>
                <w:sz w:val="18"/>
              </w:rPr>
            </w:r>
            <w:r>
              <w:rPr>
                <w:rFonts w:ascii="宋体"/>
                <w:spacing w:val="-1"/>
                <w:sz w:val="18"/>
                <w:u w:val="thick" w:color="000000"/>
              </w:rPr>
              <w:t>4,554,107.19</w:t>
            </w:r>
            <w:r>
              <w:rPr>
                <w:rFonts w:ascii="宋体"/>
                <w:spacing w:val="-1"/>
                <w:sz w:val="18"/>
              </w:rPr>
            </w:r>
          </w:p>
        </w:tc>
        <w:tc>
          <w:tcPr>
            <w:tcW w:w="1711" w:type="dxa"/>
            <w:tcBorders>
              <w:top w:val="nil" w:sz="6" w:space="0" w:color="auto"/>
              <w:left w:val="nil" w:sz="6" w:space="0" w:color="auto"/>
              <w:bottom w:val="nil" w:sz="6" w:space="0" w:color="auto"/>
              <w:right w:val="nil" w:sz="6" w:space="0" w:color="auto"/>
            </w:tcBorders>
          </w:tcPr>
          <w:p>
            <w:pP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r>
            <w:r>
              <w:rPr>
                <w:rFonts w:ascii="宋体"/>
                <w:spacing w:val="-1"/>
                <w:sz w:val="18"/>
                <w:u w:val="thick" w:color="000000"/>
              </w:rPr>
              <w:t>27,117,701.82</w:t>
            </w:r>
            <w:r>
              <w:rPr>
                <w:rFonts w:ascii="宋体"/>
                <w:spacing w:val="-1"/>
                <w:sz w:val="18"/>
              </w:rPr>
            </w:r>
          </w:p>
        </w:tc>
      </w:tr>
    </w:tbl>
    <w:p>
      <w:pPr>
        <w:spacing w:line="240" w:lineRule="auto" w:before="11"/>
        <w:rPr>
          <w:rFonts w:ascii="宋体" w:hAnsi="宋体" w:cs="宋体" w:eastAsia="宋体" w:hint="default"/>
          <w:sz w:val="13"/>
          <w:szCs w:val="13"/>
        </w:rPr>
      </w:pPr>
    </w:p>
    <w:p>
      <w:pPr>
        <w:pStyle w:val="BodyText"/>
        <w:spacing w:line="240" w:lineRule="auto" w:before="44"/>
        <w:ind w:left="513" w:right="981"/>
        <w:jc w:val="left"/>
      </w:pPr>
      <w:r>
        <w:rPr/>
        <w:t>注：公司本期盈余公积的增加为根据净利润的</w:t>
      </w:r>
      <w:r>
        <w:rPr>
          <w:spacing w:val="-47"/>
        </w:rPr>
        <w:t> </w:t>
      </w:r>
      <w:r>
        <w:rPr>
          <w:rFonts w:ascii="宋体" w:hAnsi="宋体" w:cs="宋体" w:eastAsia="宋体" w:hint="default"/>
        </w:rPr>
        <w:t>10%</w:t>
      </w:r>
      <w:r>
        <w:rPr/>
        <w:t>计提法定盈余公积。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BodyText"/>
        <w:spacing w:line="240" w:lineRule="auto"/>
        <w:ind w:left="513" w:right="981"/>
        <w:jc w:val="left"/>
      </w:pPr>
      <w:r>
        <w:rPr>
          <w:rFonts w:ascii="宋体" w:hAnsi="宋体" w:cs="宋体" w:eastAsia="宋体" w:hint="default"/>
        </w:rPr>
        <w:t>24.</w:t>
      </w:r>
      <w:r>
        <w:rPr/>
        <w:t>未分配利润</w:t>
      </w:r>
    </w:p>
    <w:p>
      <w:pPr>
        <w:spacing w:line="240" w:lineRule="auto" w:before="6"/>
        <w:rPr>
          <w:rFonts w:ascii="宋体" w:hAnsi="宋体" w:cs="宋体" w:eastAsia="宋体" w:hint="default"/>
          <w:sz w:val="23"/>
          <w:szCs w:val="23"/>
        </w:rPr>
      </w:pPr>
    </w:p>
    <w:tbl>
      <w:tblPr>
        <w:tblW w:w="0" w:type="auto"/>
        <w:jc w:val="left"/>
        <w:tblInd w:w="186" w:type="dxa"/>
        <w:tblLayout w:type="fixed"/>
        <w:tblCellMar>
          <w:top w:w="0" w:type="dxa"/>
          <w:left w:w="0" w:type="dxa"/>
          <w:bottom w:w="0" w:type="dxa"/>
          <w:right w:w="0" w:type="dxa"/>
        </w:tblCellMar>
        <w:tblLook w:val="01E0"/>
      </w:tblPr>
      <w:tblGrid>
        <w:gridCol w:w="3099"/>
        <w:gridCol w:w="3780"/>
        <w:gridCol w:w="2694"/>
      </w:tblGrid>
      <w:tr>
        <w:trPr>
          <w:trHeight w:val="296" w:hRule="exact"/>
        </w:trPr>
        <w:tc>
          <w:tcPr>
            <w:tcW w:w="3099"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86"/>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80" w:type="dxa"/>
            <w:tcBorders>
              <w:top w:val="nil" w:sz="6" w:space="0" w:color="auto"/>
              <w:left w:val="nil" w:sz="6" w:space="0" w:color="auto"/>
              <w:bottom w:val="single" w:sz="4" w:space="0" w:color="000000"/>
              <w:right w:val="nil" w:sz="6" w:space="0" w:color="auto"/>
            </w:tcBorders>
          </w:tcPr>
          <w:p>
            <w:pPr>
              <w:pStyle w:val="TableParagraph"/>
              <w:spacing w:line="180" w:lineRule="exact"/>
              <w:ind w:left="1190"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694" w:type="dxa"/>
            <w:tcBorders>
              <w:top w:val="nil" w:sz="6" w:space="0" w:color="auto"/>
              <w:left w:val="nil" w:sz="6" w:space="0" w:color="auto"/>
              <w:bottom w:val="single" w:sz="4" w:space="0" w:color="000000"/>
              <w:right w:val="nil" w:sz="6" w:space="0" w:color="auto"/>
            </w:tcBorders>
          </w:tcPr>
          <w:p>
            <w:pPr>
              <w:pStyle w:val="TableParagraph"/>
              <w:spacing w:line="180" w:lineRule="exact"/>
              <w:ind w:left="692"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00" w:hRule="exact"/>
        </w:trPr>
        <w:tc>
          <w:tcPr>
            <w:tcW w:w="309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上期期末未分配利润</w:t>
            </w:r>
          </w:p>
        </w:tc>
        <w:tc>
          <w:tcPr>
            <w:tcW w:w="378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691"/>
              <w:jc w:val="right"/>
              <w:rPr>
                <w:rFonts w:ascii="宋体" w:hAnsi="宋体" w:cs="宋体" w:eastAsia="宋体" w:hint="default"/>
                <w:sz w:val="18"/>
                <w:szCs w:val="18"/>
              </w:rPr>
            </w:pPr>
            <w:r>
              <w:rPr>
                <w:rFonts w:ascii="宋体"/>
                <w:spacing w:val="-1"/>
                <w:sz w:val="18"/>
              </w:rPr>
              <w:t>133,494,063.51</w:t>
            </w:r>
          </w:p>
        </w:tc>
        <w:tc>
          <w:tcPr>
            <w:tcW w:w="269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95,629,098.76</w:t>
            </w:r>
          </w:p>
        </w:tc>
      </w:tr>
      <w:tr>
        <w:trPr>
          <w:trHeight w:val="396"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期初未分配利润调整合计数</w:t>
            </w:r>
          </w:p>
        </w:tc>
        <w:tc>
          <w:tcPr>
            <w:tcW w:w="3780" w:type="dxa"/>
            <w:tcBorders>
              <w:top w:val="nil" w:sz="6" w:space="0" w:color="auto"/>
              <w:left w:val="nil" w:sz="6" w:space="0" w:color="auto"/>
              <w:bottom w:val="nil" w:sz="6" w:space="0" w:color="auto"/>
              <w:right w:val="nil" w:sz="6" w:space="0" w:color="auto"/>
            </w:tcBorders>
          </w:tcPr>
          <w:p>
            <w:pPr/>
          </w:p>
        </w:tc>
        <w:tc>
          <w:tcPr>
            <w:tcW w:w="2694" w:type="dxa"/>
            <w:tcBorders>
              <w:top w:val="nil" w:sz="6" w:space="0" w:color="auto"/>
              <w:left w:val="nil" w:sz="6" w:space="0" w:color="auto"/>
              <w:bottom w:val="nil" w:sz="6" w:space="0" w:color="auto"/>
              <w:right w:val="nil" w:sz="6" w:space="0" w:color="auto"/>
            </w:tcBorders>
          </w:tcPr>
          <w:p>
            <w:pPr/>
          </w:p>
        </w:tc>
      </w:tr>
      <w:tr>
        <w:trPr>
          <w:trHeight w:val="398"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37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91"/>
              <w:jc w:val="right"/>
              <w:rPr>
                <w:rFonts w:ascii="宋体" w:hAnsi="宋体" w:cs="宋体" w:eastAsia="宋体" w:hint="default"/>
                <w:sz w:val="18"/>
                <w:szCs w:val="18"/>
              </w:rPr>
            </w:pPr>
            <w:r>
              <w:rPr>
                <w:rFonts w:ascii="宋体"/>
                <w:spacing w:val="-1"/>
                <w:sz w:val="18"/>
              </w:rPr>
              <w:t>133,494,063.51</w:t>
            </w:r>
          </w:p>
        </w:tc>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宋体" w:hAnsi="宋体" w:cs="宋体" w:eastAsia="宋体" w:hint="default"/>
                <w:sz w:val="18"/>
                <w:szCs w:val="18"/>
              </w:rPr>
            </w:pPr>
            <w:r>
              <w:rPr>
                <w:rFonts w:ascii="宋体"/>
                <w:spacing w:val="-1"/>
                <w:sz w:val="18"/>
              </w:rPr>
              <w:t>95,629,098.76</w:t>
            </w:r>
          </w:p>
        </w:tc>
      </w:tr>
      <w:tr>
        <w:trPr>
          <w:trHeight w:val="396"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加：本期净利润</w:t>
            </w:r>
          </w:p>
        </w:tc>
        <w:tc>
          <w:tcPr>
            <w:tcW w:w="37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90"/>
              <w:jc w:val="right"/>
              <w:rPr>
                <w:rFonts w:ascii="宋体" w:hAnsi="宋体" w:cs="宋体" w:eastAsia="宋体" w:hint="default"/>
                <w:sz w:val="18"/>
                <w:szCs w:val="18"/>
              </w:rPr>
            </w:pPr>
            <w:r>
              <w:rPr>
                <w:rFonts w:ascii="宋体"/>
                <w:spacing w:val="-1"/>
                <w:sz w:val="18"/>
              </w:rPr>
              <w:t>45,541,071.87</w:t>
            </w:r>
          </w:p>
        </w:tc>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42,072,183.06</w:t>
            </w:r>
          </w:p>
        </w:tc>
      </w:tr>
      <w:tr>
        <w:trPr>
          <w:trHeight w:val="398"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90"/>
              <w:jc w:val="right"/>
              <w:rPr>
                <w:rFonts w:ascii="宋体" w:hAnsi="宋体" w:cs="宋体" w:eastAsia="宋体" w:hint="default"/>
                <w:sz w:val="18"/>
                <w:szCs w:val="18"/>
              </w:rPr>
            </w:pPr>
            <w:r>
              <w:rPr>
                <w:rFonts w:ascii="宋体"/>
                <w:spacing w:val="-1"/>
                <w:sz w:val="18"/>
              </w:rPr>
              <w:t>4,554,107.19</w:t>
            </w:r>
          </w:p>
        </w:tc>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宋体" w:hAnsi="宋体" w:cs="宋体" w:eastAsia="宋体" w:hint="default"/>
                <w:sz w:val="18"/>
                <w:szCs w:val="18"/>
              </w:rPr>
            </w:pPr>
            <w:r>
              <w:rPr>
                <w:rFonts w:ascii="宋体"/>
                <w:spacing w:val="-1"/>
                <w:sz w:val="18"/>
              </w:rPr>
              <w:t>4,207,218.31</w:t>
            </w:r>
          </w:p>
        </w:tc>
      </w:tr>
      <w:tr>
        <w:trPr>
          <w:trHeight w:val="396"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68"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3780" w:type="dxa"/>
            <w:tcBorders>
              <w:top w:val="nil" w:sz="6" w:space="0" w:color="auto"/>
              <w:left w:val="nil" w:sz="6" w:space="0" w:color="auto"/>
              <w:bottom w:val="nil" w:sz="6" w:space="0" w:color="auto"/>
              <w:right w:val="nil" w:sz="6" w:space="0" w:color="auto"/>
            </w:tcBorders>
          </w:tcPr>
          <w:p>
            <w:pPr/>
          </w:p>
        </w:tc>
        <w:tc>
          <w:tcPr>
            <w:tcW w:w="2694" w:type="dxa"/>
            <w:tcBorders>
              <w:top w:val="nil" w:sz="6" w:space="0" w:color="auto"/>
              <w:left w:val="nil" w:sz="6" w:space="0" w:color="auto"/>
              <w:bottom w:val="nil" w:sz="6" w:space="0" w:color="auto"/>
              <w:right w:val="nil" w:sz="6" w:space="0" w:color="auto"/>
            </w:tcBorders>
          </w:tcPr>
          <w:p>
            <w:pPr/>
          </w:p>
        </w:tc>
      </w:tr>
      <w:tr>
        <w:trPr>
          <w:trHeight w:val="398"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68" w:right="0"/>
              <w:jc w:val="left"/>
              <w:rPr>
                <w:rFonts w:ascii="宋体" w:hAnsi="宋体" w:cs="宋体" w:eastAsia="宋体" w:hint="default"/>
                <w:sz w:val="18"/>
                <w:szCs w:val="18"/>
              </w:rPr>
            </w:pPr>
            <w:r>
              <w:rPr>
                <w:rFonts w:ascii="宋体" w:hAnsi="宋体" w:cs="宋体" w:eastAsia="宋体" w:hint="default"/>
                <w:sz w:val="18"/>
                <w:szCs w:val="18"/>
              </w:rPr>
              <w:t>分配现金股利</w:t>
            </w:r>
          </w:p>
        </w:tc>
        <w:tc>
          <w:tcPr>
            <w:tcW w:w="37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89"/>
              <w:jc w:val="right"/>
              <w:rPr>
                <w:rFonts w:ascii="宋体" w:hAnsi="宋体" w:cs="宋体" w:eastAsia="宋体" w:hint="default"/>
                <w:sz w:val="18"/>
                <w:szCs w:val="18"/>
              </w:rPr>
            </w:pPr>
            <w:r>
              <w:rPr>
                <w:rFonts w:ascii="宋体"/>
                <w:spacing w:val="-1"/>
                <w:sz w:val="18"/>
              </w:rPr>
              <w:t>10,640,000.00</w:t>
            </w:r>
          </w:p>
        </w:tc>
        <w:tc>
          <w:tcPr>
            <w:tcW w:w="2694" w:type="dxa"/>
            <w:tcBorders>
              <w:top w:val="nil" w:sz="6" w:space="0" w:color="auto"/>
              <w:left w:val="nil" w:sz="6" w:space="0" w:color="auto"/>
              <w:bottom w:val="nil" w:sz="6" w:space="0" w:color="auto"/>
              <w:right w:val="nil" w:sz="6" w:space="0" w:color="auto"/>
            </w:tcBorders>
          </w:tcPr>
          <w:p>
            <w:pPr/>
          </w:p>
        </w:tc>
      </w:tr>
      <w:tr>
        <w:trPr>
          <w:trHeight w:val="396"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68"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80" w:type="dxa"/>
            <w:tcBorders>
              <w:top w:val="nil" w:sz="6" w:space="0" w:color="auto"/>
              <w:left w:val="nil" w:sz="6" w:space="0" w:color="auto"/>
              <w:bottom w:val="nil" w:sz="6" w:space="0" w:color="auto"/>
              <w:right w:val="nil" w:sz="6" w:space="0" w:color="auto"/>
            </w:tcBorders>
          </w:tcPr>
          <w:p>
            <w:pPr/>
          </w:p>
        </w:tc>
        <w:tc>
          <w:tcPr>
            <w:tcW w:w="2694" w:type="dxa"/>
            <w:tcBorders>
              <w:top w:val="nil" w:sz="6" w:space="0" w:color="auto"/>
              <w:left w:val="nil" w:sz="6" w:space="0" w:color="auto"/>
              <w:bottom w:val="nil" w:sz="6" w:space="0" w:color="auto"/>
              <w:right w:val="nil" w:sz="6" w:space="0" w:color="auto"/>
            </w:tcBorders>
          </w:tcPr>
          <w:p>
            <w:pPr/>
          </w:p>
        </w:tc>
      </w:tr>
      <w:tr>
        <w:trPr>
          <w:trHeight w:val="396"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68"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3780" w:type="dxa"/>
            <w:tcBorders>
              <w:top w:val="nil" w:sz="6" w:space="0" w:color="auto"/>
              <w:left w:val="nil" w:sz="6" w:space="0" w:color="auto"/>
              <w:bottom w:val="nil" w:sz="6" w:space="0" w:color="auto"/>
              <w:right w:val="nil" w:sz="6" w:space="0" w:color="auto"/>
            </w:tcBorders>
          </w:tcPr>
          <w:p>
            <w:pPr/>
          </w:p>
        </w:tc>
        <w:tc>
          <w:tcPr>
            <w:tcW w:w="2694" w:type="dxa"/>
            <w:tcBorders>
              <w:top w:val="nil" w:sz="6" w:space="0" w:color="auto"/>
              <w:left w:val="nil" w:sz="6" w:space="0" w:color="auto"/>
              <w:bottom w:val="nil" w:sz="6" w:space="0" w:color="auto"/>
              <w:right w:val="nil" w:sz="6" w:space="0" w:color="auto"/>
            </w:tcBorders>
          </w:tcPr>
          <w:p>
            <w:pPr/>
          </w:p>
        </w:tc>
      </w:tr>
      <w:tr>
        <w:trPr>
          <w:trHeight w:val="290"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8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90"/>
              <w:jc w:val="right"/>
              <w:rPr>
                <w:rFonts w:ascii="宋体" w:hAnsi="宋体" w:cs="宋体" w:eastAsia="宋体" w:hint="default"/>
                <w:sz w:val="18"/>
                <w:szCs w:val="18"/>
              </w:rPr>
            </w:pPr>
            <w:r>
              <w:rPr>
                <w:rFonts w:ascii="宋体"/>
                <w:sz w:val="18"/>
              </w:rPr>
            </w:r>
            <w:r>
              <w:rPr>
                <w:rFonts w:ascii="宋体"/>
                <w:spacing w:val="-1"/>
                <w:sz w:val="18"/>
                <w:u w:val="thick" w:color="000000"/>
              </w:rPr>
              <w:t>163,841,028.19</w:t>
            </w:r>
            <w:r>
              <w:rPr>
                <w:rFonts w:ascii="宋体"/>
                <w:spacing w:val="-1"/>
                <w:sz w:val="18"/>
              </w:rPr>
            </w:r>
          </w:p>
        </w:tc>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宋体" w:hAnsi="宋体" w:cs="宋体" w:eastAsia="宋体" w:hint="default"/>
                <w:sz w:val="18"/>
                <w:szCs w:val="18"/>
              </w:rPr>
            </w:pPr>
            <w:r>
              <w:rPr>
                <w:rFonts w:ascii="宋体"/>
                <w:sz w:val="18"/>
              </w:rPr>
            </w:r>
            <w:r>
              <w:rPr>
                <w:rFonts w:ascii="宋体"/>
                <w:spacing w:val="-1"/>
                <w:sz w:val="18"/>
                <w:u w:val="thick" w:color="000000"/>
              </w:rPr>
              <w:t>133,494,063.51</w:t>
            </w:r>
            <w:r>
              <w:rPr>
                <w:rFonts w:ascii="宋体"/>
                <w:spacing w:val="-1"/>
                <w:sz w:val="18"/>
              </w:rPr>
            </w:r>
          </w:p>
        </w:tc>
      </w:tr>
    </w:tbl>
    <w:p>
      <w:pPr>
        <w:spacing w:line="240" w:lineRule="auto" w:before="11"/>
        <w:rPr>
          <w:rFonts w:ascii="宋体" w:hAnsi="宋体" w:cs="宋体" w:eastAsia="宋体" w:hint="default"/>
          <w:sz w:val="13"/>
          <w:szCs w:val="13"/>
        </w:rPr>
      </w:pPr>
    </w:p>
    <w:p>
      <w:pPr>
        <w:pStyle w:val="BodyText"/>
        <w:spacing w:line="240" w:lineRule="auto" w:before="44"/>
        <w:ind w:right="981"/>
        <w:jc w:val="left"/>
        <w:rPr>
          <w:rFonts w:ascii="宋体" w:hAnsi="宋体" w:cs="宋体" w:eastAsia="宋体" w:hint="default"/>
        </w:rPr>
      </w:pPr>
      <w:r>
        <w:rPr/>
        <w:t>注：公司本期分配现金股利系根据公司第四届董事会第十二次会议及公司</w:t>
      </w:r>
      <w:r>
        <w:rPr>
          <w:spacing w:val="-38"/>
        </w:rPr>
        <w:t> </w:t>
      </w:r>
      <w:r>
        <w:rPr>
          <w:rFonts w:ascii="宋体" w:hAnsi="宋体" w:cs="宋体" w:eastAsia="宋体" w:hint="default"/>
        </w:rPr>
        <w:t>2011</w:t>
      </w:r>
      <w:r>
        <w:rPr>
          <w:rFonts w:ascii="宋体" w:hAnsi="宋体" w:cs="宋体" w:eastAsia="宋体" w:hint="default"/>
          <w:spacing w:val="-37"/>
        </w:rPr>
        <w:t> </w:t>
      </w:r>
      <w:r>
        <w:rPr/>
        <w:t>年度股东大会决议，以公司</w:t>
      </w:r>
      <w:r>
        <w:rPr>
          <w:spacing w:val="-39"/>
        </w:rPr>
        <w:t> </w:t>
      </w:r>
      <w:r>
        <w:rPr>
          <w:rFonts w:ascii="宋体" w:hAnsi="宋体" w:cs="宋体" w:eastAsia="宋体" w:hint="default"/>
        </w:rPr>
        <w:t>2012</w:t>
      </w:r>
      <w:r>
        <w:rPr>
          <w:rFonts w:ascii="宋体" w:hAnsi="宋体" w:cs="宋体" w:eastAsia="宋体" w:hint="default"/>
          <w:spacing w:val="-37"/>
        </w:rPr>
        <w:t> </w:t>
      </w:r>
      <w:r>
        <w:rPr/>
        <w:t>年</w:t>
      </w:r>
      <w:r>
        <w:rPr>
          <w:spacing w:val="-41"/>
        </w:rPr>
        <w:t> </w:t>
      </w:r>
      <w:r>
        <w:rPr>
          <w:rFonts w:ascii="宋体" w:hAnsi="宋体" w:cs="宋体" w:eastAsia="宋体" w:hint="default"/>
        </w:rPr>
        <w:t>7</w:t>
      </w:r>
      <w:r>
        <w:rPr>
          <w:rFonts w:ascii="宋体" w:hAnsi="宋体" w:cs="宋体" w:eastAsia="宋体" w:hint="default"/>
          <w:spacing w:val="-37"/>
        </w:rPr>
        <w:t> </w:t>
      </w:r>
      <w:r>
        <w:rPr/>
        <w:t>月</w:t>
      </w:r>
      <w:r>
        <w:rPr>
          <w:spacing w:val="-39"/>
        </w:rPr>
        <w:t> </w:t>
      </w:r>
      <w:r>
        <w:rPr>
          <w:rFonts w:ascii="宋体" w:hAnsi="宋体" w:cs="宋体" w:eastAsia="宋体" w:hint="default"/>
        </w:rPr>
        <w:t>19</w:t>
      </w:r>
    </w:p>
    <w:p>
      <w:pPr>
        <w:pStyle w:val="BodyText"/>
        <w:spacing w:line="240" w:lineRule="auto" w:before="127"/>
        <w:ind w:right="981"/>
        <w:jc w:val="left"/>
      </w:pPr>
      <w:r>
        <w:rPr/>
        <w:t>日总股本</w:t>
      </w:r>
      <w:r>
        <w:rPr>
          <w:spacing w:val="-45"/>
        </w:rPr>
        <w:t> </w:t>
      </w:r>
      <w:r>
        <w:rPr>
          <w:rFonts w:ascii="宋体" w:hAnsi="宋体" w:cs="宋体" w:eastAsia="宋体" w:hint="default"/>
          <w:spacing w:val="1"/>
        </w:rPr>
        <w:t>1</w:t>
      </w:r>
      <w:r>
        <w:rPr>
          <w:rFonts w:ascii="宋体" w:hAnsi="宋体" w:cs="宋体" w:eastAsia="宋体" w:hint="default"/>
          <w:spacing w:val="-2"/>
        </w:rPr>
        <w:t>0</w:t>
      </w:r>
      <w:r>
        <w:rPr>
          <w:rFonts w:ascii="宋体" w:hAnsi="宋体" w:cs="宋体" w:eastAsia="宋体" w:hint="default"/>
          <w:spacing w:val="1"/>
        </w:rPr>
        <w:t>,</w:t>
      </w:r>
      <w:r>
        <w:rPr>
          <w:rFonts w:ascii="宋体" w:hAnsi="宋体" w:cs="宋体" w:eastAsia="宋体" w:hint="default"/>
          <w:spacing w:val="-2"/>
        </w:rPr>
        <w:t>6</w:t>
      </w:r>
      <w:r>
        <w:rPr>
          <w:rFonts w:ascii="宋体" w:hAnsi="宋体" w:cs="宋体" w:eastAsia="宋体" w:hint="default"/>
          <w:spacing w:val="1"/>
        </w:rPr>
        <w:t>4</w:t>
      </w:r>
      <w:r>
        <w:rPr>
          <w:rFonts w:ascii="宋体" w:hAnsi="宋体" w:cs="宋体" w:eastAsia="宋体" w:hint="default"/>
        </w:rPr>
        <w:t>0</w:t>
      </w:r>
      <w:r>
        <w:rPr>
          <w:rFonts w:ascii="宋体" w:hAnsi="宋体" w:cs="宋体" w:eastAsia="宋体" w:hint="default"/>
          <w:spacing w:val="-44"/>
        </w:rPr>
        <w:t> </w:t>
      </w:r>
      <w:r>
        <w:rPr/>
        <w:t>万股为基数</w:t>
      </w:r>
      <w:r>
        <w:rPr>
          <w:spacing w:val="-3"/>
        </w:rPr>
        <w:t>，</w:t>
      </w:r>
      <w:r>
        <w:rPr/>
        <w:t>向全体股东每</w:t>
      </w:r>
      <w:r>
        <w:rPr>
          <w:spacing w:val="-44"/>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44"/>
        </w:rPr>
        <w:t> </w:t>
      </w:r>
      <w:r>
        <w:rPr/>
        <w:t>股派发现金</w:t>
      </w:r>
      <w:r>
        <w:rPr>
          <w:spacing w:val="-3"/>
        </w:rPr>
        <w:t>红</w:t>
      </w:r>
      <w:r>
        <w:rPr/>
        <w:t>利</w:t>
      </w:r>
      <w:r>
        <w:rPr>
          <w:spacing w:val="-45"/>
        </w:rPr>
        <w:t> </w:t>
      </w:r>
      <w:r>
        <w:rPr>
          <w:rFonts w:ascii="宋体" w:hAnsi="宋体" w:cs="宋体" w:eastAsia="宋体" w:hint="default"/>
        </w:rPr>
        <w:t>1</w:t>
      </w:r>
      <w:r>
        <w:rPr>
          <w:rFonts w:ascii="宋体" w:hAnsi="宋体" w:cs="宋体" w:eastAsia="宋体" w:hint="default"/>
          <w:spacing w:val="-43"/>
        </w:rPr>
        <w:t> </w:t>
      </w:r>
      <w:r>
        <w:rPr/>
        <w:t>元（含税</w:t>
      </w:r>
      <w:r>
        <w:rPr>
          <w:spacing w:val="-92"/>
        </w:rPr>
        <w:t>）</w:t>
      </w:r>
      <w:r>
        <w:rPr/>
        <w:t>，共计派发现金股利</w:t>
      </w:r>
      <w:r>
        <w:rPr>
          <w:spacing w:val="-44"/>
        </w:rPr>
        <w:t> </w:t>
      </w:r>
      <w:r>
        <w:rPr>
          <w:rFonts w:ascii="宋体" w:hAnsi="宋体" w:cs="宋体" w:eastAsia="宋体" w:hint="default"/>
          <w:spacing w:val="1"/>
        </w:rPr>
        <w:t>1</w:t>
      </w:r>
      <w:r>
        <w:rPr>
          <w:rFonts w:ascii="宋体" w:hAnsi="宋体" w:cs="宋体" w:eastAsia="宋体" w:hint="default"/>
          <w:spacing w:val="-2"/>
        </w:rPr>
        <w:t>,</w:t>
      </w:r>
      <w:r>
        <w:rPr>
          <w:rFonts w:ascii="宋体" w:hAnsi="宋体" w:cs="宋体" w:eastAsia="宋体" w:hint="default"/>
          <w:spacing w:val="1"/>
        </w:rPr>
        <w:t>0</w:t>
      </w:r>
      <w:r>
        <w:rPr>
          <w:rFonts w:ascii="宋体" w:hAnsi="宋体" w:cs="宋体" w:eastAsia="宋体" w:hint="default"/>
          <w:spacing w:val="-2"/>
        </w:rPr>
        <w:t>6</w:t>
      </w:r>
      <w:r>
        <w:rPr>
          <w:rFonts w:ascii="宋体" w:hAnsi="宋体" w:cs="宋体" w:eastAsia="宋体" w:hint="default"/>
        </w:rPr>
        <w:t>4</w:t>
      </w:r>
      <w:r>
        <w:rPr>
          <w:rFonts w:ascii="宋体" w:hAnsi="宋体" w:cs="宋体" w:eastAsia="宋体" w:hint="default"/>
          <w:spacing w:val="-43"/>
        </w:rPr>
        <w:t> </w:t>
      </w:r>
      <w:r>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pStyle w:val="BodyText"/>
        <w:spacing w:line="240" w:lineRule="auto"/>
        <w:ind w:left="513" w:right="981"/>
        <w:jc w:val="left"/>
      </w:pPr>
      <w:r>
        <w:rPr>
          <w:rFonts w:ascii="宋体" w:hAnsi="宋体" w:cs="宋体" w:eastAsia="宋体" w:hint="default"/>
        </w:rPr>
        <w:t>25.</w:t>
      </w:r>
      <w:r>
        <w:rPr/>
        <w:t>营业收入及营业成本</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w:t>
      </w:r>
      <w:r>
        <w:rPr>
          <w:rFonts w:ascii="宋体" w:hAnsi="宋体" w:cs="宋体" w:eastAsia="宋体" w:hint="default"/>
        </w:rPr>
        <w:t>1</w:t>
      </w:r>
      <w:r>
        <w:rPr/>
        <w:t>）分类列示营业收入及营业成本</w:t>
      </w:r>
    </w:p>
    <w:p>
      <w:pPr>
        <w:spacing w:line="240" w:lineRule="auto" w:before="6"/>
        <w:rPr>
          <w:rFonts w:ascii="宋体" w:hAnsi="宋体" w:cs="宋体" w:eastAsia="宋体" w:hint="default"/>
          <w:sz w:val="23"/>
          <w:szCs w:val="23"/>
        </w:rPr>
      </w:pPr>
    </w:p>
    <w:tbl>
      <w:tblPr>
        <w:tblW w:w="0" w:type="auto"/>
        <w:jc w:val="left"/>
        <w:tblInd w:w="1309" w:type="dxa"/>
        <w:tblLayout w:type="fixed"/>
        <w:tblCellMar>
          <w:top w:w="0" w:type="dxa"/>
          <w:left w:w="0" w:type="dxa"/>
          <w:bottom w:w="0" w:type="dxa"/>
          <w:right w:w="0" w:type="dxa"/>
        </w:tblCellMar>
        <w:tblLook w:val="01E0"/>
      </w:tblPr>
      <w:tblGrid>
        <w:gridCol w:w="1820"/>
        <w:gridCol w:w="3347"/>
        <w:gridCol w:w="2292"/>
      </w:tblGrid>
      <w:tr>
        <w:trPr>
          <w:trHeight w:val="296" w:hRule="exact"/>
        </w:trPr>
        <w:tc>
          <w:tcPr>
            <w:tcW w:w="1820"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47" w:type="dxa"/>
            <w:tcBorders>
              <w:top w:val="nil" w:sz="6" w:space="0" w:color="auto"/>
              <w:left w:val="nil" w:sz="6" w:space="0" w:color="auto"/>
              <w:bottom w:val="nil" w:sz="6" w:space="0" w:color="auto"/>
              <w:right w:val="nil" w:sz="6" w:space="0" w:color="auto"/>
            </w:tcBorders>
          </w:tcPr>
          <w:p>
            <w:pPr>
              <w:pStyle w:val="TableParagraph"/>
              <w:spacing w:line="180" w:lineRule="exact"/>
              <w:ind w:left="65"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292" w:type="dxa"/>
            <w:tcBorders>
              <w:top w:val="nil" w:sz="6" w:space="0" w:color="auto"/>
              <w:left w:val="nil" w:sz="6" w:space="0" w:color="auto"/>
              <w:bottom w:val="nil" w:sz="6" w:space="0" w:color="auto"/>
              <w:right w:val="nil" w:sz="6" w:space="0" w:color="auto"/>
            </w:tcBorders>
          </w:tcPr>
          <w:p>
            <w:pPr>
              <w:pStyle w:val="TableParagraph"/>
              <w:spacing w:line="180" w:lineRule="exact"/>
              <w:ind w:left="118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bl>
    <w:p>
      <w:pPr>
        <w:spacing w:after="0" w:line="180" w:lineRule="exact"/>
        <w:jc w:val="left"/>
        <w:rPr>
          <w:rFonts w:ascii="宋体" w:hAnsi="宋体" w:cs="宋体" w:eastAsia="宋体" w:hint="default"/>
          <w:sz w:val="18"/>
          <w:szCs w:val="18"/>
        </w:rPr>
        <w:sectPr>
          <w:footerReference w:type="default" r:id="rId34"/>
          <w:pgSz w:w="11910" w:h="16840"/>
          <w:pgMar w:footer="980" w:header="877" w:top="1100" w:bottom="1160" w:left="980" w:right="0"/>
          <w:pgNumType w:start="95"/>
        </w:sectPr>
      </w:pPr>
    </w:p>
    <w:p>
      <w:pPr>
        <w:spacing w:line="240" w:lineRule="auto" w:before="0"/>
        <w:rPr>
          <w:rFonts w:ascii="宋体" w:hAnsi="宋体" w:cs="宋体" w:eastAsia="宋体" w:hint="default"/>
          <w:sz w:val="20"/>
          <w:szCs w:val="20"/>
        </w:rPr>
      </w:pPr>
      <w:r>
        <w:rPr/>
        <w:pict>
          <v:shape style="position:absolute;margin-left:460.320007pt;margin-top:764.919983pt;width:135.0pt;height:77pt;mso-position-horizontal-relative:page;mso-position-vertical-relative:page;z-index:2344" type="#_x0000_t75" stroked="false">
            <v:imagedata r:id="rId5" o:title=""/>
          </v:shape>
        </w:pict>
      </w:r>
    </w:p>
    <w:p>
      <w:pPr>
        <w:spacing w:line="240" w:lineRule="auto" w:before="7"/>
        <w:rPr>
          <w:rFonts w:ascii="宋体" w:hAnsi="宋体" w:cs="宋体" w:eastAsia="宋体" w:hint="default"/>
          <w:sz w:val="12"/>
          <w:szCs w:val="12"/>
        </w:rPr>
      </w:pPr>
    </w:p>
    <w:tbl>
      <w:tblPr>
        <w:tblW w:w="0" w:type="auto"/>
        <w:jc w:val="left"/>
        <w:tblInd w:w="206" w:type="dxa"/>
        <w:tblLayout w:type="fixed"/>
        <w:tblCellMar>
          <w:top w:w="0" w:type="dxa"/>
          <w:left w:w="0" w:type="dxa"/>
          <w:bottom w:w="0" w:type="dxa"/>
          <w:right w:w="0" w:type="dxa"/>
        </w:tblCellMar>
        <w:tblLook w:val="01E0"/>
      </w:tblPr>
      <w:tblGrid>
        <w:gridCol w:w="2943"/>
        <w:gridCol w:w="3244"/>
        <w:gridCol w:w="3278"/>
        <w:gridCol w:w="108"/>
      </w:tblGrid>
      <w:tr>
        <w:trPr>
          <w:trHeight w:val="297" w:hRule="exact"/>
        </w:trPr>
        <w:tc>
          <w:tcPr>
            <w:tcW w:w="2943" w:type="dxa"/>
            <w:tcBorders>
              <w:top w:val="nil" w:sz="6" w:space="0" w:color="auto"/>
              <w:left w:val="nil" w:sz="6" w:space="0" w:color="auto"/>
              <w:bottom w:val="single" w:sz="4" w:space="0" w:color="000000"/>
              <w:right w:val="nil" w:sz="6" w:space="0" w:color="auto"/>
            </w:tcBorders>
          </w:tcPr>
          <w:p>
            <w:pPr>
              <w:pStyle w:val="TableParagraph"/>
              <w:spacing w:line="180" w:lineRule="exact"/>
              <w:ind w:left="6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44" w:type="dxa"/>
            <w:tcBorders>
              <w:top w:val="nil" w:sz="6" w:space="0" w:color="auto"/>
              <w:left w:val="nil" w:sz="6" w:space="0" w:color="auto"/>
              <w:bottom w:val="single" w:sz="4" w:space="0" w:color="000000"/>
              <w:right w:val="nil" w:sz="6" w:space="0" w:color="auto"/>
            </w:tcBorders>
          </w:tcPr>
          <w:p>
            <w:pPr>
              <w:pStyle w:val="TableParagraph"/>
              <w:spacing w:line="180" w:lineRule="exact"/>
              <w:ind w:left="169"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278" w:type="dxa"/>
            <w:tcBorders>
              <w:top w:val="nil" w:sz="6" w:space="0" w:color="auto"/>
              <w:left w:val="nil" w:sz="6" w:space="0" w:color="auto"/>
              <w:bottom w:val="single" w:sz="4" w:space="0" w:color="000000"/>
              <w:right w:val="nil" w:sz="6" w:space="0" w:color="auto"/>
            </w:tcBorders>
          </w:tcPr>
          <w:p>
            <w:pPr>
              <w:pStyle w:val="TableParagraph"/>
              <w:spacing w:line="180" w:lineRule="exact"/>
              <w:ind w:left="129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108" w:type="dxa"/>
            <w:tcBorders>
              <w:top w:val="nil" w:sz="6" w:space="0" w:color="auto"/>
              <w:left w:val="nil" w:sz="6" w:space="0" w:color="auto"/>
              <w:bottom w:val="single" w:sz="4" w:space="0" w:color="000000"/>
              <w:right w:val="nil" w:sz="6" w:space="0" w:color="auto"/>
            </w:tcBorders>
          </w:tcPr>
          <w:p>
            <w:pPr/>
          </w:p>
        </w:tc>
      </w:tr>
      <w:tr>
        <w:trPr>
          <w:trHeight w:val="312" w:hRule="exact"/>
        </w:trPr>
        <w:tc>
          <w:tcPr>
            <w:tcW w:w="294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44"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502,553,636.15</w:t>
            </w:r>
          </w:p>
        </w:tc>
        <w:tc>
          <w:tcPr>
            <w:tcW w:w="3278"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486,243,589.49</w:t>
            </w:r>
          </w:p>
        </w:tc>
        <w:tc>
          <w:tcPr>
            <w:tcW w:w="108" w:type="dxa"/>
            <w:tcBorders>
              <w:top w:val="single" w:sz="4" w:space="0" w:color="000000"/>
              <w:left w:val="nil" w:sz="6" w:space="0" w:color="auto"/>
              <w:bottom w:val="nil" w:sz="6" w:space="0" w:color="auto"/>
              <w:right w:val="nil" w:sz="6" w:space="0" w:color="auto"/>
            </w:tcBorders>
          </w:tcPr>
          <w:p>
            <w:pPr/>
          </w:p>
        </w:tc>
      </w:tr>
      <w:tr>
        <w:trPr>
          <w:trHeight w:val="486" w:hRule="exact"/>
        </w:trPr>
        <w:tc>
          <w:tcPr>
            <w:tcW w:w="2943"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10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244" w:type="dxa"/>
            <w:tcBorders>
              <w:top w:val="single" w:sz="12" w:space="0" w:color="000000"/>
              <w:left w:val="nil" w:sz="6" w:space="0" w:color="auto"/>
              <w:bottom w:val="nil" w:sz="6" w:space="0" w:color="auto"/>
              <w:right w:val="nil" w:sz="6" w:space="0" w:color="auto"/>
            </w:tcBorders>
          </w:tcPr>
          <w:p>
            <w:pPr>
              <w:pStyle w:val="TableParagraph"/>
              <w:spacing w:line="240" w:lineRule="auto" w:before="128"/>
              <w:ind w:right="0"/>
              <w:jc w:val="right"/>
              <w:rPr>
                <w:rFonts w:ascii="宋体" w:hAnsi="宋体" w:cs="宋体" w:eastAsia="宋体" w:hint="default"/>
                <w:sz w:val="18"/>
                <w:szCs w:val="18"/>
              </w:rPr>
            </w:pPr>
            <w:r>
              <w:rPr>
                <w:rFonts w:ascii="宋体"/>
                <w:spacing w:val="-1"/>
                <w:sz w:val="18"/>
              </w:rPr>
              <w:t>499,090,330.97</w:t>
            </w:r>
          </w:p>
        </w:tc>
        <w:tc>
          <w:tcPr>
            <w:tcW w:w="3278" w:type="dxa"/>
            <w:tcBorders>
              <w:top w:val="single" w:sz="12" w:space="0" w:color="000000"/>
              <w:left w:val="nil" w:sz="6" w:space="0" w:color="auto"/>
              <w:bottom w:val="nil" w:sz="6" w:space="0" w:color="auto"/>
              <w:right w:val="nil" w:sz="6" w:space="0" w:color="auto"/>
            </w:tcBorders>
          </w:tcPr>
          <w:p>
            <w:pPr>
              <w:pStyle w:val="TableParagraph"/>
              <w:spacing w:line="240" w:lineRule="auto" w:before="128"/>
              <w:ind w:right="0"/>
              <w:jc w:val="right"/>
              <w:rPr>
                <w:rFonts w:ascii="宋体" w:hAnsi="宋体" w:cs="宋体" w:eastAsia="宋体" w:hint="default"/>
                <w:sz w:val="18"/>
                <w:szCs w:val="18"/>
              </w:rPr>
            </w:pPr>
            <w:r>
              <w:rPr>
                <w:rFonts w:ascii="宋体"/>
                <w:spacing w:val="-1"/>
                <w:sz w:val="18"/>
              </w:rPr>
              <w:t>482,007,027.19</w:t>
            </w:r>
          </w:p>
        </w:tc>
        <w:tc>
          <w:tcPr>
            <w:tcW w:w="108" w:type="dxa"/>
            <w:tcBorders>
              <w:top w:val="nil" w:sz="6" w:space="0" w:color="auto"/>
              <w:left w:val="nil" w:sz="6" w:space="0" w:color="auto"/>
              <w:bottom w:val="nil" w:sz="6" w:space="0" w:color="auto"/>
              <w:right w:val="nil" w:sz="6" w:space="0" w:color="auto"/>
            </w:tcBorders>
          </w:tcPr>
          <w:p>
            <w:pPr/>
          </w:p>
        </w:tc>
      </w:tr>
      <w:tr>
        <w:trPr>
          <w:trHeight w:val="396" w:hRule="exact"/>
        </w:trPr>
        <w:tc>
          <w:tcPr>
            <w:tcW w:w="294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3,463,305.18</w:t>
            </w:r>
          </w:p>
        </w:tc>
        <w:tc>
          <w:tcPr>
            <w:tcW w:w="327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4,236,562.30</w:t>
            </w:r>
          </w:p>
        </w:tc>
        <w:tc>
          <w:tcPr>
            <w:tcW w:w="108" w:type="dxa"/>
            <w:tcBorders>
              <w:top w:val="nil" w:sz="6" w:space="0" w:color="auto"/>
              <w:left w:val="nil" w:sz="6" w:space="0" w:color="auto"/>
              <w:bottom w:val="nil" w:sz="6" w:space="0" w:color="auto"/>
              <w:right w:val="nil" w:sz="6" w:space="0" w:color="auto"/>
            </w:tcBorders>
          </w:tcPr>
          <w:p>
            <w:pPr/>
          </w:p>
        </w:tc>
      </w:tr>
      <w:tr>
        <w:trPr>
          <w:trHeight w:val="398" w:hRule="exact"/>
        </w:trPr>
        <w:tc>
          <w:tcPr>
            <w:tcW w:w="294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r>
            <w:r>
              <w:rPr>
                <w:rFonts w:ascii="宋体"/>
                <w:spacing w:val="-1"/>
                <w:sz w:val="18"/>
                <w:u w:val="thick" w:color="000000"/>
              </w:rPr>
              <w:t>409,140,153.35</w:t>
            </w:r>
            <w:r>
              <w:rPr>
                <w:rFonts w:ascii="宋体"/>
                <w:spacing w:val="-1"/>
                <w:sz w:val="18"/>
              </w:rPr>
            </w:r>
          </w:p>
        </w:tc>
        <w:tc>
          <w:tcPr>
            <w:tcW w:w="327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r>
            <w:r>
              <w:rPr>
                <w:rFonts w:ascii="宋体"/>
                <w:spacing w:val="-1"/>
                <w:sz w:val="18"/>
                <w:u w:val="thick" w:color="000000"/>
              </w:rPr>
              <w:t>403,824,693.28</w:t>
            </w:r>
            <w:r>
              <w:rPr>
                <w:rFonts w:ascii="宋体"/>
                <w:spacing w:val="-1"/>
                <w:sz w:val="18"/>
              </w:rPr>
            </w:r>
          </w:p>
        </w:tc>
        <w:tc>
          <w:tcPr>
            <w:tcW w:w="108" w:type="dxa"/>
            <w:tcBorders>
              <w:top w:val="nil" w:sz="6" w:space="0" w:color="auto"/>
              <w:left w:val="nil" w:sz="6" w:space="0" w:color="auto"/>
              <w:bottom w:val="nil" w:sz="6" w:space="0" w:color="auto"/>
              <w:right w:val="nil" w:sz="6" w:space="0" w:color="auto"/>
            </w:tcBorders>
          </w:tcPr>
          <w:p>
            <w:pPr/>
          </w:p>
        </w:tc>
      </w:tr>
      <w:tr>
        <w:trPr>
          <w:trHeight w:val="396" w:hRule="exact"/>
        </w:trPr>
        <w:tc>
          <w:tcPr>
            <w:tcW w:w="294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408,197,407.94</w:t>
            </w:r>
          </w:p>
        </w:tc>
        <w:tc>
          <w:tcPr>
            <w:tcW w:w="327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402,170,714.36</w:t>
            </w:r>
          </w:p>
        </w:tc>
        <w:tc>
          <w:tcPr>
            <w:tcW w:w="108" w:type="dxa"/>
            <w:tcBorders>
              <w:top w:val="nil" w:sz="6" w:space="0" w:color="auto"/>
              <w:left w:val="nil" w:sz="6" w:space="0" w:color="auto"/>
              <w:bottom w:val="nil" w:sz="6" w:space="0" w:color="auto"/>
              <w:right w:val="nil" w:sz="6" w:space="0" w:color="auto"/>
            </w:tcBorders>
          </w:tcPr>
          <w:p>
            <w:pPr/>
          </w:p>
        </w:tc>
      </w:tr>
      <w:tr>
        <w:trPr>
          <w:trHeight w:val="290" w:hRule="exact"/>
        </w:trPr>
        <w:tc>
          <w:tcPr>
            <w:tcW w:w="294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pacing w:val="-1"/>
                <w:sz w:val="18"/>
              </w:rPr>
              <w:t>942,745.41</w:t>
            </w:r>
          </w:p>
        </w:tc>
        <w:tc>
          <w:tcPr>
            <w:tcW w:w="327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pacing w:val="-1"/>
                <w:sz w:val="18"/>
              </w:rPr>
              <w:t>1,653,978.92</w:t>
            </w:r>
          </w:p>
        </w:tc>
        <w:tc>
          <w:tcPr>
            <w:tcW w:w="108"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533" w:right="0"/>
        <w:jc w:val="left"/>
      </w:pPr>
      <w:r>
        <w:rPr/>
        <w:t>（</w:t>
      </w:r>
      <w:r>
        <w:rPr>
          <w:rFonts w:ascii="宋体" w:hAnsi="宋体" w:cs="宋体" w:eastAsia="宋体" w:hint="default"/>
        </w:rPr>
        <w:t>2</w:t>
      </w:r>
      <w:r>
        <w:rPr/>
        <w:t>）主营业务（分行业）</w:t>
      </w:r>
    </w:p>
    <w:p>
      <w:pPr>
        <w:spacing w:line="240" w:lineRule="auto" w:before="1"/>
        <w:rPr>
          <w:rFonts w:ascii="宋体" w:hAnsi="宋体" w:cs="宋体" w:eastAsia="宋体" w:hint="default"/>
          <w:sz w:val="16"/>
          <w:szCs w:val="16"/>
        </w:rPr>
      </w:pPr>
    </w:p>
    <w:p>
      <w:pPr>
        <w:pStyle w:val="Heading7"/>
        <w:tabs>
          <w:tab w:pos="4868" w:val="left" w:leader="none"/>
        </w:tabs>
        <w:spacing w:line="217" w:lineRule="exact" w:before="44"/>
        <w:ind w:left="1058" w:right="0"/>
        <w:jc w:val="center"/>
        <w:rPr>
          <w:b w:val="0"/>
          <w:bCs w:val="0"/>
        </w:rPr>
      </w:pPr>
      <w:r>
        <w:rPr>
          <w:w w:val="95"/>
        </w:rPr>
        <w:t>本期发生额</w:t>
        <w:tab/>
      </w:r>
      <w:r>
        <w:rPr/>
        <w:t>上期发生额</w:t>
      </w:r>
      <w:r>
        <w:rPr>
          <w:b w:val="0"/>
          <w:bCs w:val="0"/>
        </w:rPr>
      </w:r>
    </w:p>
    <w:p>
      <w:pPr>
        <w:pStyle w:val="Heading7"/>
        <w:spacing w:line="198" w:lineRule="exact"/>
        <w:ind w:left="1001" w:right="0"/>
        <w:jc w:val="left"/>
        <w:rPr>
          <w:b w:val="0"/>
          <w:bCs w:val="0"/>
        </w:rPr>
      </w:pPr>
      <w:r>
        <w:rPr/>
        <w:t>项目</w:t>
      </w:r>
      <w:r>
        <w:rPr>
          <w:b w:val="0"/>
          <w:bCs w:val="0"/>
        </w:rPr>
      </w:r>
    </w:p>
    <w:p>
      <w:pPr>
        <w:pStyle w:val="Heading7"/>
        <w:tabs>
          <w:tab w:pos="2974" w:val="left" w:leader="none"/>
          <w:tab w:pos="4947" w:val="left" w:leader="none"/>
          <w:tab w:pos="6834" w:val="left" w:leader="none"/>
        </w:tabs>
        <w:spacing w:line="216" w:lineRule="exact"/>
        <w:ind w:left="1053" w:right="0"/>
        <w:jc w:val="center"/>
        <w:rPr>
          <w:b w:val="0"/>
          <w:bCs w:val="0"/>
        </w:rPr>
      </w:pPr>
      <w:r>
        <w:rPr/>
        <w:pict>
          <v:group style="position:absolute;margin-left:57.360001pt;margin-top:16.383034pt;width:480.6pt;height:.5pt;mso-position-horizontal-relative:page;mso-position-vertical-relative:paragraph;z-index:-559648" coordorigin="1147,328" coordsize="9612,10">
            <v:group style="position:absolute;left:1152;top:332;width:1983;height:2" coordorigin="1152,332" coordsize="1983,2">
              <v:shape style="position:absolute;left:1152;top:332;width:1983;height:2" coordorigin="1152,332" coordsize="1983,0" path="m1152,332l3135,332e" filled="false" stroked="true" strokeweight=".48pt" strokecolor="#000000">
                <v:path arrowok="t"/>
              </v:shape>
            </v:group>
            <v:group style="position:absolute;left:3135;top:332;width:10;height:2" coordorigin="3135,332" coordsize="10,2">
              <v:shape style="position:absolute;left:3135;top:332;width:10;height:2" coordorigin="3135,332" coordsize="10,0" path="m3135,332l3144,332e" filled="false" stroked="true" strokeweight=".48pt" strokecolor="#000000">
                <v:path arrowok="t"/>
              </v:shape>
            </v:group>
            <v:group style="position:absolute;left:3144;top:332;width:1861;height:2" coordorigin="3144,332" coordsize="1861,2">
              <v:shape style="position:absolute;left:3144;top:332;width:1861;height:2" coordorigin="3144,332" coordsize="1861,0" path="m3144,332l5005,332e" filled="false" stroked="true" strokeweight=".48pt" strokecolor="#000000">
                <v:path arrowok="t"/>
              </v:shape>
            </v:group>
            <v:group style="position:absolute;left:5005;top:332;width:10;height:2" coordorigin="5005,332" coordsize="10,2">
              <v:shape style="position:absolute;left:5005;top:332;width:10;height:2" coordorigin="5005,332" coordsize="10,0" path="m5005,332l5015,332e" filled="false" stroked="true" strokeweight=".48pt" strokecolor="#000000">
                <v:path arrowok="t"/>
              </v:shape>
            </v:group>
            <v:group style="position:absolute;left:5015;top:332;width:1962;height:2" coordorigin="5015,332" coordsize="1962,2">
              <v:shape style="position:absolute;left:5015;top:332;width:1962;height:2" coordorigin="5015,332" coordsize="1962,0" path="m5015,332l6976,332e" filled="false" stroked="true" strokeweight=".48pt" strokecolor="#000000">
                <v:path arrowok="t"/>
              </v:shape>
            </v:group>
            <v:group style="position:absolute;left:6976;top:332;width:10;height:2" coordorigin="6976,332" coordsize="10,2">
              <v:shape style="position:absolute;left:6976;top:332;width:10;height:2" coordorigin="6976,332" coordsize="10,0" path="m6976,332l6985,332e" filled="false" stroked="true" strokeweight=".48pt" strokecolor="#000000">
                <v:path arrowok="t"/>
              </v:shape>
            </v:group>
            <v:group style="position:absolute;left:6985;top:332;width:1964;height:2" coordorigin="6985,332" coordsize="1964,2">
              <v:shape style="position:absolute;left:6985;top:332;width:1964;height:2" coordorigin="6985,332" coordsize="1964,0" path="m6985,332l8949,332e" filled="false" stroked="true" strokeweight=".48pt" strokecolor="#000000">
                <v:path arrowok="t"/>
              </v:shape>
            </v:group>
            <v:group style="position:absolute;left:8949;top:332;width:10;height:2" coordorigin="8949,332" coordsize="10,2">
              <v:shape style="position:absolute;left:8949;top:332;width:10;height:2" coordorigin="8949,332" coordsize="10,0" path="m8949,332l8959,332e" filled="false" stroked="true" strokeweight=".48pt" strokecolor="#000000">
                <v:path arrowok="t"/>
              </v:shape>
            </v:group>
            <v:group style="position:absolute;left:8959;top:332;width:1796;height:2" coordorigin="8959,332" coordsize="1796,2">
              <v:shape style="position:absolute;left:8959;top:332;width:1796;height:2" coordorigin="8959,332" coordsize="1796,0" path="m8959,332l10754,332e" filled="false" stroked="true" strokeweight=".48pt" strokecolor="#000000">
                <v:path arrowok="t"/>
              </v:shape>
            </v:group>
            <w10:wrap type="none"/>
          </v:group>
        </w:pict>
      </w:r>
      <w:r>
        <w:rPr>
          <w:w w:val="95"/>
        </w:rPr>
        <w:t>营业收入</w:t>
        <w:tab/>
        <w:t>营业成本</w:t>
        <w:tab/>
        <w:t>营业收入</w:t>
        <w:tab/>
      </w:r>
      <w:r>
        <w:rPr/>
        <w:t>营业成本</w:t>
      </w:r>
      <w:r>
        <w:rPr>
          <w:b w:val="0"/>
          <w:bCs w:val="0"/>
        </w:rPr>
      </w:r>
    </w:p>
    <w:p>
      <w:pPr>
        <w:spacing w:line="240" w:lineRule="auto" w:before="3"/>
        <w:rPr>
          <w:rFonts w:ascii="宋体" w:hAnsi="宋体" w:cs="宋体" w:eastAsia="宋体" w:hint="default"/>
          <w:b/>
          <w:bCs/>
          <w:sz w:val="9"/>
          <w:szCs w:val="9"/>
        </w:rPr>
      </w:pPr>
    </w:p>
    <w:tbl>
      <w:tblPr>
        <w:tblW w:w="0" w:type="auto"/>
        <w:jc w:val="left"/>
        <w:tblInd w:w="265" w:type="dxa"/>
        <w:tblLayout w:type="fixed"/>
        <w:tblCellMar>
          <w:top w:w="0" w:type="dxa"/>
          <w:left w:w="0" w:type="dxa"/>
          <w:bottom w:w="0" w:type="dxa"/>
          <w:right w:w="0" w:type="dxa"/>
        </w:tblCellMar>
        <w:tblLook w:val="01E0"/>
      </w:tblPr>
      <w:tblGrid>
        <w:gridCol w:w="1583"/>
        <w:gridCol w:w="2445"/>
        <w:gridCol w:w="1973"/>
        <w:gridCol w:w="1888"/>
        <w:gridCol w:w="1567"/>
      </w:tblGrid>
      <w:tr>
        <w:trPr>
          <w:trHeight w:val="389" w:hRule="exact"/>
        </w:trPr>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54"/>
              <w:jc w:val="right"/>
              <w:rPr>
                <w:rFonts w:ascii="宋体" w:hAnsi="宋体" w:cs="宋体" w:eastAsia="宋体" w:hint="default"/>
                <w:sz w:val="18"/>
                <w:szCs w:val="18"/>
              </w:rPr>
            </w:pPr>
            <w:r>
              <w:rPr>
                <w:rFonts w:ascii="宋体"/>
                <w:spacing w:val="-1"/>
                <w:sz w:val="18"/>
              </w:rPr>
              <w:t>499,090,330.97</w:t>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408,197,407.94</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9"/>
              <w:jc w:val="right"/>
              <w:rPr>
                <w:rFonts w:ascii="宋体" w:hAnsi="宋体" w:cs="宋体" w:eastAsia="宋体" w:hint="default"/>
                <w:sz w:val="18"/>
                <w:szCs w:val="18"/>
              </w:rPr>
            </w:pPr>
            <w:r>
              <w:rPr>
                <w:rFonts w:ascii="宋体"/>
                <w:spacing w:val="-1"/>
                <w:sz w:val="18"/>
              </w:rPr>
              <w:t>482,007,027.19</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18"/>
                <w:szCs w:val="18"/>
              </w:rPr>
            </w:pPr>
            <w:r>
              <w:rPr>
                <w:rFonts w:ascii="宋体"/>
                <w:spacing w:val="-1"/>
                <w:sz w:val="18"/>
              </w:rPr>
              <w:t>402,170,714.36</w:t>
            </w:r>
          </w:p>
        </w:tc>
      </w:tr>
      <w:tr>
        <w:trPr>
          <w:trHeight w:val="384" w:hRule="exact"/>
        </w:trPr>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4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54"/>
              <w:jc w:val="right"/>
              <w:rPr>
                <w:rFonts w:ascii="宋体" w:hAnsi="宋体" w:cs="宋体" w:eastAsia="宋体" w:hint="default"/>
                <w:sz w:val="18"/>
                <w:szCs w:val="18"/>
              </w:rPr>
            </w:pPr>
            <w:r>
              <w:rPr>
                <w:rFonts w:ascii="宋体"/>
                <w:sz w:val="18"/>
              </w:rPr>
            </w:r>
            <w:r>
              <w:rPr>
                <w:rFonts w:ascii="宋体"/>
                <w:spacing w:val="-1"/>
                <w:sz w:val="18"/>
                <w:u w:val="thick" w:color="000000"/>
              </w:rPr>
              <w:t>499,090,330.97</w:t>
            </w:r>
            <w:r>
              <w:rPr>
                <w:rFonts w:ascii="宋体"/>
                <w:spacing w:val="-1"/>
                <w:sz w:val="18"/>
              </w:rPr>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r>
            <w:r>
              <w:rPr>
                <w:rFonts w:ascii="宋体"/>
                <w:sz w:val="18"/>
                <w:u w:val="thick" w:color="000000"/>
              </w:rPr>
              <w:t>408,197,407.94</w:t>
            </w:r>
            <w:r>
              <w:rPr>
                <w:rFonts w:ascii="宋体"/>
                <w:sz w:val="18"/>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9"/>
              <w:jc w:val="right"/>
              <w:rPr>
                <w:rFonts w:ascii="宋体" w:hAnsi="宋体" w:cs="宋体" w:eastAsia="宋体" w:hint="default"/>
                <w:sz w:val="18"/>
                <w:szCs w:val="18"/>
              </w:rPr>
            </w:pPr>
            <w:r>
              <w:rPr>
                <w:rFonts w:ascii="宋体"/>
                <w:sz w:val="18"/>
              </w:rPr>
            </w:r>
            <w:r>
              <w:rPr>
                <w:rFonts w:ascii="宋体"/>
                <w:spacing w:val="-1"/>
                <w:sz w:val="18"/>
                <w:u w:val="thick" w:color="000000"/>
              </w:rPr>
              <w:t>482,007,027.19</w:t>
            </w:r>
            <w:r>
              <w:rPr>
                <w:rFonts w:ascii="宋体"/>
                <w:spacing w:val="-1"/>
                <w:sz w:val="18"/>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18"/>
                <w:szCs w:val="18"/>
              </w:rPr>
            </w:pPr>
            <w:r>
              <w:rPr>
                <w:rFonts w:ascii="宋体"/>
                <w:sz w:val="18"/>
              </w:rPr>
            </w:r>
            <w:r>
              <w:rPr>
                <w:rFonts w:ascii="宋体"/>
                <w:spacing w:val="-1"/>
                <w:sz w:val="18"/>
                <w:u w:val="thick" w:color="000000"/>
              </w:rPr>
              <w:t>402,170,714.36</w:t>
            </w:r>
            <w:r>
              <w:rPr>
                <w:rFonts w:ascii="宋体"/>
                <w:spacing w:val="-1"/>
                <w:sz w:val="18"/>
              </w:rPr>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5"/>
          <w:szCs w:val="25"/>
        </w:rPr>
      </w:pPr>
    </w:p>
    <w:p>
      <w:pPr>
        <w:pStyle w:val="BodyText"/>
        <w:spacing w:line="240" w:lineRule="auto" w:before="44"/>
        <w:ind w:left="533" w:right="0"/>
        <w:jc w:val="left"/>
      </w:pPr>
      <w:r>
        <w:rPr/>
        <w:t>（</w:t>
      </w:r>
      <w:r>
        <w:rPr>
          <w:rFonts w:ascii="宋体" w:hAnsi="宋体" w:cs="宋体" w:eastAsia="宋体" w:hint="default"/>
        </w:rPr>
        <w:t>3</w:t>
      </w:r>
      <w:r>
        <w:rPr/>
        <w:t>）主营业务（分类别）</w:t>
      </w:r>
    </w:p>
    <w:p>
      <w:pPr>
        <w:spacing w:line="240" w:lineRule="auto" w:before="0"/>
        <w:rPr>
          <w:rFonts w:ascii="宋体" w:hAnsi="宋体" w:cs="宋体" w:eastAsia="宋体" w:hint="default"/>
          <w:sz w:val="16"/>
          <w:szCs w:val="16"/>
        </w:rPr>
      </w:pPr>
    </w:p>
    <w:p>
      <w:pPr>
        <w:pStyle w:val="Heading7"/>
        <w:tabs>
          <w:tab w:pos="4652" w:val="left" w:leader="none"/>
        </w:tabs>
        <w:spacing w:line="217" w:lineRule="exact" w:before="44"/>
        <w:ind w:left="514" w:right="0"/>
        <w:jc w:val="center"/>
        <w:rPr>
          <w:b w:val="0"/>
          <w:bCs w:val="0"/>
        </w:rPr>
      </w:pPr>
      <w:r>
        <w:rPr>
          <w:w w:val="95"/>
        </w:rPr>
        <w:t>本期发生额</w:t>
        <w:tab/>
      </w:r>
      <w:r>
        <w:rPr/>
        <w:t>上期发生额</w:t>
      </w:r>
      <w:r>
        <w:rPr>
          <w:b w:val="0"/>
          <w:bCs w:val="0"/>
        </w:rPr>
      </w:r>
    </w:p>
    <w:p>
      <w:pPr>
        <w:pStyle w:val="Heading7"/>
        <w:spacing w:line="199" w:lineRule="exact"/>
        <w:ind w:left="670" w:right="0"/>
        <w:jc w:val="left"/>
        <w:rPr>
          <w:b w:val="0"/>
          <w:bCs w:val="0"/>
        </w:rPr>
      </w:pPr>
      <w:r>
        <w:rPr/>
        <w:t>项目</w:t>
      </w:r>
      <w:r>
        <w:rPr>
          <w:b w:val="0"/>
          <w:bCs w:val="0"/>
        </w:rPr>
      </w:r>
    </w:p>
    <w:p>
      <w:pPr>
        <w:pStyle w:val="Heading7"/>
        <w:tabs>
          <w:tab w:pos="2582" w:val="left" w:leader="none"/>
          <w:tab w:pos="4652" w:val="left" w:leader="none"/>
          <w:tab w:pos="6723" w:val="left" w:leader="none"/>
        </w:tabs>
        <w:spacing w:line="217" w:lineRule="exact"/>
        <w:ind w:left="511" w:right="0"/>
        <w:jc w:val="center"/>
        <w:rPr>
          <w:b w:val="0"/>
          <w:bCs w:val="0"/>
        </w:rPr>
      </w:pPr>
      <w:r>
        <w:rPr>
          <w:w w:val="95"/>
        </w:rPr>
        <w:t>营业收入</w:t>
        <w:tab/>
        <w:t>营业成本</w:t>
        <w:tab/>
        <w:t>营业收入</w:t>
        <w:tab/>
      </w:r>
      <w:r>
        <w:rPr/>
        <w:t>营业成本</w:t>
      </w:r>
      <w:r>
        <w:rPr>
          <w:b w:val="0"/>
          <w:bCs w:val="0"/>
        </w:rPr>
      </w:r>
    </w:p>
    <w:p>
      <w:pPr>
        <w:spacing w:line="240" w:lineRule="auto" w:before="4"/>
        <w:rPr>
          <w:rFonts w:ascii="宋体" w:hAnsi="宋体" w:cs="宋体" w:eastAsia="宋体" w:hint="default"/>
          <w:b/>
          <w:bCs/>
          <w:sz w:val="8"/>
          <w:szCs w:val="8"/>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88.4pt;height:.5pt;mso-position-horizontal-relative:char;mso-position-vertical-relative:line" coordorigin="0,0" coordsize="9768,10">
            <v:group style="position:absolute;left:5;top:5;width:1475;height:2" coordorigin="5,5" coordsize="1475,2">
              <v:shape style="position:absolute;left:5;top:5;width:1475;height:2" coordorigin="5,5" coordsize="1475,0" path="m5,5l1479,5e" filled="false" stroked="true" strokeweight=".48pt" strokecolor="#000000">
                <v:path arrowok="t"/>
              </v:shape>
            </v:group>
            <v:group style="position:absolute;left:1479;top:5;width:10;height:2" coordorigin="1479,5" coordsize="10,2">
              <v:shape style="position:absolute;left:1479;top:5;width:10;height:2" coordorigin="1479,5" coordsize="10,0" path="m1479,5l1488,5e" filled="false" stroked="true" strokeweight=".48pt" strokecolor="#000000">
                <v:path arrowok="t"/>
              </v:shape>
            </v:group>
            <v:group style="position:absolute;left:1488;top:5;width:2062;height:2" coordorigin="1488,5" coordsize="2062,2">
              <v:shape style="position:absolute;left:1488;top:5;width:2062;height:2" coordorigin="1488,5" coordsize="2062,0" path="m1488,5l3550,5e" filled="false" stroked="true" strokeweight=".48pt" strokecolor="#000000">
                <v:path arrowok="t"/>
              </v:shape>
            </v:group>
            <v:group style="position:absolute;left:3551;top:5;width:10;height:2" coordorigin="3551,5" coordsize="10,2">
              <v:shape style="position:absolute;left:3551;top:5;width:10;height:2" coordorigin="3551,5" coordsize="10,0" path="m3551,5l3560,5e" filled="false" stroked="true" strokeweight=".48pt" strokecolor="#000000">
                <v:path arrowok="t"/>
              </v:shape>
            </v:group>
            <v:group style="position:absolute;left:3560;top:5;width:2062;height:2" coordorigin="3560,5" coordsize="2062,2">
              <v:shape style="position:absolute;left:3560;top:5;width:2062;height:2" coordorigin="3560,5" coordsize="2062,0" path="m3560,5l5622,5e" filled="false" stroked="true" strokeweight=".48pt" strokecolor="#000000">
                <v:path arrowok="t"/>
              </v:shape>
            </v:group>
            <v:group style="position:absolute;left:5622;top:5;width:10;height:2" coordorigin="5622,5" coordsize="10,2">
              <v:shape style="position:absolute;left:5622;top:5;width:10;height:2" coordorigin="5622,5" coordsize="10,0" path="m5622,5l5632,5e" filled="false" stroked="true" strokeweight=".48pt" strokecolor="#000000">
                <v:path arrowok="t"/>
              </v:shape>
            </v:group>
            <v:group style="position:absolute;left:5632;top:5;width:2062;height:2" coordorigin="5632,5" coordsize="2062,2">
              <v:shape style="position:absolute;left:5632;top:5;width:2062;height:2" coordorigin="5632,5" coordsize="2062,0" path="m5632,5l7693,5e" filled="false" stroked="true" strokeweight=".48pt" strokecolor="#000000">
                <v:path arrowok="t"/>
              </v:shape>
            </v:group>
            <v:group style="position:absolute;left:7693;top:5;width:10;height:2" coordorigin="7693,5" coordsize="10,2">
              <v:shape style="position:absolute;left:7693;top:5;width:10;height:2" coordorigin="7693,5" coordsize="10,0" path="m7693,5l7703,5e" filled="false" stroked="true" strokeweight=".48pt" strokecolor="#000000">
                <v:path arrowok="t"/>
              </v:shape>
            </v:group>
            <v:group style="position:absolute;left:7703;top:5;width:2060;height:2" coordorigin="7703,5" coordsize="2060,2">
              <v:shape style="position:absolute;left:7703;top:5;width:2060;height:2" coordorigin="7703,5" coordsize="2060,0" path="m7703,5l9763,5e" filled="false" stroked="true" strokeweight=".48pt" strokecolor="#000000">
                <v:path arrowok="t"/>
              </v:shape>
            </v:group>
          </v:group>
        </w:pict>
      </w:r>
      <w:r>
        <w:rPr>
          <w:rFonts w:ascii="宋体" w:hAnsi="宋体" w:cs="宋体" w:eastAsia="宋体" w:hint="default"/>
          <w:sz w:val="2"/>
          <w:szCs w:val="2"/>
        </w:rPr>
      </w:r>
    </w:p>
    <w:p>
      <w:pPr>
        <w:pStyle w:val="BodyText"/>
        <w:spacing w:line="232" w:lineRule="exact" w:before="22"/>
        <w:ind w:left="223" w:right="9123"/>
        <w:jc w:val="left"/>
      </w:pPr>
      <w:r>
        <w:rPr/>
        <w:pict>
          <v:shape style="position:absolute;margin-left:160.75pt;margin-top:3.285627pt;width:377.15pt;height:70.150pt;mso-position-horizontal-relative:page;mso-position-vertical-relative:paragraph;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2069"/>
                    <w:gridCol w:w="2070"/>
                    <w:gridCol w:w="1701"/>
                  </w:tblGrid>
                  <w:tr>
                    <w:trPr>
                      <w:trHeight w:val="462"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05"/>
                          <w:jc w:val="right"/>
                          <w:rPr>
                            <w:rFonts w:ascii="宋体" w:hAnsi="宋体" w:cs="宋体" w:eastAsia="宋体" w:hint="default"/>
                            <w:sz w:val="18"/>
                            <w:szCs w:val="18"/>
                          </w:rPr>
                        </w:pPr>
                        <w:r>
                          <w:rPr>
                            <w:rFonts w:ascii="宋体"/>
                            <w:spacing w:val="-1"/>
                            <w:sz w:val="18"/>
                          </w:rPr>
                          <w:t>470,362,582.58</w:t>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04"/>
                          <w:jc w:val="right"/>
                          <w:rPr>
                            <w:rFonts w:ascii="宋体" w:hAnsi="宋体" w:cs="宋体" w:eastAsia="宋体" w:hint="default"/>
                            <w:sz w:val="18"/>
                            <w:szCs w:val="18"/>
                          </w:rPr>
                        </w:pPr>
                        <w:r>
                          <w:rPr>
                            <w:rFonts w:ascii="宋体"/>
                            <w:spacing w:val="-1"/>
                            <w:sz w:val="18"/>
                          </w:rPr>
                          <w:t>385,651,636.42</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
                          <w:jc w:val="center"/>
                          <w:rPr>
                            <w:rFonts w:ascii="宋体" w:hAnsi="宋体" w:cs="宋体" w:eastAsia="宋体" w:hint="default"/>
                            <w:sz w:val="18"/>
                            <w:szCs w:val="18"/>
                          </w:rPr>
                        </w:pPr>
                        <w:r>
                          <w:rPr>
                            <w:rFonts w:ascii="宋体"/>
                            <w:sz w:val="18"/>
                          </w:rPr>
                          <w:t>458,624,878.77</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pacing w:val="-1"/>
                            <w:sz w:val="18"/>
                          </w:rPr>
                          <w:t>383,659,941.24</w:t>
                        </w:r>
                      </w:p>
                    </w:tc>
                  </w:tr>
                  <w:tr>
                    <w:trPr>
                      <w:trHeight w:val="511"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402"/>
                          <w:jc w:val="right"/>
                          <w:rPr>
                            <w:rFonts w:ascii="宋体" w:hAnsi="宋体" w:cs="宋体" w:eastAsia="宋体" w:hint="default"/>
                            <w:sz w:val="18"/>
                            <w:szCs w:val="18"/>
                          </w:rPr>
                        </w:pPr>
                        <w:r>
                          <w:rPr>
                            <w:rFonts w:ascii="宋体"/>
                            <w:spacing w:val="-1"/>
                            <w:sz w:val="18"/>
                          </w:rPr>
                          <w:t>28,727,748.39</w:t>
                        </w:r>
                        <w:r>
                          <w:rPr>
                            <w:rFonts w:ascii="宋体"/>
                            <w:sz w:val="18"/>
                          </w:rPr>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402"/>
                          <w:jc w:val="right"/>
                          <w:rPr>
                            <w:rFonts w:ascii="宋体" w:hAnsi="宋体" w:cs="宋体" w:eastAsia="宋体" w:hint="default"/>
                            <w:sz w:val="18"/>
                            <w:szCs w:val="18"/>
                          </w:rPr>
                        </w:pPr>
                        <w:r>
                          <w:rPr>
                            <w:rFonts w:ascii="宋体"/>
                            <w:spacing w:val="-1"/>
                            <w:sz w:val="18"/>
                          </w:rPr>
                          <w:t>22,545,771.52</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87" w:right="0"/>
                          <w:jc w:val="center"/>
                          <w:rPr>
                            <w:rFonts w:ascii="宋体" w:hAnsi="宋体" w:cs="宋体" w:eastAsia="宋体" w:hint="default"/>
                            <w:sz w:val="18"/>
                            <w:szCs w:val="18"/>
                          </w:rPr>
                        </w:pPr>
                        <w:r>
                          <w:rPr>
                            <w:rFonts w:ascii="宋体"/>
                            <w:sz w:val="18"/>
                          </w:rPr>
                          <w:t>23,382,148.42</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3"/>
                          <w:jc w:val="right"/>
                          <w:rPr>
                            <w:rFonts w:ascii="宋体" w:hAnsi="宋体" w:cs="宋体" w:eastAsia="宋体" w:hint="default"/>
                            <w:sz w:val="18"/>
                            <w:szCs w:val="18"/>
                          </w:rPr>
                        </w:pPr>
                        <w:r>
                          <w:rPr>
                            <w:rFonts w:ascii="宋体"/>
                            <w:spacing w:val="-1"/>
                            <w:sz w:val="18"/>
                          </w:rPr>
                          <w:t>18,510,773.12</w:t>
                        </w:r>
                      </w:p>
                    </w:tc>
                  </w:tr>
                  <w:tr>
                    <w:trPr>
                      <w:trHeight w:val="429"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405"/>
                          <w:jc w:val="right"/>
                          <w:rPr>
                            <w:rFonts w:ascii="宋体" w:hAnsi="宋体" w:cs="宋体" w:eastAsia="宋体" w:hint="default"/>
                            <w:sz w:val="18"/>
                            <w:szCs w:val="18"/>
                          </w:rPr>
                        </w:pPr>
                        <w:r>
                          <w:rPr>
                            <w:rFonts w:ascii="宋体"/>
                            <w:sz w:val="18"/>
                          </w:rPr>
                        </w:r>
                        <w:r>
                          <w:rPr>
                            <w:rFonts w:ascii="宋体"/>
                            <w:spacing w:val="-1"/>
                            <w:sz w:val="18"/>
                            <w:u w:val="thick" w:color="000000"/>
                          </w:rPr>
                          <w:t>499,090,330.97</w:t>
                        </w:r>
                        <w:r>
                          <w:rPr>
                            <w:rFonts w:ascii="宋体"/>
                            <w:spacing w:val="-1"/>
                            <w:sz w:val="18"/>
                          </w:rPr>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402"/>
                          <w:jc w:val="right"/>
                          <w:rPr>
                            <w:rFonts w:ascii="宋体" w:hAnsi="宋体" w:cs="宋体" w:eastAsia="宋体" w:hint="default"/>
                            <w:sz w:val="18"/>
                            <w:szCs w:val="18"/>
                          </w:rPr>
                        </w:pPr>
                        <w:r>
                          <w:rPr>
                            <w:rFonts w:ascii="宋体"/>
                            <w:sz w:val="18"/>
                          </w:rPr>
                        </w:r>
                        <w:r>
                          <w:rPr>
                            <w:rFonts w:ascii="宋体"/>
                            <w:spacing w:val="-1"/>
                            <w:sz w:val="18"/>
                            <w:u w:val="thick" w:color="000000"/>
                          </w:rPr>
                          <w:t>408,197,407.94</w:t>
                        </w:r>
                        <w:r>
                          <w:rPr>
                            <w:rFonts w:ascii="宋体"/>
                            <w:spacing w:val="-1"/>
                            <w:sz w:val="18"/>
                          </w:rPr>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
                          <w:jc w:val="center"/>
                          <w:rPr>
                            <w:rFonts w:ascii="宋体" w:hAnsi="宋体" w:cs="宋体" w:eastAsia="宋体" w:hint="default"/>
                            <w:sz w:val="18"/>
                            <w:szCs w:val="18"/>
                          </w:rPr>
                        </w:pPr>
                        <w:r>
                          <w:rPr>
                            <w:rFonts w:ascii="宋体"/>
                            <w:sz w:val="18"/>
                          </w:rPr>
                        </w:r>
                        <w:r>
                          <w:rPr>
                            <w:rFonts w:ascii="宋体"/>
                            <w:sz w:val="18"/>
                            <w:u w:val="thick" w:color="000000"/>
                          </w:rPr>
                          <w:t>482,007,027.19</w:t>
                        </w:r>
                        <w:r>
                          <w:rPr>
                            <w:rFonts w:ascii="宋体"/>
                            <w:sz w:val="18"/>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3"/>
                          <w:jc w:val="right"/>
                          <w:rPr>
                            <w:rFonts w:ascii="宋体" w:hAnsi="宋体" w:cs="宋体" w:eastAsia="宋体" w:hint="default"/>
                            <w:sz w:val="18"/>
                            <w:szCs w:val="18"/>
                          </w:rPr>
                        </w:pPr>
                        <w:r>
                          <w:rPr>
                            <w:rFonts w:ascii="宋体"/>
                            <w:sz w:val="18"/>
                          </w:rPr>
                        </w:r>
                        <w:r>
                          <w:rPr>
                            <w:rFonts w:ascii="宋体"/>
                            <w:spacing w:val="-1"/>
                            <w:sz w:val="18"/>
                            <w:u w:val="thick" w:color="000000"/>
                          </w:rPr>
                          <w:t>402,170,714.36</w:t>
                        </w:r>
                        <w:r>
                          <w:rPr>
                            <w:rFonts w:ascii="宋体"/>
                            <w:spacing w:val="-1"/>
                            <w:sz w:val="18"/>
                          </w:rPr>
                        </w:r>
                      </w:p>
                    </w:tc>
                  </w:tr>
                </w:tbl>
                <w:p>
                  <w:pPr/>
                </w:p>
              </w:txbxContent>
            </v:textbox>
            <w10:wrap type="none"/>
          </v:shape>
        </w:pict>
      </w:r>
      <w:r>
        <w:rPr>
          <w:spacing w:val="30"/>
        </w:rPr>
        <w:t>智能交通系统</w:t>
      </w:r>
      <w:r>
        <w:rPr>
          <w:spacing w:val="-54"/>
        </w:rPr>
        <w:t> </w:t>
      </w:r>
      <w:r>
        <w:rPr/>
        <w:t>集成</w:t>
      </w:r>
    </w:p>
    <w:p>
      <w:pPr>
        <w:pStyle w:val="BodyText"/>
        <w:spacing w:line="232" w:lineRule="exact" w:before="75"/>
        <w:ind w:left="223" w:right="9123"/>
        <w:jc w:val="left"/>
      </w:pPr>
      <w:r>
        <w:rPr>
          <w:spacing w:val="30"/>
        </w:rPr>
        <w:t>工业自动化设</w:t>
      </w:r>
      <w:r>
        <w:rPr>
          <w:spacing w:val="-54"/>
        </w:rPr>
        <w:t> </w:t>
      </w:r>
      <w:r>
        <w:rPr/>
        <w:t>备销售</w:t>
      </w:r>
    </w:p>
    <w:p>
      <w:pPr>
        <w:pStyle w:val="BodyText"/>
        <w:spacing w:line="240" w:lineRule="auto" w:before="105"/>
        <w:ind w:left="223" w:right="0"/>
        <w:jc w:val="left"/>
      </w:pPr>
      <w:r>
        <w:rPr/>
        <w:t>合计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533" w:right="0"/>
        <w:jc w:val="left"/>
      </w:pPr>
      <w:r>
        <w:rPr/>
        <w:t>（</w:t>
      </w:r>
      <w:r>
        <w:rPr>
          <w:rFonts w:ascii="宋体" w:hAnsi="宋体" w:cs="宋体" w:eastAsia="宋体" w:hint="default"/>
        </w:rPr>
        <w:t>4</w:t>
      </w:r>
      <w:r>
        <w:rPr/>
        <w:t>）主营业务（分区域）</w:t>
      </w:r>
    </w:p>
    <w:p>
      <w:pPr>
        <w:spacing w:line="240" w:lineRule="auto" w:before="0"/>
        <w:rPr>
          <w:rFonts w:ascii="宋体" w:hAnsi="宋体" w:cs="宋体" w:eastAsia="宋体" w:hint="default"/>
          <w:sz w:val="16"/>
          <w:szCs w:val="16"/>
        </w:rPr>
      </w:pPr>
    </w:p>
    <w:p>
      <w:pPr>
        <w:pStyle w:val="Heading7"/>
        <w:tabs>
          <w:tab w:pos="7328" w:val="left" w:leader="none"/>
        </w:tabs>
        <w:spacing w:line="240" w:lineRule="auto" w:before="44"/>
        <w:ind w:left="3289" w:right="0"/>
        <w:jc w:val="left"/>
        <w:rPr>
          <w:b w:val="0"/>
          <w:bCs w:val="0"/>
        </w:rPr>
      </w:pPr>
      <w:r>
        <w:rPr>
          <w:w w:val="95"/>
        </w:rPr>
        <w:t>本期发生额</w:t>
        <w:tab/>
      </w:r>
      <w:r>
        <w:rPr/>
        <w:t>上期发生额</w:t>
      </w:r>
      <w:r>
        <w:rPr>
          <w:b w:val="0"/>
          <w:bCs w:val="0"/>
        </w:rPr>
      </w:r>
    </w:p>
    <w:tbl>
      <w:tblPr>
        <w:tblW w:w="0" w:type="auto"/>
        <w:jc w:val="left"/>
        <w:tblInd w:w="189" w:type="dxa"/>
        <w:tblLayout w:type="fixed"/>
        <w:tblCellMar>
          <w:top w:w="0" w:type="dxa"/>
          <w:left w:w="0" w:type="dxa"/>
          <w:bottom w:w="0" w:type="dxa"/>
          <w:right w:w="0" w:type="dxa"/>
        </w:tblCellMar>
        <w:tblLook w:val="01E0"/>
      </w:tblPr>
      <w:tblGrid>
        <w:gridCol w:w="1564"/>
        <w:gridCol w:w="2260"/>
        <w:gridCol w:w="2019"/>
        <w:gridCol w:w="2016"/>
        <w:gridCol w:w="1747"/>
      </w:tblGrid>
      <w:tr>
        <w:trPr>
          <w:trHeight w:val="493" w:hRule="exact"/>
        </w:trPr>
        <w:tc>
          <w:tcPr>
            <w:tcW w:w="1564" w:type="dxa"/>
            <w:tcBorders>
              <w:top w:val="nil" w:sz="6" w:space="0" w:color="auto"/>
              <w:left w:val="nil" w:sz="6" w:space="0" w:color="auto"/>
              <w:bottom w:val="single" w:sz="4" w:space="0" w:color="000000"/>
              <w:right w:val="nil" w:sz="6" w:space="0" w:color="auto"/>
            </w:tcBorders>
          </w:tcPr>
          <w:p>
            <w:pPr>
              <w:pStyle w:val="TableParagraph"/>
              <w:spacing w:line="180" w:lineRule="exact"/>
              <w:ind w:right="29"/>
              <w:jc w:val="center"/>
              <w:rPr>
                <w:rFonts w:ascii="宋体" w:hAnsi="宋体" w:cs="宋体" w:eastAsia="宋体" w:hint="default"/>
                <w:sz w:val="18"/>
                <w:szCs w:val="18"/>
              </w:rPr>
            </w:pPr>
            <w:r>
              <w:rPr>
                <w:rFonts w:ascii="宋体" w:hAnsi="宋体" w:cs="宋体" w:eastAsia="宋体" w:hint="default"/>
                <w:b/>
                <w:bCs/>
                <w:sz w:val="18"/>
                <w:szCs w:val="18"/>
              </w:rPr>
              <w:t>地区</w:t>
            </w:r>
            <w:r>
              <w:rPr>
                <w:rFonts w:ascii="宋体" w:hAnsi="宋体" w:cs="宋体" w:eastAsia="宋体" w:hint="default"/>
                <w:sz w:val="18"/>
                <w:szCs w:val="18"/>
              </w:rPr>
            </w:r>
          </w:p>
        </w:tc>
        <w:tc>
          <w:tcPr>
            <w:tcW w:w="2260"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61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2019"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378"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2016"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37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747"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376"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94" w:hRule="exact"/>
        </w:trPr>
        <w:tc>
          <w:tcPr>
            <w:tcW w:w="156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226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78"/>
              <w:jc w:val="right"/>
              <w:rPr>
                <w:rFonts w:ascii="宋体" w:hAnsi="宋体" w:cs="宋体" w:eastAsia="宋体" w:hint="default"/>
                <w:sz w:val="18"/>
                <w:szCs w:val="18"/>
              </w:rPr>
            </w:pPr>
            <w:r>
              <w:rPr>
                <w:rFonts w:ascii="宋体"/>
                <w:spacing w:val="-1"/>
                <w:sz w:val="18"/>
              </w:rPr>
              <w:t>296,883,677.70</w:t>
            </w:r>
          </w:p>
        </w:tc>
        <w:tc>
          <w:tcPr>
            <w:tcW w:w="201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75"/>
              <w:jc w:val="right"/>
              <w:rPr>
                <w:rFonts w:ascii="宋体" w:hAnsi="宋体" w:cs="宋体" w:eastAsia="宋体" w:hint="default"/>
                <w:sz w:val="18"/>
                <w:szCs w:val="18"/>
              </w:rPr>
            </w:pPr>
            <w:r>
              <w:rPr>
                <w:rFonts w:ascii="宋体"/>
                <w:spacing w:val="-1"/>
                <w:sz w:val="18"/>
              </w:rPr>
              <w:t>246,064,506.59</w:t>
            </w:r>
          </w:p>
        </w:tc>
        <w:tc>
          <w:tcPr>
            <w:tcW w:w="201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379" w:right="0"/>
              <w:jc w:val="left"/>
              <w:rPr>
                <w:rFonts w:ascii="宋体" w:hAnsi="宋体" w:cs="宋体" w:eastAsia="宋体" w:hint="default"/>
                <w:sz w:val="18"/>
                <w:szCs w:val="18"/>
              </w:rPr>
            </w:pPr>
            <w:r>
              <w:rPr>
                <w:rFonts w:ascii="宋体"/>
                <w:sz w:val="18"/>
              </w:rPr>
              <w:t>308,288,761.97</w:t>
            </w:r>
          </w:p>
        </w:tc>
        <w:tc>
          <w:tcPr>
            <w:tcW w:w="174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264,283,069.38</w:t>
            </w:r>
          </w:p>
        </w:tc>
      </w:tr>
      <w:tr>
        <w:trPr>
          <w:trHeight w:val="394"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77"/>
              <w:jc w:val="right"/>
              <w:rPr>
                <w:rFonts w:ascii="宋体" w:hAnsi="宋体" w:cs="宋体" w:eastAsia="宋体" w:hint="default"/>
                <w:sz w:val="18"/>
                <w:szCs w:val="18"/>
              </w:rPr>
            </w:pPr>
            <w:r>
              <w:rPr>
                <w:rFonts w:ascii="宋体"/>
                <w:spacing w:val="-1"/>
                <w:sz w:val="18"/>
              </w:rPr>
              <w:t>81,622,563.86</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75"/>
              <w:jc w:val="right"/>
              <w:rPr>
                <w:rFonts w:ascii="宋体" w:hAnsi="宋体" w:cs="宋体" w:eastAsia="宋体" w:hint="default"/>
                <w:sz w:val="18"/>
                <w:szCs w:val="18"/>
              </w:rPr>
            </w:pPr>
            <w:r>
              <w:rPr>
                <w:rFonts w:ascii="宋体"/>
                <w:spacing w:val="-1"/>
                <w:sz w:val="18"/>
              </w:rPr>
              <w:t>65,759,894.96</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75"/>
              <w:jc w:val="right"/>
              <w:rPr>
                <w:rFonts w:ascii="宋体" w:hAnsi="宋体" w:cs="宋体" w:eastAsia="宋体" w:hint="default"/>
                <w:sz w:val="18"/>
                <w:szCs w:val="18"/>
              </w:rPr>
            </w:pPr>
            <w:r>
              <w:rPr>
                <w:rFonts w:ascii="宋体"/>
                <w:spacing w:val="-1"/>
                <w:sz w:val="18"/>
              </w:rPr>
              <w:t>33,736,480.21</w:t>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27,186,617.42</w:t>
            </w:r>
          </w:p>
        </w:tc>
      </w:tr>
      <w:tr>
        <w:trPr>
          <w:trHeight w:val="397"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78"/>
              <w:jc w:val="right"/>
              <w:rPr>
                <w:rFonts w:ascii="宋体" w:hAnsi="宋体" w:cs="宋体" w:eastAsia="宋体" w:hint="default"/>
                <w:sz w:val="18"/>
                <w:szCs w:val="18"/>
              </w:rPr>
            </w:pPr>
            <w:r>
              <w:rPr>
                <w:rFonts w:ascii="宋体"/>
                <w:spacing w:val="-1"/>
                <w:sz w:val="18"/>
              </w:rPr>
              <w:t>50,000.00</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74"/>
              <w:jc w:val="right"/>
              <w:rPr>
                <w:rFonts w:ascii="宋体" w:hAnsi="宋体" w:cs="宋体" w:eastAsia="宋体" w:hint="default"/>
                <w:sz w:val="18"/>
                <w:szCs w:val="18"/>
              </w:rPr>
            </w:pPr>
            <w:r>
              <w:rPr>
                <w:rFonts w:ascii="宋体"/>
                <w:spacing w:val="-1"/>
                <w:sz w:val="18"/>
              </w:rPr>
              <w:t>283,692.10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74"/>
              <w:jc w:val="right"/>
              <w:rPr>
                <w:rFonts w:ascii="宋体" w:hAnsi="宋体" w:cs="宋体" w:eastAsia="宋体" w:hint="default"/>
                <w:sz w:val="18"/>
                <w:szCs w:val="18"/>
              </w:rPr>
            </w:pPr>
            <w:r>
              <w:rPr>
                <w:rFonts w:ascii="宋体"/>
                <w:spacing w:val="-1"/>
                <w:sz w:val="18"/>
              </w:rPr>
              <w:t>300,000.00</w:t>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230,053.88</w:t>
            </w:r>
          </w:p>
        </w:tc>
      </w:tr>
      <w:tr>
        <w:trPr>
          <w:trHeight w:val="397"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77"/>
              <w:jc w:val="right"/>
              <w:rPr>
                <w:rFonts w:ascii="宋体" w:hAnsi="宋体" w:cs="宋体" w:eastAsia="宋体" w:hint="default"/>
                <w:sz w:val="18"/>
                <w:szCs w:val="18"/>
              </w:rPr>
            </w:pPr>
            <w:r>
              <w:rPr>
                <w:rFonts w:ascii="宋体"/>
                <w:spacing w:val="-1"/>
                <w:sz w:val="18"/>
              </w:rPr>
              <w:t>10,910,199.56</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75"/>
              <w:jc w:val="right"/>
              <w:rPr>
                <w:rFonts w:ascii="宋体" w:hAnsi="宋体" w:cs="宋体" w:eastAsia="宋体" w:hint="default"/>
                <w:sz w:val="18"/>
                <w:szCs w:val="18"/>
              </w:rPr>
            </w:pPr>
            <w:r>
              <w:rPr>
                <w:rFonts w:ascii="宋体"/>
                <w:spacing w:val="-1"/>
                <w:sz w:val="18"/>
              </w:rPr>
              <w:t>10,279,435.92</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75"/>
              <w:jc w:val="right"/>
              <w:rPr>
                <w:rFonts w:ascii="宋体" w:hAnsi="宋体" w:cs="宋体" w:eastAsia="宋体" w:hint="default"/>
                <w:sz w:val="18"/>
                <w:szCs w:val="18"/>
              </w:rPr>
            </w:pPr>
            <w:r>
              <w:rPr>
                <w:rFonts w:ascii="宋体"/>
                <w:spacing w:val="-1"/>
                <w:sz w:val="18"/>
              </w:rPr>
              <w:t>5,811,535.87</w:t>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3,458,053.24</w:t>
            </w:r>
          </w:p>
        </w:tc>
      </w:tr>
      <w:tr>
        <w:trPr>
          <w:trHeight w:val="412"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77"/>
              <w:jc w:val="right"/>
              <w:rPr>
                <w:rFonts w:ascii="宋体" w:hAnsi="宋体" w:cs="宋体" w:eastAsia="宋体" w:hint="default"/>
                <w:sz w:val="18"/>
                <w:szCs w:val="18"/>
              </w:rPr>
            </w:pPr>
            <w:r>
              <w:rPr>
                <w:rFonts w:ascii="宋体"/>
                <w:spacing w:val="-1"/>
                <w:sz w:val="18"/>
              </w:rPr>
              <w:t>80,792,945.86</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75"/>
              <w:jc w:val="right"/>
              <w:rPr>
                <w:rFonts w:ascii="宋体" w:hAnsi="宋体" w:cs="宋体" w:eastAsia="宋体" w:hint="default"/>
                <w:sz w:val="18"/>
                <w:szCs w:val="18"/>
              </w:rPr>
            </w:pPr>
            <w:r>
              <w:rPr>
                <w:rFonts w:ascii="宋体"/>
                <w:spacing w:val="-1"/>
                <w:sz w:val="18"/>
              </w:rPr>
              <w:t>64,093,731.03</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79" w:right="0"/>
              <w:jc w:val="left"/>
              <w:rPr>
                <w:rFonts w:ascii="宋体" w:hAnsi="宋体" w:cs="宋体" w:eastAsia="宋体" w:hint="default"/>
                <w:sz w:val="18"/>
                <w:szCs w:val="18"/>
              </w:rPr>
            </w:pPr>
            <w:r>
              <w:rPr>
                <w:rFonts w:ascii="宋体"/>
                <w:sz w:val="18"/>
              </w:rPr>
              <w:t>126,733,036.62</w:t>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100,419,388.49</w:t>
            </w:r>
          </w:p>
        </w:tc>
      </w:tr>
      <w:tr>
        <w:trPr>
          <w:trHeight w:val="426"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8"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77"/>
              <w:jc w:val="right"/>
              <w:rPr>
                <w:rFonts w:ascii="宋体" w:hAnsi="宋体" w:cs="宋体" w:eastAsia="宋体" w:hint="default"/>
                <w:sz w:val="18"/>
                <w:szCs w:val="18"/>
              </w:rPr>
            </w:pPr>
            <w:r>
              <w:rPr>
                <w:rFonts w:ascii="宋体"/>
                <w:spacing w:val="-1"/>
                <w:sz w:val="18"/>
              </w:rPr>
              <w:t>28,830,943.99</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74"/>
              <w:jc w:val="right"/>
              <w:rPr>
                <w:rFonts w:ascii="宋体" w:hAnsi="宋体" w:cs="宋体" w:eastAsia="宋体" w:hint="default"/>
                <w:sz w:val="18"/>
                <w:szCs w:val="18"/>
              </w:rPr>
            </w:pPr>
            <w:r>
              <w:rPr>
                <w:rFonts w:ascii="宋体"/>
                <w:spacing w:val="-1"/>
                <w:sz w:val="18"/>
              </w:rPr>
              <w:t>21,716,147.34</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75"/>
              <w:jc w:val="right"/>
              <w:rPr>
                <w:rFonts w:ascii="宋体" w:hAnsi="宋体" w:cs="宋体" w:eastAsia="宋体" w:hint="default"/>
                <w:sz w:val="18"/>
                <w:szCs w:val="18"/>
              </w:rPr>
            </w:pPr>
            <w:r>
              <w:rPr>
                <w:rFonts w:ascii="宋体"/>
                <w:spacing w:val="-1"/>
                <w:sz w:val="18"/>
              </w:rPr>
              <w:t>7,137,212.52</w:t>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5"/>
              <w:jc w:val="right"/>
              <w:rPr>
                <w:rFonts w:ascii="宋体" w:hAnsi="宋体" w:cs="宋体" w:eastAsia="宋体" w:hint="default"/>
                <w:sz w:val="18"/>
                <w:szCs w:val="18"/>
              </w:rPr>
            </w:pPr>
            <w:r>
              <w:rPr>
                <w:rFonts w:ascii="宋体"/>
                <w:spacing w:val="-1"/>
                <w:sz w:val="18"/>
              </w:rPr>
              <w:t>6,593,531.95</w:t>
            </w:r>
          </w:p>
        </w:tc>
      </w:tr>
      <w:tr>
        <w:trPr>
          <w:trHeight w:val="404"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78"/>
              <w:jc w:val="right"/>
              <w:rPr>
                <w:rFonts w:ascii="宋体" w:hAnsi="宋体" w:cs="宋体" w:eastAsia="宋体" w:hint="default"/>
                <w:sz w:val="18"/>
                <w:szCs w:val="18"/>
              </w:rPr>
            </w:pPr>
            <w:r>
              <w:rPr>
                <w:rFonts w:ascii="宋体"/>
                <w:sz w:val="18"/>
              </w:rPr>
            </w:r>
            <w:r>
              <w:rPr>
                <w:rFonts w:ascii="宋体"/>
                <w:spacing w:val="-1"/>
                <w:sz w:val="18"/>
                <w:u w:val="thick" w:color="000000"/>
              </w:rPr>
              <w:t>499,090,330.97</w:t>
            </w:r>
            <w:r>
              <w:rPr>
                <w:rFonts w:ascii="宋体"/>
                <w:spacing w:val="-1"/>
                <w:sz w:val="18"/>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75"/>
              <w:jc w:val="right"/>
              <w:rPr>
                <w:rFonts w:ascii="宋体" w:hAnsi="宋体" w:cs="宋体" w:eastAsia="宋体" w:hint="default"/>
                <w:sz w:val="18"/>
                <w:szCs w:val="18"/>
              </w:rPr>
            </w:pPr>
            <w:r>
              <w:rPr>
                <w:rFonts w:ascii="宋体"/>
                <w:sz w:val="18"/>
              </w:rPr>
            </w:r>
            <w:r>
              <w:rPr>
                <w:rFonts w:ascii="宋体"/>
                <w:spacing w:val="-1"/>
                <w:sz w:val="18"/>
                <w:u w:val="thick" w:color="000000"/>
              </w:rPr>
              <w:t>408,197,407.94</w:t>
            </w:r>
            <w:r>
              <w:rPr>
                <w:rFonts w:ascii="宋体"/>
                <w:spacing w:val="-1"/>
                <w:sz w:val="18"/>
              </w:rPr>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79" w:right="0"/>
              <w:jc w:val="left"/>
              <w:rPr>
                <w:rFonts w:ascii="宋体" w:hAnsi="宋体" w:cs="宋体" w:eastAsia="宋体" w:hint="default"/>
                <w:sz w:val="18"/>
                <w:szCs w:val="18"/>
              </w:rPr>
            </w:pPr>
            <w:r>
              <w:rPr>
                <w:rFonts w:ascii="宋体"/>
                <w:sz w:val="18"/>
              </w:rPr>
            </w:r>
            <w:r>
              <w:rPr>
                <w:rFonts w:ascii="宋体"/>
                <w:sz w:val="18"/>
                <w:u w:val="thick" w:color="000000"/>
              </w:rPr>
              <w:t>482,007,027.19</w:t>
            </w:r>
            <w:r>
              <w:rPr>
                <w:rFonts w:ascii="宋体"/>
                <w:sz w:val="18"/>
              </w:rPr>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5"/>
              <w:jc w:val="right"/>
              <w:rPr>
                <w:rFonts w:ascii="宋体" w:hAnsi="宋体" w:cs="宋体" w:eastAsia="宋体" w:hint="default"/>
                <w:sz w:val="18"/>
                <w:szCs w:val="18"/>
              </w:rPr>
            </w:pPr>
            <w:r>
              <w:rPr>
                <w:rFonts w:ascii="宋体"/>
                <w:sz w:val="18"/>
              </w:rPr>
            </w:r>
            <w:r>
              <w:rPr>
                <w:rFonts w:ascii="宋体"/>
                <w:spacing w:val="-1"/>
                <w:sz w:val="18"/>
                <w:u w:val="thick" w:color="000000"/>
              </w:rPr>
              <w:t>402,170,714.36</w:t>
            </w:r>
            <w:r>
              <w:rPr>
                <w:rFonts w:ascii="宋体"/>
                <w:spacing w:val="-1"/>
                <w:sz w:val="18"/>
              </w:rPr>
            </w:r>
          </w:p>
        </w:tc>
      </w:tr>
    </w:tbl>
    <w:p>
      <w:pPr>
        <w:spacing w:after="0" w:line="240" w:lineRule="auto"/>
        <w:jc w:val="right"/>
        <w:rPr>
          <w:rFonts w:ascii="宋体" w:hAnsi="宋体" w:cs="宋体" w:eastAsia="宋体" w:hint="default"/>
          <w:sz w:val="18"/>
          <w:szCs w:val="18"/>
        </w:rPr>
        <w:sectPr>
          <w:pgSz w:w="11910" w:h="16840"/>
          <w:pgMar w:header="877" w:footer="980" w:top="1100" w:bottom="1160" w:left="960" w:right="0"/>
        </w:sectPr>
      </w:pPr>
    </w:p>
    <w:p>
      <w:pPr>
        <w:spacing w:line="240" w:lineRule="auto" w:before="2"/>
        <w:rPr>
          <w:rFonts w:ascii="宋体" w:hAnsi="宋体" w:cs="宋体" w:eastAsia="宋体" w:hint="default"/>
          <w:b/>
          <w:bCs/>
          <w:sz w:val="27"/>
          <w:szCs w:val="27"/>
        </w:rPr>
      </w:pPr>
    </w:p>
    <w:p>
      <w:pPr>
        <w:pStyle w:val="BodyText"/>
        <w:spacing w:line="240" w:lineRule="auto" w:before="44"/>
        <w:ind w:left="513" w:right="981"/>
        <w:jc w:val="left"/>
      </w:pPr>
      <w:r>
        <w:rPr/>
        <w:t>（</w:t>
      </w:r>
      <w:r>
        <w:rPr>
          <w:rFonts w:ascii="宋体" w:hAnsi="宋体" w:cs="宋体" w:eastAsia="宋体" w:hint="default"/>
        </w:rPr>
        <w:t>5</w:t>
      </w:r>
      <w:r>
        <w:rPr/>
        <w:t>）公司前五名客户的营业收入情况</w:t>
      </w:r>
    </w:p>
    <w:p>
      <w:pPr>
        <w:spacing w:line="240" w:lineRule="auto" w:before="8"/>
        <w:rPr>
          <w:rFonts w:ascii="宋体" w:hAnsi="宋体" w:cs="宋体" w:eastAsia="宋体" w:hint="default"/>
          <w:sz w:val="24"/>
          <w:szCs w:val="24"/>
        </w:rPr>
      </w:pPr>
    </w:p>
    <w:tbl>
      <w:tblPr>
        <w:tblW w:w="0" w:type="auto"/>
        <w:jc w:val="left"/>
        <w:tblInd w:w="215" w:type="dxa"/>
        <w:tblLayout w:type="fixed"/>
        <w:tblCellMar>
          <w:top w:w="0" w:type="dxa"/>
          <w:left w:w="0" w:type="dxa"/>
          <w:bottom w:w="0" w:type="dxa"/>
          <w:right w:w="0" w:type="dxa"/>
        </w:tblCellMar>
        <w:tblLook w:val="01E0"/>
      </w:tblPr>
      <w:tblGrid>
        <w:gridCol w:w="3033"/>
        <w:gridCol w:w="3359"/>
        <w:gridCol w:w="3124"/>
      </w:tblGrid>
      <w:tr>
        <w:trPr>
          <w:trHeight w:val="306" w:hRule="exact"/>
        </w:trPr>
        <w:tc>
          <w:tcPr>
            <w:tcW w:w="3033" w:type="dxa"/>
            <w:tcBorders>
              <w:top w:val="nil" w:sz="6" w:space="0" w:color="auto"/>
              <w:left w:val="nil" w:sz="6" w:space="0" w:color="auto"/>
              <w:bottom w:val="single" w:sz="4" w:space="0" w:color="000000"/>
              <w:right w:val="nil" w:sz="6" w:space="0" w:color="auto"/>
            </w:tcBorders>
          </w:tcPr>
          <w:p>
            <w:pPr>
              <w:pStyle w:val="TableParagraph"/>
              <w:spacing w:line="180" w:lineRule="exact"/>
              <w:ind w:right="85"/>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3359" w:type="dxa"/>
            <w:tcBorders>
              <w:top w:val="nil" w:sz="6" w:space="0" w:color="auto"/>
              <w:left w:val="nil" w:sz="6" w:space="0" w:color="auto"/>
              <w:bottom w:val="single" w:sz="4" w:space="0" w:color="000000"/>
              <w:right w:val="nil" w:sz="6" w:space="0" w:color="auto"/>
            </w:tcBorders>
          </w:tcPr>
          <w:p>
            <w:pPr>
              <w:pStyle w:val="TableParagraph"/>
              <w:spacing w:line="180" w:lineRule="exact"/>
              <w:ind w:right="236"/>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3124" w:type="dxa"/>
            <w:tcBorders>
              <w:top w:val="nil" w:sz="6" w:space="0" w:color="auto"/>
              <w:left w:val="nil" w:sz="6" w:space="0" w:color="auto"/>
              <w:bottom w:val="single" w:sz="4" w:space="0" w:color="000000"/>
              <w:right w:val="nil" w:sz="6" w:space="0" w:color="auto"/>
            </w:tcBorders>
          </w:tcPr>
          <w:p>
            <w:pPr>
              <w:pStyle w:val="TableParagraph"/>
              <w:spacing w:line="180" w:lineRule="exact"/>
              <w:ind w:left="262" w:right="0"/>
              <w:jc w:val="left"/>
              <w:rPr>
                <w:rFonts w:ascii="宋体" w:hAnsi="宋体" w:cs="宋体" w:eastAsia="宋体" w:hint="default"/>
                <w:sz w:val="18"/>
                <w:szCs w:val="18"/>
              </w:rPr>
            </w:pPr>
            <w:r>
              <w:rPr>
                <w:rFonts w:ascii="宋体" w:hAnsi="宋体" w:cs="宋体" w:eastAsia="宋体" w:hint="default"/>
                <w:b/>
                <w:bCs/>
                <w:sz w:val="18"/>
                <w:szCs w:val="18"/>
              </w:rPr>
              <w:t>占公司全部营业收入的比例</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95" w:hRule="exact"/>
        </w:trPr>
        <w:tc>
          <w:tcPr>
            <w:tcW w:w="3033"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35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61"/>
              <w:jc w:val="right"/>
              <w:rPr>
                <w:rFonts w:ascii="宋体" w:hAnsi="宋体" w:cs="宋体" w:eastAsia="宋体" w:hint="default"/>
                <w:sz w:val="18"/>
                <w:szCs w:val="18"/>
              </w:rPr>
            </w:pPr>
            <w:r>
              <w:rPr>
                <w:rFonts w:ascii="宋体"/>
                <w:spacing w:val="-1"/>
                <w:sz w:val="18"/>
              </w:rPr>
              <w:t>67,109,208.73</w:t>
            </w:r>
          </w:p>
        </w:tc>
        <w:tc>
          <w:tcPr>
            <w:tcW w:w="312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z w:val="18"/>
              </w:rPr>
              <w:t>13.35</w:t>
            </w:r>
          </w:p>
        </w:tc>
      </w:tr>
      <w:tr>
        <w:trPr>
          <w:trHeight w:val="394" w:hRule="exact"/>
        </w:trPr>
        <w:tc>
          <w:tcPr>
            <w:tcW w:w="303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1"/>
              <w:jc w:val="right"/>
              <w:rPr>
                <w:rFonts w:ascii="宋体" w:hAnsi="宋体" w:cs="宋体" w:eastAsia="宋体" w:hint="default"/>
                <w:sz w:val="18"/>
                <w:szCs w:val="18"/>
              </w:rPr>
            </w:pPr>
            <w:r>
              <w:rPr>
                <w:rFonts w:ascii="宋体"/>
                <w:spacing w:val="-1"/>
                <w:sz w:val="18"/>
              </w:rPr>
              <w:t>65,919,015.59</w:t>
            </w:r>
          </w:p>
        </w:tc>
        <w:tc>
          <w:tcPr>
            <w:tcW w:w="312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z w:val="18"/>
              </w:rPr>
              <w:t>13.12</w:t>
            </w:r>
          </w:p>
        </w:tc>
      </w:tr>
      <w:tr>
        <w:trPr>
          <w:trHeight w:val="396" w:hRule="exact"/>
        </w:trPr>
        <w:tc>
          <w:tcPr>
            <w:tcW w:w="303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1"/>
              <w:jc w:val="right"/>
              <w:rPr>
                <w:rFonts w:ascii="宋体" w:hAnsi="宋体" w:cs="宋体" w:eastAsia="宋体" w:hint="default"/>
                <w:sz w:val="18"/>
                <w:szCs w:val="18"/>
              </w:rPr>
            </w:pPr>
            <w:r>
              <w:rPr>
                <w:rFonts w:ascii="宋体"/>
                <w:spacing w:val="-1"/>
                <w:sz w:val="18"/>
              </w:rPr>
              <w:t>37,556,624.43</w:t>
            </w:r>
          </w:p>
        </w:tc>
        <w:tc>
          <w:tcPr>
            <w:tcW w:w="31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7.47</w:t>
            </w:r>
          </w:p>
        </w:tc>
      </w:tr>
      <w:tr>
        <w:trPr>
          <w:trHeight w:val="397" w:hRule="exact"/>
        </w:trPr>
        <w:tc>
          <w:tcPr>
            <w:tcW w:w="303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1"/>
              <w:jc w:val="right"/>
              <w:rPr>
                <w:rFonts w:ascii="宋体" w:hAnsi="宋体" w:cs="宋体" w:eastAsia="宋体" w:hint="default"/>
                <w:sz w:val="18"/>
                <w:szCs w:val="18"/>
              </w:rPr>
            </w:pPr>
            <w:r>
              <w:rPr>
                <w:rFonts w:ascii="宋体"/>
                <w:spacing w:val="-1"/>
                <w:sz w:val="18"/>
              </w:rPr>
              <w:t>32,050,715.03</w:t>
            </w:r>
          </w:p>
        </w:tc>
        <w:tc>
          <w:tcPr>
            <w:tcW w:w="31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4"/>
              <w:jc w:val="right"/>
              <w:rPr>
                <w:rFonts w:ascii="宋体" w:hAnsi="宋体" w:cs="宋体" w:eastAsia="宋体" w:hint="default"/>
                <w:sz w:val="18"/>
                <w:szCs w:val="18"/>
              </w:rPr>
            </w:pPr>
            <w:r>
              <w:rPr>
                <w:rFonts w:ascii="宋体"/>
                <w:sz w:val="18"/>
              </w:rPr>
              <w:t>6.38</w:t>
            </w:r>
          </w:p>
        </w:tc>
      </w:tr>
      <w:tr>
        <w:trPr>
          <w:trHeight w:val="397" w:hRule="exact"/>
        </w:trPr>
        <w:tc>
          <w:tcPr>
            <w:tcW w:w="303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0"/>
              <w:jc w:val="right"/>
              <w:rPr>
                <w:rFonts w:ascii="宋体" w:hAnsi="宋体" w:cs="宋体" w:eastAsia="宋体" w:hint="default"/>
                <w:sz w:val="18"/>
                <w:szCs w:val="18"/>
              </w:rPr>
            </w:pPr>
            <w:r>
              <w:rPr>
                <w:rFonts w:ascii="宋体"/>
                <w:spacing w:val="-1"/>
                <w:sz w:val="18"/>
              </w:rPr>
              <w:t>26,612,328.57</w:t>
            </w:r>
          </w:p>
        </w:tc>
        <w:tc>
          <w:tcPr>
            <w:tcW w:w="312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5.30</w:t>
            </w:r>
          </w:p>
        </w:tc>
      </w:tr>
      <w:tr>
        <w:trPr>
          <w:trHeight w:val="290" w:hRule="exact"/>
        </w:trPr>
        <w:tc>
          <w:tcPr>
            <w:tcW w:w="303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1"/>
              <w:jc w:val="right"/>
              <w:rPr>
                <w:rFonts w:ascii="宋体" w:hAnsi="宋体" w:cs="宋体" w:eastAsia="宋体" w:hint="default"/>
                <w:sz w:val="18"/>
                <w:szCs w:val="18"/>
              </w:rPr>
            </w:pPr>
            <w:r>
              <w:rPr>
                <w:rFonts w:ascii="宋体"/>
                <w:sz w:val="18"/>
              </w:rPr>
            </w:r>
            <w:r>
              <w:rPr>
                <w:rFonts w:ascii="宋体"/>
                <w:spacing w:val="-1"/>
                <w:sz w:val="18"/>
                <w:u w:val="thick" w:color="000000"/>
              </w:rPr>
              <w:t>229,247,892.35</w:t>
            </w:r>
            <w:r>
              <w:rPr>
                <w:rFonts w:ascii="宋体"/>
                <w:spacing w:val="-1"/>
                <w:sz w:val="18"/>
              </w:rPr>
            </w:r>
          </w:p>
        </w:tc>
        <w:tc>
          <w:tcPr>
            <w:tcW w:w="31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宋体" w:hAnsi="宋体" w:cs="宋体" w:eastAsia="宋体" w:hint="default"/>
                <w:sz w:val="18"/>
                <w:szCs w:val="18"/>
              </w:rPr>
            </w:pPr>
            <w:r>
              <w:rPr>
                <w:rFonts w:ascii="宋体"/>
                <w:sz w:val="18"/>
              </w:rPr>
            </w:r>
            <w:r>
              <w:rPr>
                <w:rFonts w:ascii="宋体"/>
                <w:sz w:val="18"/>
                <w:u w:val="thick" w:color="000000"/>
              </w:rPr>
              <w:t>45.62</w:t>
            </w:r>
            <w:r>
              <w:rPr>
                <w:rFonts w:ascii="宋体"/>
                <w:sz w:val="18"/>
              </w:rPr>
            </w:r>
          </w:p>
        </w:tc>
      </w:tr>
    </w:tbl>
    <w:p>
      <w:pPr>
        <w:spacing w:line="240" w:lineRule="auto" w:before="11"/>
        <w:rPr>
          <w:rFonts w:ascii="宋体" w:hAnsi="宋体" w:cs="宋体" w:eastAsia="宋体" w:hint="default"/>
          <w:sz w:val="13"/>
          <w:szCs w:val="13"/>
        </w:rPr>
      </w:pPr>
    </w:p>
    <w:p>
      <w:pPr>
        <w:pStyle w:val="BodyText"/>
        <w:spacing w:line="240" w:lineRule="auto" w:before="44"/>
        <w:ind w:left="513" w:right="981"/>
        <w:jc w:val="left"/>
      </w:pPr>
      <w:r>
        <w:rPr>
          <w:rFonts w:ascii="宋体" w:hAnsi="宋体" w:cs="宋体" w:eastAsia="宋体" w:hint="default"/>
        </w:rPr>
        <w:t>26.</w:t>
      </w:r>
      <w:r>
        <w:rPr>
          <w:rFonts w:ascii="宋体" w:hAnsi="宋体" w:cs="宋体" w:eastAsia="宋体" w:hint="default"/>
          <w:spacing w:val="2"/>
        </w:rPr>
        <w:t> </w:t>
      </w:r>
      <w:r>
        <w:rPr/>
        <w:t>合同项目收入</w:t>
      </w:r>
    </w:p>
    <w:p>
      <w:pPr>
        <w:spacing w:line="240" w:lineRule="auto" w:before="1"/>
        <w:rPr>
          <w:rFonts w:ascii="宋体" w:hAnsi="宋体" w:cs="宋体" w:eastAsia="宋体" w:hint="default"/>
          <w:sz w:val="22"/>
          <w:szCs w:val="22"/>
        </w:rPr>
      </w:pPr>
    </w:p>
    <w:tbl>
      <w:tblPr>
        <w:tblW w:w="0" w:type="auto"/>
        <w:jc w:val="left"/>
        <w:tblInd w:w="275" w:type="dxa"/>
        <w:tblLayout w:type="fixed"/>
        <w:tblCellMar>
          <w:top w:w="0" w:type="dxa"/>
          <w:left w:w="0" w:type="dxa"/>
          <w:bottom w:w="0" w:type="dxa"/>
          <w:right w:w="0" w:type="dxa"/>
        </w:tblCellMar>
        <w:tblLook w:val="01E0"/>
      </w:tblPr>
      <w:tblGrid>
        <w:gridCol w:w="1021"/>
        <w:gridCol w:w="2324"/>
        <w:gridCol w:w="1176"/>
        <w:gridCol w:w="1387"/>
        <w:gridCol w:w="2141"/>
        <w:gridCol w:w="1346"/>
      </w:tblGrid>
      <w:tr>
        <w:trPr>
          <w:trHeight w:val="478" w:hRule="exact"/>
        </w:trPr>
        <w:tc>
          <w:tcPr>
            <w:tcW w:w="1021" w:type="dxa"/>
            <w:tcBorders>
              <w:top w:val="nil" w:sz="6" w:space="0" w:color="auto"/>
              <w:left w:val="nil" w:sz="6" w:space="0" w:color="auto"/>
              <w:bottom w:val="single" w:sz="4" w:space="0" w:color="000000"/>
              <w:right w:val="nil" w:sz="6" w:space="0" w:color="auto"/>
            </w:tcBorders>
          </w:tcPr>
          <w:p>
            <w:pPr/>
          </w:p>
        </w:tc>
        <w:tc>
          <w:tcPr>
            <w:tcW w:w="2324"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38"/>
              <w:jc w:val="center"/>
              <w:rPr>
                <w:rFonts w:ascii="宋体" w:hAnsi="宋体" w:cs="宋体" w:eastAsia="宋体" w:hint="default"/>
                <w:sz w:val="15"/>
                <w:szCs w:val="15"/>
              </w:rPr>
            </w:pPr>
            <w:r>
              <w:rPr>
                <w:rFonts w:ascii="宋体" w:hAnsi="宋体" w:cs="宋体" w:eastAsia="宋体" w:hint="default"/>
                <w:b/>
                <w:bCs/>
                <w:sz w:val="15"/>
                <w:szCs w:val="15"/>
              </w:rPr>
              <w:t>合同项目</w:t>
            </w:r>
            <w:r>
              <w:rPr>
                <w:rFonts w:ascii="宋体" w:hAnsi="宋体" w:cs="宋体" w:eastAsia="宋体" w:hint="default"/>
                <w:sz w:val="15"/>
                <w:szCs w:val="15"/>
              </w:rPr>
            </w:r>
          </w:p>
        </w:tc>
        <w:tc>
          <w:tcPr>
            <w:tcW w:w="1176"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57"/>
              <w:jc w:val="center"/>
              <w:rPr>
                <w:rFonts w:ascii="宋体" w:hAnsi="宋体" w:cs="宋体" w:eastAsia="宋体" w:hint="default"/>
                <w:sz w:val="15"/>
                <w:szCs w:val="15"/>
              </w:rPr>
            </w:pPr>
            <w:r>
              <w:rPr>
                <w:rFonts w:ascii="宋体" w:hAnsi="宋体" w:cs="宋体" w:eastAsia="宋体" w:hint="default"/>
                <w:b/>
                <w:bCs/>
                <w:sz w:val="15"/>
                <w:szCs w:val="15"/>
              </w:rPr>
              <w:t>合同金额</w:t>
            </w:r>
            <w:r>
              <w:rPr>
                <w:rFonts w:ascii="宋体" w:hAnsi="宋体" w:cs="宋体" w:eastAsia="宋体" w:hint="default"/>
                <w:sz w:val="15"/>
                <w:szCs w:val="15"/>
              </w:rPr>
            </w:r>
          </w:p>
        </w:tc>
        <w:tc>
          <w:tcPr>
            <w:tcW w:w="1387"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98"/>
              <w:jc w:val="right"/>
              <w:rPr>
                <w:rFonts w:ascii="宋体" w:hAnsi="宋体" w:cs="宋体" w:eastAsia="宋体" w:hint="default"/>
                <w:sz w:val="15"/>
                <w:szCs w:val="15"/>
              </w:rPr>
            </w:pPr>
            <w:r>
              <w:rPr>
                <w:rFonts w:ascii="宋体" w:hAnsi="宋体" w:cs="宋体" w:eastAsia="宋体" w:hint="default"/>
                <w:b/>
                <w:bCs/>
                <w:spacing w:val="-1"/>
                <w:sz w:val="15"/>
                <w:szCs w:val="15"/>
              </w:rPr>
              <w:t>累计已发生成本</w:t>
            </w:r>
            <w:r>
              <w:rPr>
                <w:rFonts w:ascii="宋体" w:hAnsi="宋体" w:cs="宋体" w:eastAsia="宋体" w:hint="default"/>
                <w:spacing w:val="-1"/>
                <w:sz w:val="15"/>
                <w:szCs w:val="15"/>
              </w:rPr>
            </w:r>
          </w:p>
        </w:tc>
        <w:tc>
          <w:tcPr>
            <w:tcW w:w="2141" w:type="dxa"/>
            <w:tcBorders>
              <w:top w:val="nil" w:sz="6" w:space="0" w:color="auto"/>
              <w:left w:val="nil" w:sz="6" w:space="0" w:color="auto"/>
              <w:bottom w:val="single" w:sz="4" w:space="0" w:color="000000"/>
              <w:right w:val="nil" w:sz="6" w:space="0" w:color="auto"/>
            </w:tcBorders>
          </w:tcPr>
          <w:p>
            <w:pPr>
              <w:pStyle w:val="TableParagraph"/>
              <w:spacing w:line="169" w:lineRule="exact"/>
              <w:ind w:right="170"/>
              <w:jc w:val="center"/>
              <w:rPr>
                <w:rFonts w:ascii="宋体" w:hAnsi="宋体" w:cs="宋体" w:eastAsia="宋体" w:hint="default"/>
                <w:sz w:val="15"/>
                <w:szCs w:val="15"/>
              </w:rPr>
            </w:pPr>
            <w:r>
              <w:rPr>
                <w:rFonts w:ascii="宋体" w:hAnsi="宋体" w:cs="宋体" w:eastAsia="宋体" w:hint="default"/>
                <w:b/>
                <w:bCs/>
                <w:sz w:val="15"/>
                <w:szCs w:val="15"/>
              </w:rPr>
              <w:t>累计已确认毛利（亏损以</w:t>
            </w:r>
            <w:r>
              <w:rPr>
                <w:rFonts w:ascii="宋体" w:hAnsi="宋体" w:cs="宋体" w:eastAsia="宋体" w:hint="default"/>
                <w:sz w:val="15"/>
                <w:szCs w:val="15"/>
              </w:rPr>
            </w:r>
          </w:p>
          <w:p>
            <w:pPr>
              <w:pStyle w:val="TableParagraph"/>
              <w:spacing w:line="195" w:lineRule="exact"/>
              <w:ind w:right="170"/>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b/>
                <w:bCs/>
                <w:sz w:val="15"/>
                <w:szCs w:val="15"/>
              </w:rPr>
              <w:t>”号表示）</w:t>
            </w:r>
            <w:r>
              <w:rPr>
                <w:rFonts w:ascii="宋体" w:hAnsi="宋体" w:cs="宋体" w:eastAsia="宋体" w:hint="default"/>
                <w:sz w:val="15"/>
                <w:szCs w:val="15"/>
              </w:rPr>
            </w:r>
          </w:p>
        </w:tc>
        <w:tc>
          <w:tcPr>
            <w:tcW w:w="1346" w:type="dxa"/>
            <w:tcBorders>
              <w:top w:val="nil" w:sz="6" w:space="0" w:color="auto"/>
              <w:left w:val="nil" w:sz="6" w:space="0" w:color="auto"/>
              <w:bottom w:val="single" w:sz="4" w:space="0" w:color="000000"/>
              <w:right w:val="nil" w:sz="6" w:space="0" w:color="auto"/>
            </w:tcBorders>
          </w:tcPr>
          <w:p>
            <w:pPr>
              <w:pStyle w:val="TableParagraph"/>
              <w:spacing w:line="151" w:lineRule="exact"/>
              <w:ind w:right="123"/>
              <w:jc w:val="center"/>
              <w:rPr>
                <w:rFonts w:ascii="宋体" w:hAnsi="宋体" w:cs="宋体" w:eastAsia="宋体" w:hint="default"/>
                <w:sz w:val="15"/>
                <w:szCs w:val="15"/>
              </w:rPr>
            </w:pPr>
            <w:r>
              <w:rPr>
                <w:rFonts w:ascii="宋体" w:hAnsi="宋体" w:cs="宋体" w:eastAsia="宋体" w:hint="default"/>
                <w:b/>
                <w:bCs/>
                <w:sz w:val="15"/>
                <w:szCs w:val="15"/>
              </w:rPr>
              <w:t>已办理结算</w:t>
            </w:r>
            <w:r>
              <w:rPr>
                <w:rFonts w:ascii="宋体" w:hAnsi="宋体" w:cs="宋体" w:eastAsia="宋体" w:hint="default"/>
                <w:sz w:val="15"/>
                <w:szCs w:val="15"/>
              </w:rPr>
            </w:r>
          </w:p>
          <w:p>
            <w:pPr>
              <w:pStyle w:val="TableParagraph"/>
              <w:spacing w:line="240" w:lineRule="auto" w:before="36"/>
              <w:ind w:right="123"/>
              <w:jc w:val="center"/>
              <w:rPr>
                <w:rFonts w:ascii="宋体" w:hAnsi="宋体" w:cs="宋体" w:eastAsia="宋体" w:hint="default"/>
                <w:sz w:val="15"/>
                <w:szCs w:val="15"/>
              </w:rPr>
            </w:pPr>
            <w:r>
              <w:rPr>
                <w:rFonts w:ascii="宋体" w:hAnsi="宋体" w:cs="宋体" w:eastAsia="宋体" w:hint="default"/>
                <w:b/>
                <w:bCs/>
                <w:sz w:val="15"/>
                <w:szCs w:val="15"/>
              </w:rPr>
              <w:t>的金额</w:t>
            </w:r>
            <w:r>
              <w:rPr>
                <w:rFonts w:ascii="宋体" w:hAnsi="宋体" w:cs="宋体" w:eastAsia="宋体" w:hint="default"/>
                <w:sz w:val="15"/>
                <w:szCs w:val="15"/>
              </w:rPr>
            </w:r>
          </w:p>
        </w:tc>
      </w:tr>
      <w:tr>
        <w:trPr>
          <w:trHeight w:val="482" w:hRule="exact"/>
        </w:trPr>
        <w:tc>
          <w:tcPr>
            <w:tcW w:w="1021" w:type="dxa"/>
            <w:tcBorders>
              <w:top w:val="single" w:sz="4" w:space="0" w:color="000000"/>
              <w:left w:val="nil" w:sz="6" w:space="0" w:color="auto"/>
              <w:bottom w:val="nil" w:sz="6" w:space="0" w:color="auto"/>
              <w:right w:val="nil" w:sz="6" w:space="0" w:color="auto"/>
            </w:tcBorders>
          </w:tcPr>
          <w:p>
            <w:pPr/>
          </w:p>
        </w:tc>
        <w:tc>
          <w:tcPr>
            <w:tcW w:w="2324" w:type="dxa"/>
            <w:vMerge w:val="restart"/>
            <w:tcBorders>
              <w:top w:val="single" w:sz="4" w:space="0" w:color="000000"/>
              <w:left w:val="nil" w:sz="6" w:space="0" w:color="auto"/>
              <w:right w:val="nil" w:sz="6" w:space="0" w:color="auto"/>
            </w:tcBorders>
          </w:tcPr>
          <w:p>
            <w:pPr>
              <w:pStyle w:val="TableParagraph"/>
              <w:spacing w:line="237" w:lineRule="auto" w:before="16"/>
              <w:ind w:left="107" w:right="69"/>
              <w:jc w:val="left"/>
              <w:rPr>
                <w:rFonts w:ascii="宋体" w:hAnsi="宋体" w:cs="宋体" w:eastAsia="宋体" w:hint="default"/>
                <w:sz w:val="15"/>
                <w:szCs w:val="15"/>
              </w:rPr>
            </w:pPr>
            <w:r>
              <w:rPr>
                <w:rFonts w:ascii="宋体" w:hAnsi="宋体" w:cs="宋体" w:eastAsia="宋体" w:hint="default"/>
                <w:spacing w:val="-9"/>
                <w:sz w:val="15"/>
                <w:szCs w:val="15"/>
              </w:rPr>
              <w:t>万源（陕川界）至达州（徐家坝）</w:t>
            </w:r>
            <w:r>
              <w:rPr>
                <w:rFonts w:ascii="宋体" w:hAnsi="宋体" w:cs="宋体" w:eastAsia="宋体" w:hint="default"/>
                <w:spacing w:val="-48"/>
                <w:sz w:val="15"/>
                <w:szCs w:val="15"/>
              </w:rPr>
              <w:t> </w:t>
            </w:r>
            <w:r>
              <w:rPr>
                <w:rFonts w:ascii="宋体" w:hAnsi="宋体" w:cs="宋体" w:eastAsia="宋体" w:hint="default"/>
                <w:spacing w:val="-48"/>
                <w:sz w:val="15"/>
                <w:szCs w:val="15"/>
              </w:rPr>
            </w:r>
            <w:r>
              <w:rPr>
                <w:rFonts w:ascii="宋体" w:hAnsi="宋体" w:cs="宋体" w:eastAsia="宋体" w:hint="default"/>
                <w:spacing w:val="6"/>
                <w:sz w:val="15"/>
                <w:szCs w:val="15"/>
              </w:rPr>
              <w:t>段高速公路项目全线隧道机电</w:t>
            </w:r>
            <w:r>
              <w:rPr>
                <w:rFonts w:ascii="宋体" w:hAnsi="宋体" w:cs="宋体" w:eastAsia="宋体" w:hint="default"/>
                <w:spacing w:val="-38"/>
                <w:sz w:val="15"/>
                <w:szCs w:val="15"/>
              </w:rPr>
              <w:t> </w:t>
            </w:r>
            <w:r>
              <w:rPr>
                <w:rFonts w:ascii="宋体" w:hAnsi="宋体" w:cs="宋体" w:eastAsia="宋体" w:hint="default"/>
                <w:spacing w:val="-38"/>
                <w:sz w:val="15"/>
                <w:szCs w:val="15"/>
              </w:rPr>
            </w:r>
            <w:r>
              <w:rPr>
                <w:rFonts w:ascii="宋体" w:hAnsi="宋体" w:cs="宋体" w:eastAsia="宋体" w:hint="default"/>
                <w:spacing w:val="-4"/>
                <w:sz w:val="15"/>
                <w:szCs w:val="15"/>
              </w:rPr>
              <w:t>及收费，监控，通信系统采购与</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安装工程</w:t>
            </w:r>
            <w:r>
              <w:rPr>
                <w:rFonts w:ascii="宋体" w:hAnsi="宋体" w:cs="宋体" w:eastAsia="宋体" w:hint="default"/>
                <w:spacing w:val="-38"/>
                <w:sz w:val="15"/>
                <w:szCs w:val="15"/>
              </w:rPr>
              <w:t> </w:t>
            </w:r>
            <w:r>
              <w:rPr>
                <w:rFonts w:ascii="宋体" w:hAnsi="宋体" w:cs="宋体" w:eastAsia="宋体" w:hint="default"/>
                <w:sz w:val="15"/>
                <w:szCs w:val="15"/>
              </w:rPr>
              <w:t>JT3</w:t>
            </w:r>
            <w:r>
              <w:rPr>
                <w:rFonts w:ascii="宋体" w:hAnsi="宋体" w:cs="宋体" w:eastAsia="宋体" w:hint="default"/>
                <w:spacing w:val="-35"/>
                <w:sz w:val="15"/>
                <w:szCs w:val="15"/>
              </w:rPr>
              <w:t> </w:t>
            </w:r>
            <w:r>
              <w:rPr>
                <w:rFonts w:ascii="宋体" w:hAnsi="宋体" w:cs="宋体" w:eastAsia="宋体" w:hint="default"/>
                <w:spacing w:val="-3"/>
                <w:sz w:val="15"/>
                <w:szCs w:val="15"/>
              </w:rPr>
              <w:t>标段</w:t>
            </w:r>
            <w:r>
              <w:rPr>
                <w:rFonts w:ascii="宋体" w:hAnsi="宋体" w:cs="宋体" w:eastAsia="宋体" w:hint="default"/>
                <w:sz w:val="15"/>
                <w:szCs w:val="15"/>
              </w:rPr>
            </w:r>
          </w:p>
        </w:tc>
        <w:tc>
          <w:tcPr>
            <w:tcW w:w="117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right="57"/>
              <w:jc w:val="center"/>
              <w:rPr>
                <w:rFonts w:ascii="宋体" w:hAnsi="宋体" w:cs="宋体" w:eastAsia="宋体" w:hint="default"/>
                <w:sz w:val="15"/>
                <w:szCs w:val="15"/>
              </w:rPr>
            </w:pPr>
            <w:r>
              <w:rPr>
                <w:rFonts w:ascii="宋体"/>
                <w:sz w:val="15"/>
              </w:rPr>
              <w:t>90,588,632.00</w:t>
            </w:r>
          </w:p>
        </w:tc>
        <w:tc>
          <w:tcPr>
            <w:tcW w:w="138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right="153"/>
              <w:jc w:val="right"/>
              <w:rPr>
                <w:rFonts w:ascii="宋体" w:hAnsi="宋体" w:cs="宋体" w:eastAsia="宋体" w:hint="default"/>
                <w:sz w:val="15"/>
                <w:szCs w:val="15"/>
              </w:rPr>
            </w:pPr>
            <w:r>
              <w:rPr>
                <w:rFonts w:ascii="宋体"/>
                <w:spacing w:val="-2"/>
                <w:sz w:val="15"/>
              </w:rPr>
              <w:t>75,821,898.29</w:t>
            </w:r>
          </w:p>
        </w:tc>
        <w:tc>
          <w:tcPr>
            <w:tcW w:w="214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right="230"/>
              <w:jc w:val="right"/>
              <w:rPr>
                <w:rFonts w:ascii="宋体" w:hAnsi="宋体" w:cs="宋体" w:eastAsia="宋体" w:hint="default"/>
                <w:sz w:val="15"/>
                <w:szCs w:val="15"/>
              </w:rPr>
            </w:pPr>
            <w:r>
              <w:rPr>
                <w:rFonts w:ascii="宋体"/>
                <w:spacing w:val="-2"/>
                <w:sz w:val="15"/>
              </w:rPr>
              <w:t>10,411,927.03</w:t>
            </w:r>
          </w:p>
        </w:tc>
        <w:tc>
          <w:tcPr>
            <w:tcW w:w="134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1"/>
              <w:ind w:right="104"/>
              <w:jc w:val="right"/>
              <w:rPr>
                <w:rFonts w:ascii="宋体" w:hAnsi="宋体" w:cs="宋体" w:eastAsia="宋体" w:hint="default"/>
                <w:sz w:val="15"/>
                <w:szCs w:val="15"/>
              </w:rPr>
            </w:pPr>
            <w:r>
              <w:rPr>
                <w:rFonts w:ascii="宋体"/>
                <w:spacing w:val="-2"/>
                <w:sz w:val="15"/>
              </w:rPr>
              <w:t>85,297,210.59</w:t>
            </w:r>
          </w:p>
        </w:tc>
      </w:tr>
      <w:tr>
        <w:trPr>
          <w:trHeight w:val="410" w:hRule="exact"/>
        </w:trPr>
        <w:tc>
          <w:tcPr>
            <w:tcW w:w="1021" w:type="dxa"/>
            <w:tcBorders>
              <w:top w:val="nil" w:sz="6" w:space="0" w:color="auto"/>
              <w:left w:val="nil" w:sz="6" w:space="0" w:color="auto"/>
              <w:bottom w:val="nil" w:sz="6" w:space="0" w:color="auto"/>
              <w:right w:val="nil" w:sz="6" w:space="0" w:color="auto"/>
            </w:tcBorders>
          </w:tcPr>
          <w:p>
            <w:pPr>
              <w:pStyle w:val="TableParagraph"/>
              <w:spacing w:line="125" w:lineRule="exact"/>
              <w:ind w:left="108" w:right="0"/>
              <w:jc w:val="left"/>
              <w:rPr>
                <w:rFonts w:ascii="宋体" w:hAnsi="宋体" w:cs="宋体" w:eastAsia="宋体" w:hint="default"/>
                <w:sz w:val="15"/>
                <w:szCs w:val="15"/>
              </w:rPr>
            </w:pPr>
            <w:r>
              <w:rPr>
                <w:rFonts w:ascii="宋体" w:hAnsi="宋体" w:cs="宋体" w:eastAsia="宋体" w:hint="default"/>
                <w:spacing w:val="8"/>
                <w:sz w:val="15"/>
                <w:szCs w:val="15"/>
              </w:rPr>
              <w:t>固定造价合</w:t>
            </w:r>
          </w:p>
          <w:p>
            <w:pPr>
              <w:pStyle w:val="TableParagraph"/>
              <w:spacing w:line="194" w:lineRule="exact"/>
              <w:ind w:left="108" w:right="0"/>
              <w:jc w:val="left"/>
              <w:rPr>
                <w:rFonts w:ascii="宋体" w:hAnsi="宋体" w:cs="宋体" w:eastAsia="宋体" w:hint="default"/>
                <w:sz w:val="15"/>
                <w:szCs w:val="15"/>
              </w:rPr>
            </w:pPr>
            <w:r>
              <w:rPr>
                <w:rFonts w:ascii="宋体" w:hAnsi="宋体" w:cs="宋体" w:eastAsia="宋体" w:hint="default"/>
                <w:w w:val="100"/>
                <w:sz w:val="15"/>
                <w:szCs w:val="15"/>
              </w:rPr>
              <w:t>同</w:t>
            </w:r>
          </w:p>
        </w:tc>
        <w:tc>
          <w:tcPr>
            <w:tcW w:w="2324" w:type="dxa"/>
            <w:vMerge/>
            <w:tcBorders>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
        </w:tc>
      </w:tr>
      <w:tr>
        <w:trPr>
          <w:trHeight w:val="242" w:hRule="exact"/>
        </w:trPr>
        <w:tc>
          <w:tcPr>
            <w:tcW w:w="1021" w:type="dxa"/>
            <w:tcBorders>
              <w:top w:val="nil" w:sz="6" w:space="0" w:color="auto"/>
              <w:left w:val="nil" w:sz="6" w:space="0" w:color="auto"/>
              <w:bottom w:val="nil" w:sz="6" w:space="0" w:color="auto"/>
              <w:right w:val="nil" w:sz="6" w:space="0" w:color="auto"/>
            </w:tcBorders>
          </w:tcPr>
          <w:p>
            <w:pP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7"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57"/>
              <w:jc w:val="center"/>
              <w:rPr>
                <w:rFonts w:ascii="宋体" w:hAnsi="宋体" w:cs="宋体" w:eastAsia="宋体" w:hint="default"/>
                <w:sz w:val="15"/>
                <w:szCs w:val="15"/>
              </w:rPr>
            </w:pPr>
            <w:r>
              <w:rPr>
                <w:rFonts w:ascii="宋体"/>
                <w:w w:val="100"/>
                <w:sz w:val="15"/>
              </w:rPr>
            </w:r>
            <w:r>
              <w:rPr>
                <w:rFonts w:ascii="宋体"/>
                <w:sz w:val="15"/>
                <w:u w:val="thick" w:color="000000"/>
              </w:rPr>
              <w:t>90,588,632.00</w:t>
            </w:r>
            <w:r>
              <w:rPr>
                <w:rFonts w:ascii="宋体"/>
                <w:sz w:val="15"/>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53"/>
              <w:jc w:val="right"/>
              <w:rPr>
                <w:rFonts w:ascii="宋体" w:hAnsi="宋体" w:cs="宋体" w:eastAsia="宋体" w:hint="default"/>
                <w:sz w:val="15"/>
                <w:szCs w:val="15"/>
              </w:rPr>
            </w:pPr>
            <w:r>
              <w:rPr>
                <w:rFonts w:ascii="宋体"/>
                <w:w w:val="100"/>
                <w:sz w:val="15"/>
              </w:rPr>
            </w:r>
            <w:r>
              <w:rPr>
                <w:rFonts w:ascii="宋体"/>
                <w:spacing w:val="-2"/>
                <w:sz w:val="15"/>
                <w:u w:val="thick" w:color="000000"/>
              </w:rPr>
              <w:t>75,821,898.29</w:t>
            </w:r>
            <w:r>
              <w:rPr>
                <w:rFonts w:ascii="宋体"/>
                <w:spacing w:val="-2"/>
                <w:sz w:val="15"/>
              </w:rPr>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30"/>
              <w:jc w:val="right"/>
              <w:rPr>
                <w:rFonts w:ascii="宋体" w:hAnsi="宋体" w:cs="宋体" w:eastAsia="宋体" w:hint="default"/>
                <w:sz w:val="15"/>
                <w:szCs w:val="15"/>
              </w:rPr>
            </w:pPr>
            <w:r>
              <w:rPr>
                <w:rFonts w:ascii="宋体"/>
                <w:w w:val="100"/>
                <w:sz w:val="15"/>
              </w:rPr>
            </w:r>
            <w:r>
              <w:rPr>
                <w:rFonts w:ascii="宋体"/>
                <w:spacing w:val="-2"/>
                <w:sz w:val="15"/>
                <w:u w:val="thick" w:color="000000"/>
              </w:rPr>
              <w:t>10,411,927.03</w:t>
            </w:r>
            <w:r>
              <w:rPr>
                <w:rFonts w:ascii="宋体"/>
                <w:spacing w:val="-2"/>
                <w:sz w:val="15"/>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4"/>
              <w:jc w:val="right"/>
              <w:rPr>
                <w:rFonts w:ascii="宋体" w:hAnsi="宋体" w:cs="宋体" w:eastAsia="宋体" w:hint="default"/>
                <w:sz w:val="15"/>
                <w:szCs w:val="15"/>
              </w:rPr>
            </w:pPr>
            <w:r>
              <w:rPr>
                <w:rFonts w:ascii="宋体"/>
                <w:w w:val="100"/>
                <w:sz w:val="15"/>
              </w:rPr>
            </w:r>
            <w:r>
              <w:rPr>
                <w:rFonts w:ascii="宋体"/>
                <w:spacing w:val="-2"/>
                <w:sz w:val="15"/>
                <w:u w:val="thick" w:color="000000"/>
              </w:rPr>
              <w:t>85,297,210.59</w:t>
            </w:r>
            <w:r>
              <w:rPr>
                <w:rFonts w:ascii="宋体"/>
                <w:spacing w:val="-2"/>
                <w:sz w:val="15"/>
              </w:rPr>
            </w:r>
          </w:p>
        </w:tc>
      </w:tr>
    </w:tbl>
    <w:p>
      <w:pPr>
        <w:spacing w:line="240" w:lineRule="auto" w:before="1"/>
        <w:rPr>
          <w:rFonts w:ascii="宋体" w:hAnsi="宋体" w:cs="宋体" w:eastAsia="宋体" w:hint="default"/>
          <w:sz w:val="15"/>
          <w:szCs w:val="15"/>
        </w:rPr>
      </w:pPr>
    </w:p>
    <w:p>
      <w:pPr>
        <w:pStyle w:val="BodyText"/>
        <w:spacing w:line="240" w:lineRule="auto" w:before="44"/>
        <w:ind w:left="513" w:right="981"/>
        <w:jc w:val="left"/>
      </w:pPr>
      <w:r>
        <w:rPr/>
        <w:t>注：列示单项合同本期确认收入占营业收入</w:t>
      </w:r>
      <w:r>
        <w:rPr>
          <w:rFonts w:ascii="宋体" w:hAnsi="宋体" w:cs="宋体" w:eastAsia="宋体" w:hint="default"/>
        </w:rPr>
        <w:t>10%</w:t>
      </w:r>
      <w:r>
        <w:rPr/>
        <w:t>以上的项目。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pStyle w:val="BodyText"/>
        <w:spacing w:line="240" w:lineRule="auto"/>
        <w:ind w:left="513" w:right="981"/>
        <w:jc w:val="left"/>
      </w:pPr>
      <w:r>
        <w:rPr>
          <w:rFonts w:ascii="宋体" w:hAnsi="宋体" w:cs="宋体" w:eastAsia="宋体" w:hint="default"/>
        </w:rPr>
        <w:t>27.</w:t>
      </w:r>
      <w:r>
        <w:rPr/>
        <w:t>营业税金及附加</w:t>
      </w:r>
    </w:p>
    <w:p>
      <w:pPr>
        <w:spacing w:line="240" w:lineRule="auto" w:before="9"/>
        <w:rPr>
          <w:rFonts w:ascii="宋体" w:hAnsi="宋体" w:cs="宋体" w:eastAsia="宋体" w:hint="default"/>
          <w:sz w:val="23"/>
          <w:szCs w:val="23"/>
        </w:rPr>
      </w:pPr>
    </w:p>
    <w:tbl>
      <w:tblPr>
        <w:tblW w:w="0" w:type="auto"/>
        <w:jc w:val="left"/>
        <w:tblInd w:w="224" w:type="dxa"/>
        <w:tblLayout w:type="fixed"/>
        <w:tblCellMar>
          <w:top w:w="0" w:type="dxa"/>
          <w:left w:w="0" w:type="dxa"/>
          <w:bottom w:w="0" w:type="dxa"/>
          <w:right w:w="0" w:type="dxa"/>
        </w:tblCellMar>
        <w:tblLook w:val="01E0"/>
      </w:tblPr>
      <w:tblGrid>
        <w:gridCol w:w="2100"/>
        <w:gridCol w:w="2671"/>
        <w:gridCol w:w="2200"/>
        <w:gridCol w:w="2524"/>
      </w:tblGrid>
      <w:tr>
        <w:trPr>
          <w:trHeight w:val="297" w:hRule="exact"/>
        </w:trPr>
        <w:tc>
          <w:tcPr>
            <w:tcW w:w="2100" w:type="dxa"/>
            <w:tcBorders>
              <w:top w:val="nil" w:sz="6" w:space="0" w:color="auto"/>
              <w:left w:val="nil" w:sz="6" w:space="0" w:color="auto"/>
              <w:bottom w:val="single" w:sz="4" w:space="0" w:color="000000"/>
              <w:right w:val="nil" w:sz="6" w:space="0" w:color="auto"/>
            </w:tcBorders>
          </w:tcPr>
          <w:p>
            <w:pPr>
              <w:pStyle w:val="TableParagraph"/>
              <w:spacing w:line="180" w:lineRule="exact"/>
              <w:ind w:left="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71" w:type="dxa"/>
            <w:tcBorders>
              <w:top w:val="nil" w:sz="6" w:space="0" w:color="auto"/>
              <w:left w:val="nil" w:sz="6" w:space="0" w:color="auto"/>
              <w:bottom w:val="single" w:sz="4" w:space="0" w:color="000000"/>
              <w:right w:val="nil" w:sz="6" w:space="0" w:color="auto"/>
            </w:tcBorders>
          </w:tcPr>
          <w:p>
            <w:pPr>
              <w:pStyle w:val="TableParagraph"/>
              <w:spacing w:line="180" w:lineRule="exact"/>
              <w:ind w:left="728"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200" w:type="dxa"/>
            <w:tcBorders>
              <w:top w:val="nil" w:sz="6" w:space="0" w:color="auto"/>
              <w:left w:val="nil" w:sz="6" w:space="0" w:color="auto"/>
              <w:bottom w:val="single" w:sz="4" w:space="0" w:color="000000"/>
              <w:right w:val="nil" w:sz="6" w:space="0" w:color="auto"/>
            </w:tcBorders>
          </w:tcPr>
          <w:p>
            <w:pPr>
              <w:pStyle w:val="TableParagraph"/>
              <w:spacing w:line="180" w:lineRule="exact"/>
              <w:ind w:left="41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524" w:type="dxa"/>
            <w:tcBorders>
              <w:top w:val="nil" w:sz="6" w:space="0" w:color="auto"/>
              <w:left w:val="nil" w:sz="6" w:space="0" w:color="auto"/>
              <w:bottom w:val="single" w:sz="4" w:space="0" w:color="000000"/>
              <w:right w:val="nil" w:sz="6" w:space="0" w:color="auto"/>
            </w:tcBorders>
          </w:tcPr>
          <w:p>
            <w:pPr>
              <w:pStyle w:val="TableParagraph"/>
              <w:spacing w:line="180" w:lineRule="exact"/>
              <w:ind w:left="827" w:right="0"/>
              <w:jc w:val="left"/>
              <w:rPr>
                <w:rFonts w:ascii="宋体" w:hAnsi="宋体" w:cs="宋体" w:eastAsia="宋体" w:hint="default"/>
                <w:sz w:val="18"/>
                <w:szCs w:val="18"/>
              </w:rPr>
            </w:pPr>
            <w:r>
              <w:rPr>
                <w:rFonts w:ascii="宋体" w:hAnsi="宋体" w:cs="宋体" w:eastAsia="宋体" w:hint="default"/>
                <w:b/>
                <w:bCs/>
                <w:sz w:val="18"/>
                <w:szCs w:val="18"/>
              </w:rPr>
              <w:t>计缴标准</w:t>
            </w:r>
            <w:r>
              <w:rPr>
                <w:rFonts w:ascii="宋体" w:hAnsi="宋体" w:cs="宋体" w:eastAsia="宋体" w:hint="default"/>
                <w:sz w:val="18"/>
                <w:szCs w:val="18"/>
              </w:rPr>
            </w:r>
          </w:p>
        </w:tc>
      </w:tr>
      <w:tr>
        <w:trPr>
          <w:trHeight w:val="393" w:hRule="exact"/>
        </w:trPr>
        <w:tc>
          <w:tcPr>
            <w:tcW w:w="2100"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left="110"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67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415"/>
              <w:jc w:val="right"/>
              <w:rPr>
                <w:rFonts w:ascii="宋体" w:hAnsi="宋体" w:cs="宋体" w:eastAsia="宋体" w:hint="default"/>
                <w:sz w:val="18"/>
                <w:szCs w:val="18"/>
              </w:rPr>
            </w:pPr>
            <w:r>
              <w:rPr>
                <w:rFonts w:ascii="宋体"/>
                <w:spacing w:val="-1"/>
                <w:sz w:val="18"/>
              </w:rPr>
              <w:t>13,911,254.35</w:t>
            </w:r>
          </w:p>
        </w:tc>
        <w:tc>
          <w:tcPr>
            <w:tcW w:w="220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56"/>
              <w:jc w:val="right"/>
              <w:rPr>
                <w:rFonts w:ascii="宋体" w:hAnsi="宋体" w:cs="宋体" w:eastAsia="宋体" w:hint="default"/>
                <w:sz w:val="18"/>
                <w:szCs w:val="18"/>
              </w:rPr>
            </w:pPr>
            <w:r>
              <w:rPr>
                <w:rFonts w:ascii="宋体"/>
                <w:spacing w:val="-1"/>
                <w:sz w:val="18"/>
              </w:rPr>
              <w:t>13,665,474.90</w:t>
            </w:r>
          </w:p>
        </w:tc>
        <w:tc>
          <w:tcPr>
            <w:tcW w:w="2524"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103"/>
              <w:jc w:val="righ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1"/>
                <w:sz w:val="18"/>
                <w:szCs w:val="18"/>
              </w:rPr>
              <w:t>、</w:t>
            </w:r>
            <w:r>
              <w:rPr>
                <w:rFonts w:ascii="宋体" w:hAnsi="宋体" w:cs="宋体" w:eastAsia="宋体" w:hint="default"/>
                <w:spacing w:val="-1"/>
                <w:sz w:val="18"/>
                <w:szCs w:val="18"/>
              </w:rPr>
              <w:t>5%</w:t>
            </w:r>
            <w:r>
              <w:rPr>
                <w:rFonts w:ascii="宋体" w:hAnsi="宋体" w:cs="宋体" w:eastAsia="宋体" w:hint="default"/>
                <w:sz w:val="18"/>
                <w:szCs w:val="18"/>
              </w:rPr>
            </w:r>
          </w:p>
        </w:tc>
      </w:tr>
      <w:tr>
        <w:trPr>
          <w:trHeight w:val="394"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10"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15"/>
              <w:jc w:val="right"/>
              <w:rPr>
                <w:rFonts w:ascii="宋体" w:hAnsi="宋体" w:cs="宋体" w:eastAsia="宋体" w:hint="default"/>
                <w:sz w:val="18"/>
                <w:szCs w:val="18"/>
              </w:rPr>
            </w:pPr>
            <w:r>
              <w:rPr>
                <w:rFonts w:ascii="宋体"/>
                <w:spacing w:val="-1"/>
                <w:sz w:val="18"/>
              </w:rPr>
              <w:t>732,875.30</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5"/>
              <w:jc w:val="right"/>
              <w:rPr>
                <w:rFonts w:ascii="宋体" w:hAnsi="宋体" w:cs="宋体" w:eastAsia="宋体" w:hint="default"/>
                <w:sz w:val="18"/>
                <w:szCs w:val="18"/>
              </w:rPr>
            </w:pPr>
            <w:r>
              <w:rPr>
                <w:rFonts w:ascii="宋体"/>
                <w:spacing w:val="-1"/>
                <w:sz w:val="18"/>
              </w:rPr>
              <w:t>771,183.02</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3"/>
              <w:jc w:val="right"/>
              <w:rPr>
                <w:rFonts w:ascii="宋体" w:hAnsi="宋体" w:cs="宋体" w:eastAsia="宋体" w:hint="default"/>
                <w:sz w:val="18"/>
                <w:szCs w:val="18"/>
              </w:rPr>
            </w:pPr>
            <w:r>
              <w:rPr>
                <w:rFonts w:ascii="宋体" w:hAnsi="宋体" w:cs="宋体" w:eastAsia="宋体" w:hint="default"/>
                <w:spacing w:val="-1"/>
                <w:sz w:val="18"/>
                <w:szCs w:val="18"/>
              </w:rPr>
              <w:t>7%</w:t>
            </w:r>
            <w:r>
              <w:rPr>
                <w:rFonts w:ascii="宋体" w:hAnsi="宋体" w:cs="宋体" w:eastAsia="宋体" w:hint="default"/>
                <w:spacing w:val="-1"/>
                <w:sz w:val="18"/>
                <w:szCs w:val="18"/>
              </w:rPr>
              <w:t>、</w:t>
            </w:r>
            <w:r>
              <w:rPr>
                <w:rFonts w:ascii="宋体" w:hAnsi="宋体" w:cs="宋体" w:eastAsia="宋体" w:hint="default"/>
                <w:spacing w:val="-1"/>
                <w:sz w:val="18"/>
                <w:szCs w:val="18"/>
              </w:rPr>
              <w:t>5%</w:t>
            </w:r>
            <w:r>
              <w:rPr>
                <w:rFonts w:ascii="宋体" w:hAnsi="宋体" w:cs="宋体" w:eastAsia="宋体" w:hint="default"/>
                <w:spacing w:val="-1"/>
                <w:sz w:val="18"/>
                <w:szCs w:val="18"/>
              </w:rPr>
              <w:t>、</w:t>
            </w:r>
            <w:r>
              <w:rPr>
                <w:rFonts w:ascii="宋体" w:hAnsi="宋体" w:cs="宋体" w:eastAsia="宋体" w:hint="default"/>
                <w:spacing w:val="-1"/>
                <w:sz w:val="18"/>
                <w:szCs w:val="18"/>
              </w:rPr>
              <w:t>1%</w:t>
            </w:r>
            <w:r>
              <w:rPr>
                <w:rFonts w:ascii="宋体" w:hAnsi="宋体" w:cs="宋体" w:eastAsia="宋体" w:hint="default"/>
                <w:sz w:val="18"/>
                <w:szCs w:val="18"/>
              </w:rPr>
            </w:r>
          </w:p>
        </w:tc>
      </w:tr>
      <w:tr>
        <w:trPr>
          <w:trHeight w:val="396"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15"/>
              <w:jc w:val="right"/>
              <w:rPr>
                <w:rFonts w:ascii="宋体" w:hAnsi="宋体" w:cs="宋体" w:eastAsia="宋体" w:hint="default"/>
                <w:sz w:val="18"/>
                <w:szCs w:val="18"/>
              </w:rPr>
            </w:pPr>
            <w:r>
              <w:rPr>
                <w:rFonts w:ascii="宋体"/>
                <w:spacing w:val="-1"/>
                <w:sz w:val="18"/>
              </w:rPr>
              <w:t>464,630.28</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5"/>
              <w:jc w:val="right"/>
              <w:rPr>
                <w:rFonts w:ascii="宋体" w:hAnsi="宋体" w:cs="宋体" w:eastAsia="宋体" w:hint="default"/>
                <w:sz w:val="18"/>
                <w:szCs w:val="18"/>
              </w:rPr>
            </w:pPr>
            <w:r>
              <w:rPr>
                <w:rFonts w:ascii="宋体"/>
                <w:spacing w:val="-1"/>
                <w:sz w:val="18"/>
              </w:rPr>
              <w:t>524,524.23</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3%</w:t>
            </w:r>
          </w:p>
        </w:tc>
      </w:tr>
      <w:tr>
        <w:trPr>
          <w:trHeight w:val="398"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15"/>
              <w:jc w:val="right"/>
              <w:rPr>
                <w:rFonts w:ascii="宋体" w:hAnsi="宋体" w:cs="宋体" w:eastAsia="宋体" w:hint="default"/>
                <w:sz w:val="18"/>
                <w:szCs w:val="18"/>
              </w:rPr>
            </w:pPr>
            <w:r>
              <w:rPr>
                <w:rFonts w:ascii="宋体"/>
                <w:spacing w:val="-1"/>
                <w:sz w:val="18"/>
              </w:rPr>
              <w:t>271,882.56</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5"/>
              <w:jc w:val="right"/>
              <w:rPr>
                <w:rFonts w:ascii="宋体" w:hAnsi="宋体" w:cs="宋体" w:eastAsia="宋体" w:hint="default"/>
                <w:sz w:val="18"/>
                <w:szCs w:val="18"/>
              </w:rPr>
            </w:pPr>
            <w:r>
              <w:rPr>
                <w:rFonts w:ascii="宋体"/>
                <w:spacing w:val="-1"/>
                <w:sz w:val="18"/>
              </w:rPr>
              <w:t>153,499.61</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w:t>
            </w:r>
          </w:p>
        </w:tc>
      </w:tr>
      <w:tr>
        <w:trPr>
          <w:trHeight w:val="396"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15"/>
              <w:jc w:val="right"/>
              <w:rPr>
                <w:rFonts w:ascii="宋体" w:hAnsi="宋体" w:cs="宋体" w:eastAsia="宋体" w:hint="default"/>
                <w:sz w:val="18"/>
                <w:szCs w:val="18"/>
              </w:rPr>
            </w:pPr>
            <w:r>
              <w:rPr>
                <w:rFonts w:ascii="宋体"/>
                <w:spacing w:val="-1"/>
                <w:sz w:val="18"/>
              </w:rPr>
              <w:t>77,517.03</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5"/>
              <w:jc w:val="right"/>
              <w:rPr>
                <w:rFonts w:ascii="宋体" w:hAnsi="宋体" w:cs="宋体" w:eastAsia="宋体" w:hint="default"/>
                <w:sz w:val="18"/>
                <w:szCs w:val="18"/>
              </w:rPr>
            </w:pPr>
            <w:r>
              <w:rPr>
                <w:rFonts w:ascii="宋体"/>
                <w:spacing w:val="-1"/>
                <w:sz w:val="18"/>
              </w:rPr>
              <w:t>55,301.86</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w:t>
            </w:r>
          </w:p>
        </w:tc>
      </w:tr>
      <w:tr>
        <w:trPr>
          <w:trHeight w:val="397"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15"/>
              <w:jc w:val="right"/>
              <w:rPr>
                <w:rFonts w:ascii="宋体" w:hAnsi="宋体" w:cs="宋体" w:eastAsia="宋体" w:hint="default"/>
                <w:sz w:val="18"/>
                <w:szCs w:val="18"/>
              </w:rPr>
            </w:pPr>
            <w:r>
              <w:rPr>
                <w:rFonts w:ascii="宋体"/>
                <w:spacing w:val="-1"/>
                <w:sz w:val="18"/>
              </w:rPr>
              <w:t>150,177.86</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5"/>
              <w:jc w:val="right"/>
              <w:rPr>
                <w:rFonts w:ascii="宋体" w:hAnsi="宋体" w:cs="宋体" w:eastAsia="宋体" w:hint="default"/>
                <w:sz w:val="18"/>
                <w:szCs w:val="18"/>
              </w:rPr>
            </w:pPr>
            <w:r>
              <w:rPr>
                <w:rFonts w:ascii="宋体"/>
                <w:spacing w:val="-1"/>
                <w:sz w:val="18"/>
              </w:rPr>
              <w:t>282,120.00</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w:t>
            </w:r>
            <w:r>
              <w:rPr>
                <w:rFonts w:ascii="宋体" w:hAnsi="宋体" w:cs="宋体" w:eastAsia="宋体" w:hint="default"/>
                <w:sz w:val="18"/>
                <w:szCs w:val="18"/>
              </w:rPr>
              <w:t>1.2%</w:t>
            </w:r>
          </w:p>
        </w:tc>
      </w:tr>
      <w:tr>
        <w:trPr>
          <w:trHeight w:val="397"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15"/>
              <w:jc w:val="right"/>
              <w:rPr>
                <w:rFonts w:ascii="宋体" w:hAnsi="宋体" w:cs="宋体" w:eastAsia="宋体" w:hint="default"/>
                <w:sz w:val="18"/>
                <w:szCs w:val="18"/>
              </w:rPr>
            </w:pPr>
            <w:r>
              <w:rPr>
                <w:rFonts w:ascii="宋体"/>
                <w:spacing w:val="-1"/>
                <w:sz w:val="18"/>
              </w:rPr>
              <w:t>49,306.58</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5"/>
              <w:jc w:val="right"/>
              <w:rPr>
                <w:rFonts w:ascii="宋体" w:hAnsi="宋体" w:cs="宋体" w:eastAsia="宋体" w:hint="default"/>
                <w:sz w:val="18"/>
                <w:szCs w:val="18"/>
              </w:rPr>
            </w:pPr>
            <w:r>
              <w:rPr>
                <w:rFonts w:ascii="宋体"/>
                <w:spacing w:val="-1"/>
                <w:sz w:val="18"/>
              </w:rPr>
              <w:t>42,239.08</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平方米、</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平方米</w:t>
            </w:r>
          </w:p>
        </w:tc>
      </w:tr>
      <w:tr>
        <w:trPr>
          <w:trHeight w:val="290"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15"/>
              <w:jc w:val="right"/>
              <w:rPr>
                <w:rFonts w:ascii="宋体" w:hAnsi="宋体" w:cs="宋体" w:eastAsia="宋体" w:hint="default"/>
                <w:sz w:val="18"/>
                <w:szCs w:val="18"/>
              </w:rPr>
            </w:pPr>
            <w:r>
              <w:rPr>
                <w:rFonts w:ascii="宋体"/>
                <w:sz w:val="18"/>
              </w:rPr>
            </w:r>
            <w:r>
              <w:rPr>
                <w:rFonts w:ascii="宋体"/>
                <w:spacing w:val="-1"/>
                <w:sz w:val="18"/>
                <w:u w:val="thick" w:color="000000"/>
              </w:rPr>
              <w:t>15,657,643.96</w:t>
            </w:r>
            <w:r>
              <w:rPr>
                <w:rFonts w:ascii="宋体"/>
                <w:spacing w:val="-1"/>
                <w:sz w:val="18"/>
              </w:rPr>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6"/>
              <w:jc w:val="right"/>
              <w:rPr>
                <w:rFonts w:ascii="宋体" w:hAnsi="宋体" w:cs="宋体" w:eastAsia="宋体" w:hint="default"/>
                <w:sz w:val="18"/>
                <w:szCs w:val="18"/>
              </w:rPr>
            </w:pPr>
            <w:r>
              <w:rPr>
                <w:rFonts w:ascii="宋体"/>
                <w:sz w:val="18"/>
              </w:rPr>
            </w:r>
            <w:r>
              <w:rPr>
                <w:rFonts w:ascii="宋体"/>
                <w:spacing w:val="-1"/>
                <w:sz w:val="18"/>
                <w:u w:val="thick" w:color="000000"/>
              </w:rPr>
              <w:t>15,494,342.70</w:t>
            </w:r>
            <w:r>
              <w:rPr>
                <w:rFonts w:ascii="宋体"/>
                <w:spacing w:val="-1"/>
                <w:sz w:val="18"/>
              </w:rPr>
            </w:r>
          </w:p>
        </w:tc>
        <w:tc>
          <w:tcPr>
            <w:tcW w:w="252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513" w:right="981"/>
        <w:jc w:val="left"/>
      </w:pPr>
      <w:r>
        <w:rPr>
          <w:rFonts w:ascii="宋体" w:hAnsi="宋体" w:cs="宋体" w:eastAsia="宋体" w:hint="default"/>
        </w:rPr>
        <w:t>28.</w:t>
      </w:r>
      <w:r>
        <w:rPr/>
        <w:t>销售费用</w:t>
      </w:r>
    </w:p>
    <w:p>
      <w:pPr>
        <w:spacing w:line="240" w:lineRule="auto" w:before="6"/>
        <w:rPr>
          <w:rFonts w:ascii="宋体" w:hAnsi="宋体" w:cs="宋体" w:eastAsia="宋体" w:hint="default"/>
          <w:sz w:val="23"/>
          <w:szCs w:val="23"/>
        </w:rPr>
      </w:pPr>
    </w:p>
    <w:tbl>
      <w:tblPr>
        <w:tblW w:w="0" w:type="auto"/>
        <w:jc w:val="left"/>
        <w:tblInd w:w="186" w:type="dxa"/>
        <w:tblLayout w:type="fixed"/>
        <w:tblCellMar>
          <w:top w:w="0" w:type="dxa"/>
          <w:left w:w="0" w:type="dxa"/>
          <w:bottom w:w="0" w:type="dxa"/>
          <w:right w:w="0" w:type="dxa"/>
        </w:tblCellMar>
        <w:tblLook w:val="01E0"/>
      </w:tblPr>
      <w:tblGrid>
        <w:gridCol w:w="2964"/>
        <w:gridCol w:w="3870"/>
        <w:gridCol w:w="2739"/>
      </w:tblGrid>
      <w:tr>
        <w:trPr>
          <w:trHeight w:val="296" w:hRule="exact"/>
        </w:trPr>
        <w:tc>
          <w:tcPr>
            <w:tcW w:w="2964" w:type="dxa"/>
            <w:tcBorders>
              <w:top w:val="nil" w:sz="6" w:space="0" w:color="auto"/>
              <w:left w:val="nil" w:sz="6" w:space="0" w:color="auto"/>
              <w:bottom w:val="single" w:sz="4" w:space="0" w:color="000000"/>
              <w:right w:val="nil" w:sz="6" w:space="0" w:color="auto"/>
            </w:tcBorders>
          </w:tcPr>
          <w:p>
            <w:pPr>
              <w:pStyle w:val="TableParagraph"/>
              <w:spacing w:line="180" w:lineRule="exact"/>
              <w:ind w:left="4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70" w:type="dxa"/>
            <w:tcBorders>
              <w:top w:val="nil" w:sz="6" w:space="0" w:color="auto"/>
              <w:left w:val="nil" w:sz="6" w:space="0" w:color="auto"/>
              <w:bottom w:val="single" w:sz="4" w:space="0" w:color="000000"/>
              <w:right w:val="nil" w:sz="6" w:space="0" w:color="auto"/>
            </w:tcBorders>
          </w:tcPr>
          <w:p>
            <w:pPr>
              <w:pStyle w:val="TableParagraph"/>
              <w:spacing w:line="180" w:lineRule="exact"/>
              <w:ind w:left="123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739" w:type="dxa"/>
            <w:tcBorders>
              <w:top w:val="nil" w:sz="6" w:space="0" w:color="auto"/>
              <w:left w:val="nil" w:sz="6" w:space="0" w:color="auto"/>
              <w:bottom w:val="single" w:sz="4" w:space="0" w:color="000000"/>
              <w:right w:val="nil" w:sz="6" w:space="0" w:color="auto"/>
            </w:tcBorders>
          </w:tcPr>
          <w:p>
            <w:pPr>
              <w:pStyle w:val="TableParagraph"/>
              <w:spacing w:line="180" w:lineRule="exact"/>
              <w:ind w:left="646"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94" w:hRule="exact"/>
        </w:trPr>
        <w:tc>
          <w:tcPr>
            <w:tcW w:w="296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87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644"/>
              <w:jc w:val="right"/>
              <w:rPr>
                <w:rFonts w:ascii="宋体" w:hAnsi="宋体" w:cs="宋体" w:eastAsia="宋体" w:hint="default"/>
                <w:sz w:val="18"/>
                <w:szCs w:val="18"/>
              </w:rPr>
            </w:pPr>
            <w:r>
              <w:rPr>
                <w:rFonts w:ascii="宋体"/>
                <w:spacing w:val="-1"/>
                <w:sz w:val="18"/>
              </w:rPr>
              <w:t>3,898,641.75</w:t>
            </w:r>
          </w:p>
        </w:tc>
        <w:tc>
          <w:tcPr>
            <w:tcW w:w="273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4,433,067.50</w:t>
            </w:r>
          </w:p>
        </w:tc>
      </w:tr>
      <w:tr>
        <w:trPr>
          <w:trHeight w:val="394"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办公及其他行政费用</w:t>
            </w:r>
          </w:p>
        </w:tc>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645"/>
              <w:jc w:val="right"/>
              <w:rPr>
                <w:rFonts w:ascii="宋体" w:hAnsi="宋体" w:cs="宋体" w:eastAsia="宋体" w:hint="default"/>
                <w:sz w:val="18"/>
                <w:szCs w:val="18"/>
              </w:rPr>
            </w:pPr>
            <w:r>
              <w:rPr>
                <w:rFonts w:ascii="宋体"/>
                <w:spacing w:val="-1"/>
                <w:sz w:val="18"/>
              </w:rPr>
              <w:t>1,090,544.80</w:t>
            </w:r>
          </w:p>
        </w:tc>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1,019,330.73</w:t>
            </w:r>
          </w:p>
        </w:tc>
      </w:tr>
      <w:tr>
        <w:trPr>
          <w:trHeight w:val="397"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标书费用</w:t>
            </w:r>
          </w:p>
        </w:tc>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44"/>
              <w:jc w:val="right"/>
              <w:rPr>
                <w:rFonts w:ascii="宋体" w:hAnsi="宋体" w:cs="宋体" w:eastAsia="宋体" w:hint="default"/>
                <w:sz w:val="18"/>
                <w:szCs w:val="18"/>
              </w:rPr>
            </w:pPr>
            <w:r>
              <w:rPr>
                <w:rFonts w:ascii="宋体"/>
                <w:spacing w:val="-1"/>
                <w:sz w:val="18"/>
              </w:rPr>
              <w:t>196,771.00</w:t>
            </w:r>
          </w:p>
        </w:tc>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224,020.00</w:t>
            </w:r>
          </w:p>
        </w:tc>
      </w:tr>
      <w:tr>
        <w:trPr>
          <w:trHeight w:val="288" w:hRule="exact"/>
        </w:trPr>
        <w:tc>
          <w:tcPr>
            <w:tcW w:w="296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8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4"/>
              <w:jc w:val="right"/>
              <w:rPr>
                <w:rFonts w:ascii="宋体" w:hAnsi="宋体" w:cs="宋体" w:eastAsia="宋体" w:hint="default"/>
                <w:sz w:val="18"/>
                <w:szCs w:val="18"/>
              </w:rPr>
            </w:pPr>
            <w:r>
              <w:rPr>
                <w:rFonts w:ascii="宋体"/>
                <w:spacing w:val="-1"/>
                <w:sz w:val="18"/>
              </w:rPr>
              <w:t>74,008.83</w:t>
            </w:r>
          </w:p>
        </w:tc>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spacing w:val="-1"/>
                <w:sz w:val="18"/>
              </w:rPr>
              <w:t>144,417.65</w:t>
            </w:r>
          </w:p>
        </w:tc>
      </w:tr>
    </w:tbl>
    <w:p>
      <w:pPr>
        <w:spacing w:after="0" w:line="240" w:lineRule="auto"/>
        <w:jc w:val="right"/>
        <w:rPr>
          <w:rFonts w:ascii="宋体" w:hAnsi="宋体" w:cs="宋体" w:eastAsia="宋体" w:hint="default"/>
          <w:sz w:val="18"/>
          <w:szCs w:val="18"/>
        </w:rPr>
        <w:sectPr>
          <w:footerReference w:type="default" r:id="rId35"/>
          <w:pgSz w:w="11910" w:h="16840"/>
          <w:pgMar w:footer="1340" w:header="877" w:top="1100" w:bottom="1540" w:left="980" w:right="0"/>
          <w:pgNumType w:start="97"/>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tbl>
      <w:tblPr>
        <w:tblW w:w="0" w:type="auto"/>
        <w:jc w:val="left"/>
        <w:tblInd w:w="186" w:type="dxa"/>
        <w:tblLayout w:type="fixed"/>
        <w:tblCellMar>
          <w:top w:w="0" w:type="dxa"/>
          <w:left w:w="0" w:type="dxa"/>
          <w:bottom w:w="0" w:type="dxa"/>
          <w:right w:w="0" w:type="dxa"/>
        </w:tblCellMar>
        <w:tblLook w:val="01E0"/>
      </w:tblPr>
      <w:tblGrid>
        <w:gridCol w:w="2943"/>
        <w:gridCol w:w="3890"/>
        <w:gridCol w:w="2739"/>
      </w:tblGrid>
      <w:tr>
        <w:trPr>
          <w:trHeight w:val="297" w:hRule="exact"/>
        </w:trPr>
        <w:tc>
          <w:tcPr>
            <w:tcW w:w="2943" w:type="dxa"/>
            <w:tcBorders>
              <w:top w:val="nil" w:sz="6" w:space="0" w:color="auto"/>
              <w:left w:val="nil" w:sz="6" w:space="0" w:color="auto"/>
              <w:bottom w:val="single" w:sz="4" w:space="0" w:color="000000"/>
              <w:right w:val="nil" w:sz="6" w:space="0" w:color="auto"/>
            </w:tcBorders>
          </w:tcPr>
          <w:p>
            <w:pPr>
              <w:pStyle w:val="TableParagraph"/>
              <w:spacing w:line="180" w:lineRule="exact"/>
              <w:ind w:left="6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90" w:type="dxa"/>
            <w:tcBorders>
              <w:top w:val="nil" w:sz="6" w:space="0" w:color="auto"/>
              <w:left w:val="nil" w:sz="6" w:space="0" w:color="auto"/>
              <w:bottom w:val="single" w:sz="4" w:space="0" w:color="000000"/>
              <w:right w:val="nil" w:sz="6" w:space="0" w:color="auto"/>
            </w:tcBorders>
          </w:tcPr>
          <w:p>
            <w:pPr>
              <w:pStyle w:val="TableParagraph"/>
              <w:spacing w:line="180" w:lineRule="exact"/>
              <w:ind w:left="125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739" w:type="dxa"/>
            <w:tcBorders>
              <w:top w:val="nil" w:sz="6" w:space="0" w:color="auto"/>
              <w:left w:val="nil" w:sz="6" w:space="0" w:color="auto"/>
              <w:bottom w:val="single" w:sz="4" w:space="0" w:color="000000"/>
              <w:right w:val="nil" w:sz="6" w:space="0" w:color="auto"/>
            </w:tcBorders>
          </w:tcPr>
          <w:p>
            <w:pPr>
              <w:pStyle w:val="TableParagraph"/>
              <w:spacing w:line="180" w:lineRule="exact"/>
              <w:ind w:left="646"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2" w:hRule="exact"/>
        </w:trPr>
        <w:tc>
          <w:tcPr>
            <w:tcW w:w="294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89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644"/>
              <w:jc w:val="right"/>
              <w:rPr>
                <w:rFonts w:ascii="宋体" w:hAnsi="宋体" w:cs="宋体" w:eastAsia="宋体" w:hint="default"/>
                <w:sz w:val="18"/>
                <w:szCs w:val="18"/>
              </w:rPr>
            </w:pPr>
            <w:r>
              <w:rPr>
                <w:rFonts w:ascii="宋体"/>
                <w:spacing w:val="-1"/>
                <w:sz w:val="18"/>
              </w:rPr>
              <w:t>140,271.00</w:t>
            </w:r>
          </w:p>
        </w:tc>
        <w:tc>
          <w:tcPr>
            <w:tcW w:w="2739"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488,166.45</w:t>
            </w:r>
          </w:p>
        </w:tc>
      </w:tr>
      <w:tr>
        <w:trPr>
          <w:trHeight w:val="396" w:hRule="exact"/>
        </w:trPr>
        <w:tc>
          <w:tcPr>
            <w:tcW w:w="294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8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4"/>
              <w:jc w:val="right"/>
              <w:rPr>
                <w:rFonts w:ascii="宋体" w:hAnsi="宋体" w:cs="宋体" w:eastAsia="宋体" w:hint="default"/>
                <w:sz w:val="18"/>
                <w:szCs w:val="18"/>
              </w:rPr>
            </w:pPr>
            <w:r>
              <w:rPr>
                <w:rFonts w:ascii="宋体"/>
                <w:spacing w:val="-1"/>
                <w:sz w:val="18"/>
              </w:rPr>
              <w:t>169,838.00</w:t>
            </w:r>
          </w:p>
        </w:tc>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360,121.11</w:t>
            </w:r>
          </w:p>
        </w:tc>
      </w:tr>
      <w:tr>
        <w:trPr>
          <w:trHeight w:val="288" w:hRule="exact"/>
        </w:trPr>
        <w:tc>
          <w:tcPr>
            <w:tcW w:w="294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4"/>
              <w:jc w:val="right"/>
              <w:rPr>
                <w:rFonts w:ascii="宋体" w:hAnsi="宋体" w:cs="宋体" w:eastAsia="宋体" w:hint="default"/>
                <w:sz w:val="18"/>
                <w:szCs w:val="18"/>
              </w:rPr>
            </w:pPr>
            <w:r>
              <w:rPr>
                <w:rFonts w:ascii="宋体"/>
                <w:sz w:val="18"/>
              </w:rPr>
            </w:r>
            <w:r>
              <w:rPr>
                <w:rFonts w:ascii="宋体"/>
                <w:spacing w:val="-1"/>
                <w:sz w:val="18"/>
                <w:u w:val="thick" w:color="000000"/>
              </w:rPr>
              <w:t>5,570,075.38</w:t>
            </w:r>
            <w:r>
              <w:rPr>
                <w:rFonts w:ascii="宋体"/>
                <w:spacing w:val="-1"/>
                <w:sz w:val="18"/>
              </w:rPr>
            </w:r>
          </w:p>
        </w:tc>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r>
            <w:r>
              <w:rPr>
                <w:rFonts w:ascii="宋体"/>
                <w:spacing w:val="-1"/>
                <w:sz w:val="18"/>
                <w:u w:val="thick" w:color="000000"/>
              </w:rPr>
              <w:t>6,669,123.44</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ind w:left="513" w:right="981"/>
        <w:jc w:val="left"/>
      </w:pPr>
      <w:r>
        <w:rPr>
          <w:rFonts w:ascii="宋体" w:hAnsi="宋体" w:cs="宋体" w:eastAsia="宋体" w:hint="default"/>
        </w:rPr>
        <w:t>29.</w:t>
      </w:r>
      <w:r>
        <w:rPr/>
        <w:t>管理费用</w:t>
      </w:r>
    </w:p>
    <w:p>
      <w:pPr>
        <w:spacing w:line="240" w:lineRule="auto" w:before="6"/>
        <w:rPr>
          <w:rFonts w:ascii="宋体" w:hAnsi="宋体" w:cs="宋体" w:eastAsia="宋体" w:hint="default"/>
          <w:sz w:val="23"/>
          <w:szCs w:val="23"/>
        </w:rPr>
      </w:pPr>
    </w:p>
    <w:tbl>
      <w:tblPr>
        <w:tblW w:w="0" w:type="auto"/>
        <w:jc w:val="left"/>
        <w:tblInd w:w="186" w:type="dxa"/>
        <w:tblLayout w:type="fixed"/>
        <w:tblCellMar>
          <w:top w:w="0" w:type="dxa"/>
          <w:left w:w="0" w:type="dxa"/>
          <w:bottom w:w="0" w:type="dxa"/>
          <w:right w:w="0" w:type="dxa"/>
        </w:tblCellMar>
        <w:tblLook w:val="01E0"/>
      </w:tblPr>
      <w:tblGrid>
        <w:gridCol w:w="3144"/>
        <w:gridCol w:w="3690"/>
        <w:gridCol w:w="2739"/>
      </w:tblGrid>
      <w:tr>
        <w:trPr>
          <w:trHeight w:val="296" w:hRule="exact"/>
        </w:trPr>
        <w:tc>
          <w:tcPr>
            <w:tcW w:w="3144"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13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90" w:type="dxa"/>
            <w:tcBorders>
              <w:top w:val="nil" w:sz="6" w:space="0" w:color="auto"/>
              <w:left w:val="nil" w:sz="6" w:space="0" w:color="auto"/>
              <w:bottom w:val="single" w:sz="4" w:space="0" w:color="000000"/>
              <w:right w:val="nil" w:sz="6" w:space="0" w:color="auto"/>
            </w:tcBorders>
          </w:tcPr>
          <w:p>
            <w:pPr>
              <w:pStyle w:val="TableParagraph"/>
              <w:spacing w:line="180" w:lineRule="exact"/>
              <w:ind w:left="105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739" w:type="dxa"/>
            <w:tcBorders>
              <w:top w:val="nil" w:sz="6" w:space="0" w:color="auto"/>
              <w:left w:val="nil" w:sz="6" w:space="0" w:color="auto"/>
              <w:bottom w:val="single" w:sz="4" w:space="0" w:color="000000"/>
              <w:right w:val="nil" w:sz="6" w:space="0" w:color="auto"/>
            </w:tcBorders>
          </w:tcPr>
          <w:p>
            <w:pPr>
              <w:pStyle w:val="TableParagraph"/>
              <w:spacing w:line="180" w:lineRule="exact"/>
              <w:ind w:left="646"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1" w:hRule="exact"/>
        </w:trPr>
        <w:tc>
          <w:tcPr>
            <w:tcW w:w="314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69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644"/>
              <w:jc w:val="right"/>
              <w:rPr>
                <w:rFonts w:ascii="宋体" w:hAnsi="宋体" w:cs="宋体" w:eastAsia="宋体" w:hint="default"/>
                <w:sz w:val="18"/>
                <w:szCs w:val="18"/>
              </w:rPr>
            </w:pPr>
            <w:r>
              <w:rPr>
                <w:rFonts w:ascii="宋体"/>
                <w:spacing w:val="-1"/>
                <w:sz w:val="18"/>
              </w:rPr>
              <w:t>10,491,997.44</w:t>
            </w:r>
          </w:p>
        </w:tc>
        <w:tc>
          <w:tcPr>
            <w:tcW w:w="273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7,811,128.49</w:t>
            </w:r>
          </w:p>
        </w:tc>
      </w:tr>
      <w:tr>
        <w:trPr>
          <w:trHeight w:val="398"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6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45"/>
              <w:jc w:val="right"/>
              <w:rPr>
                <w:rFonts w:ascii="宋体" w:hAnsi="宋体" w:cs="宋体" w:eastAsia="宋体" w:hint="default"/>
                <w:sz w:val="18"/>
                <w:szCs w:val="18"/>
              </w:rPr>
            </w:pPr>
            <w:r>
              <w:rPr>
                <w:rFonts w:ascii="宋体"/>
                <w:spacing w:val="-1"/>
                <w:sz w:val="18"/>
              </w:rPr>
              <w:t>1,832,032.61</w:t>
            </w:r>
          </w:p>
        </w:tc>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1,031,817.16</w:t>
            </w:r>
          </w:p>
        </w:tc>
      </w:tr>
      <w:tr>
        <w:trPr>
          <w:trHeight w:val="396"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办公费用及其他行政费用</w:t>
            </w:r>
          </w:p>
        </w:tc>
        <w:tc>
          <w:tcPr>
            <w:tcW w:w="36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5"/>
              <w:jc w:val="right"/>
              <w:rPr>
                <w:rFonts w:ascii="宋体" w:hAnsi="宋体" w:cs="宋体" w:eastAsia="宋体" w:hint="default"/>
                <w:sz w:val="18"/>
                <w:szCs w:val="18"/>
              </w:rPr>
            </w:pPr>
            <w:r>
              <w:rPr>
                <w:rFonts w:ascii="宋体"/>
                <w:spacing w:val="-1"/>
                <w:sz w:val="18"/>
              </w:rPr>
              <w:t>5,428,358.43</w:t>
            </w:r>
          </w:p>
        </w:tc>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5,417,310.37</w:t>
            </w:r>
          </w:p>
        </w:tc>
      </w:tr>
      <w:tr>
        <w:trPr>
          <w:trHeight w:val="397"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其中：业务招待费</w:t>
            </w:r>
          </w:p>
        </w:tc>
        <w:tc>
          <w:tcPr>
            <w:tcW w:w="36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4"/>
              <w:jc w:val="right"/>
              <w:rPr>
                <w:rFonts w:ascii="宋体" w:hAnsi="宋体" w:cs="宋体" w:eastAsia="宋体" w:hint="default"/>
                <w:sz w:val="18"/>
                <w:szCs w:val="18"/>
              </w:rPr>
            </w:pPr>
            <w:r>
              <w:rPr>
                <w:rFonts w:ascii="宋体"/>
                <w:spacing w:val="-1"/>
                <w:sz w:val="18"/>
              </w:rPr>
              <w:t>3,132,036.77</w:t>
            </w:r>
          </w:p>
        </w:tc>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2,495,656.81</w:t>
            </w:r>
          </w:p>
        </w:tc>
      </w:tr>
      <w:tr>
        <w:trPr>
          <w:trHeight w:val="397"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技术开发费用</w:t>
            </w:r>
          </w:p>
        </w:tc>
        <w:tc>
          <w:tcPr>
            <w:tcW w:w="36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44"/>
              <w:jc w:val="right"/>
              <w:rPr>
                <w:rFonts w:ascii="宋体" w:hAnsi="宋体" w:cs="宋体" w:eastAsia="宋体" w:hint="default"/>
                <w:sz w:val="18"/>
                <w:szCs w:val="18"/>
              </w:rPr>
            </w:pPr>
            <w:r>
              <w:rPr>
                <w:rFonts w:ascii="宋体"/>
                <w:spacing w:val="-1"/>
                <w:sz w:val="18"/>
              </w:rPr>
              <w:t>5,968,637.25</w:t>
            </w:r>
          </w:p>
        </w:tc>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6,533,596.10</w:t>
            </w:r>
          </w:p>
        </w:tc>
      </w:tr>
      <w:tr>
        <w:trPr>
          <w:trHeight w:val="397"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6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4"/>
              <w:jc w:val="right"/>
              <w:rPr>
                <w:rFonts w:ascii="宋体" w:hAnsi="宋体" w:cs="宋体" w:eastAsia="宋体" w:hint="default"/>
                <w:sz w:val="18"/>
                <w:szCs w:val="18"/>
              </w:rPr>
            </w:pPr>
            <w:r>
              <w:rPr>
                <w:rFonts w:ascii="宋体"/>
                <w:spacing w:val="-1"/>
                <w:sz w:val="18"/>
              </w:rPr>
              <w:t>824,566.84</w:t>
            </w:r>
          </w:p>
        </w:tc>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1,463,010.00</w:t>
            </w:r>
          </w:p>
        </w:tc>
      </w:tr>
      <w:tr>
        <w:trPr>
          <w:trHeight w:val="397"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土地使用费</w:t>
            </w:r>
          </w:p>
        </w:tc>
        <w:tc>
          <w:tcPr>
            <w:tcW w:w="36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44"/>
              <w:jc w:val="right"/>
              <w:rPr>
                <w:rFonts w:ascii="宋体" w:hAnsi="宋体" w:cs="宋体" w:eastAsia="宋体" w:hint="default"/>
                <w:sz w:val="18"/>
                <w:szCs w:val="18"/>
              </w:rPr>
            </w:pPr>
            <w:r>
              <w:rPr>
                <w:rFonts w:ascii="宋体"/>
                <w:spacing w:val="-1"/>
                <w:sz w:val="18"/>
              </w:rPr>
              <w:t>233,882.00</w:t>
            </w:r>
          </w:p>
        </w:tc>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233,882.00</w:t>
            </w:r>
          </w:p>
        </w:tc>
      </w:tr>
      <w:tr>
        <w:trPr>
          <w:trHeight w:val="396"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6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4"/>
              <w:jc w:val="right"/>
              <w:rPr>
                <w:rFonts w:ascii="宋体" w:hAnsi="宋体" w:cs="宋体" w:eastAsia="宋体" w:hint="default"/>
                <w:sz w:val="18"/>
                <w:szCs w:val="18"/>
              </w:rPr>
            </w:pPr>
            <w:r>
              <w:rPr>
                <w:rFonts w:ascii="宋体"/>
                <w:spacing w:val="-1"/>
                <w:sz w:val="18"/>
              </w:rPr>
              <w:t>572,145.22</w:t>
            </w:r>
          </w:p>
        </w:tc>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643,263.66</w:t>
            </w:r>
          </w:p>
        </w:tc>
      </w:tr>
      <w:tr>
        <w:trPr>
          <w:trHeight w:val="397"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4"/>
              <w:jc w:val="right"/>
              <w:rPr>
                <w:rFonts w:ascii="宋体" w:hAnsi="宋体" w:cs="宋体" w:eastAsia="宋体" w:hint="default"/>
                <w:sz w:val="18"/>
                <w:szCs w:val="18"/>
              </w:rPr>
            </w:pPr>
            <w:r>
              <w:rPr>
                <w:rFonts w:ascii="宋体"/>
                <w:spacing w:val="-1"/>
                <w:sz w:val="18"/>
              </w:rPr>
              <w:t>775,260.30</w:t>
            </w:r>
          </w:p>
        </w:tc>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109,017.10</w:t>
            </w:r>
          </w:p>
        </w:tc>
      </w:tr>
      <w:tr>
        <w:trPr>
          <w:trHeight w:val="289"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6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44"/>
              <w:jc w:val="right"/>
              <w:rPr>
                <w:rFonts w:ascii="宋体" w:hAnsi="宋体" w:cs="宋体" w:eastAsia="宋体" w:hint="default"/>
                <w:sz w:val="18"/>
                <w:szCs w:val="18"/>
              </w:rPr>
            </w:pPr>
            <w:r>
              <w:rPr>
                <w:rFonts w:ascii="宋体"/>
                <w:sz w:val="18"/>
              </w:rPr>
            </w:r>
            <w:r>
              <w:rPr>
                <w:rFonts w:ascii="宋体"/>
                <w:spacing w:val="-1"/>
                <w:sz w:val="18"/>
                <w:u w:val="thick" w:color="000000"/>
              </w:rPr>
              <w:t>26,126,880.09</w:t>
            </w:r>
            <w:r>
              <w:rPr>
                <w:rFonts w:ascii="宋体"/>
                <w:spacing w:val="-1"/>
                <w:sz w:val="18"/>
              </w:rPr>
            </w:r>
          </w:p>
        </w:tc>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r>
            <w:r>
              <w:rPr>
                <w:rFonts w:ascii="宋体"/>
                <w:spacing w:val="-1"/>
                <w:sz w:val="18"/>
                <w:u w:val="thick" w:color="000000"/>
              </w:rPr>
              <w:t>23,243,024.88</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513" w:right="981"/>
        <w:jc w:val="left"/>
      </w:pPr>
      <w:r>
        <w:rPr>
          <w:rFonts w:ascii="宋体" w:hAnsi="宋体" w:cs="宋体" w:eastAsia="宋体" w:hint="default"/>
        </w:rPr>
        <w:t>30.</w:t>
      </w:r>
      <w:r>
        <w:rPr/>
        <w:t>财务费用</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w:t>
      </w:r>
      <w:r>
        <w:rPr>
          <w:rFonts w:ascii="宋体" w:hAnsi="宋体" w:cs="宋体" w:eastAsia="宋体" w:hint="default"/>
        </w:rPr>
        <w:t>1</w:t>
      </w:r>
      <w:r>
        <w:rPr/>
        <w:t>）分类列示</w:t>
      </w:r>
    </w:p>
    <w:p>
      <w:pPr>
        <w:spacing w:line="240" w:lineRule="auto" w:before="6"/>
        <w:rPr>
          <w:rFonts w:ascii="宋体" w:hAnsi="宋体" w:cs="宋体" w:eastAsia="宋体" w:hint="default"/>
          <w:sz w:val="23"/>
          <w:szCs w:val="23"/>
        </w:rPr>
      </w:pPr>
    </w:p>
    <w:tbl>
      <w:tblPr>
        <w:tblW w:w="0" w:type="auto"/>
        <w:jc w:val="left"/>
        <w:tblInd w:w="186" w:type="dxa"/>
        <w:tblLayout w:type="fixed"/>
        <w:tblCellMar>
          <w:top w:w="0" w:type="dxa"/>
          <w:left w:w="0" w:type="dxa"/>
          <w:bottom w:w="0" w:type="dxa"/>
          <w:right w:w="0" w:type="dxa"/>
        </w:tblCellMar>
        <w:tblLook w:val="01E0"/>
      </w:tblPr>
      <w:tblGrid>
        <w:gridCol w:w="2943"/>
        <w:gridCol w:w="3890"/>
        <w:gridCol w:w="2740"/>
      </w:tblGrid>
      <w:tr>
        <w:trPr>
          <w:trHeight w:val="296" w:hRule="exact"/>
        </w:trPr>
        <w:tc>
          <w:tcPr>
            <w:tcW w:w="2943" w:type="dxa"/>
            <w:tcBorders>
              <w:top w:val="nil" w:sz="6" w:space="0" w:color="auto"/>
              <w:left w:val="nil" w:sz="6" w:space="0" w:color="auto"/>
              <w:bottom w:val="single" w:sz="4" w:space="0" w:color="000000"/>
              <w:right w:val="nil" w:sz="6" w:space="0" w:color="auto"/>
            </w:tcBorders>
          </w:tcPr>
          <w:p>
            <w:pPr>
              <w:pStyle w:val="TableParagraph"/>
              <w:spacing w:line="180" w:lineRule="exact"/>
              <w:ind w:left="6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90" w:type="dxa"/>
            <w:tcBorders>
              <w:top w:val="nil" w:sz="6" w:space="0" w:color="auto"/>
              <w:left w:val="nil" w:sz="6" w:space="0" w:color="auto"/>
              <w:bottom w:val="single" w:sz="4" w:space="0" w:color="000000"/>
              <w:right w:val="nil" w:sz="6" w:space="0" w:color="auto"/>
            </w:tcBorders>
          </w:tcPr>
          <w:p>
            <w:pPr>
              <w:pStyle w:val="TableParagraph"/>
              <w:spacing w:line="180" w:lineRule="exact"/>
              <w:ind w:left="125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740" w:type="dxa"/>
            <w:tcBorders>
              <w:top w:val="nil" w:sz="6" w:space="0" w:color="auto"/>
              <w:left w:val="nil" w:sz="6" w:space="0" w:color="auto"/>
              <w:bottom w:val="single" w:sz="4" w:space="0" w:color="000000"/>
              <w:right w:val="nil" w:sz="6" w:space="0" w:color="auto"/>
            </w:tcBorders>
          </w:tcPr>
          <w:p>
            <w:pPr>
              <w:pStyle w:val="TableParagraph"/>
              <w:spacing w:line="180" w:lineRule="exact"/>
              <w:ind w:left="646"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2" w:hRule="exact"/>
        </w:trPr>
        <w:tc>
          <w:tcPr>
            <w:tcW w:w="294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89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644"/>
              <w:jc w:val="right"/>
              <w:rPr>
                <w:rFonts w:ascii="宋体" w:hAnsi="宋体" w:cs="宋体" w:eastAsia="宋体" w:hint="default"/>
                <w:sz w:val="18"/>
                <w:szCs w:val="18"/>
              </w:rPr>
            </w:pPr>
            <w:r>
              <w:rPr>
                <w:rFonts w:ascii="宋体"/>
                <w:spacing w:val="-1"/>
                <w:sz w:val="18"/>
              </w:rPr>
              <w:t>2,088.00</w:t>
            </w:r>
          </w:p>
        </w:tc>
        <w:tc>
          <w:tcPr>
            <w:tcW w:w="2740" w:type="dxa"/>
            <w:tcBorders>
              <w:top w:val="single" w:sz="4" w:space="0" w:color="000000"/>
              <w:left w:val="nil" w:sz="6" w:space="0" w:color="auto"/>
              <w:bottom w:val="nil" w:sz="6" w:space="0" w:color="auto"/>
              <w:right w:val="nil" w:sz="6" w:space="0" w:color="auto"/>
            </w:tcBorders>
          </w:tcPr>
          <w:p>
            <w:pPr/>
          </w:p>
        </w:tc>
      </w:tr>
      <w:tr>
        <w:trPr>
          <w:trHeight w:val="396" w:hRule="exact"/>
        </w:trPr>
        <w:tc>
          <w:tcPr>
            <w:tcW w:w="294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8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5"/>
              <w:jc w:val="right"/>
              <w:rPr>
                <w:rFonts w:ascii="宋体" w:hAnsi="宋体" w:cs="宋体" w:eastAsia="宋体" w:hint="default"/>
                <w:sz w:val="18"/>
                <w:szCs w:val="18"/>
              </w:rPr>
            </w:pPr>
            <w:r>
              <w:rPr>
                <w:rFonts w:ascii="宋体"/>
                <w:spacing w:val="-1"/>
                <w:sz w:val="18"/>
              </w:rPr>
              <w:t>11,580,376.51</w:t>
            </w:r>
          </w:p>
        </w:tc>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10,908,442.56</w:t>
            </w:r>
            <w:r>
              <w:rPr>
                <w:rFonts w:ascii="宋体"/>
                <w:sz w:val="18"/>
              </w:rPr>
            </w:r>
          </w:p>
        </w:tc>
      </w:tr>
      <w:tr>
        <w:trPr>
          <w:trHeight w:val="397" w:hRule="exact"/>
        </w:trPr>
        <w:tc>
          <w:tcPr>
            <w:tcW w:w="294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8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4"/>
              <w:jc w:val="right"/>
              <w:rPr>
                <w:rFonts w:ascii="宋体" w:hAnsi="宋体" w:cs="宋体" w:eastAsia="宋体" w:hint="default"/>
                <w:sz w:val="18"/>
                <w:szCs w:val="18"/>
              </w:rPr>
            </w:pPr>
            <w:r>
              <w:rPr>
                <w:rFonts w:ascii="宋体"/>
                <w:spacing w:val="-1"/>
                <w:sz w:val="18"/>
              </w:rPr>
              <w:t>476,484.51</w:t>
            </w:r>
          </w:p>
        </w:tc>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325,584.27</w:t>
            </w:r>
          </w:p>
        </w:tc>
      </w:tr>
      <w:tr>
        <w:trPr>
          <w:trHeight w:val="397" w:hRule="exact"/>
        </w:trPr>
        <w:tc>
          <w:tcPr>
            <w:tcW w:w="294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8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44"/>
              <w:jc w:val="right"/>
              <w:rPr>
                <w:rFonts w:ascii="宋体" w:hAnsi="宋体" w:cs="宋体" w:eastAsia="宋体" w:hint="default"/>
                <w:sz w:val="18"/>
                <w:szCs w:val="18"/>
              </w:rPr>
            </w:pPr>
            <w:r>
              <w:rPr>
                <w:rFonts w:ascii="宋体"/>
                <w:spacing w:val="-1"/>
                <w:sz w:val="18"/>
              </w:rPr>
              <w:t>52,000.00</w:t>
            </w:r>
          </w:p>
        </w:tc>
        <w:tc>
          <w:tcPr>
            <w:tcW w:w="2740" w:type="dxa"/>
            <w:tcBorders>
              <w:top w:val="nil" w:sz="6" w:space="0" w:color="auto"/>
              <w:left w:val="nil" w:sz="6" w:space="0" w:color="auto"/>
              <w:bottom w:val="nil" w:sz="6" w:space="0" w:color="auto"/>
              <w:right w:val="nil" w:sz="6" w:space="0" w:color="auto"/>
            </w:tcBorders>
          </w:tcPr>
          <w:p>
            <w:pPr/>
          </w:p>
        </w:tc>
      </w:tr>
      <w:tr>
        <w:trPr>
          <w:trHeight w:val="288" w:hRule="exact"/>
        </w:trPr>
        <w:tc>
          <w:tcPr>
            <w:tcW w:w="294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5"/>
              <w:jc w:val="right"/>
              <w:rPr>
                <w:rFonts w:ascii="宋体" w:hAnsi="宋体" w:cs="宋体" w:eastAsia="宋体" w:hint="default"/>
                <w:sz w:val="18"/>
                <w:szCs w:val="18"/>
              </w:rPr>
            </w:pPr>
            <w:r>
              <w:rPr>
                <w:rFonts w:ascii="宋体"/>
                <w:sz w:val="18"/>
              </w:rPr>
            </w:r>
            <w:r>
              <w:rPr>
                <w:rFonts w:ascii="宋体"/>
                <w:spacing w:val="-1"/>
                <w:sz w:val="18"/>
                <w:u w:val="thick" w:color="000000"/>
              </w:rPr>
              <w:t>-11,049,804.00</w:t>
            </w:r>
            <w:r>
              <w:rPr>
                <w:rFonts w:ascii="宋体"/>
                <w:spacing w:val="-1"/>
                <w:sz w:val="18"/>
              </w:rPr>
            </w:r>
          </w:p>
        </w:tc>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r>
            <w:r>
              <w:rPr>
                <w:rFonts w:ascii="宋体"/>
                <w:spacing w:val="-1"/>
                <w:sz w:val="18"/>
                <w:u w:val="thick" w:color="000000"/>
              </w:rPr>
              <w:t>-10,582,858.29</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513" w:right="981"/>
        <w:jc w:val="left"/>
      </w:pPr>
      <w:r>
        <w:rPr>
          <w:rFonts w:ascii="宋体" w:hAnsi="宋体" w:cs="宋体" w:eastAsia="宋体" w:hint="default"/>
        </w:rPr>
        <w:t>31.</w:t>
      </w:r>
      <w:r>
        <w:rPr/>
        <w:t>资产减值损失</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w:t>
      </w:r>
      <w:r>
        <w:rPr>
          <w:rFonts w:ascii="宋体" w:hAnsi="宋体" w:cs="宋体" w:eastAsia="宋体" w:hint="default"/>
        </w:rPr>
        <w:t>1</w:t>
      </w:r>
      <w:r>
        <w:rPr/>
        <w:t>）分类列示</w:t>
      </w:r>
    </w:p>
    <w:p>
      <w:pPr>
        <w:spacing w:line="240" w:lineRule="auto" w:before="9"/>
        <w:rPr>
          <w:rFonts w:ascii="宋体" w:hAnsi="宋体" w:cs="宋体" w:eastAsia="宋体" w:hint="default"/>
          <w:sz w:val="23"/>
          <w:szCs w:val="23"/>
        </w:rPr>
      </w:pPr>
    </w:p>
    <w:tbl>
      <w:tblPr>
        <w:tblW w:w="0" w:type="auto"/>
        <w:jc w:val="left"/>
        <w:tblInd w:w="186" w:type="dxa"/>
        <w:tblLayout w:type="fixed"/>
        <w:tblCellMar>
          <w:top w:w="0" w:type="dxa"/>
          <w:left w:w="0" w:type="dxa"/>
          <w:bottom w:w="0" w:type="dxa"/>
          <w:right w:w="0" w:type="dxa"/>
        </w:tblCellMar>
        <w:tblLook w:val="01E0"/>
      </w:tblPr>
      <w:tblGrid>
        <w:gridCol w:w="2943"/>
        <w:gridCol w:w="3890"/>
        <w:gridCol w:w="2740"/>
      </w:tblGrid>
      <w:tr>
        <w:trPr>
          <w:trHeight w:val="296" w:hRule="exact"/>
        </w:trPr>
        <w:tc>
          <w:tcPr>
            <w:tcW w:w="2943" w:type="dxa"/>
            <w:tcBorders>
              <w:top w:val="nil" w:sz="6" w:space="0" w:color="auto"/>
              <w:left w:val="nil" w:sz="6" w:space="0" w:color="auto"/>
              <w:bottom w:val="single" w:sz="4" w:space="0" w:color="000000"/>
              <w:right w:val="nil" w:sz="6" w:space="0" w:color="auto"/>
            </w:tcBorders>
          </w:tcPr>
          <w:p>
            <w:pPr>
              <w:pStyle w:val="TableParagraph"/>
              <w:spacing w:line="180" w:lineRule="exact"/>
              <w:ind w:left="6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90" w:type="dxa"/>
            <w:tcBorders>
              <w:top w:val="nil" w:sz="6" w:space="0" w:color="auto"/>
              <w:left w:val="nil" w:sz="6" w:space="0" w:color="auto"/>
              <w:bottom w:val="single" w:sz="4" w:space="0" w:color="000000"/>
              <w:right w:val="nil" w:sz="6" w:space="0" w:color="auto"/>
            </w:tcBorders>
          </w:tcPr>
          <w:p>
            <w:pPr>
              <w:pStyle w:val="TableParagraph"/>
              <w:spacing w:line="180" w:lineRule="exact"/>
              <w:ind w:left="125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740" w:type="dxa"/>
            <w:tcBorders>
              <w:top w:val="nil" w:sz="6" w:space="0" w:color="auto"/>
              <w:left w:val="nil" w:sz="6" w:space="0" w:color="auto"/>
              <w:bottom w:val="single" w:sz="4" w:space="0" w:color="000000"/>
              <w:right w:val="nil" w:sz="6" w:space="0" w:color="auto"/>
            </w:tcBorders>
          </w:tcPr>
          <w:p>
            <w:pPr>
              <w:pStyle w:val="TableParagraph"/>
              <w:spacing w:line="180" w:lineRule="exact"/>
              <w:ind w:left="646"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0" w:hRule="exact"/>
        </w:trPr>
        <w:tc>
          <w:tcPr>
            <w:tcW w:w="294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89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644"/>
              <w:jc w:val="right"/>
              <w:rPr>
                <w:rFonts w:ascii="宋体" w:hAnsi="宋体" w:cs="宋体" w:eastAsia="宋体" w:hint="default"/>
                <w:sz w:val="18"/>
                <w:szCs w:val="18"/>
              </w:rPr>
            </w:pPr>
            <w:r>
              <w:rPr>
                <w:rFonts w:ascii="宋体"/>
                <w:spacing w:val="-1"/>
                <w:sz w:val="18"/>
              </w:rPr>
              <w:t>5,554,807.19</w:t>
            </w:r>
          </w:p>
        </w:tc>
        <w:tc>
          <w:tcPr>
            <w:tcW w:w="274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1,058,869.65</w:t>
            </w:r>
          </w:p>
        </w:tc>
      </w:tr>
      <w:tr>
        <w:trPr>
          <w:trHeight w:val="288" w:hRule="exact"/>
        </w:trPr>
        <w:tc>
          <w:tcPr>
            <w:tcW w:w="294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4"/>
              <w:jc w:val="right"/>
              <w:rPr>
                <w:rFonts w:ascii="宋体" w:hAnsi="宋体" w:cs="宋体" w:eastAsia="宋体" w:hint="default"/>
                <w:sz w:val="18"/>
                <w:szCs w:val="18"/>
              </w:rPr>
            </w:pPr>
            <w:r>
              <w:rPr>
                <w:rFonts w:ascii="宋体"/>
                <w:sz w:val="18"/>
              </w:rPr>
            </w:r>
            <w:r>
              <w:rPr>
                <w:rFonts w:ascii="宋体"/>
                <w:spacing w:val="-1"/>
                <w:sz w:val="18"/>
                <w:u w:val="thick" w:color="000000"/>
              </w:rPr>
              <w:t>5,554,807.19</w:t>
            </w:r>
            <w:r>
              <w:rPr>
                <w:rFonts w:ascii="宋体"/>
                <w:spacing w:val="-1"/>
                <w:sz w:val="18"/>
              </w:rPr>
            </w:r>
          </w:p>
        </w:tc>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r>
            <w:r>
              <w:rPr>
                <w:rFonts w:ascii="宋体"/>
                <w:spacing w:val="-1"/>
                <w:sz w:val="18"/>
                <w:u w:val="thick" w:color="000000"/>
              </w:rPr>
              <w:t>1,058,869.65</w:t>
            </w:r>
            <w:r>
              <w:rPr>
                <w:rFonts w:ascii="宋体"/>
                <w:spacing w:val="-1"/>
                <w:sz w:val="18"/>
              </w:rPr>
            </w:r>
          </w:p>
        </w:tc>
      </w:tr>
    </w:tbl>
    <w:p>
      <w:pPr>
        <w:spacing w:after="0" w:line="240" w:lineRule="auto"/>
        <w:jc w:val="right"/>
        <w:rPr>
          <w:rFonts w:ascii="宋体" w:hAnsi="宋体" w:cs="宋体" w:eastAsia="宋体" w:hint="default"/>
          <w:sz w:val="18"/>
          <w:szCs w:val="18"/>
        </w:rPr>
        <w:sectPr>
          <w:pgSz w:w="11910" w:h="16840"/>
          <w:pgMar w:header="877" w:footer="1340" w:top="110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before="44"/>
        <w:ind w:left="513" w:right="981"/>
        <w:jc w:val="left"/>
      </w:pPr>
      <w:r>
        <w:rPr/>
        <w:t>（</w:t>
      </w:r>
      <w:r>
        <w:rPr>
          <w:rFonts w:ascii="宋体" w:hAnsi="宋体" w:cs="宋体" w:eastAsia="宋体" w:hint="default"/>
        </w:rPr>
        <w:t>2</w:t>
      </w:r>
      <w:r>
        <w:rPr/>
        <w:t>）本期资产减值损失金额较上年同期增加</w:t>
      </w:r>
      <w:r>
        <w:rPr>
          <w:spacing w:val="-49"/>
        </w:rPr>
        <w:t> </w:t>
      </w:r>
      <w:r>
        <w:rPr>
          <w:rFonts w:ascii="宋体" w:hAnsi="宋体" w:cs="宋体" w:eastAsia="宋体" w:hint="default"/>
        </w:rPr>
        <w:t>4,495,937.54</w:t>
      </w:r>
      <w:r>
        <w:rPr>
          <w:rFonts w:ascii="宋体" w:hAnsi="宋体" w:cs="宋体" w:eastAsia="宋体" w:hint="default"/>
          <w:spacing w:val="-47"/>
        </w:rPr>
        <w:t> </w:t>
      </w:r>
      <w:r>
        <w:rPr/>
        <w:t>元，增长</w:t>
      </w:r>
      <w:r>
        <w:rPr>
          <w:spacing w:val="-49"/>
        </w:rPr>
        <w:t> </w:t>
      </w:r>
      <w:r>
        <w:rPr>
          <w:rFonts w:ascii="宋体" w:hAnsi="宋体" w:cs="宋体" w:eastAsia="宋体" w:hint="default"/>
        </w:rPr>
        <w:t>424.60%</w:t>
      </w:r>
      <w:r>
        <w:rPr/>
        <w:t>，主要系本期应收账款增加所致。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5"/>
          <w:szCs w:val="15"/>
        </w:rPr>
      </w:pPr>
    </w:p>
    <w:p>
      <w:pPr>
        <w:pStyle w:val="BodyText"/>
        <w:spacing w:line="240" w:lineRule="auto"/>
        <w:ind w:left="513" w:right="981"/>
        <w:jc w:val="left"/>
      </w:pPr>
      <w:r>
        <w:rPr>
          <w:rFonts w:ascii="宋体" w:hAnsi="宋体" w:cs="宋体" w:eastAsia="宋体" w:hint="default"/>
        </w:rPr>
        <w:t>32.</w:t>
      </w:r>
      <w:r>
        <w:rPr/>
        <w:t>投资收益</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w:t>
      </w:r>
      <w:r>
        <w:rPr>
          <w:rFonts w:ascii="宋体" w:hAnsi="宋体" w:cs="宋体" w:eastAsia="宋体" w:hint="default"/>
        </w:rPr>
        <w:t>1</w:t>
      </w:r>
      <w:r>
        <w:rPr/>
        <w:t>）分类列示</w:t>
      </w:r>
    </w:p>
    <w:p>
      <w:pPr>
        <w:spacing w:line="240" w:lineRule="auto" w:before="9"/>
        <w:rPr>
          <w:rFonts w:ascii="宋体" w:hAnsi="宋体" w:cs="宋体" w:eastAsia="宋体" w:hint="default"/>
          <w:sz w:val="23"/>
          <w:szCs w:val="23"/>
        </w:rPr>
      </w:pPr>
    </w:p>
    <w:tbl>
      <w:tblPr>
        <w:tblW w:w="0" w:type="auto"/>
        <w:jc w:val="left"/>
        <w:tblInd w:w="215" w:type="dxa"/>
        <w:tblLayout w:type="fixed"/>
        <w:tblCellMar>
          <w:top w:w="0" w:type="dxa"/>
          <w:left w:w="0" w:type="dxa"/>
          <w:bottom w:w="0" w:type="dxa"/>
          <w:right w:w="0" w:type="dxa"/>
        </w:tblCellMar>
        <w:tblLook w:val="01E0"/>
      </w:tblPr>
      <w:tblGrid>
        <w:gridCol w:w="3385"/>
        <w:gridCol w:w="3391"/>
        <w:gridCol w:w="2740"/>
      </w:tblGrid>
      <w:tr>
        <w:trPr>
          <w:trHeight w:val="296" w:hRule="exact"/>
        </w:trPr>
        <w:tc>
          <w:tcPr>
            <w:tcW w:w="3385" w:type="dxa"/>
            <w:tcBorders>
              <w:top w:val="nil" w:sz="6" w:space="0" w:color="auto"/>
              <w:left w:val="nil" w:sz="6" w:space="0" w:color="auto"/>
              <w:bottom w:val="single" w:sz="4" w:space="0" w:color="000000"/>
              <w:right w:val="nil" w:sz="6" w:space="0" w:color="auto"/>
            </w:tcBorders>
          </w:tcPr>
          <w:p>
            <w:pPr>
              <w:pStyle w:val="TableParagraph"/>
              <w:spacing w:line="180" w:lineRule="exact"/>
              <w:ind w:left="660" w:right="0"/>
              <w:jc w:val="left"/>
              <w:rPr>
                <w:rFonts w:ascii="宋体" w:hAnsi="宋体" w:cs="宋体" w:eastAsia="宋体" w:hint="default"/>
                <w:sz w:val="18"/>
                <w:szCs w:val="18"/>
              </w:rPr>
            </w:pPr>
            <w:r>
              <w:rPr>
                <w:rFonts w:ascii="宋体" w:hAnsi="宋体" w:cs="宋体" w:eastAsia="宋体" w:hint="default"/>
                <w:b/>
                <w:bCs/>
                <w:sz w:val="18"/>
                <w:szCs w:val="18"/>
              </w:rPr>
              <w:t>产生投资收益的来源</w:t>
            </w:r>
            <w:r>
              <w:rPr>
                <w:rFonts w:ascii="宋体" w:hAnsi="宋体" w:cs="宋体" w:eastAsia="宋体" w:hint="default"/>
                <w:sz w:val="18"/>
                <w:szCs w:val="18"/>
              </w:rPr>
            </w:r>
          </w:p>
        </w:tc>
        <w:tc>
          <w:tcPr>
            <w:tcW w:w="3391" w:type="dxa"/>
            <w:tcBorders>
              <w:top w:val="nil" w:sz="6" w:space="0" w:color="auto"/>
              <w:left w:val="nil" w:sz="6" w:space="0" w:color="auto"/>
              <w:bottom w:val="single" w:sz="4" w:space="0" w:color="000000"/>
              <w:right w:val="nil" w:sz="6" w:space="0" w:color="auto"/>
            </w:tcBorders>
          </w:tcPr>
          <w:p>
            <w:pPr>
              <w:pStyle w:val="TableParagraph"/>
              <w:spacing w:line="180" w:lineRule="exact"/>
              <w:ind w:left="756"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740" w:type="dxa"/>
            <w:tcBorders>
              <w:top w:val="nil" w:sz="6" w:space="0" w:color="auto"/>
              <w:left w:val="nil" w:sz="6" w:space="0" w:color="auto"/>
              <w:bottom w:val="single" w:sz="4" w:space="0" w:color="000000"/>
              <w:right w:val="nil" w:sz="6" w:space="0" w:color="auto"/>
            </w:tcBorders>
          </w:tcPr>
          <w:p>
            <w:pPr>
              <w:pStyle w:val="TableParagraph"/>
              <w:spacing w:line="180" w:lineRule="exact"/>
              <w:ind w:left="646"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00" w:hRule="exact"/>
        </w:trPr>
        <w:tc>
          <w:tcPr>
            <w:tcW w:w="338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39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644"/>
              <w:jc w:val="right"/>
              <w:rPr>
                <w:rFonts w:ascii="宋体" w:hAnsi="宋体" w:cs="宋体" w:eastAsia="宋体" w:hint="default"/>
                <w:sz w:val="18"/>
                <w:szCs w:val="18"/>
              </w:rPr>
            </w:pPr>
            <w:r>
              <w:rPr>
                <w:rFonts w:ascii="宋体"/>
                <w:spacing w:val="-1"/>
                <w:sz w:val="18"/>
              </w:rPr>
              <w:t>1,612,932.31</w:t>
            </w:r>
          </w:p>
        </w:tc>
        <w:tc>
          <w:tcPr>
            <w:tcW w:w="274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8"/>
              <w:jc w:val="right"/>
              <w:rPr>
                <w:rFonts w:ascii="宋体" w:hAnsi="宋体" w:cs="宋体" w:eastAsia="宋体" w:hint="default"/>
                <w:sz w:val="18"/>
                <w:szCs w:val="18"/>
              </w:rPr>
            </w:pPr>
            <w:r>
              <w:rPr>
                <w:rFonts w:ascii="宋体"/>
                <w:spacing w:val="-1"/>
                <w:sz w:val="18"/>
              </w:rPr>
              <w:t>1,631,805.77</w:t>
            </w:r>
          </w:p>
        </w:tc>
      </w:tr>
      <w:tr>
        <w:trPr>
          <w:trHeight w:val="288" w:hRule="exact"/>
        </w:trPr>
        <w:tc>
          <w:tcPr>
            <w:tcW w:w="338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4"/>
              <w:jc w:val="right"/>
              <w:rPr>
                <w:rFonts w:ascii="宋体" w:hAnsi="宋体" w:cs="宋体" w:eastAsia="宋体" w:hint="default"/>
                <w:sz w:val="18"/>
                <w:szCs w:val="18"/>
              </w:rPr>
            </w:pPr>
            <w:r>
              <w:rPr>
                <w:rFonts w:ascii="宋体"/>
                <w:sz w:val="18"/>
              </w:rPr>
            </w:r>
            <w:r>
              <w:rPr>
                <w:rFonts w:ascii="宋体"/>
                <w:spacing w:val="-1"/>
                <w:sz w:val="18"/>
                <w:u w:val="thick" w:color="000000"/>
              </w:rPr>
              <w:t>1,612,932.31</w:t>
            </w:r>
            <w:r>
              <w:rPr>
                <w:rFonts w:ascii="宋体"/>
                <w:spacing w:val="-1"/>
                <w:sz w:val="18"/>
              </w:rPr>
            </w:r>
          </w:p>
        </w:tc>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宋体"/>
                <w:sz w:val="18"/>
              </w:rPr>
            </w:r>
            <w:r>
              <w:rPr>
                <w:rFonts w:ascii="宋体"/>
                <w:spacing w:val="-1"/>
                <w:sz w:val="18"/>
                <w:u w:val="thick" w:color="000000"/>
              </w:rPr>
              <w:t>1,631,805.77</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513" w:right="981"/>
        <w:jc w:val="left"/>
      </w:pPr>
      <w:r>
        <w:rPr/>
        <w:t>（</w:t>
      </w:r>
      <w:r>
        <w:rPr>
          <w:rFonts w:ascii="宋体" w:hAnsi="宋体" w:cs="宋体" w:eastAsia="宋体" w:hint="default"/>
        </w:rPr>
        <w:t>2</w:t>
      </w:r>
      <w:r>
        <w:rPr/>
        <w:t>）按权益法核算的长期股权投资按投资单位分项列示投资收益</w:t>
      </w:r>
    </w:p>
    <w:p>
      <w:pPr>
        <w:spacing w:line="240" w:lineRule="auto" w:before="9"/>
        <w:rPr>
          <w:rFonts w:ascii="宋体" w:hAnsi="宋体" w:cs="宋体" w:eastAsia="宋体" w:hint="default"/>
          <w:sz w:val="23"/>
          <w:szCs w:val="23"/>
        </w:rPr>
      </w:pPr>
    </w:p>
    <w:tbl>
      <w:tblPr>
        <w:tblW w:w="0" w:type="auto"/>
        <w:jc w:val="left"/>
        <w:tblInd w:w="243" w:type="dxa"/>
        <w:tblLayout w:type="fixed"/>
        <w:tblCellMar>
          <w:top w:w="0" w:type="dxa"/>
          <w:left w:w="0" w:type="dxa"/>
          <w:bottom w:w="0" w:type="dxa"/>
          <w:right w:w="0" w:type="dxa"/>
        </w:tblCellMar>
        <w:tblLook w:val="01E0"/>
      </w:tblPr>
      <w:tblGrid>
        <w:gridCol w:w="2847"/>
        <w:gridCol w:w="1948"/>
        <w:gridCol w:w="1813"/>
        <w:gridCol w:w="2849"/>
      </w:tblGrid>
      <w:tr>
        <w:trPr>
          <w:trHeight w:val="296" w:hRule="exact"/>
        </w:trPr>
        <w:tc>
          <w:tcPr>
            <w:tcW w:w="2847" w:type="dxa"/>
            <w:tcBorders>
              <w:top w:val="nil" w:sz="6" w:space="0" w:color="auto"/>
              <w:left w:val="nil" w:sz="6" w:space="0" w:color="auto"/>
              <w:bottom w:val="single" w:sz="4" w:space="0" w:color="000000"/>
              <w:right w:val="nil" w:sz="6" w:space="0" w:color="auto"/>
            </w:tcBorders>
          </w:tcPr>
          <w:p>
            <w:pPr>
              <w:pStyle w:val="TableParagraph"/>
              <w:spacing w:line="180" w:lineRule="exact"/>
              <w:ind w:left="938"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948" w:type="dxa"/>
            <w:tcBorders>
              <w:top w:val="nil" w:sz="6" w:space="0" w:color="auto"/>
              <w:left w:val="nil" w:sz="6" w:space="0" w:color="auto"/>
              <w:bottom w:val="single" w:sz="4" w:space="0" w:color="000000"/>
              <w:right w:val="nil" w:sz="6" w:space="0" w:color="auto"/>
            </w:tcBorders>
          </w:tcPr>
          <w:p>
            <w:pPr>
              <w:pStyle w:val="TableParagraph"/>
              <w:spacing w:line="180" w:lineRule="exact"/>
              <w:ind w:left="398"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813" w:type="dxa"/>
            <w:tcBorders>
              <w:top w:val="nil" w:sz="6" w:space="0" w:color="auto"/>
              <w:left w:val="nil" w:sz="6" w:space="0" w:color="auto"/>
              <w:bottom w:val="single" w:sz="4" w:space="0" w:color="000000"/>
              <w:right w:val="nil" w:sz="6" w:space="0" w:color="auto"/>
            </w:tcBorders>
          </w:tcPr>
          <w:p>
            <w:pPr>
              <w:pStyle w:val="TableParagraph"/>
              <w:spacing w:line="180" w:lineRule="exact"/>
              <w:ind w:left="28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849" w:type="dxa"/>
            <w:tcBorders>
              <w:top w:val="nil" w:sz="6" w:space="0" w:color="auto"/>
              <w:left w:val="nil" w:sz="6" w:space="0" w:color="auto"/>
              <w:bottom w:val="single" w:sz="4" w:space="0" w:color="000000"/>
              <w:right w:val="nil" w:sz="6" w:space="0" w:color="auto"/>
            </w:tcBorders>
          </w:tcPr>
          <w:p>
            <w:pPr>
              <w:pStyle w:val="TableParagraph"/>
              <w:spacing w:line="180" w:lineRule="exact"/>
              <w:ind w:left="261" w:right="0"/>
              <w:jc w:val="left"/>
              <w:rPr>
                <w:rFonts w:ascii="宋体" w:hAnsi="宋体" w:cs="宋体" w:eastAsia="宋体" w:hint="default"/>
                <w:sz w:val="18"/>
                <w:szCs w:val="18"/>
              </w:rPr>
            </w:pPr>
            <w:r>
              <w:rPr>
                <w:rFonts w:ascii="宋体" w:hAnsi="宋体" w:cs="宋体" w:eastAsia="宋体" w:hint="default"/>
                <w:b/>
                <w:bCs/>
                <w:sz w:val="18"/>
                <w:szCs w:val="18"/>
              </w:rPr>
              <w:t>本期比上期增减变动的原因</w:t>
            </w:r>
            <w:r>
              <w:rPr>
                <w:rFonts w:ascii="宋体" w:hAnsi="宋体" w:cs="宋体" w:eastAsia="宋体" w:hint="default"/>
                <w:sz w:val="18"/>
                <w:szCs w:val="18"/>
              </w:rPr>
            </w:r>
          </w:p>
        </w:tc>
      </w:tr>
      <w:tr>
        <w:trPr>
          <w:trHeight w:val="289" w:hRule="exact"/>
        </w:trPr>
        <w:tc>
          <w:tcPr>
            <w:tcW w:w="284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贵州新思维科技有限责任公司</w:t>
            </w:r>
          </w:p>
        </w:tc>
        <w:tc>
          <w:tcPr>
            <w:tcW w:w="1948"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578" w:right="0"/>
              <w:jc w:val="left"/>
              <w:rPr>
                <w:rFonts w:ascii="宋体" w:hAnsi="宋体" w:cs="宋体" w:eastAsia="宋体" w:hint="default"/>
                <w:sz w:val="18"/>
                <w:szCs w:val="18"/>
              </w:rPr>
            </w:pPr>
            <w:r>
              <w:rPr>
                <w:rFonts w:ascii="宋体"/>
                <w:sz w:val="18"/>
              </w:rPr>
              <w:t>1,612,932.31</w:t>
            </w:r>
          </w:p>
        </w:tc>
        <w:tc>
          <w:tcPr>
            <w:tcW w:w="181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471" w:right="0"/>
              <w:jc w:val="left"/>
              <w:rPr>
                <w:rFonts w:ascii="宋体" w:hAnsi="宋体" w:cs="宋体" w:eastAsia="宋体" w:hint="default"/>
                <w:sz w:val="18"/>
                <w:szCs w:val="18"/>
              </w:rPr>
            </w:pPr>
            <w:r>
              <w:rPr>
                <w:rFonts w:ascii="宋体"/>
                <w:sz w:val="18"/>
              </w:rPr>
              <w:t>1,631,805.77</w:t>
            </w:r>
          </w:p>
        </w:tc>
        <w:tc>
          <w:tcPr>
            <w:tcW w:w="284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580" w:right="0"/>
              <w:jc w:val="left"/>
              <w:rPr>
                <w:rFonts w:ascii="宋体" w:hAnsi="宋体" w:cs="宋体" w:eastAsia="宋体" w:hint="default"/>
                <w:sz w:val="18"/>
                <w:szCs w:val="18"/>
              </w:rPr>
            </w:pPr>
            <w:r>
              <w:rPr>
                <w:rFonts w:ascii="宋体" w:hAnsi="宋体" w:cs="宋体" w:eastAsia="宋体" w:hint="default"/>
                <w:sz w:val="18"/>
                <w:szCs w:val="18"/>
              </w:rPr>
              <w:t>本期被投资单位净利润减少</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67" w:lineRule="auto"/>
        <w:ind w:right="1131" w:firstLine="360"/>
        <w:jc w:val="both"/>
      </w:pPr>
      <w:r>
        <w:rPr/>
        <w:t>（</w:t>
      </w:r>
      <w:r>
        <w:rPr>
          <w:rFonts w:ascii="宋体" w:hAnsi="宋体" w:cs="宋体" w:eastAsia="宋体" w:hint="default"/>
        </w:rPr>
        <w:t>3</w:t>
      </w:r>
      <w:r>
        <w:rPr/>
        <w:t>）鉴于</w:t>
      </w:r>
      <w:r>
        <w:rPr>
          <w:rFonts w:ascii="宋体" w:hAnsi="宋体" w:cs="宋体" w:eastAsia="宋体" w:hint="default"/>
        </w:rPr>
        <w:t>:i</w:t>
      </w:r>
      <w:r>
        <w:rPr/>
        <w:t>）被投资单位采用的会计政策及会计期间与本公司无重大差异；</w:t>
      </w:r>
      <w:r>
        <w:rPr>
          <w:rFonts w:ascii="宋体" w:hAnsi="宋体" w:cs="宋体" w:eastAsia="宋体" w:hint="default"/>
        </w:rPr>
        <w:t>ii</w:t>
      </w:r>
      <w:r>
        <w:rPr/>
        <w:t>）本公司对被投资单位所持股份系收购 所持有的，无长期资产公允价值与账面价值差异对被投资单位本期净利润产生影响的事项；</w:t>
      </w:r>
      <w:r>
        <w:rPr>
          <w:rFonts w:ascii="宋体" w:hAnsi="宋体" w:cs="宋体" w:eastAsia="宋体" w:hint="default"/>
        </w:rPr>
        <w:t>iii</w:t>
      </w:r>
      <w:r>
        <w:rPr/>
        <w:t>）公司与被投资单位在本期</w:t>
      </w:r>
      <w:r>
        <w:rPr>
          <w:spacing w:val="-83"/>
        </w:rPr>
        <w:t> </w:t>
      </w:r>
      <w:r>
        <w:rPr>
          <w:spacing w:val="-83"/>
        </w:rPr>
      </w:r>
      <w:r>
        <w:rPr/>
        <w:t>未发生需要抵消的未实现内部交易损益事项，公司本期以被投资单位账面净利润作为确认投资收益的基础。</w:t>
      </w:r>
    </w:p>
    <w:p>
      <w:pPr>
        <w:spacing w:line="240" w:lineRule="auto" w:before="2"/>
        <w:rPr>
          <w:rFonts w:ascii="宋体" w:hAnsi="宋体" w:cs="宋体" w:eastAsia="宋体" w:hint="default"/>
          <w:sz w:val="14"/>
          <w:szCs w:val="14"/>
        </w:rPr>
      </w:pPr>
    </w:p>
    <w:p>
      <w:pPr>
        <w:pStyle w:val="BodyText"/>
        <w:spacing w:line="240" w:lineRule="auto"/>
        <w:ind w:left="513" w:right="981"/>
        <w:jc w:val="left"/>
      </w:pPr>
      <w:r>
        <w:rPr/>
        <w:t>（</w:t>
      </w:r>
      <w:r>
        <w:rPr>
          <w:rFonts w:ascii="宋体" w:hAnsi="宋体" w:cs="宋体" w:eastAsia="宋体" w:hint="default"/>
        </w:rPr>
        <w:t>4</w:t>
      </w:r>
      <w:r>
        <w:rPr/>
        <w:t>）本期不存在汇回受到重大限制的投资收益。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pStyle w:val="BodyText"/>
        <w:spacing w:line="240" w:lineRule="auto"/>
        <w:ind w:left="513" w:right="981"/>
        <w:jc w:val="left"/>
      </w:pPr>
      <w:r>
        <w:rPr>
          <w:rFonts w:ascii="宋体" w:hAnsi="宋体" w:cs="宋体" w:eastAsia="宋体" w:hint="default"/>
        </w:rPr>
        <w:t>33.</w:t>
      </w:r>
      <w:r>
        <w:rPr/>
        <w:t>营业外收入</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w:t>
      </w:r>
      <w:r>
        <w:rPr>
          <w:rFonts w:ascii="宋体" w:hAnsi="宋体" w:cs="宋体" w:eastAsia="宋体" w:hint="default"/>
        </w:rPr>
        <w:t>1</w:t>
      </w:r>
      <w:r>
        <w:rPr/>
        <w:t>）分类列示</w:t>
      </w:r>
    </w:p>
    <w:p>
      <w:pPr>
        <w:spacing w:line="240" w:lineRule="auto" w:before="6"/>
        <w:rPr>
          <w:rFonts w:ascii="宋体" w:hAnsi="宋体" w:cs="宋体" w:eastAsia="宋体" w:hint="default"/>
          <w:sz w:val="23"/>
          <w:szCs w:val="23"/>
        </w:rPr>
      </w:pPr>
    </w:p>
    <w:tbl>
      <w:tblPr>
        <w:tblW w:w="0" w:type="auto"/>
        <w:jc w:val="left"/>
        <w:tblInd w:w="256" w:type="dxa"/>
        <w:tblLayout w:type="fixed"/>
        <w:tblCellMar>
          <w:top w:w="0" w:type="dxa"/>
          <w:left w:w="0" w:type="dxa"/>
          <w:bottom w:w="0" w:type="dxa"/>
          <w:right w:w="0" w:type="dxa"/>
        </w:tblCellMar>
        <w:tblLook w:val="01E0"/>
      </w:tblPr>
      <w:tblGrid>
        <w:gridCol w:w="1879"/>
        <w:gridCol w:w="2427"/>
        <w:gridCol w:w="2235"/>
        <w:gridCol w:w="2893"/>
      </w:tblGrid>
      <w:tr>
        <w:trPr>
          <w:trHeight w:val="296" w:hRule="exact"/>
        </w:trPr>
        <w:tc>
          <w:tcPr>
            <w:tcW w:w="1879" w:type="dxa"/>
            <w:tcBorders>
              <w:top w:val="nil" w:sz="6" w:space="0" w:color="auto"/>
              <w:left w:val="nil" w:sz="6" w:space="0" w:color="auto"/>
              <w:bottom w:val="single" w:sz="4" w:space="0" w:color="000000"/>
              <w:right w:val="nil" w:sz="6" w:space="0" w:color="auto"/>
            </w:tcBorders>
          </w:tcPr>
          <w:p>
            <w:pPr>
              <w:pStyle w:val="TableParagraph"/>
              <w:spacing w:line="180" w:lineRule="exact"/>
              <w:ind w:left="16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27" w:type="dxa"/>
            <w:tcBorders>
              <w:top w:val="nil" w:sz="6" w:space="0" w:color="auto"/>
              <w:left w:val="nil" w:sz="6" w:space="0" w:color="auto"/>
              <w:bottom w:val="single" w:sz="4" w:space="0" w:color="000000"/>
              <w:right w:val="nil" w:sz="6" w:space="0" w:color="auto"/>
            </w:tcBorders>
          </w:tcPr>
          <w:p>
            <w:pPr>
              <w:pStyle w:val="TableParagraph"/>
              <w:spacing w:line="182" w:lineRule="exact"/>
              <w:ind w:left="67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235" w:type="dxa"/>
            <w:tcBorders>
              <w:top w:val="nil" w:sz="6" w:space="0" w:color="auto"/>
              <w:left w:val="nil" w:sz="6" w:space="0" w:color="auto"/>
              <w:bottom w:val="single" w:sz="4" w:space="0" w:color="000000"/>
              <w:right w:val="nil" w:sz="6" w:space="0" w:color="auto"/>
            </w:tcBorders>
          </w:tcPr>
          <w:p>
            <w:pPr>
              <w:pStyle w:val="TableParagraph"/>
              <w:spacing w:line="182" w:lineRule="exact"/>
              <w:ind w:left="44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893" w:type="dxa"/>
            <w:tcBorders>
              <w:top w:val="nil" w:sz="6" w:space="0" w:color="auto"/>
              <w:left w:val="nil" w:sz="6" w:space="0" w:color="auto"/>
              <w:bottom w:val="single" w:sz="4" w:space="0" w:color="000000"/>
              <w:right w:val="nil" w:sz="6" w:space="0" w:color="auto"/>
            </w:tcBorders>
          </w:tcPr>
          <w:p>
            <w:pPr>
              <w:pStyle w:val="TableParagraph"/>
              <w:spacing w:line="182" w:lineRule="exact"/>
              <w:ind w:left="216" w:right="0"/>
              <w:jc w:val="left"/>
              <w:rPr>
                <w:rFonts w:ascii="宋体" w:hAnsi="宋体" w:cs="宋体" w:eastAsia="宋体" w:hint="default"/>
                <w:sz w:val="18"/>
                <w:szCs w:val="18"/>
              </w:rPr>
            </w:pPr>
            <w:r>
              <w:rPr>
                <w:rFonts w:ascii="宋体" w:hAnsi="宋体" w:cs="宋体" w:eastAsia="宋体" w:hint="default"/>
                <w:b/>
                <w:bCs/>
                <w:sz w:val="18"/>
                <w:szCs w:val="18"/>
              </w:rPr>
              <w:t>计入当期非经常性损益的金额</w:t>
            </w:r>
            <w:r>
              <w:rPr>
                <w:rFonts w:ascii="宋体" w:hAnsi="宋体" w:cs="宋体" w:eastAsia="宋体" w:hint="default"/>
                <w:sz w:val="18"/>
                <w:szCs w:val="18"/>
              </w:rPr>
            </w:r>
          </w:p>
        </w:tc>
      </w:tr>
      <w:tr>
        <w:trPr>
          <w:trHeight w:val="394" w:hRule="exact"/>
        </w:trPr>
        <w:tc>
          <w:tcPr>
            <w:tcW w:w="187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242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440"/>
              <w:jc w:val="right"/>
              <w:rPr>
                <w:rFonts w:ascii="宋体" w:hAnsi="宋体" w:cs="宋体" w:eastAsia="宋体" w:hint="default"/>
                <w:sz w:val="18"/>
                <w:szCs w:val="18"/>
              </w:rPr>
            </w:pPr>
            <w:r>
              <w:rPr>
                <w:rFonts w:ascii="宋体"/>
                <w:spacing w:val="-1"/>
                <w:sz w:val="18"/>
              </w:rPr>
              <w:t>440,000.00</w:t>
            </w:r>
          </w:p>
        </w:tc>
        <w:tc>
          <w:tcPr>
            <w:tcW w:w="223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15"/>
              <w:jc w:val="right"/>
              <w:rPr>
                <w:rFonts w:ascii="宋体" w:hAnsi="宋体" w:cs="宋体" w:eastAsia="宋体" w:hint="default"/>
                <w:sz w:val="18"/>
                <w:szCs w:val="18"/>
              </w:rPr>
            </w:pPr>
            <w:r>
              <w:rPr>
                <w:rFonts w:ascii="宋体"/>
                <w:spacing w:val="-1"/>
                <w:sz w:val="18"/>
              </w:rPr>
              <w:t>2,370,000.00</w:t>
            </w:r>
          </w:p>
        </w:tc>
        <w:tc>
          <w:tcPr>
            <w:tcW w:w="289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440,000.00</w:t>
            </w:r>
          </w:p>
        </w:tc>
      </w:tr>
      <w:tr>
        <w:trPr>
          <w:trHeight w:val="392"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40"/>
              <w:jc w:val="right"/>
              <w:rPr>
                <w:rFonts w:ascii="宋体" w:hAnsi="宋体" w:cs="宋体" w:eastAsia="宋体" w:hint="default"/>
                <w:sz w:val="18"/>
                <w:szCs w:val="18"/>
              </w:rPr>
            </w:pPr>
            <w:r>
              <w:rPr>
                <w:rFonts w:ascii="宋体"/>
                <w:spacing w:val="-1"/>
                <w:sz w:val="18"/>
              </w:rPr>
              <w:t>1,465.33</w:t>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16"/>
              <w:jc w:val="right"/>
              <w:rPr>
                <w:rFonts w:ascii="宋体" w:hAnsi="宋体" w:cs="宋体" w:eastAsia="宋体" w:hint="default"/>
                <w:sz w:val="18"/>
                <w:szCs w:val="18"/>
              </w:rPr>
            </w:pPr>
            <w:r>
              <w:rPr>
                <w:rFonts w:ascii="宋体"/>
                <w:spacing w:val="-1"/>
                <w:sz w:val="18"/>
              </w:rPr>
              <w:t>42,513.80</w:t>
            </w: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1,465.33</w:t>
            </w:r>
          </w:p>
        </w:tc>
      </w:tr>
      <w:tr>
        <w:trPr>
          <w:trHeight w:val="290"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40"/>
              <w:jc w:val="right"/>
              <w:rPr>
                <w:rFonts w:ascii="宋体" w:hAnsi="宋体" w:cs="宋体" w:eastAsia="宋体" w:hint="default"/>
                <w:sz w:val="18"/>
                <w:szCs w:val="18"/>
              </w:rPr>
            </w:pPr>
            <w:r>
              <w:rPr>
                <w:rFonts w:ascii="宋体"/>
                <w:sz w:val="18"/>
              </w:rPr>
            </w:r>
            <w:r>
              <w:rPr>
                <w:rFonts w:ascii="宋体"/>
                <w:spacing w:val="-1"/>
                <w:sz w:val="18"/>
                <w:u w:val="thick" w:color="000000"/>
              </w:rPr>
              <w:t>441,465.33</w:t>
            </w:r>
            <w:r>
              <w:rPr>
                <w:rFonts w:ascii="宋体"/>
                <w:spacing w:val="-1"/>
                <w:sz w:val="18"/>
              </w:rPr>
            </w:r>
          </w:p>
        </w:tc>
        <w:tc>
          <w:tcPr>
            <w:tcW w:w="223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5"/>
              <w:jc w:val="right"/>
              <w:rPr>
                <w:rFonts w:ascii="宋体" w:hAnsi="宋体" w:cs="宋体" w:eastAsia="宋体" w:hint="default"/>
                <w:sz w:val="18"/>
                <w:szCs w:val="18"/>
              </w:rPr>
            </w:pPr>
            <w:r>
              <w:rPr>
                <w:rFonts w:ascii="宋体"/>
                <w:sz w:val="18"/>
              </w:rPr>
            </w:r>
            <w:r>
              <w:rPr>
                <w:rFonts w:ascii="宋体"/>
                <w:spacing w:val="-1"/>
                <w:sz w:val="18"/>
                <w:u w:val="thick" w:color="000000"/>
              </w:rPr>
              <w:t>2,412,513.80</w:t>
            </w:r>
            <w:r>
              <w:rPr>
                <w:rFonts w:ascii="宋体"/>
                <w:spacing w:val="-1"/>
                <w:sz w:val="18"/>
              </w:rPr>
            </w: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宋体" w:hAnsi="宋体" w:cs="宋体" w:eastAsia="宋体" w:hint="default"/>
                <w:sz w:val="18"/>
                <w:szCs w:val="18"/>
              </w:rPr>
            </w:pPr>
            <w:r>
              <w:rPr>
                <w:rFonts w:ascii="宋体"/>
                <w:sz w:val="18"/>
              </w:rPr>
            </w:r>
            <w:r>
              <w:rPr>
                <w:rFonts w:ascii="宋体"/>
                <w:spacing w:val="-1"/>
                <w:sz w:val="18"/>
                <w:u w:val="thick" w:color="000000"/>
              </w:rPr>
              <w:t>441,465.33</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ind w:left="513" w:right="981"/>
        <w:jc w:val="left"/>
      </w:pPr>
      <w:r>
        <w:rPr/>
        <w:t>（</w:t>
      </w:r>
      <w:r>
        <w:rPr>
          <w:rFonts w:ascii="宋体" w:hAnsi="宋体" w:cs="宋体" w:eastAsia="宋体" w:hint="default"/>
        </w:rPr>
        <w:t>2</w:t>
      </w:r>
      <w:r>
        <w:rPr/>
        <w:t>）本期政府补助情况</w:t>
      </w:r>
    </w:p>
    <w:p>
      <w:pPr>
        <w:spacing w:line="240" w:lineRule="auto" w:before="6"/>
        <w:rPr>
          <w:rFonts w:ascii="宋体" w:hAnsi="宋体" w:cs="宋体" w:eastAsia="宋体" w:hint="default"/>
          <w:sz w:val="23"/>
          <w:szCs w:val="23"/>
        </w:rPr>
      </w:pPr>
    </w:p>
    <w:tbl>
      <w:tblPr>
        <w:tblW w:w="0" w:type="auto"/>
        <w:jc w:val="left"/>
        <w:tblInd w:w="294" w:type="dxa"/>
        <w:tblLayout w:type="fixed"/>
        <w:tblCellMar>
          <w:top w:w="0" w:type="dxa"/>
          <w:left w:w="0" w:type="dxa"/>
          <w:bottom w:w="0" w:type="dxa"/>
          <w:right w:w="0" w:type="dxa"/>
        </w:tblCellMar>
        <w:tblLook w:val="01E0"/>
      </w:tblPr>
      <w:tblGrid>
        <w:gridCol w:w="1796"/>
        <w:gridCol w:w="1706"/>
        <w:gridCol w:w="5987"/>
      </w:tblGrid>
      <w:tr>
        <w:trPr>
          <w:trHeight w:val="294" w:hRule="exact"/>
        </w:trPr>
        <w:tc>
          <w:tcPr>
            <w:tcW w:w="1796" w:type="dxa"/>
            <w:tcBorders>
              <w:top w:val="nil" w:sz="6" w:space="0" w:color="auto"/>
              <w:left w:val="nil" w:sz="6" w:space="0" w:color="auto"/>
              <w:bottom w:val="single" w:sz="4" w:space="0" w:color="000000"/>
              <w:right w:val="nil" w:sz="6" w:space="0" w:color="auto"/>
            </w:tcBorders>
          </w:tcPr>
          <w:p>
            <w:pPr>
              <w:pStyle w:val="TableParagraph"/>
              <w:spacing w:line="180" w:lineRule="exact"/>
              <w:ind w:right="20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06" w:type="dxa"/>
            <w:tcBorders>
              <w:top w:val="nil" w:sz="6" w:space="0" w:color="auto"/>
              <w:left w:val="nil" w:sz="6" w:space="0" w:color="auto"/>
              <w:bottom w:val="single" w:sz="4" w:space="0" w:color="000000"/>
              <w:right w:val="nil" w:sz="6" w:space="0" w:color="auto"/>
            </w:tcBorders>
          </w:tcPr>
          <w:p>
            <w:pPr>
              <w:pStyle w:val="TableParagraph"/>
              <w:spacing w:line="180" w:lineRule="exact"/>
              <w:ind w:left="430"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5987" w:type="dxa"/>
            <w:tcBorders>
              <w:top w:val="nil" w:sz="6" w:space="0" w:color="auto"/>
              <w:left w:val="nil" w:sz="6" w:space="0" w:color="auto"/>
              <w:bottom w:val="single" w:sz="4" w:space="0" w:color="000000"/>
              <w:right w:val="nil" w:sz="6" w:space="0" w:color="auto"/>
            </w:tcBorders>
          </w:tcPr>
          <w:p>
            <w:pPr>
              <w:pStyle w:val="TableParagraph"/>
              <w:spacing w:line="180" w:lineRule="exact"/>
              <w:ind w:right="267"/>
              <w:jc w:val="center"/>
              <w:rPr>
                <w:rFonts w:ascii="宋体" w:hAnsi="宋体" w:cs="宋体" w:eastAsia="宋体" w:hint="default"/>
                <w:sz w:val="18"/>
                <w:szCs w:val="18"/>
              </w:rPr>
            </w:pPr>
            <w:r>
              <w:rPr>
                <w:rFonts w:ascii="宋体" w:hAnsi="宋体" w:cs="宋体" w:eastAsia="宋体" w:hint="default"/>
                <w:b/>
                <w:bCs/>
                <w:sz w:val="18"/>
                <w:szCs w:val="18"/>
              </w:rPr>
              <w:t>来源和依据</w:t>
            </w:r>
            <w:r>
              <w:rPr>
                <w:rFonts w:ascii="宋体" w:hAnsi="宋体" w:cs="宋体" w:eastAsia="宋体" w:hint="default"/>
                <w:sz w:val="18"/>
                <w:szCs w:val="18"/>
              </w:rPr>
            </w:r>
          </w:p>
        </w:tc>
      </w:tr>
      <w:tr>
        <w:trPr>
          <w:trHeight w:val="633" w:hRule="exact"/>
        </w:trPr>
        <w:tc>
          <w:tcPr>
            <w:tcW w:w="1796"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sz w:val="18"/>
                <w:szCs w:val="18"/>
              </w:rPr>
              <w:t>吸收与创新补贴</w:t>
            </w:r>
          </w:p>
        </w:tc>
        <w:tc>
          <w:tcPr>
            <w:tcW w:w="1706"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377"/>
              <w:jc w:val="right"/>
              <w:rPr>
                <w:rFonts w:ascii="宋体" w:hAnsi="宋体" w:cs="宋体" w:eastAsia="宋体" w:hint="default"/>
                <w:sz w:val="18"/>
                <w:szCs w:val="18"/>
              </w:rPr>
            </w:pPr>
            <w:r>
              <w:rPr>
                <w:rFonts w:ascii="宋体"/>
                <w:spacing w:val="-1"/>
                <w:sz w:val="18"/>
              </w:rPr>
              <w:t>400,000.00</w:t>
            </w:r>
          </w:p>
        </w:tc>
        <w:tc>
          <w:tcPr>
            <w:tcW w:w="598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上海市企业技术创新服务中</w:t>
            </w:r>
            <w:r>
              <w:rPr>
                <w:rFonts w:ascii="宋体" w:hAnsi="宋体" w:cs="宋体" w:eastAsia="宋体" w:hint="default"/>
                <w:spacing w:val="-80"/>
                <w:sz w:val="18"/>
                <w:szCs w:val="18"/>
              </w:rPr>
              <w:t>心</w:t>
            </w:r>
            <w:r>
              <w:rPr>
                <w:rFonts w:ascii="宋体" w:hAnsi="宋体" w:cs="宋体" w:eastAsia="宋体" w:hint="default"/>
                <w:sz w:val="18"/>
                <w:szCs w:val="18"/>
              </w:rPr>
              <w:t>（上海市引进技术的吸收与创新年度计划</w:t>
            </w:r>
          </w:p>
          <w:p>
            <w:pPr>
              <w:pStyle w:val="TableParagraph"/>
              <w:spacing w:line="240" w:lineRule="auto" w:before="74"/>
              <w:ind w:left="3269" w:right="0"/>
              <w:jc w:val="left"/>
              <w:rPr>
                <w:rFonts w:ascii="宋体" w:hAnsi="宋体" w:cs="宋体" w:eastAsia="宋体" w:hint="default"/>
                <w:sz w:val="18"/>
                <w:szCs w:val="18"/>
              </w:rPr>
            </w:pPr>
            <w:r>
              <w:rPr>
                <w:rFonts w:ascii="宋体" w:hAnsi="宋体" w:cs="宋体" w:eastAsia="宋体" w:hint="default"/>
                <w:sz w:val="18"/>
                <w:szCs w:val="18"/>
              </w:rPr>
              <w:t>项目合同，计划编号：</w:t>
            </w:r>
            <w:r>
              <w:rPr>
                <w:rFonts w:ascii="宋体" w:hAnsi="宋体" w:cs="宋体" w:eastAsia="宋体" w:hint="default"/>
                <w:sz w:val="18"/>
                <w:szCs w:val="18"/>
              </w:rPr>
              <w:t>12XI-15</w:t>
            </w:r>
            <w:r>
              <w:rPr>
                <w:rFonts w:ascii="宋体" w:hAnsi="宋体" w:cs="宋体" w:eastAsia="宋体" w:hint="default"/>
                <w:sz w:val="18"/>
                <w:szCs w:val="18"/>
              </w:rPr>
              <w:t>）</w:t>
            </w:r>
          </w:p>
        </w:tc>
      </w:tr>
      <w:tr>
        <w:trPr>
          <w:trHeight w:val="559" w:hRule="exact"/>
        </w:trPr>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0" w:right="0"/>
              <w:jc w:val="left"/>
              <w:rPr>
                <w:rFonts w:ascii="宋体" w:hAnsi="宋体" w:cs="宋体" w:eastAsia="宋体" w:hint="default"/>
                <w:sz w:val="18"/>
                <w:szCs w:val="18"/>
              </w:rPr>
            </w:pPr>
            <w:r>
              <w:rPr>
                <w:rFonts w:ascii="宋体" w:hAnsi="宋体" w:cs="宋体" w:eastAsia="宋体" w:hint="default"/>
                <w:sz w:val="18"/>
                <w:szCs w:val="18"/>
              </w:rPr>
              <w:t>科研技术补贴</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77"/>
              <w:jc w:val="right"/>
              <w:rPr>
                <w:rFonts w:ascii="宋体" w:hAnsi="宋体" w:cs="宋体" w:eastAsia="宋体" w:hint="default"/>
                <w:sz w:val="18"/>
                <w:szCs w:val="18"/>
              </w:rPr>
            </w:pPr>
            <w:r>
              <w:rPr>
                <w:rFonts w:ascii="宋体"/>
                <w:spacing w:val="-1"/>
                <w:sz w:val="18"/>
              </w:rPr>
              <w:t>40,000.00</w:t>
            </w:r>
          </w:p>
        </w:tc>
        <w:tc>
          <w:tcPr>
            <w:tcW w:w="5987" w:type="dxa"/>
            <w:tcBorders>
              <w:top w:val="nil" w:sz="6" w:space="0" w:color="auto"/>
              <w:left w:val="nil" w:sz="6" w:space="0" w:color="auto"/>
              <w:bottom w:val="nil" w:sz="6" w:space="0" w:color="auto"/>
              <w:right w:val="nil" w:sz="6" w:space="0" w:color="auto"/>
            </w:tcBorders>
          </w:tcPr>
          <w:p>
            <w:pPr>
              <w:pStyle w:val="TableParagraph"/>
              <w:spacing w:line="211" w:lineRule="exact"/>
              <w:ind w:right="107"/>
              <w:jc w:val="right"/>
              <w:rPr>
                <w:rFonts w:ascii="宋体" w:hAnsi="宋体" w:cs="宋体" w:eastAsia="宋体" w:hint="default"/>
                <w:sz w:val="18"/>
                <w:szCs w:val="18"/>
              </w:rPr>
            </w:pPr>
            <w:r>
              <w:rPr>
                <w:rFonts w:ascii="宋体" w:hAnsi="宋体" w:cs="宋体" w:eastAsia="宋体" w:hint="default"/>
                <w:spacing w:val="-3"/>
                <w:sz w:val="18"/>
                <w:szCs w:val="18"/>
              </w:rPr>
              <w:t>上海市科学技术委员会（浦东新区科技发展基金创新资金项目，课题编</w:t>
            </w:r>
          </w:p>
          <w:p>
            <w:pPr>
              <w:pStyle w:val="TableParagraph"/>
              <w:spacing w:line="240" w:lineRule="auto" w:before="76"/>
              <w:ind w:right="101"/>
              <w:jc w:val="right"/>
              <w:rPr>
                <w:rFonts w:ascii="宋体" w:hAnsi="宋体" w:cs="宋体" w:eastAsia="宋体" w:hint="default"/>
                <w:sz w:val="18"/>
                <w:szCs w:val="18"/>
              </w:rPr>
            </w:pPr>
            <w:r>
              <w:rPr>
                <w:rFonts w:ascii="宋体" w:hAnsi="宋体" w:cs="宋体" w:eastAsia="宋体" w:hint="default"/>
                <w:w w:val="95"/>
                <w:sz w:val="18"/>
                <w:szCs w:val="18"/>
              </w:rPr>
              <w:t>号：</w:t>
            </w:r>
            <w:r>
              <w:rPr>
                <w:rFonts w:ascii="宋体" w:hAnsi="宋体" w:cs="宋体" w:eastAsia="宋体" w:hint="default"/>
                <w:w w:val="95"/>
                <w:sz w:val="18"/>
                <w:szCs w:val="18"/>
              </w:rPr>
              <w:t>09QT1403500</w:t>
            </w:r>
            <w:r>
              <w:rPr>
                <w:rFonts w:ascii="宋体" w:hAnsi="宋体" w:cs="宋体" w:eastAsia="宋体" w:hint="default"/>
                <w:w w:val="95"/>
                <w:sz w:val="18"/>
                <w:szCs w:val="18"/>
              </w:rPr>
              <w:t>）</w:t>
            </w:r>
          </w:p>
        </w:tc>
      </w:tr>
      <w:tr>
        <w:trPr>
          <w:trHeight w:val="216" w:hRule="exact"/>
        </w:trPr>
        <w:tc>
          <w:tcPr>
            <w:tcW w:w="1796" w:type="dxa"/>
            <w:tcBorders>
              <w:top w:val="nil" w:sz="6" w:space="0" w:color="auto"/>
              <w:left w:val="nil" w:sz="6" w:space="0" w:color="auto"/>
              <w:bottom w:val="nil" w:sz="6" w:space="0" w:color="auto"/>
              <w:right w:val="nil" w:sz="6" w:space="0" w:color="auto"/>
            </w:tcBorders>
          </w:tcPr>
          <w:p>
            <w:pPr>
              <w:pStyle w:val="TableParagraph"/>
              <w:spacing w:line="216" w:lineRule="exact"/>
              <w:ind w:left="1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6" w:type="dxa"/>
            <w:tcBorders>
              <w:top w:val="nil" w:sz="6" w:space="0" w:color="auto"/>
              <w:left w:val="nil" w:sz="6" w:space="0" w:color="auto"/>
              <w:bottom w:val="nil" w:sz="6" w:space="0" w:color="auto"/>
              <w:right w:val="nil" w:sz="6" w:space="0" w:color="auto"/>
            </w:tcBorders>
          </w:tcPr>
          <w:p>
            <w:pPr>
              <w:pStyle w:val="TableParagraph"/>
              <w:spacing w:line="216" w:lineRule="exact"/>
              <w:ind w:right="377"/>
              <w:jc w:val="right"/>
              <w:rPr>
                <w:rFonts w:ascii="宋体" w:hAnsi="宋体" w:cs="宋体" w:eastAsia="宋体" w:hint="default"/>
                <w:sz w:val="18"/>
                <w:szCs w:val="18"/>
              </w:rPr>
            </w:pPr>
            <w:r>
              <w:rPr>
                <w:rFonts w:ascii="宋体"/>
                <w:sz w:val="18"/>
              </w:rPr>
            </w:r>
            <w:r>
              <w:rPr>
                <w:rFonts w:ascii="宋体"/>
                <w:spacing w:val="-1"/>
                <w:sz w:val="18"/>
                <w:u w:val="thick" w:color="000000"/>
              </w:rPr>
              <w:t>440,000.00</w:t>
            </w:r>
            <w:r>
              <w:rPr>
                <w:rFonts w:ascii="宋体"/>
                <w:spacing w:val="-1"/>
                <w:sz w:val="18"/>
              </w:rPr>
            </w:r>
          </w:p>
        </w:tc>
        <w:tc>
          <w:tcPr>
            <w:tcW w:w="5987"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1340" w:top="1100" w:bottom="1540" w:left="980" w:right="0"/>
        </w:sectPr>
      </w:pPr>
    </w:p>
    <w:p>
      <w:pPr>
        <w:spacing w:line="240" w:lineRule="auto" w:before="2"/>
        <w:rPr>
          <w:rFonts w:ascii="宋体" w:hAnsi="宋体" w:cs="宋体" w:eastAsia="宋体" w:hint="default"/>
          <w:sz w:val="27"/>
          <w:szCs w:val="27"/>
        </w:rPr>
      </w:pPr>
    </w:p>
    <w:p>
      <w:pPr>
        <w:pStyle w:val="BodyText"/>
        <w:spacing w:line="240" w:lineRule="auto" w:before="44"/>
        <w:ind w:left="513" w:right="981"/>
        <w:jc w:val="left"/>
      </w:pPr>
      <w:r>
        <w:rPr/>
        <w:t>（</w:t>
      </w:r>
      <w:r>
        <w:rPr>
          <w:rFonts w:ascii="宋体" w:hAnsi="宋体" w:cs="宋体" w:eastAsia="宋体" w:hint="default"/>
        </w:rPr>
        <w:t>3</w:t>
      </w:r>
      <w:r>
        <w:rPr/>
        <w:t>）本期营业外收入较上年同期减少</w:t>
      </w:r>
      <w:r>
        <w:rPr>
          <w:spacing w:val="-48"/>
        </w:rPr>
        <w:t> </w:t>
      </w:r>
      <w:r>
        <w:rPr>
          <w:rFonts w:ascii="宋体" w:hAnsi="宋体" w:cs="宋体" w:eastAsia="宋体" w:hint="default"/>
        </w:rPr>
        <w:t>1,971,048.47</w:t>
      </w:r>
      <w:r>
        <w:rPr>
          <w:rFonts w:ascii="宋体" w:hAnsi="宋体" w:cs="宋体" w:eastAsia="宋体" w:hint="default"/>
          <w:spacing w:val="-47"/>
        </w:rPr>
        <w:t> </w:t>
      </w:r>
      <w:r>
        <w:rPr/>
        <w:t>元，减少</w:t>
      </w:r>
      <w:r>
        <w:rPr>
          <w:spacing w:val="-48"/>
        </w:rPr>
        <w:t> </w:t>
      </w:r>
      <w:r>
        <w:rPr>
          <w:rFonts w:ascii="宋体" w:hAnsi="宋体" w:cs="宋体" w:eastAsia="宋体" w:hint="default"/>
        </w:rPr>
        <w:t>81.70%</w:t>
      </w:r>
      <w:r>
        <w:rPr/>
        <w:t>，主要系政府补贴收入减少所致。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4"/>
          <w:szCs w:val="24"/>
        </w:rPr>
      </w:pPr>
    </w:p>
    <w:p>
      <w:pPr>
        <w:pStyle w:val="BodyText"/>
        <w:spacing w:line="240" w:lineRule="auto"/>
        <w:ind w:left="513" w:right="981"/>
        <w:jc w:val="left"/>
      </w:pPr>
      <w:r>
        <w:rPr>
          <w:rFonts w:ascii="宋体" w:hAnsi="宋体" w:cs="宋体" w:eastAsia="宋体" w:hint="default"/>
        </w:rPr>
        <w:t>34.</w:t>
      </w:r>
      <w:r>
        <w:rPr/>
        <w:t>营业外支出</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w:t>
      </w:r>
      <w:r>
        <w:rPr>
          <w:rFonts w:ascii="宋体" w:hAnsi="宋体" w:cs="宋体" w:eastAsia="宋体" w:hint="default"/>
        </w:rPr>
        <w:t>1</w:t>
      </w:r>
      <w:r>
        <w:rPr/>
        <w:t>）分类列示</w:t>
      </w:r>
    </w:p>
    <w:p>
      <w:pPr>
        <w:spacing w:line="240" w:lineRule="auto" w:before="6"/>
        <w:rPr>
          <w:rFonts w:ascii="宋体" w:hAnsi="宋体" w:cs="宋体" w:eastAsia="宋体" w:hint="default"/>
          <w:sz w:val="23"/>
          <w:szCs w:val="23"/>
        </w:rPr>
      </w:pPr>
    </w:p>
    <w:tbl>
      <w:tblPr>
        <w:tblW w:w="0" w:type="auto"/>
        <w:jc w:val="left"/>
        <w:tblInd w:w="220" w:type="dxa"/>
        <w:tblLayout w:type="fixed"/>
        <w:tblCellMar>
          <w:top w:w="0" w:type="dxa"/>
          <w:left w:w="0" w:type="dxa"/>
          <w:bottom w:w="0" w:type="dxa"/>
          <w:right w:w="0" w:type="dxa"/>
        </w:tblCellMar>
        <w:tblLook w:val="01E0"/>
      </w:tblPr>
      <w:tblGrid>
        <w:gridCol w:w="2324"/>
        <w:gridCol w:w="1780"/>
        <w:gridCol w:w="2210"/>
        <w:gridCol w:w="3192"/>
      </w:tblGrid>
      <w:tr>
        <w:trPr>
          <w:trHeight w:val="296" w:hRule="exact"/>
        </w:trPr>
        <w:tc>
          <w:tcPr>
            <w:tcW w:w="2324" w:type="dxa"/>
            <w:tcBorders>
              <w:top w:val="nil" w:sz="6" w:space="0" w:color="auto"/>
              <w:left w:val="nil" w:sz="6" w:space="0" w:color="auto"/>
              <w:bottom w:val="single" w:sz="4" w:space="0" w:color="000000"/>
              <w:right w:val="nil" w:sz="6" w:space="0" w:color="auto"/>
            </w:tcBorders>
          </w:tcPr>
          <w:p>
            <w:pPr>
              <w:pStyle w:val="TableParagraph"/>
              <w:spacing w:line="180" w:lineRule="exact"/>
              <w:ind w:right="108"/>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80" w:type="dxa"/>
            <w:tcBorders>
              <w:top w:val="nil" w:sz="6" w:space="0" w:color="auto"/>
              <w:left w:val="nil" w:sz="6" w:space="0" w:color="auto"/>
              <w:bottom w:val="single" w:sz="4" w:space="0" w:color="000000"/>
              <w:right w:val="nil" w:sz="6" w:space="0" w:color="auto"/>
            </w:tcBorders>
          </w:tcPr>
          <w:p>
            <w:pPr>
              <w:pStyle w:val="TableParagraph"/>
              <w:spacing w:line="182" w:lineRule="exact"/>
              <w:ind w:left="23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210" w:type="dxa"/>
            <w:tcBorders>
              <w:top w:val="nil" w:sz="6" w:space="0" w:color="auto"/>
              <w:left w:val="nil" w:sz="6" w:space="0" w:color="auto"/>
              <w:bottom w:val="single" w:sz="4" w:space="0" w:color="000000"/>
              <w:right w:val="nil" w:sz="6" w:space="0" w:color="auto"/>
            </w:tcBorders>
          </w:tcPr>
          <w:p>
            <w:pPr>
              <w:pStyle w:val="TableParagraph"/>
              <w:spacing w:line="182" w:lineRule="exact"/>
              <w:ind w:left="401"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3192" w:type="dxa"/>
            <w:tcBorders>
              <w:top w:val="nil" w:sz="6" w:space="0" w:color="auto"/>
              <w:left w:val="nil" w:sz="6" w:space="0" w:color="auto"/>
              <w:bottom w:val="single" w:sz="4" w:space="0" w:color="000000"/>
              <w:right w:val="nil" w:sz="6" w:space="0" w:color="auto"/>
            </w:tcBorders>
          </w:tcPr>
          <w:p>
            <w:pPr>
              <w:pStyle w:val="TableParagraph"/>
              <w:spacing w:line="182" w:lineRule="exact"/>
              <w:ind w:left="316" w:right="0"/>
              <w:jc w:val="left"/>
              <w:rPr>
                <w:rFonts w:ascii="宋体" w:hAnsi="宋体" w:cs="宋体" w:eastAsia="宋体" w:hint="default"/>
                <w:sz w:val="18"/>
                <w:szCs w:val="18"/>
              </w:rPr>
            </w:pPr>
            <w:r>
              <w:rPr>
                <w:rFonts w:ascii="宋体" w:hAnsi="宋体" w:cs="宋体" w:eastAsia="宋体" w:hint="default"/>
                <w:b/>
                <w:bCs/>
                <w:sz w:val="18"/>
                <w:szCs w:val="18"/>
              </w:rPr>
              <w:t>计入当期非经常性损益的金额</w:t>
            </w:r>
            <w:r>
              <w:rPr>
                <w:rFonts w:ascii="宋体" w:hAnsi="宋体" w:cs="宋体" w:eastAsia="宋体" w:hint="default"/>
                <w:sz w:val="18"/>
                <w:szCs w:val="18"/>
              </w:rPr>
            </w:r>
          </w:p>
        </w:tc>
      </w:tr>
      <w:tr>
        <w:trPr>
          <w:trHeight w:val="393" w:hRule="exact"/>
        </w:trPr>
        <w:tc>
          <w:tcPr>
            <w:tcW w:w="232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08"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1780"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399"/>
              <w:jc w:val="right"/>
              <w:rPr>
                <w:rFonts w:ascii="宋体" w:hAnsi="宋体" w:cs="宋体" w:eastAsia="宋体" w:hint="default"/>
                <w:sz w:val="18"/>
                <w:szCs w:val="18"/>
              </w:rPr>
            </w:pPr>
            <w:r>
              <w:rPr>
                <w:rFonts w:ascii="宋体"/>
                <w:spacing w:val="-1"/>
                <w:sz w:val="18"/>
              </w:rPr>
              <w:t>56,120.50</w:t>
            </w:r>
          </w:p>
        </w:tc>
        <w:tc>
          <w:tcPr>
            <w:tcW w:w="2210" w:type="dxa"/>
            <w:tcBorders>
              <w:top w:val="single" w:sz="4" w:space="0" w:color="000000"/>
              <w:left w:val="nil" w:sz="6" w:space="0" w:color="auto"/>
              <w:bottom w:val="nil" w:sz="6" w:space="0" w:color="auto"/>
              <w:right w:val="nil" w:sz="6" w:space="0" w:color="auto"/>
            </w:tcBorders>
          </w:tcPr>
          <w:p>
            <w:pPr/>
          </w:p>
        </w:tc>
        <w:tc>
          <w:tcPr>
            <w:tcW w:w="319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5"/>
              <w:jc w:val="right"/>
              <w:rPr>
                <w:rFonts w:ascii="宋体" w:hAnsi="宋体" w:cs="宋体" w:eastAsia="宋体" w:hint="default"/>
                <w:sz w:val="18"/>
                <w:szCs w:val="18"/>
              </w:rPr>
            </w:pPr>
            <w:r>
              <w:rPr>
                <w:rFonts w:ascii="宋体"/>
                <w:spacing w:val="-1"/>
                <w:sz w:val="18"/>
              </w:rPr>
              <w:t>56,120.50</w:t>
            </w:r>
          </w:p>
        </w:tc>
      </w:tr>
      <w:tr>
        <w:trPr>
          <w:trHeight w:val="395" w:hRule="exact"/>
        </w:trPr>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99"/>
              <w:jc w:val="right"/>
              <w:rPr>
                <w:rFonts w:ascii="宋体" w:hAnsi="宋体" w:cs="宋体" w:eastAsia="宋体" w:hint="default"/>
                <w:sz w:val="18"/>
                <w:szCs w:val="18"/>
              </w:rPr>
            </w:pPr>
            <w:r>
              <w:rPr>
                <w:rFonts w:ascii="宋体"/>
                <w:spacing w:val="-1"/>
                <w:sz w:val="18"/>
              </w:rPr>
              <w:t>56,120.50</w:t>
            </w:r>
          </w:p>
        </w:tc>
        <w:tc>
          <w:tcPr>
            <w:tcW w:w="2210" w:type="dxa"/>
            <w:tcBorders>
              <w:top w:val="nil" w:sz="6" w:space="0" w:color="auto"/>
              <w:left w:val="nil" w:sz="6" w:space="0" w:color="auto"/>
              <w:bottom w:val="nil" w:sz="6" w:space="0" w:color="auto"/>
              <w:right w:val="nil" w:sz="6" w:space="0" w:color="auto"/>
            </w:tcBorders>
          </w:tcPr>
          <w:p>
            <w:pPr/>
          </w:p>
        </w:tc>
        <w:tc>
          <w:tcPr>
            <w:tcW w:w="319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56,120.50</w:t>
            </w:r>
          </w:p>
        </w:tc>
      </w:tr>
      <w:tr>
        <w:trPr>
          <w:trHeight w:val="398" w:hRule="exact"/>
        </w:trPr>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赔偿金</w:t>
            </w:r>
          </w:p>
        </w:tc>
        <w:tc>
          <w:tcPr>
            <w:tcW w:w="1780"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4"/>
              <w:jc w:val="right"/>
              <w:rPr>
                <w:rFonts w:ascii="宋体" w:hAnsi="宋体" w:cs="宋体" w:eastAsia="宋体" w:hint="default"/>
                <w:sz w:val="18"/>
                <w:szCs w:val="18"/>
              </w:rPr>
            </w:pPr>
            <w:r>
              <w:rPr>
                <w:rFonts w:ascii="宋体"/>
                <w:spacing w:val="-1"/>
                <w:sz w:val="18"/>
              </w:rPr>
              <w:t>47,700.00</w:t>
            </w:r>
          </w:p>
        </w:tc>
        <w:tc>
          <w:tcPr>
            <w:tcW w:w="3192" w:type="dxa"/>
            <w:tcBorders>
              <w:top w:val="nil" w:sz="6" w:space="0" w:color="auto"/>
              <w:left w:val="nil" w:sz="6" w:space="0" w:color="auto"/>
              <w:bottom w:val="nil" w:sz="6" w:space="0" w:color="auto"/>
              <w:right w:val="nil" w:sz="6" w:space="0" w:color="auto"/>
            </w:tcBorders>
          </w:tcPr>
          <w:p>
            <w:pPr/>
          </w:p>
        </w:tc>
      </w:tr>
      <w:tr>
        <w:trPr>
          <w:trHeight w:val="396" w:hRule="exact"/>
        </w:trPr>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99"/>
              <w:jc w:val="right"/>
              <w:rPr>
                <w:rFonts w:ascii="宋体" w:hAnsi="宋体" w:cs="宋体" w:eastAsia="宋体" w:hint="default"/>
                <w:sz w:val="18"/>
                <w:szCs w:val="18"/>
              </w:rPr>
            </w:pPr>
            <w:r>
              <w:rPr>
                <w:rFonts w:ascii="宋体"/>
                <w:spacing w:val="-1"/>
                <w:sz w:val="18"/>
              </w:rPr>
              <w:t>1,212.00</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4"/>
              <w:jc w:val="right"/>
              <w:rPr>
                <w:rFonts w:ascii="宋体" w:hAnsi="宋体" w:cs="宋体" w:eastAsia="宋体" w:hint="default"/>
                <w:sz w:val="18"/>
                <w:szCs w:val="18"/>
              </w:rPr>
            </w:pPr>
            <w:r>
              <w:rPr>
                <w:rFonts w:ascii="宋体"/>
                <w:spacing w:val="-1"/>
                <w:sz w:val="18"/>
              </w:rPr>
              <w:t>7,000.00</w:t>
            </w:r>
          </w:p>
        </w:tc>
        <w:tc>
          <w:tcPr>
            <w:tcW w:w="31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1,212.00</w:t>
            </w:r>
          </w:p>
        </w:tc>
      </w:tr>
      <w:tr>
        <w:trPr>
          <w:trHeight w:val="288" w:hRule="exact"/>
        </w:trPr>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99"/>
              <w:jc w:val="right"/>
              <w:rPr>
                <w:rFonts w:ascii="宋体" w:hAnsi="宋体" w:cs="宋体" w:eastAsia="宋体" w:hint="default"/>
                <w:sz w:val="18"/>
                <w:szCs w:val="18"/>
              </w:rPr>
            </w:pPr>
            <w:r>
              <w:rPr>
                <w:rFonts w:ascii="宋体"/>
                <w:sz w:val="18"/>
              </w:rPr>
            </w:r>
            <w:r>
              <w:rPr>
                <w:rFonts w:ascii="宋体"/>
                <w:spacing w:val="-1"/>
                <w:sz w:val="18"/>
                <w:u w:val="thick" w:color="000000"/>
              </w:rPr>
              <w:t>57,332.50</w:t>
            </w:r>
            <w:r>
              <w:rPr>
                <w:rFonts w:ascii="宋体"/>
                <w:spacing w:val="-1"/>
                <w:sz w:val="18"/>
              </w:rPr>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4"/>
              <w:jc w:val="right"/>
              <w:rPr>
                <w:rFonts w:ascii="宋体" w:hAnsi="宋体" w:cs="宋体" w:eastAsia="宋体" w:hint="default"/>
                <w:sz w:val="18"/>
                <w:szCs w:val="18"/>
              </w:rPr>
            </w:pPr>
            <w:r>
              <w:rPr>
                <w:rFonts w:ascii="宋体"/>
                <w:sz w:val="18"/>
              </w:rPr>
            </w:r>
            <w:r>
              <w:rPr>
                <w:rFonts w:ascii="宋体"/>
                <w:spacing w:val="-1"/>
                <w:sz w:val="18"/>
                <w:u w:val="thick" w:color="000000"/>
              </w:rPr>
              <w:t>54,700.00</w:t>
            </w:r>
            <w:r>
              <w:rPr>
                <w:rFonts w:ascii="宋体"/>
                <w:spacing w:val="-1"/>
                <w:sz w:val="18"/>
              </w:rPr>
            </w:r>
          </w:p>
        </w:tc>
        <w:tc>
          <w:tcPr>
            <w:tcW w:w="319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r>
            <w:r>
              <w:rPr>
                <w:rFonts w:ascii="宋体"/>
                <w:spacing w:val="-1"/>
                <w:sz w:val="18"/>
                <w:u w:val="thick" w:color="000000"/>
              </w:rPr>
              <w:t>57,332.50</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ind w:left="513" w:right="981"/>
        <w:jc w:val="left"/>
      </w:pPr>
      <w:r>
        <w:rPr>
          <w:rFonts w:ascii="宋体" w:hAnsi="宋体" w:cs="宋体" w:eastAsia="宋体" w:hint="default"/>
        </w:rPr>
        <w:t>35.</w:t>
      </w:r>
      <w:r>
        <w:rPr/>
        <w:t>所得税费用</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w:t>
      </w:r>
      <w:r>
        <w:rPr>
          <w:rFonts w:ascii="宋体" w:hAnsi="宋体" w:cs="宋体" w:eastAsia="宋体" w:hint="default"/>
        </w:rPr>
        <w:t>1</w:t>
      </w:r>
      <w:r>
        <w:rPr/>
        <w:t>）分类列示</w:t>
      </w:r>
    </w:p>
    <w:p>
      <w:pPr>
        <w:spacing w:line="240" w:lineRule="auto" w:before="9"/>
        <w:rPr>
          <w:rFonts w:ascii="宋体" w:hAnsi="宋体" w:cs="宋体" w:eastAsia="宋体" w:hint="default"/>
          <w:sz w:val="23"/>
          <w:szCs w:val="23"/>
        </w:rPr>
      </w:pPr>
    </w:p>
    <w:tbl>
      <w:tblPr>
        <w:tblW w:w="0" w:type="auto"/>
        <w:jc w:val="left"/>
        <w:tblInd w:w="157" w:type="dxa"/>
        <w:tblLayout w:type="fixed"/>
        <w:tblCellMar>
          <w:top w:w="0" w:type="dxa"/>
          <w:left w:w="0" w:type="dxa"/>
          <w:bottom w:w="0" w:type="dxa"/>
          <w:right w:w="0" w:type="dxa"/>
        </w:tblCellMar>
        <w:tblLook w:val="01E0"/>
      </w:tblPr>
      <w:tblGrid>
        <w:gridCol w:w="2984"/>
        <w:gridCol w:w="3906"/>
        <w:gridCol w:w="2741"/>
      </w:tblGrid>
      <w:tr>
        <w:trPr>
          <w:trHeight w:val="296" w:hRule="exact"/>
        </w:trPr>
        <w:tc>
          <w:tcPr>
            <w:tcW w:w="2984" w:type="dxa"/>
            <w:tcBorders>
              <w:top w:val="nil" w:sz="6" w:space="0" w:color="auto"/>
              <w:left w:val="nil" w:sz="6" w:space="0" w:color="auto"/>
              <w:bottom w:val="single" w:sz="4" w:space="0" w:color="000000"/>
              <w:right w:val="nil" w:sz="6" w:space="0" w:color="auto"/>
            </w:tcBorders>
          </w:tcPr>
          <w:p>
            <w:pPr>
              <w:pStyle w:val="TableParagraph"/>
              <w:spacing w:line="180" w:lineRule="exact"/>
              <w:ind w:left="7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06" w:type="dxa"/>
            <w:tcBorders>
              <w:top w:val="nil" w:sz="6" w:space="0" w:color="auto"/>
              <w:left w:val="nil" w:sz="6" w:space="0" w:color="auto"/>
              <w:bottom w:val="single" w:sz="4" w:space="0" w:color="000000"/>
              <w:right w:val="nil" w:sz="6" w:space="0" w:color="auto"/>
            </w:tcBorders>
          </w:tcPr>
          <w:p>
            <w:pPr>
              <w:pStyle w:val="TableParagraph"/>
              <w:spacing w:line="180" w:lineRule="exact"/>
              <w:ind w:left="126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741" w:type="dxa"/>
            <w:tcBorders>
              <w:top w:val="nil" w:sz="6" w:space="0" w:color="auto"/>
              <w:left w:val="nil" w:sz="6" w:space="0" w:color="auto"/>
              <w:bottom w:val="single" w:sz="4" w:space="0" w:color="000000"/>
              <w:right w:val="nil" w:sz="6" w:space="0" w:color="auto"/>
            </w:tcBorders>
          </w:tcPr>
          <w:p>
            <w:pPr>
              <w:pStyle w:val="TableParagraph"/>
              <w:spacing w:line="180" w:lineRule="exact"/>
              <w:ind w:left="64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93" w:hRule="exact"/>
        </w:trPr>
        <w:tc>
          <w:tcPr>
            <w:tcW w:w="2984"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sz w:val="18"/>
                <w:szCs w:val="18"/>
              </w:rPr>
              <w:t>本期所得税费用</w:t>
            </w:r>
          </w:p>
        </w:tc>
        <w:tc>
          <w:tcPr>
            <w:tcW w:w="390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645"/>
              <w:jc w:val="right"/>
              <w:rPr>
                <w:rFonts w:ascii="宋体" w:hAnsi="宋体" w:cs="宋体" w:eastAsia="宋体" w:hint="default"/>
                <w:sz w:val="18"/>
                <w:szCs w:val="18"/>
              </w:rPr>
            </w:pPr>
            <w:r>
              <w:rPr>
                <w:rFonts w:ascii="宋体"/>
                <w:spacing w:val="-1"/>
                <w:sz w:val="18"/>
              </w:rPr>
              <w:t>8,009,873.45</w:t>
            </w:r>
          </w:p>
        </w:tc>
        <w:tc>
          <w:tcPr>
            <w:tcW w:w="274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4"/>
              <w:jc w:val="right"/>
              <w:rPr>
                <w:rFonts w:ascii="宋体" w:hAnsi="宋体" w:cs="宋体" w:eastAsia="宋体" w:hint="default"/>
                <w:sz w:val="18"/>
                <w:szCs w:val="18"/>
              </w:rPr>
            </w:pPr>
            <w:r>
              <w:rPr>
                <w:rFonts w:ascii="宋体"/>
                <w:spacing w:val="-1"/>
                <w:sz w:val="18"/>
              </w:rPr>
              <w:t>7,537,077.86</w:t>
            </w:r>
          </w:p>
        </w:tc>
      </w:tr>
      <w:tr>
        <w:trPr>
          <w:trHeight w:val="394"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906" w:type="dxa"/>
            <w:tcBorders>
              <w:top w:val="nil" w:sz="6" w:space="0" w:color="auto"/>
              <w:left w:val="nil" w:sz="6" w:space="0" w:color="auto"/>
              <w:bottom w:val="nil" w:sz="6" w:space="0" w:color="auto"/>
              <w:right w:val="nil" w:sz="6" w:space="0" w:color="auto"/>
            </w:tcBorders>
          </w:tcPr>
          <w:p>
            <w:pPr/>
          </w:p>
        </w:tc>
        <w:tc>
          <w:tcPr>
            <w:tcW w:w="274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916,752.48</w:t>
            </w:r>
          </w:p>
        </w:tc>
      </w:tr>
      <w:tr>
        <w:trPr>
          <w:trHeight w:val="288"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9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5"/>
              <w:jc w:val="right"/>
              <w:rPr>
                <w:rFonts w:ascii="宋体" w:hAnsi="宋体" w:cs="宋体" w:eastAsia="宋体" w:hint="default"/>
                <w:sz w:val="18"/>
                <w:szCs w:val="18"/>
              </w:rPr>
            </w:pPr>
            <w:r>
              <w:rPr>
                <w:rFonts w:ascii="宋体"/>
                <w:sz w:val="18"/>
              </w:rPr>
            </w:r>
            <w:r>
              <w:rPr>
                <w:rFonts w:ascii="宋体"/>
                <w:spacing w:val="-1"/>
                <w:sz w:val="18"/>
                <w:u w:val="thick" w:color="000000"/>
              </w:rPr>
              <w:t>8,009,873.45</w:t>
            </w:r>
            <w:r>
              <w:rPr>
                <w:rFonts w:ascii="宋体"/>
                <w:spacing w:val="-1"/>
                <w:sz w:val="18"/>
              </w:rPr>
            </w:r>
          </w:p>
        </w:tc>
        <w:tc>
          <w:tcPr>
            <w:tcW w:w="27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r>
            <w:r>
              <w:rPr>
                <w:rFonts w:ascii="宋体"/>
                <w:spacing w:val="-1"/>
                <w:sz w:val="18"/>
                <w:u w:val="thick" w:color="000000"/>
              </w:rPr>
              <w:t>8,453,830.34</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ind w:left="513" w:right="981"/>
        <w:jc w:val="left"/>
      </w:pPr>
      <w:r>
        <w:rPr/>
        <w:t>（</w:t>
      </w:r>
      <w:r>
        <w:rPr>
          <w:rFonts w:ascii="宋体" w:hAnsi="宋体" w:cs="宋体" w:eastAsia="宋体" w:hint="default"/>
        </w:rPr>
        <w:t>3</w:t>
      </w:r>
      <w:r>
        <w:rPr/>
        <w:t>）所得税费用（收益）与会计利润关系的说明</w:t>
      </w:r>
    </w:p>
    <w:p>
      <w:pPr>
        <w:spacing w:line="240" w:lineRule="auto" w:before="6"/>
        <w:rPr>
          <w:rFonts w:ascii="宋体" w:hAnsi="宋体" w:cs="宋体" w:eastAsia="宋体" w:hint="default"/>
          <w:sz w:val="23"/>
          <w:szCs w:val="23"/>
        </w:rPr>
      </w:pPr>
    </w:p>
    <w:tbl>
      <w:tblPr>
        <w:tblW w:w="0" w:type="auto"/>
        <w:jc w:val="left"/>
        <w:tblInd w:w="188" w:type="dxa"/>
        <w:tblLayout w:type="fixed"/>
        <w:tblCellMar>
          <w:top w:w="0" w:type="dxa"/>
          <w:left w:w="0" w:type="dxa"/>
          <w:bottom w:w="0" w:type="dxa"/>
          <w:right w:w="0" w:type="dxa"/>
        </w:tblCellMar>
        <w:tblLook w:val="01E0"/>
      </w:tblPr>
      <w:tblGrid>
        <w:gridCol w:w="4634"/>
        <w:gridCol w:w="2813"/>
        <w:gridCol w:w="2119"/>
      </w:tblGrid>
      <w:tr>
        <w:trPr>
          <w:trHeight w:val="296" w:hRule="exact"/>
        </w:trPr>
        <w:tc>
          <w:tcPr>
            <w:tcW w:w="4634" w:type="dxa"/>
            <w:tcBorders>
              <w:top w:val="nil" w:sz="6" w:space="0" w:color="auto"/>
              <w:left w:val="nil" w:sz="6" w:space="0" w:color="auto"/>
              <w:bottom w:val="single" w:sz="4" w:space="0" w:color="000000"/>
              <w:right w:val="nil" w:sz="6" w:space="0" w:color="auto"/>
            </w:tcBorders>
          </w:tcPr>
          <w:p>
            <w:pPr>
              <w:pStyle w:val="TableParagraph"/>
              <w:spacing w:line="180" w:lineRule="exact"/>
              <w:ind w:right="20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13" w:type="dxa"/>
            <w:tcBorders>
              <w:top w:val="nil" w:sz="6" w:space="0" w:color="auto"/>
              <w:left w:val="nil" w:sz="6" w:space="0" w:color="auto"/>
              <w:bottom w:val="single" w:sz="4" w:space="0" w:color="000000"/>
              <w:right w:val="nil" w:sz="6" w:space="0" w:color="auto"/>
            </w:tcBorders>
          </w:tcPr>
          <w:p>
            <w:pPr>
              <w:pStyle w:val="TableParagraph"/>
              <w:spacing w:line="180" w:lineRule="exact"/>
              <w:ind w:left="743"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119" w:type="dxa"/>
            <w:tcBorders>
              <w:top w:val="nil" w:sz="6" w:space="0" w:color="auto"/>
              <w:left w:val="nil" w:sz="6" w:space="0" w:color="auto"/>
              <w:bottom w:val="single" w:sz="4" w:space="0" w:color="000000"/>
              <w:right w:val="nil" w:sz="6" w:space="0" w:color="auto"/>
            </w:tcBorders>
          </w:tcPr>
          <w:p>
            <w:pPr>
              <w:pStyle w:val="TableParagraph"/>
              <w:spacing w:line="180" w:lineRule="exact"/>
              <w:ind w:left="501"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00" w:hRule="exact"/>
        </w:trPr>
        <w:tc>
          <w:tcPr>
            <w:tcW w:w="463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81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500"/>
              <w:jc w:val="right"/>
              <w:rPr>
                <w:rFonts w:ascii="宋体" w:hAnsi="宋体" w:cs="宋体" w:eastAsia="宋体" w:hint="default"/>
                <w:sz w:val="18"/>
                <w:szCs w:val="18"/>
              </w:rPr>
            </w:pPr>
            <w:r>
              <w:rPr>
                <w:rFonts w:ascii="宋体"/>
                <w:spacing w:val="-1"/>
                <w:sz w:val="18"/>
              </w:rPr>
              <w:t>53,550,945.32</w:t>
            </w:r>
          </w:p>
        </w:tc>
        <w:tc>
          <w:tcPr>
            <w:tcW w:w="211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50,526,013.40</w:t>
            </w:r>
          </w:p>
        </w:tc>
      </w:tr>
      <w:tr>
        <w:trPr>
          <w:trHeight w:val="396" w:hRule="exact"/>
        </w:trPr>
        <w:tc>
          <w:tcPr>
            <w:tcW w:w="463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按适用税率计算的所得税费用</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00"/>
              <w:jc w:val="right"/>
              <w:rPr>
                <w:rFonts w:ascii="宋体" w:hAnsi="宋体" w:cs="宋体" w:eastAsia="宋体" w:hint="default"/>
                <w:sz w:val="18"/>
                <w:szCs w:val="18"/>
              </w:rPr>
            </w:pPr>
            <w:r>
              <w:rPr>
                <w:rFonts w:ascii="宋体"/>
                <w:spacing w:val="-1"/>
                <w:sz w:val="18"/>
              </w:rPr>
              <w:t>8,032,641.80</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7,578,902.01</w:t>
            </w:r>
          </w:p>
        </w:tc>
      </w:tr>
      <w:tr>
        <w:trPr>
          <w:trHeight w:val="397" w:hRule="exact"/>
        </w:trPr>
        <w:tc>
          <w:tcPr>
            <w:tcW w:w="463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对以前期间当期所得税的调整</w:t>
            </w:r>
          </w:p>
        </w:tc>
        <w:tc>
          <w:tcPr>
            <w:tcW w:w="2813" w:type="dxa"/>
            <w:tcBorders>
              <w:top w:val="nil" w:sz="6" w:space="0" w:color="auto"/>
              <w:left w:val="nil" w:sz="6" w:space="0" w:color="auto"/>
              <w:bottom w:val="nil" w:sz="6" w:space="0" w:color="auto"/>
              <w:right w:val="nil" w:sz="6" w:space="0" w:color="auto"/>
            </w:tcBorders>
          </w:tcPr>
          <w:p>
            <w:pP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225,089.45</w:t>
            </w:r>
          </w:p>
        </w:tc>
      </w:tr>
      <w:tr>
        <w:trPr>
          <w:trHeight w:val="397" w:hRule="exact"/>
        </w:trPr>
        <w:tc>
          <w:tcPr>
            <w:tcW w:w="463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归属于合营企业和联营企业的损益</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00"/>
              <w:jc w:val="right"/>
              <w:rPr>
                <w:rFonts w:ascii="宋体" w:hAnsi="宋体" w:cs="宋体" w:eastAsia="宋体" w:hint="default"/>
                <w:sz w:val="18"/>
                <w:szCs w:val="18"/>
              </w:rPr>
            </w:pPr>
            <w:r>
              <w:rPr>
                <w:rFonts w:ascii="宋体"/>
                <w:spacing w:val="-1"/>
                <w:sz w:val="18"/>
              </w:rPr>
              <w:t>-241,939.85</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-244,770.87</w:t>
            </w:r>
          </w:p>
        </w:tc>
      </w:tr>
      <w:tr>
        <w:trPr>
          <w:trHeight w:val="398" w:hRule="exact"/>
        </w:trPr>
        <w:tc>
          <w:tcPr>
            <w:tcW w:w="463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无须纳税的收入</w:t>
            </w:r>
          </w:p>
        </w:tc>
        <w:tc>
          <w:tcPr>
            <w:tcW w:w="2813" w:type="dxa"/>
            <w:tcBorders>
              <w:top w:val="nil" w:sz="6" w:space="0" w:color="auto"/>
              <w:left w:val="nil" w:sz="6" w:space="0" w:color="auto"/>
              <w:bottom w:val="nil" w:sz="6" w:space="0" w:color="auto"/>
              <w:right w:val="nil" w:sz="6" w:space="0" w:color="auto"/>
            </w:tcBorders>
          </w:tcPr>
          <w:p>
            <w:pPr/>
          </w:p>
        </w:tc>
        <w:tc>
          <w:tcPr>
            <w:tcW w:w="2119" w:type="dxa"/>
            <w:tcBorders>
              <w:top w:val="nil" w:sz="6" w:space="0" w:color="auto"/>
              <w:left w:val="nil" w:sz="6" w:space="0" w:color="auto"/>
              <w:bottom w:val="nil" w:sz="6" w:space="0" w:color="auto"/>
              <w:right w:val="nil" w:sz="6" w:space="0" w:color="auto"/>
            </w:tcBorders>
          </w:tcPr>
          <w:p>
            <w:pPr/>
          </w:p>
        </w:tc>
      </w:tr>
      <w:tr>
        <w:trPr>
          <w:trHeight w:val="398" w:hRule="exact"/>
        </w:trPr>
        <w:tc>
          <w:tcPr>
            <w:tcW w:w="463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0" w:right="0"/>
              <w:jc w:val="left"/>
              <w:rPr>
                <w:rFonts w:ascii="宋体" w:hAnsi="宋体" w:cs="宋体" w:eastAsia="宋体" w:hint="default"/>
                <w:sz w:val="18"/>
                <w:szCs w:val="18"/>
              </w:rPr>
            </w:pPr>
            <w:r>
              <w:rPr>
                <w:rFonts w:ascii="宋体" w:hAnsi="宋体" w:cs="宋体" w:eastAsia="宋体" w:hint="default"/>
                <w:sz w:val="18"/>
                <w:szCs w:val="18"/>
              </w:rPr>
              <w:t>不可抵扣的费用</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99"/>
              <w:jc w:val="right"/>
              <w:rPr>
                <w:rFonts w:ascii="宋体" w:hAnsi="宋体" w:cs="宋体" w:eastAsia="宋体" w:hint="default"/>
                <w:sz w:val="18"/>
                <w:szCs w:val="18"/>
              </w:rPr>
            </w:pPr>
            <w:r>
              <w:rPr>
                <w:rFonts w:ascii="宋体"/>
                <w:spacing w:val="-1"/>
                <w:sz w:val="18"/>
              </w:rPr>
              <w:t>188,079.52</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2"/>
              <w:jc w:val="right"/>
              <w:rPr>
                <w:rFonts w:ascii="宋体" w:hAnsi="宋体" w:cs="宋体" w:eastAsia="宋体" w:hint="default"/>
                <w:sz w:val="18"/>
                <w:szCs w:val="18"/>
              </w:rPr>
            </w:pPr>
            <w:r>
              <w:rPr>
                <w:rFonts w:ascii="宋体"/>
                <w:spacing w:val="-1"/>
                <w:sz w:val="18"/>
              </w:rPr>
              <w:t>149,739.41</w:t>
            </w:r>
          </w:p>
        </w:tc>
      </w:tr>
      <w:tr>
        <w:trPr>
          <w:trHeight w:val="396" w:hRule="exact"/>
        </w:trPr>
        <w:tc>
          <w:tcPr>
            <w:tcW w:w="463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本期加计扣除费用</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00"/>
              <w:jc w:val="right"/>
              <w:rPr>
                <w:rFonts w:ascii="宋体" w:hAnsi="宋体" w:cs="宋体" w:eastAsia="宋体" w:hint="default"/>
                <w:sz w:val="18"/>
                <w:szCs w:val="18"/>
              </w:rPr>
            </w:pPr>
            <w:r>
              <w:rPr>
                <w:rFonts w:ascii="宋体"/>
                <w:spacing w:val="-1"/>
                <w:sz w:val="18"/>
              </w:rPr>
              <w:t>-331,334.04</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-301,697.31</w:t>
            </w:r>
          </w:p>
        </w:tc>
      </w:tr>
      <w:tr>
        <w:trPr>
          <w:trHeight w:val="397" w:hRule="exact"/>
        </w:trPr>
        <w:tc>
          <w:tcPr>
            <w:tcW w:w="463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2813" w:type="dxa"/>
            <w:tcBorders>
              <w:top w:val="nil" w:sz="6" w:space="0" w:color="auto"/>
              <w:left w:val="nil" w:sz="6" w:space="0" w:color="auto"/>
              <w:bottom w:val="nil" w:sz="6" w:space="0" w:color="auto"/>
              <w:right w:val="nil" w:sz="6" w:space="0" w:color="auto"/>
            </w:tcBorders>
          </w:tcPr>
          <w:p>
            <w:pPr/>
          </w:p>
        </w:tc>
        <w:tc>
          <w:tcPr>
            <w:tcW w:w="2119" w:type="dxa"/>
            <w:tcBorders>
              <w:top w:val="nil" w:sz="6" w:space="0" w:color="auto"/>
              <w:left w:val="nil" w:sz="6" w:space="0" w:color="auto"/>
              <w:bottom w:val="nil" w:sz="6" w:space="0" w:color="auto"/>
              <w:right w:val="nil" w:sz="6" w:space="0" w:color="auto"/>
            </w:tcBorders>
          </w:tcPr>
          <w:p>
            <w:pPr/>
          </w:p>
        </w:tc>
      </w:tr>
      <w:tr>
        <w:trPr>
          <w:trHeight w:val="397" w:hRule="exact"/>
        </w:trPr>
        <w:tc>
          <w:tcPr>
            <w:tcW w:w="463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利用以前年度可抵扣亏损</w:t>
            </w:r>
          </w:p>
        </w:tc>
        <w:tc>
          <w:tcPr>
            <w:tcW w:w="2813" w:type="dxa"/>
            <w:tcBorders>
              <w:top w:val="nil" w:sz="6" w:space="0" w:color="auto"/>
              <w:left w:val="nil" w:sz="6" w:space="0" w:color="auto"/>
              <w:bottom w:val="nil" w:sz="6" w:space="0" w:color="auto"/>
              <w:right w:val="nil" w:sz="6" w:space="0" w:color="auto"/>
            </w:tcBorders>
          </w:tcPr>
          <w:p>
            <w:pPr/>
          </w:p>
        </w:tc>
        <w:tc>
          <w:tcPr>
            <w:tcW w:w="2119" w:type="dxa"/>
            <w:tcBorders>
              <w:top w:val="nil" w:sz="6" w:space="0" w:color="auto"/>
              <w:left w:val="nil" w:sz="6" w:space="0" w:color="auto"/>
              <w:bottom w:val="nil" w:sz="6" w:space="0" w:color="auto"/>
              <w:right w:val="nil" w:sz="6" w:space="0" w:color="auto"/>
            </w:tcBorders>
          </w:tcPr>
          <w:p>
            <w:pPr/>
          </w:p>
        </w:tc>
      </w:tr>
      <w:tr>
        <w:trPr>
          <w:trHeight w:val="397" w:hRule="exact"/>
        </w:trPr>
        <w:tc>
          <w:tcPr>
            <w:tcW w:w="463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未确认的可抵扣暂时性差异的影响和可抵扣亏损</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00"/>
              <w:jc w:val="right"/>
              <w:rPr>
                <w:rFonts w:ascii="宋体" w:hAnsi="宋体" w:cs="宋体" w:eastAsia="宋体" w:hint="default"/>
                <w:sz w:val="18"/>
                <w:szCs w:val="18"/>
              </w:rPr>
            </w:pPr>
            <w:r>
              <w:rPr>
                <w:rFonts w:ascii="宋体"/>
                <w:spacing w:val="-1"/>
                <w:sz w:val="18"/>
              </w:rPr>
              <w:t>362,426.02</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right"/>
              <w:rPr>
                <w:rFonts w:ascii="宋体" w:hAnsi="宋体" w:cs="宋体" w:eastAsia="宋体" w:hint="default"/>
                <w:sz w:val="18"/>
                <w:szCs w:val="18"/>
              </w:rPr>
            </w:pPr>
            <w:r>
              <w:rPr>
                <w:rFonts w:ascii="宋体"/>
                <w:spacing w:val="-1"/>
                <w:sz w:val="18"/>
              </w:rPr>
              <w:t>1,046,567.65</w:t>
            </w:r>
          </w:p>
        </w:tc>
      </w:tr>
      <w:tr>
        <w:trPr>
          <w:trHeight w:val="289" w:hRule="exact"/>
        </w:trPr>
        <w:tc>
          <w:tcPr>
            <w:tcW w:w="463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按实际税率计算的所得税费用</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99"/>
              <w:jc w:val="right"/>
              <w:rPr>
                <w:rFonts w:ascii="宋体" w:hAnsi="宋体" w:cs="宋体" w:eastAsia="宋体" w:hint="default"/>
                <w:sz w:val="18"/>
                <w:szCs w:val="18"/>
              </w:rPr>
            </w:pPr>
            <w:r>
              <w:rPr>
                <w:rFonts w:ascii="宋体"/>
                <w:spacing w:val="-1"/>
                <w:sz w:val="18"/>
              </w:rPr>
              <w:t>8,009,873.45</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2"/>
              <w:jc w:val="right"/>
              <w:rPr>
                <w:rFonts w:ascii="宋体" w:hAnsi="宋体" w:cs="宋体" w:eastAsia="宋体" w:hint="default"/>
                <w:sz w:val="18"/>
                <w:szCs w:val="18"/>
              </w:rPr>
            </w:pPr>
            <w:r>
              <w:rPr>
                <w:rFonts w:ascii="宋体"/>
                <w:spacing w:val="-1"/>
                <w:sz w:val="18"/>
              </w:rPr>
              <w:t>8,453,830.34</w:t>
            </w:r>
          </w:p>
        </w:tc>
      </w:tr>
    </w:tbl>
    <w:p>
      <w:pPr>
        <w:spacing w:after="0" w:line="240" w:lineRule="auto"/>
        <w:jc w:val="right"/>
        <w:rPr>
          <w:rFonts w:ascii="宋体" w:hAnsi="宋体" w:cs="宋体" w:eastAsia="宋体" w:hint="default"/>
          <w:sz w:val="18"/>
          <w:szCs w:val="18"/>
        </w:rPr>
        <w:sectPr>
          <w:footerReference w:type="default" r:id="rId36"/>
          <w:pgSz w:w="11910" w:h="16840"/>
          <w:pgMar w:footer="1340" w:header="877" w:top="1100" w:bottom="1540" w:left="980" w:right="0"/>
        </w:sectPr>
      </w:pPr>
    </w:p>
    <w:p>
      <w:pPr>
        <w:spacing w:line="240" w:lineRule="auto" w:before="2"/>
        <w:rPr>
          <w:rFonts w:ascii="宋体" w:hAnsi="宋体" w:cs="宋体" w:eastAsia="宋体" w:hint="default"/>
          <w:sz w:val="27"/>
          <w:szCs w:val="27"/>
        </w:rPr>
      </w:pPr>
    </w:p>
    <w:p>
      <w:pPr>
        <w:pStyle w:val="BodyText"/>
        <w:spacing w:line="240" w:lineRule="auto" w:before="44"/>
        <w:ind w:left="573" w:right="1034"/>
        <w:jc w:val="left"/>
      </w:pPr>
      <w:r>
        <w:rPr>
          <w:rFonts w:ascii="宋体" w:hAnsi="宋体" w:cs="宋体" w:eastAsia="宋体" w:hint="default"/>
        </w:rPr>
        <w:t>36.</w:t>
      </w:r>
      <w:r>
        <w:rPr/>
        <w:t>现金流量附注</w:t>
      </w:r>
    </w:p>
    <w:p>
      <w:pPr>
        <w:spacing w:line="240" w:lineRule="auto" w:before="6"/>
        <w:rPr>
          <w:rFonts w:ascii="宋体" w:hAnsi="宋体" w:cs="宋体" w:eastAsia="宋体" w:hint="default"/>
          <w:sz w:val="21"/>
          <w:szCs w:val="21"/>
        </w:rPr>
      </w:pPr>
    </w:p>
    <w:p>
      <w:pPr>
        <w:pStyle w:val="BodyText"/>
        <w:spacing w:line="240" w:lineRule="auto"/>
        <w:ind w:left="573" w:right="1034"/>
        <w:jc w:val="left"/>
      </w:pPr>
      <w:r>
        <w:rPr/>
        <w:t>（</w:t>
      </w:r>
      <w:r>
        <w:rPr>
          <w:rFonts w:ascii="宋体" w:hAnsi="宋体" w:cs="宋体" w:eastAsia="宋体" w:hint="default"/>
        </w:rPr>
        <w:t>1</w:t>
      </w:r>
      <w:r>
        <w:rPr/>
        <w:t>）收到的其他与经营活动有关的现金</w:t>
      </w:r>
    </w:p>
    <w:p>
      <w:pPr>
        <w:spacing w:line="240" w:lineRule="auto" w:before="6"/>
        <w:rPr>
          <w:rFonts w:ascii="宋体" w:hAnsi="宋体" w:cs="宋体" w:eastAsia="宋体" w:hint="default"/>
          <w:sz w:val="23"/>
          <w:szCs w:val="23"/>
        </w:rPr>
      </w:pPr>
    </w:p>
    <w:tbl>
      <w:tblPr>
        <w:tblW w:w="0" w:type="auto"/>
        <w:jc w:val="left"/>
        <w:tblInd w:w="236" w:type="dxa"/>
        <w:tblLayout w:type="fixed"/>
        <w:tblCellMar>
          <w:top w:w="0" w:type="dxa"/>
          <w:left w:w="0" w:type="dxa"/>
          <w:bottom w:w="0" w:type="dxa"/>
          <w:right w:w="0" w:type="dxa"/>
        </w:tblCellMar>
        <w:tblLook w:val="01E0"/>
      </w:tblPr>
      <w:tblGrid>
        <w:gridCol w:w="4483"/>
        <w:gridCol w:w="2536"/>
        <w:gridCol w:w="2468"/>
        <w:gridCol w:w="105"/>
      </w:tblGrid>
      <w:tr>
        <w:trPr>
          <w:trHeight w:val="296" w:hRule="exact"/>
        </w:trPr>
        <w:tc>
          <w:tcPr>
            <w:tcW w:w="4483" w:type="dxa"/>
            <w:tcBorders>
              <w:top w:val="nil" w:sz="6" w:space="0" w:color="auto"/>
              <w:left w:val="nil" w:sz="6" w:space="0" w:color="auto"/>
              <w:bottom w:val="single" w:sz="4" w:space="0" w:color="000000"/>
              <w:right w:val="nil" w:sz="6" w:space="0" w:color="auto"/>
            </w:tcBorders>
          </w:tcPr>
          <w:p>
            <w:pPr>
              <w:pStyle w:val="TableParagraph"/>
              <w:spacing w:line="180" w:lineRule="exact"/>
              <w:ind w:left="16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36" w:type="dxa"/>
            <w:tcBorders>
              <w:top w:val="nil" w:sz="6" w:space="0" w:color="auto"/>
              <w:left w:val="nil" w:sz="6" w:space="0" w:color="auto"/>
              <w:bottom w:val="single" w:sz="4" w:space="0" w:color="000000"/>
              <w:right w:val="nil" w:sz="6" w:space="0" w:color="auto"/>
            </w:tcBorders>
          </w:tcPr>
          <w:p>
            <w:pPr>
              <w:pStyle w:val="TableParagraph"/>
              <w:spacing w:line="180" w:lineRule="exact"/>
              <w:ind w:left="95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468" w:type="dxa"/>
            <w:tcBorders>
              <w:top w:val="nil" w:sz="6" w:space="0" w:color="auto"/>
              <w:left w:val="nil" w:sz="6" w:space="0" w:color="auto"/>
              <w:bottom w:val="single" w:sz="4" w:space="0" w:color="000000"/>
              <w:right w:val="nil" w:sz="6" w:space="0" w:color="auto"/>
            </w:tcBorders>
          </w:tcPr>
          <w:p>
            <w:pPr>
              <w:pStyle w:val="TableParagraph"/>
              <w:spacing w:line="180" w:lineRule="exact"/>
              <w:ind w:left="89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105" w:type="dxa"/>
            <w:tcBorders>
              <w:top w:val="nil" w:sz="6" w:space="0" w:color="auto"/>
              <w:left w:val="nil" w:sz="6" w:space="0" w:color="auto"/>
              <w:bottom w:val="single" w:sz="4" w:space="0" w:color="000000"/>
              <w:right w:val="nil" w:sz="6" w:space="0" w:color="auto"/>
            </w:tcBorders>
          </w:tcPr>
          <w:p>
            <w:pPr/>
          </w:p>
        </w:tc>
      </w:tr>
      <w:tr>
        <w:trPr>
          <w:trHeight w:val="312" w:hRule="exact"/>
        </w:trPr>
        <w:tc>
          <w:tcPr>
            <w:tcW w:w="448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收到的其他与经营活动有关的现金合计</w:t>
            </w:r>
          </w:p>
        </w:tc>
        <w:tc>
          <w:tcPr>
            <w:tcW w:w="2536"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126,997,316.06</w:t>
            </w:r>
          </w:p>
        </w:tc>
        <w:tc>
          <w:tcPr>
            <w:tcW w:w="2468"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154,305,370.74</w:t>
            </w:r>
          </w:p>
        </w:tc>
        <w:tc>
          <w:tcPr>
            <w:tcW w:w="105" w:type="dxa"/>
            <w:tcBorders>
              <w:top w:val="single" w:sz="4" w:space="0" w:color="000000"/>
              <w:left w:val="nil" w:sz="6" w:space="0" w:color="auto"/>
              <w:bottom w:val="nil" w:sz="6" w:space="0" w:color="auto"/>
              <w:right w:val="nil" w:sz="6" w:space="0" w:color="auto"/>
            </w:tcBorders>
          </w:tcPr>
          <w:p>
            <w:pPr/>
          </w:p>
        </w:tc>
      </w:tr>
      <w:tr>
        <w:trPr>
          <w:trHeight w:val="486" w:hRule="exact"/>
        </w:trPr>
        <w:tc>
          <w:tcPr>
            <w:tcW w:w="4483"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08" w:right="0"/>
              <w:jc w:val="left"/>
              <w:rPr>
                <w:rFonts w:ascii="宋体" w:hAnsi="宋体" w:cs="宋体" w:eastAsia="宋体" w:hint="default"/>
                <w:sz w:val="18"/>
                <w:szCs w:val="18"/>
              </w:rPr>
            </w:pPr>
            <w:r>
              <w:rPr>
                <w:rFonts w:ascii="宋体" w:hAnsi="宋体" w:cs="宋体" w:eastAsia="宋体" w:hint="default"/>
                <w:sz w:val="18"/>
                <w:szCs w:val="18"/>
              </w:rPr>
              <w:t>其中：收到与执行保证金有关的现金</w:t>
            </w:r>
          </w:p>
        </w:tc>
        <w:tc>
          <w:tcPr>
            <w:tcW w:w="2536" w:type="dxa"/>
            <w:tcBorders>
              <w:top w:val="single" w:sz="12" w:space="0" w:color="000000"/>
              <w:left w:val="nil" w:sz="6" w:space="0" w:color="auto"/>
              <w:bottom w:val="nil" w:sz="6" w:space="0" w:color="auto"/>
              <w:right w:val="nil" w:sz="6" w:space="0" w:color="auto"/>
            </w:tcBorders>
          </w:tcPr>
          <w:p>
            <w:pPr>
              <w:pStyle w:val="TableParagraph"/>
              <w:spacing w:line="240" w:lineRule="auto" w:before="128"/>
              <w:ind w:right="0"/>
              <w:jc w:val="right"/>
              <w:rPr>
                <w:rFonts w:ascii="宋体" w:hAnsi="宋体" w:cs="宋体" w:eastAsia="宋体" w:hint="default"/>
                <w:sz w:val="18"/>
                <w:szCs w:val="18"/>
              </w:rPr>
            </w:pPr>
            <w:r>
              <w:rPr>
                <w:rFonts w:ascii="宋体"/>
                <w:spacing w:val="-1"/>
                <w:sz w:val="18"/>
              </w:rPr>
              <w:t>114,039,116.20</w:t>
            </w:r>
          </w:p>
        </w:tc>
        <w:tc>
          <w:tcPr>
            <w:tcW w:w="2468" w:type="dxa"/>
            <w:tcBorders>
              <w:top w:val="single" w:sz="12" w:space="0" w:color="000000"/>
              <w:left w:val="nil" w:sz="6" w:space="0" w:color="auto"/>
              <w:bottom w:val="nil" w:sz="6" w:space="0" w:color="auto"/>
              <w:right w:val="nil" w:sz="6" w:space="0" w:color="auto"/>
            </w:tcBorders>
          </w:tcPr>
          <w:p>
            <w:pPr>
              <w:pStyle w:val="TableParagraph"/>
              <w:spacing w:line="240" w:lineRule="auto" w:before="128"/>
              <w:ind w:right="0"/>
              <w:jc w:val="right"/>
              <w:rPr>
                <w:rFonts w:ascii="宋体" w:hAnsi="宋体" w:cs="宋体" w:eastAsia="宋体" w:hint="default"/>
                <w:sz w:val="18"/>
                <w:szCs w:val="18"/>
              </w:rPr>
            </w:pPr>
            <w:r>
              <w:rPr>
                <w:rFonts w:ascii="宋体"/>
                <w:spacing w:val="-1"/>
                <w:sz w:val="18"/>
              </w:rPr>
              <w:t>131,935,943.90</w:t>
            </w:r>
          </w:p>
        </w:tc>
        <w:tc>
          <w:tcPr>
            <w:tcW w:w="105" w:type="dxa"/>
            <w:tcBorders>
              <w:top w:val="nil" w:sz="6" w:space="0" w:color="auto"/>
              <w:left w:val="nil" w:sz="6" w:space="0" w:color="auto"/>
              <w:bottom w:val="nil" w:sz="6" w:space="0" w:color="auto"/>
              <w:right w:val="nil" w:sz="6" w:space="0" w:color="auto"/>
            </w:tcBorders>
          </w:tcPr>
          <w:p>
            <w:pPr/>
          </w:p>
        </w:tc>
      </w:tr>
      <w:tr>
        <w:trPr>
          <w:trHeight w:val="397" w:hRule="exact"/>
        </w:trPr>
        <w:tc>
          <w:tcPr>
            <w:tcW w:w="448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8" w:right="0"/>
              <w:jc w:val="left"/>
              <w:rPr>
                <w:rFonts w:ascii="宋体" w:hAnsi="宋体" w:cs="宋体" w:eastAsia="宋体" w:hint="default"/>
                <w:sz w:val="18"/>
                <w:szCs w:val="18"/>
              </w:rPr>
            </w:pPr>
            <w:r>
              <w:rPr>
                <w:rFonts w:ascii="宋体" w:hAnsi="宋体" w:cs="宋体" w:eastAsia="宋体" w:hint="default"/>
                <w:sz w:val="18"/>
                <w:szCs w:val="18"/>
              </w:rPr>
              <w:t>收到与利息收入有关的现金</w:t>
            </w:r>
          </w:p>
        </w:tc>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8,063,054.78</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9,674,862.13</w:t>
            </w:r>
          </w:p>
        </w:tc>
        <w:tc>
          <w:tcPr>
            <w:tcW w:w="105" w:type="dxa"/>
            <w:tcBorders>
              <w:top w:val="nil" w:sz="6" w:space="0" w:color="auto"/>
              <w:left w:val="nil" w:sz="6" w:space="0" w:color="auto"/>
              <w:bottom w:val="nil" w:sz="6" w:space="0" w:color="auto"/>
              <w:right w:val="nil" w:sz="6" w:space="0" w:color="auto"/>
            </w:tcBorders>
          </w:tcPr>
          <w:p>
            <w:pPr/>
          </w:p>
        </w:tc>
      </w:tr>
      <w:tr>
        <w:trPr>
          <w:trHeight w:val="397" w:hRule="exact"/>
        </w:trPr>
        <w:tc>
          <w:tcPr>
            <w:tcW w:w="44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52"/>
              <w:jc w:val="right"/>
              <w:rPr>
                <w:rFonts w:ascii="宋体" w:hAnsi="宋体" w:cs="宋体" w:eastAsia="宋体" w:hint="default"/>
                <w:sz w:val="18"/>
                <w:szCs w:val="18"/>
              </w:rPr>
            </w:pPr>
            <w:r>
              <w:rPr>
                <w:rFonts w:ascii="宋体" w:hAnsi="宋体" w:cs="宋体" w:eastAsia="宋体" w:hint="default"/>
                <w:sz w:val="18"/>
                <w:szCs w:val="18"/>
              </w:rPr>
              <w:t>收到与房租及物业费收入有关的现金</w:t>
            </w:r>
          </w:p>
        </w:tc>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2,995,670.68</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4,236,562.30</w:t>
            </w:r>
          </w:p>
        </w:tc>
        <w:tc>
          <w:tcPr>
            <w:tcW w:w="105" w:type="dxa"/>
            <w:tcBorders>
              <w:top w:val="nil" w:sz="6" w:space="0" w:color="auto"/>
              <w:left w:val="nil" w:sz="6" w:space="0" w:color="auto"/>
              <w:bottom w:val="nil" w:sz="6" w:space="0" w:color="auto"/>
              <w:right w:val="nil" w:sz="6" w:space="0" w:color="auto"/>
            </w:tcBorders>
          </w:tcPr>
          <w:p>
            <w:pPr/>
          </w:p>
        </w:tc>
      </w:tr>
      <w:tr>
        <w:trPr>
          <w:trHeight w:val="397" w:hRule="exact"/>
        </w:trPr>
        <w:tc>
          <w:tcPr>
            <w:tcW w:w="448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8" w:right="0"/>
              <w:jc w:val="left"/>
              <w:rPr>
                <w:rFonts w:ascii="宋体" w:hAnsi="宋体" w:cs="宋体" w:eastAsia="宋体" w:hint="default"/>
                <w:sz w:val="18"/>
                <w:szCs w:val="18"/>
              </w:rPr>
            </w:pPr>
            <w:r>
              <w:rPr>
                <w:rFonts w:ascii="宋体" w:hAnsi="宋体" w:cs="宋体" w:eastAsia="宋体" w:hint="default"/>
                <w:sz w:val="18"/>
                <w:szCs w:val="18"/>
              </w:rPr>
              <w:t>收到与其他有关的现金</w:t>
            </w:r>
          </w:p>
        </w:tc>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1,459,474.40</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6,088,002.41</w:t>
            </w:r>
          </w:p>
        </w:tc>
        <w:tc>
          <w:tcPr>
            <w:tcW w:w="105" w:type="dxa"/>
            <w:tcBorders>
              <w:top w:val="nil" w:sz="6" w:space="0" w:color="auto"/>
              <w:left w:val="nil" w:sz="6" w:space="0" w:color="auto"/>
              <w:bottom w:val="nil" w:sz="6" w:space="0" w:color="auto"/>
              <w:right w:val="nil" w:sz="6" w:space="0" w:color="auto"/>
            </w:tcBorders>
          </w:tcPr>
          <w:p>
            <w:pPr/>
          </w:p>
        </w:tc>
      </w:tr>
      <w:tr>
        <w:trPr>
          <w:trHeight w:val="289" w:hRule="exact"/>
        </w:trPr>
        <w:tc>
          <w:tcPr>
            <w:tcW w:w="44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52"/>
              <w:jc w:val="right"/>
              <w:rPr>
                <w:rFonts w:ascii="宋体" w:hAnsi="宋体" w:cs="宋体" w:eastAsia="宋体" w:hint="default"/>
                <w:sz w:val="18"/>
                <w:szCs w:val="18"/>
              </w:rPr>
            </w:pPr>
            <w:r>
              <w:rPr>
                <w:rFonts w:ascii="宋体" w:hAnsi="宋体" w:cs="宋体" w:eastAsia="宋体" w:hint="default"/>
                <w:sz w:val="18"/>
                <w:szCs w:val="18"/>
              </w:rPr>
              <w:t>收到与政府技术研发补助有关的现金</w:t>
            </w:r>
          </w:p>
        </w:tc>
        <w:tc>
          <w:tcPr>
            <w:tcW w:w="253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440,000.00</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2,370,000.00</w:t>
            </w:r>
          </w:p>
        </w:tc>
        <w:tc>
          <w:tcPr>
            <w:tcW w:w="105"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573" w:right="1034"/>
        <w:jc w:val="left"/>
      </w:pPr>
      <w:r>
        <w:rPr/>
        <w:t>（</w:t>
      </w:r>
      <w:r>
        <w:rPr>
          <w:rFonts w:ascii="宋体" w:hAnsi="宋体" w:cs="宋体" w:eastAsia="宋体" w:hint="default"/>
        </w:rPr>
        <w:t>2</w:t>
      </w:r>
      <w:r>
        <w:rPr/>
        <w:t>）支付的其他与经营活动有关的现金</w:t>
      </w:r>
    </w:p>
    <w:p>
      <w:pPr>
        <w:spacing w:line="240" w:lineRule="auto" w:before="6"/>
        <w:rPr>
          <w:rFonts w:ascii="宋体" w:hAnsi="宋体" w:cs="宋体" w:eastAsia="宋体" w:hint="default"/>
          <w:sz w:val="23"/>
          <w:szCs w:val="23"/>
        </w:rPr>
      </w:pPr>
    </w:p>
    <w:tbl>
      <w:tblPr>
        <w:tblW w:w="0" w:type="auto"/>
        <w:jc w:val="left"/>
        <w:tblInd w:w="236" w:type="dxa"/>
        <w:tblLayout w:type="fixed"/>
        <w:tblCellMar>
          <w:top w:w="0" w:type="dxa"/>
          <w:left w:w="0" w:type="dxa"/>
          <w:bottom w:w="0" w:type="dxa"/>
          <w:right w:w="0" w:type="dxa"/>
        </w:tblCellMar>
        <w:tblLook w:val="01E0"/>
      </w:tblPr>
      <w:tblGrid>
        <w:gridCol w:w="4303"/>
        <w:gridCol w:w="2716"/>
        <w:gridCol w:w="2573"/>
      </w:tblGrid>
      <w:tr>
        <w:trPr>
          <w:trHeight w:val="296" w:hRule="exact"/>
        </w:trPr>
        <w:tc>
          <w:tcPr>
            <w:tcW w:w="4303" w:type="dxa"/>
            <w:tcBorders>
              <w:top w:val="nil" w:sz="6" w:space="0" w:color="auto"/>
              <w:left w:val="nil" w:sz="6" w:space="0" w:color="auto"/>
              <w:bottom w:val="single" w:sz="4" w:space="0" w:color="000000"/>
              <w:right w:val="nil" w:sz="6" w:space="0" w:color="auto"/>
            </w:tcBorders>
          </w:tcPr>
          <w:p>
            <w:pPr>
              <w:pStyle w:val="TableParagraph"/>
              <w:spacing w:line="180" w:lineRule="exact"/>
              <w:ind w:left="34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16" w:type="dxa"/>
            <w:tcBorders>
              <w:top w:val="nil" w:sz="6" w:space="0" w:color="auto"/>
              <w:left w:val="nil" w:sz="6" w:space="0" w:color="auto"/>
              <w:bottom w:val="single" w:sz="4" w:space="0" w:color="000000"/>
              <w:right w:val="nil" w:sz="6" w:space="0" w:color="auto"/>
            </w:tcBorders>
          </w:tcPr>
          <w:p>
            <w:pPr>
              <w:pStyle w:val="TableParagraph"/>
              <w:spacing w:line="180" w:lineRule="exact"/>
              <w:ind w:left="113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573" w:type="dxa"/>
            <w:tcBorders>
              <w:top w:val="nil" w:sz="6" w:space="0" w:color="auto"/>
              <w:left w:val="nil" w:sz="6" w:space="0" w:color="auto"/>
              <w:bottom w:val="single" w:sz="4" w:space="0" w:color="000000"/>
              <w:right w:val="nil" w:sz="6" w:space="0" w:color="auto"/>
            </w:tcBorders>
          </w:tcPr>
          <w:p>
            <w:pPr>
              <w:pStyle w:val="TableParagraph"/>
              <w:spacing w:line="180" w:lineRule="exact"/>
              <w:ind w:left="89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10" w:hRule="exact"/>
        </w:trPr>
        <w:tc>
          <w:tcPr>
            <w:tcW w:w="430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支付的其他与经营活动有关的现金合计</w:t>
            </w:r>
          </w:p>
        </w:tc>
        <w:tc>
          <w:tcPr>
            <w:tcW w:w="271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137,600,194.60</w:t>
            </w:r>
          </w:p>
        </w:tc>
        <w:tc>
          <w:tcPr>
            <w:tcW w:w="2573"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183,966,682.96</w:t>
            </w:r>
          </w:p>
        </w:tc>
      </w:tr>
      <w:tr>
        <w:trPr>
          <w:trHeight w:val="489" w:hRule="exact"/>
        </w:trPr>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8" w:right="0"/>
              <w:jc w:val="left"/>
              <w:rPr>
                <w:rFonts w:ascii="宋体" w:hAnsi="宋体" w:cs="宋体" w:eastAsia="宋体" w:hint="default"/>
                <w:sz w:val="18"/>
                <w:szCs w:val="18"/>
              </w:rPr>
            </w:pPr>
            <w:r>
              <w:rPr>
                <w:rFonts w:ascii="宋体" w:hAnsi="宋体" w:cs="宋体" w:eastAsia="宋体" w:hint="default"/>
                <w:sz w:val="18"/>
                <w:szCs w:val="18"/>
              </w:rPr>
              <w:t>其中：支付与保证金有关的现金</w:t>
            </w:r>
          </w:p>
        </w:tc>
        <w:tc>
          <w:tcPr>
            <w:tcW w:w="2716" w:type="dxa"/>
            <w:tcBorders>
              <w:top w:val="single" w:sz="12" w:space="0" w:color="000000"/>
              <w:left w:val="nil" w:sz="6" w:space="0" w:color="auto"/>
              <w:bottom w:val="nil" w:sz="6" w:space="0" w:color="auto"/>
              <w:right w:val="nil" w:sz="6" w:space="0" w:color="auto"/>
            </w:tcBorders>
          </w:tcPr>
          <w:p>
            <w:pPr>
              <w:pStyle w:val="TableParagraph"/>
              <w:spacing w:line="240" w:lineRule="auto" w:before="130"/>
              <w:ind w:right="0"/>
              <w:jc w:val="right"/>
              <w:rPr>
                <w:rFonts w:ascii="宋体" w:hAnsi="宋体" w:cs="宋体" w:eastAsia="宋体" w:hint="default"/>
                <w:sz w:val="18"/>
                <w:szCs w:val="18"/>
              </w:rPr>
            </w:pPr>
            <w:r>
              <w:rPr>
                <w:rFonts w:ascii="宋体"/>
                <w:spacing w:val="-1"/>
                <w:sz w:val="18"/>
              </w:rPr>
              <w:t>113,067,399.20</w:t>
            </w:r>
          </w:p>
        </w:tc>
        <w:tc>
          <w:tcPr>
            <w:tcW w:w="2573" w:type="dxa"/>
            <w:tcBorders>
              <w:top w:val="single" w:sz="12" w:space="0" w:color="000000"/>
              <w:left w:val="nil" w:sz="6" w:space="0" w:color="auto"/>
              <w:bottom w:val="nil" w:sz="6" w:space="0" w:color="auto"/>
              <w:right w:val="nil" w:sz="6" w:space="0" w:color="auto"/>
            </w:tcBorders>
          </w:tcPr>
          <w:p>
            <w:pPr>
              <w:pStyle w:val="TableParagraph"/>
              <w:spacing w:line="240" w:lineRule="auto" w:before="130"/>
              <w:ind w:right="103"/>
              <w:jc w:val="right"/>
              <w:rPr>
                <w:rFonts w:ascii="宋体" w:hAnsi="宋体" w:cs="宋体" w:eastAsia="宋体" w:hint="default"/>
                <w:sz w:val="18"/>
                <w:szCs w:val="18"/>
              </w:rPr>
            </w:pPr>
            <w:r>
              <w:rPr>
                <w:rFonts w:ascii="宋体"/>
                <w:spacing w:val="-1"/>
                <w:sz w:val="18"/>
              </w:rPr>
              <w:t>145,954,563.00</w:t>
            </w:r>
          </w:p>
        </w:tc>
      </w:tr>
      <w:tr>
        <w:trPr>
          <w:trHeight w:val="397" w:hRule="exact"/>
        </w:trPr>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8" w:right="0"/>
              <w:jc w:val="left"/>
              <w:rPr>
                <w:rFonts w:ascii="宋体" w:hAnsi="宋体" w:cs="宋体" w:eastAsia="宋体" w:hint="default"/>
                <w:sz w:val="18"/>
                <w:szCs w:val="18"/>
              </w:rPr>
            </w:pPr>
            <w:r>
              <w:rPr>
                <w:rFonts w:ascii="宋体" w:hAnsi="宋体" w:cs="宋体" w:eastAsia="宋体" w:hint="default"/>
                <w:sz w:val="18"/>
                <w:szCs w:val="18"/>
              </w:rPr>
              <w:t>支付与备用金借款有关的现金</w:t>
            </w:r>
          </w:p>
        </w:tc>
        <w:tc>
          <w:tcPr>
            <w:tcW w:w="271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16,104,690.72</w:t>
            </w:r>
          </w:p>
        </w:tc>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14,029,308.56</w:t>
            </w:r>
          </w:p>
        </w:tc>
      </w:tr>
      <w:tr>
        <w:trPr>
          <w:trHeight w:val="397" w:hRule="exact"/>
        </w:trPr>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z w:val="18"/>
                <w:szCs w:val="18"/>
              </w:rPr>
              <w:t>支付与制造费用有关的现金</w:t>
            </w:r>
          </w:p>
        </w:tc>
        <w:tc>
          <w:tcPr>
            <w:tcW w:w="271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2,072,228.49</w:t>
            </w:r>
          </w:p>
        </w:tc>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14,197,951.72</w:t>
            </w:r>
          </w:p>
        </w:tc>
      </w:tr>
      <w:tr>
        <w:trPr>
          <w:trHeight w:val="396" w:hRule="exact"/>
        </w:trPr>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8" w:right="0"/>
              <w:jc w:val="left"/>
              <w:rPr>
                <w:rFonts w:ascii="宋体" w:hAnsi="宋体" w:cs="宋体" w:eastAsia="宋体" w:hint="default"/>
                <w:sz w:val="18"/>
                <w:szCs w:val="18"/>
              </w:rPr>
            </w:pPr>
            <w:r>
              <w:rPr>
                <w:rFonts w:ascii="宋体" w:hAnsi="宋体" w:cs="宋体" w:eastAsia="宋体" w:hint="default"/>
                <w:sz w:val="18"/>
                <w:szCs w:val="18"/>
              </w:rPr>
              <w:t>支付与销售费用有关的现金</w:t>
            </w:r>
          </w:p>
        </w:tc>
        <w:tc>
          <w:tcPr>
            <w:tcW w:w="271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1,217,756.40</w:t>
            </w:r>
          </w:p>
        </w:tc>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2,236,055.94</w:t>
            </w:r>
          </w:p>
        </w:tc>
      </w:tr>
      <w:tr>
        <w:trPr>
          <w:trHeight w:val="397" w:hRule="exact"/>
        </w:trPr>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8" w:right="0"/>
              <w:jc w:val="left"/>
              <w:rPr>
                <w:rFonts w:ascii="宋体" w:hAnsi="宋体" w:cs="宋体" w:eastAsia="宋体" w:hint="default"/>
                <w:sz w:val="18"/>
                <w:szCs w:val="18"/>
              </w:rPr>
            </w:pPr>
            <w:r>
              <w:rPr>
                <w:rFonts w:ascii="宋体" w:hAnsi="宋体" w:cs="宋体" w:eastAsia="宋体" w:hint="default"/>
                <w:sz w:val="18"/>
                <w:szCs w:val="18"/>
              </w:rPr>
              <w:t>支付与管理费用有关的现金</w:t>
            </w:r>
          </w:p>
        </w:tc>
        <w:tc>
          <w:tcPr>
            <w:tcW w:w="271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4,660,423.28</w:t>
            </w:r>
          </w:p>
        </w:tc>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7,223,219.47</w:t>
            </w:r>
          </w:p>
        </w:tc>
      </w:tr>
      <w:tr>
        <w:trPr>
          <w:trHeight w:val="397" w:hRule="exact"/>
        </w:trPr>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z w:val="18"/>
                <w:szCs w:val="18"/>
              </w:rPr>
              <w:t>支付与财务费用有关的现金</w:t>
            </w:r>
          </w:p>
        </w:tc>
        <w:tc>
          <w:tcPr>
            <w:tcW w:w="271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476,484.51</w:t>
            </w:r>
          </w:p>
        </w:tc>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325,584.27</w:t>
            </w:r>
          </w:p>
        </w:tc>
      </w:tr>
      <w:tr>
        <w:trPr>
          <w:trHeight w:val="288" w:hRule="exact"/>
        </w:trPr>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8" w:right="0"/>
              <w:jc w:val="left"/>
              <w:rPr>
                <w:rFonts w:ascii="宋体" w:hAnsi="宋体" w:cs="宋体" w:eastAsia="宋体" w:hint="default"/>
                <w:sz w:val="18"/>
                <w:szCs w:val="18"/>
              </w:rPr>
            </w:pPr>
            <w:r>
              <w:rPr>
                <w:rFonts w:ascii="宋体" w:hAnsi="宋体" w:cs="宋体" w:eastAsia="宋体" w:hint="default"/>
                <w:sz w:val="18"/>
                <w:szCs w:val="18"/>
              </w:rPr>
              <w:t>滞纳金支出</w:t>
            </w:r>
          </w:p>
        </w:tc>
        <w:tc>
          <w:tcPr>
            <w:tcW w:w="271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pacing w:val="-1"/>
                <w:sz w:val="18"/>
              </w:rPr>
              <w:t>1,212.00</w:t>
            </w:r>
          </w:p>
        </w:tc>
        <w:tc>
          <w:tcPr>
            <w:tcW w:w="2573"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573" w:right="1034"/>
        <w:jc w:val="left"/>
      </w:pPr>
      <w:r>
        <w:rPr>
          <w:rFonts w:ascii="宋体" w:hAnsi="宋体" w:cs="宋体" w:eastAsia="宋体" w:hint="default"/>
        </w:rPr>
        <w:t>37.</w:t>
      </w:r>
      <w:r>
        <w:rPr/>
        <w:t>现金流量表补充资料</w:t>
      </w:r>
    </w:p>
    <w:p>
      <w:pPr>
        <w:spacing w:line="240" w:lineRule="auto" w:before="6"/>
        <w:rPr>
          <w:rFonts w:ascii="宋体" w:hAnsi="宋体" w:cs="宋体" w:eastAsia="宋体" w:hint="default"/>
          <w:sz w:val="21"/>
          <w:szCs w:val="21"/>
        </w:rPr>
      </w:pPr>
    </w:p>
    <w:p>
      <w:pPr>
        <w:pStyle w:val="BodyText"/>
        <w:spacing w:line="240" w:lineRule="auto"/>
        <w:ind w:left="573" w:right="1034"/>
        <w:jc w:val="left"/>
      </w:pPr>
      <w:r>
        <w:rPr/>
        <w:t>（</w:t>
      </w:r>
      <w:r>
        <w:rPr>
          <w:rFonts w:ascii="宋体" w:hAnsi="宋体" w:cs="宋体" w:eastAsia="宋体" w:hint="default"/>
        </w:rPr>
        <w:t>1</w:t>
      </w:r>
      <w:r>
        <w:rPr/>
        <w:t>）将净利润调节为经营活动现金流量</w:t>
      </w:r>
    </w:p>
    <w:p>
      <w:pPr>
        <w:spacing w:line="240" w:lineRule="auto" w:before="9"/>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5049"/>
        <w:gridCol w:w="2515"/>
        <w:gridCol w:w="2009"/>
      </w:tblGrid>
      <w:tr>
        <w:trPr>
          <w:trHeight w:val="296" w:hRule="exact"/>
        </w:trPr>
        <w:tc>
          <w:tcPr>
            <w:tcW w:w="5049" w:type="dxa"/>
            <w:tcBorders>
              <w:top w:val="nil" w:sz="6" w:space="0" w:color="auto"/>
              <w:left w:val="nil" w:sz="6" w:space="0" w:color="auto"/>
              <w:bottom w:val="single" w:sz="4" w:space="0" w:color="000000"/>
              <w:right w:val="nil" w:sz="6" w:space="0" w:color="auto"/>
            </w:tcBorders>
          </w:tcPr>
          <w:p>
            <w:pPr>
              <w:pStyle w:val="TableParagraph"/>
              <w:spacing w:line="180" w:lineRule="exact"/>
              <w:ind w:left="16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15" w:type="dxa"/>
            <w:tcBorders>
              <w:top w:val="nil" w:sz="6" w:space="0" w:color="auto"/>
              <w:left w:val="nil" w:sz="6" w:space="0" w:color="auto"/>
              <w:bottom w:val="single" w:sz="4" w:space="0" w:color="000000"/>
              <w:right w:val="nil" w:sz="6" w:space="0" w:color="auto"/>
            </w:tcBorders>
          </w:tcPr>
          <w:p>
            <w:pPr>
              <w:pStyle w:val="TableParagraph"/>
              <w:spacing w:line="180" w:lineRule="exact"/>
              <w:ind w:left="801"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009" w:type="dxa"/>
            <w:tcBorders>
              <w:top w:val="nil" w:sz="6" w:space="0" w:color="auto"/>
              <w:left w:val="nil" w:sz="6" w:space="0" w:color="auto"/>
              <w:bottom w:val="single" w:sz="4" w:space="0" w:color="000000"/>
              <w:right w:val="nil" w:sz="6" w:space="0" w:color="auto"/>
            </w:tcBorders>
          </w:tcPr>
          <w:p>
            <w:pPr>
              <w:pStyle w:val="TableParagraph"/>
              <w:spacing w:line="180" w:lineRule="exact"/>
              <w:ind w:left="465"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72" w:hRule="exact"/>
        </w:trPr>
        <w:tc>
          <w:tcPr>
            <w:tcW w:w="504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07"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2515" w:type="dxa"/>
            <w:tcBorders>
              <w:top w:val="single" w:sz="4" w:space="0" w:color="000000"/>
              <w:left w:val="nil" w:sz="6" w:space="0" w:color="auto"/>
              <w:bottom w:val="nil" w:sz="6" w:space="0" w:color="auto"/>
              <w:right w:val="nil" w:sz="6" w:space="0" w:color="auto"/>
            </w:tcBorders>
          </w:tcPr>
          <w:p>
            <w:pPr/>
          </w:p>
        </w:tc>
        <w:tc>
          <w:tcPr>
            <w:tcW w:w="2009" w:type="dxa"/>
            <w:tcBorders>
              <w:top w:val="single" w:sz="4" w:space="0" w:color="000000"/>
              <w:left w:val="nil" w:sz="6" w:space="0" w:color="auto"/>
              <w:bottom w:val="nil" w:sz="6" w:space="0" w:color="auto"/>
              <w:right w:val="nil" w:sz="6" w:space="0" w:color="auto"/>
            </w:tcBorders>
          </w:tcPr>
          <w:p>
            <w:pPr/>
          </w:p>
        </w:tc>
      </w:tr>
      <w:tr>
        <w:trPr>
          <w:trHeight w:val="386" w:hRule="exact"/>
        </w:trPr>
        <w:tc>
          <w:tcPr>
            <w:tcW w:w="504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63"/>
              <w:jc w:val="right"/>
              <w:rPr>
                <w:rFonts w:ascii="宋体" w:hAnsi="宋体" w:cs="宋体" w:eastAsia="宋体" w:hint="default"/>
                <w:sz w:val="18"/>
                <w:szCs w:val="18"/>
              </w:rPr>
            </w:pPr>
            <w:r>
              <w:rPr>
                <w:rFonts w:ascii="宋体"/>
                <w:spacing w:val="-1"/>
                <w:sz w:val="18"/>
              </w:rPr>
              <w:t>45,541,071.87</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2"/>
              <w:jc w:val="right"/>
              <w:rPr>
                <w:rFonts w:ascii="宋体" w:hAnsi="宋体" w:cs="宋体" w:eastAsia="宋体" w:hint="default"/>
                <w:sz w:val="18"/>
                <w:szCs w:val="18"/>
              </w:rPr>
            </w:pPr>
            <w:r>
              <w:rPr>
                <w:rFonts w:ascii="宋体"/>
                <w:spacing w:val="-1"/>
                <w:sz w:val="18"/>
              </w:rPr>
              <w:t>42,072,183.06</w:t>
            </w:r>
          </w:p>
        </w:tc>
      </w:tr>
      <w:tr>
        <w:trPr>
          <w:trHeight w:val="396" w:hRule="exact"/>
        </w:trPr>
        <w:tc>
          <w:tcPr>
            <w:tcW w:w="504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63"/>
              <w:jc w:val="right"/>
              <w:rPr>
                <w:rFonts w:ascii="宋体" w:hAnsi="宋体" w:cs="宋体" w:eastAsia="宋体" w:hint="default"/>
                <w:sz w:val="18"/>
                <w:szCs w:val="18"/>
              </w:rPr>
            </w:pPr>
            <w:r>
              <w:rPr>
                <w:rFonts w:ascii="宋体"/>
                <w:spacing w:val="-1"/>
                <w:sz w:val="18"/>
              </w:rPr>
              <w:t>5,554,807.19</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1,058,869.65</w:t>
            </w:r>
          </w:p>
        </w:tc>
      </w:tr>
      <w:tr>
        <w:trPr>
          <w:trHeight w:val="397" w:hRule="exact"/>
        </w:trPr>
        <w:tc>
          <w:tcPr>
            <w:tcW w:w="504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63"/>
              <w:jc w:val="right"/>
              <w:rPr>
                <w:rFonts w:ascii="宋体" w:hAnsi="宋体" w:cs="宋体" w:eastAsia="宋体" w:hint="default"/>
                <w:sz w:val="18"/>
                <w:szCs w:val="18"/>
              </w:rPr>
            </w:pPr>
            <w:r>
              <w:rPr>
                <w:rFonts w:ascii="宋体"/>
                <w:spacing w:val="-1"/>
                <w:sz w:val="18"/>
              </w:rPr>
              <w:t>3,540,621.52</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3,548,650.50</w:t>
            </w:r>
          </w:p>
        </w:tc>
      </w:tr>
      <w:tr>
        <w:trPr>
          <w:trHeight w:val="395" w:hRule="exact"/>
        </w:trPr>
        <w:tc>
          <w:tcPr>
            <w:tcW w:w="504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63"/>
              <w:jc w:val="right"/>
              <w:rPr>
                <w:rFonts w:ascii="宋体" w:hAnsi="宋体" w:cs="宋体" w:eastAsia="宋体" w:hint="default"/>
                <w:sz w:val="18"/>
                <w:szCs w:val="18"/>
              </w:rPr>
            </w:pPr>
            <w:r>
              <w:rPr>
                <w:rFonts w:ascii="宋体"/>
                <w:spacing w:val="-1"/>
                <w:sz w:val="18"/>
              </w:rPr>
              <w:t>1,300,968.45</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551,536.71</w:t>
            </w:r>
          </w:p>
        </w:tc>
      </w:tr>
      <w:tr>
        <w:trPr>
          <w:trHeight w:val="390" w:hRule="exact"/>
        </w:trPr>
        <w:tc>
          <w:tcPr>
            <w:tcW w:w="504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15"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r>
      <w:tr>
        <w:trPr>
          <w:trHeight w:val="664" w:hRule="exact"/>
        </w:trPr>
        <w:tc>
          <w:tcPr>
            <w:tcW w:w="504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pStyle w:val="TableParagraph"/>
              <w:spacing w:line="240" w:lineRule="auto" w:before="38"/>
              <w:ind w:left="107" w:right="0"/>
              <w:jc w:val="left"/>
              <w:rPr>
                <w:rFonts w:ascii="宋体" w:hAnsi="宋体" w:cs="宋体" w:eastAsia="宋体" w:hint="default"/>
                <w:sz w:val="18"/>
                <w:szCs w:val="18"/>
              </w:rPr>
            </w:pPr>
            <w:r>
              <w:rPr>
                <w:rFonts w:ascii="宋体" w:hAnsi="宋体" w:cs="宋体" w:eastAsia="宋体" w:hint="default"/>
                <w:sz w:val="18"/>
                <w:szCs w:val="18"/>
              </w:rPr>
              <w:t>（收益以“－”号填列）</w:t>
            </w:r>
          </w:p>
        </w:tc>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463"/>
              <w:jc w:val="right"/>
              <w:rPr>
                <w:rFonts w:ascii="宋体" w:hAnsi="宋体" w:cs="宋体" w:eastAsia="宋体" w:hint="default"/>
                <w:sz w:val="18"/>
                <w:szCs w:val="18"/>
              </w:rPr>
            </w:pPr>
            <w:r>
              <w:rPr>
                <w:rFonts w:ascii="宋体"/>
                <w:spacing w:val="-1"/>
                <w:sz w:val="18"/>
              </w:rPr>
              <w:t>56,120.50</w:t>
            </w:r>
          </w:p>
        </w:tc>
        <w:tc>
          <w:tcPr>
            <w:tcW w:w="2009" w:type="dxa"/>
            <w:tcBorders>
              <w:top w:val="nil" w:sz="6" w:space="0" w:color="auto"/>
              <w:left w:val="nil" w:sz="6" w:space="0" w:color="auto"/>
              <w:bottom w:val="nil" w:sz="6" w:space="0" w:color="auto"/>
              <w:right w:val="nil" w:sz="6" w:space="0" w:color="auto"/>
            </w:tcBorders>
          </w:tcPr>
          <w:p>
            <w:pPr/>
          </w:p>
        </w:tc>
      </w:tr>
      <w:tr>
        <w:trPr>
          <w:trHeight w:val="286" w:hRule="exact"/>
        </w:trPr>
        <w:tc>
          <w:tcPr>
            <w:tcW w:w="504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515"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37"/>
          <w:pgSz w:w="11910" w:h="16840"/>
          <w:pgMar w:footer="1340" w:header="877" w:top="1100" w:bottom="1540" w:left="920" w:right="0"/>
          <w:pgNumType w:start="101"/>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4864"/>
        <w:gridCol w:w="2701"/>
        <w:gridCol w:w="2009"/>
      </w:tblGrid>
      <w:tr>
        <w:trPr>
          <w:trHeight w:val="297" w:hRule="exact"/>
        </w:trPr>
        <w:tc>
          <w:tcPr>
            <w:tcW w:w="4864" w:type="dxa"/>
            <w:tcBorders>
              <w:top w:val="nil" w:sz="6" w:space="0" w:color="auto"/>
              <w:left w:val="nil" w:sz="6" w:space="0" w:color="auto"/>
              <w:bottom w:val="single" w:sz="4" w:space="0" w:color="000000"/>
              <w:right w:val="nil" w:sz="6" w:space="0" w:color="auto"/>
            </w:tcBorders>
          </w:tcPr>
          <w:p>
            <w:pPr>
              <w:pStyle w:val="TableParagraph"/>
              <w:spacing w:line="180" w:lineRule="exact"/>
              <w:ind w:left="35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01" w:type="dxa"/>
            <w:tcBorders>
              <w:top w:val="nil" w:sz="6" w:space="0" w:color="auto"/>
              <w:left w:val="nil" w:sz="6" w:space="0" w:color="auto"/>
              <w:bottom w:val="single" w:sz="4" w:space="0" w:color="000000"/>
              <w:right w:val="nil" w:sz="6" w:space="0" w:color="auto"/>
            </w:tcBorders>
          </w:tcPr>
          <w:p>
            <w:pPr>
              <w:pStyle w:val="TableParagraph"/>
              <w:spacing w:line="182" w:lineRule="exact"/>
              <w:ind w:right="3"/>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009" w:type="dxa"/>
            <w:tcBorders>
              <w:top w:val="nil" w:sz="6" w:space="0" w:color="auto"/>
              <w:left w:val="nil" w:sz="6" w:space="0" w:color="auto"/>
              <w:bottom w:val="single" w:sz="4" w:space="0" w:color="000000"/>
              <w:right w:val="nil" w:sz="6" w:space="0" w:color="auto"/>
            </w:tcBorders>
          </w:tcPr>
          <w:p>
            <w:pPr>
              <w:pStyle w:val="TableParagraph"/>
              <w:spacing w:line="182" w:lineRule="exact"/>
              <w:ind w:left="465"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95" w:hRule="exact"/>
        </w:trPr>
        <w:tc>
          <w:tcPr>
            <w:tcW w:w="486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701" w:type="dxa"/>
            <w:tcBorders>
              <w:top w:val="single" w:sz="4" w:space="0" w:color="000000"/>
              <w:left w:val="nil" w:sz="6" w:space="0" w:color="auto"/>
              <w:bottom w:val="nil" w:sz="6" w:space="0" w:color="auto"/>
              <w:right w:val="nil" w:sz="6" w:space="0" w:color="auto"/>
            </w:tcBorders>
          </w:tcPr>
          <w:p>
            <w:pPr/>
          </w:p>
        </w:tc>
        <w:tc>
          <w:tcPr>
            <w:tcW w:w="2009" w:type="dxa"/>
            <w:tcBorders>
              <w:top w:val="single" w:sz="4" w:space="0" w:color="000000"/>
              <w:left w:val="nil" w:sz="6" w:space="0" w:color="auto"/>
              <w:bottom w:val="nil" w:sz="6" w:space="0" w:color="auto"/>
              <w:right w:val="nil" w:sz="6" w:space="0" w:color="auto"/>
            </w:tcBorders>
          </w:tcPr>
          <w:p>
            <w:pPr/>
          </w:p>
        </w:tc>
      </w:tr>
      <w:tr>
        <w:trPr>
          <w:trHeight w:val="392" w:hRule="exact"/>
        </w:trPr>
        <w:tc>
          <w:tcPr>
            <w:tcW w:w="486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701"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r>
      <w:tr>
        <w:trPr>
          <w:trHeight w:val="392" w:hRule="exact"/>
        </w:trPr>
        <w:tc>
          <w:tcPr>
            <w:tcW w:w="486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64"/>
              <w:jc w:val="right"/>
              <w:rPr>
                <w:rFonts w:ascii="宋体" w:hAnsi="宋体" w:cs="宋体" w:eastAsia="宋体" w:hint="default"/>
                <w:sz w:val="18"/>
                <w:szCs w:val="18"/>
              </w:rPr>
            </w:pPr>
            <w:r>
              <w:rPr>
                <w:rFonts w:ascii="宋体"/>
                <w:spacing w:val="-1"/>
                <w:sz w:val="18"/>
              </w:rPr>
              <w:t>-1,612,932.31</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-1,631,805.77</w:t>
            </w:r>
          </w:p>
        </w:tc>
      </w:tr>
      <w:tr>
        <w:trPr>
          <w:trHeight w:val="392" w:hRule="exact"/>
        </w:trPr>
        <w:tc>
          <w:tcPr>
            <w:tcW w:w="486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701"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916,752.48</w:t>
            </w:r>
          </w:p>
        </w:tc>
      </w:tr>
      <w:tr>
        <w:trPr>
          <w:trHeight w:val="391" w:hRule="exact"/>
        </w:trPr>
        <w:tc>
          <w:tcPr>
            <w:tcW w:w="486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701"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r>
      <w:tr>
        <w:trPr>
          <w:trHeight w:val="392" w:hRule="exact"/>
        </w:trPr>
        <w:tc>
          <w:tcPr>
            <w:tcW w:w="486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64"/>
              <w:jc w:val="right"/>
              <w:rPr>
                <w:rFonts w:ascii="宋体" w:hAnsi="宋体" w:cs="宋体" w:eastAsia="宋体" w:hint="default"/>
                <w:sz w:val="18"/>
                <w:szCs w:val="18"/>
              </w:rPr>
            </w:pPr>
            <w:r>
              <w:rPr>
                <w:rFonts w:ascii="宋体"/>
                <w:spacing w:val="-1"/>
                <w:sz w:val="18"/>
              </w:rPr>
              <w:t>63,192,021.45</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-29,589,009.04</w:t>
            </w:r>
          </w:p>
        </w:tc>
      </w:tr>
      <w:tr>
        <w:trPr>
          <w:trHeight w:val="392" w:hRule="exact"/>
        </w:trPr>
        <w:tc>
          <w:tcPr>
            <w:tcW w:w="486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64"/>
              <w:jc w:val="right"/>
              <w:rPr>
                <w:rFonts w:ascii="宋体" w:hAnsi="宋体" w:cs="宋体" w:eastAsia="宋体" w:hint="default"/>
                <w:sz w:val="18"/>
                <w:szCs w:val="18"/>
              </w:rPr>
            </w:pPr>
            <w:r>
              <w:rPr>
                <w:rFonts w:ascii="宋体"/>
                <w:spacing w:val="-1"/>
                <w:sz w:val="18"/>
              </w:rPr>
              <w:t>-66,697,940.87</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-21,575,015.90</w:t>
            </w:r>
          </w:p>
        </w:tc>
      </w:tr>
      <w:tr>
        <w:trPr>
          <w:trHeight w:val="392" w:hRule="exact"/>
        </w:trPr>
        <w:tc>
          <w:tcPr>
            <w:tcW w:w="486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64"/>
              <w:jc w:val="right"/>
              <w:rPr>
                <w:rFonts w:ascii="宋体" w:hAnsi="宋体" w:cs="宋体" w:eastAsia="宋体" w:hint="default"/>
                <w:sz w:val="18"/>
                <w:szCs w:val="18"/>
              </w:rPr>
            </w:pPr>
            <w:r>
              <w:rPr>
                <w:rFonts w:ascii="宋体"/>
                <w:spacing w:val="-1"/>
                <w:sz w:val="18"/>
              </w:rPr>
              <w:t>-10,734,040.48</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50,307,461.38</w:t>
            </w:r>
          </w:p>
        </w:tc>
      </w:tr>
      <w:tr>
        <w:trPr>
          <w:trHeight w:val="391" w:hRule="exact"/>
        </w:trPr>
        <w:tc>
          <w:tcPr>
            <w:tcW w:w="486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01"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r>
      <w:tr>
        <w:trPr>
          <w:trHeight w:val="393" w:hRule="exact"/>
        </w:trPr>
        <w:tc>
          <w:tcPr>
            <w:tcW w:w="486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64"/>
              <w:jc w:val="right"/>
              <w:rPr>
                <w:rFonts w:ascii="宋体" w:hAnsi="宋体" w:cs="宋体" w:eastAsia="宋体" w:hint="default"/>
                <w:sz w:val="18"/>
                <w:szCs w:val="18"/>
              </w:rPr>
            </w:pPr>
            <w:r>
              <w:rPr>
                <w:rFonts w:ascii="宋体"/>
                <w:spacing w:val="-1"/>
                <w:sz w:val="18"/>
              </w:rPr>
              <w:t>40,140,697.32</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45,659,623.07</w:t>
            </w:r>
          </w:p>
        </w:tc>
      </w:tr>
      <w:tr>
        <w:trPr>
          <w:trHeight w:val="391" w:hRule="exact"/>
        </w:trPr>
        <w:tc>
          <w:tcPr>
            <w:tcW w:w="486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2701"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r>
      <w:tr>
        <w:trPr>
          <w:trHeight w:val="392" w:hRule="exact"/>
        </w:trPr>
        <w:tc>
          <w:tcPr>
            <w:tcW w:w="486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701"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r>
      <w:tr>
        <w:trPr>
          <w:trHeight w:val="391" w:hRule="exact"/>
        </w:trPr>
        <w:tc>
          <w:tcPr>
            <w:tcW w:w="486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701"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r>
      <w:tr>
        <w:trPr>
          <w:trHeight w:val="392" w:hRule="exact"/>
        </w:trPr>
        <w:tc>
          <w:tcPr>
            <w:tcW w:w="486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701"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r>
      <w:tr>
        <w:trPr>
          <w:trHeight w:val="392" w:hRule="exact"/>
        </w:trPr>
        <w:tc>
          <w:tcPr>
            <w:tcW w:w="486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2701"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r>
      <w:tr>
        <w:trPr>
          <w:trHeight w:val="392" w:hRule="exact"/>
        </w:trPr>
        <w:tc>
          <w:tcPr>
            <w:tcW w:w="486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64"/>
              <w:jc w:val="right"/>
              <w:rPr>
                <w:rFonts w:ascii="宋体" w:hAnsi="宋体" w:cs="宋体" w:eastAsia="宋体" w:hint="default"/>
                <w:sz w:val="18"/>
                <w:szCs w:val="18"/>
              </w:rPr>
            </w:pPr>
            <w:r>
              <w:rPr>
                <w:rFonts w:ascii="宋体"/>
                <w:spacing w:val="-1"/>
                <w:sz w:val="18"/>
              </w:rPr>
              <w:t>492,126,268.85</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465,784,153.33</w:t>
            </w:r>
          </w:p>
        </w:tc>
      </w:tr>
      <w:tr>
        <w:trPr>
          <w:trHeight w:val="392" w:hRule="exact"/>
        </w:trPr>
        <w:tc>
          <w:tcPr>
            <w:tcW w:w="486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64"/>
              <w:jc w:val="right"/>
              <w:rPr>
                <w:rFonts w:ascii="宋体" w:hAnsi="宋体" w:cs="宋体" w:eastAsia="宋体" w:hint="default"/>
                <w:sz w:val="18"/>
                <w:szCs w:val="18"/>
              </w:rPr>
            </w:pPr>
            <w:r>
              <w:rPr>
                <w:rFonts w:ascii="宋体"/>
                <w:spacing w:val="-1"/>
                <w:sz w:val="18"/>
              </w:rPr>
              <w:t>465,784,153.33</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439,377,553.34</w:t>
            </w:r>
          </w:p>
        </w:tc>
      </w:tr>
      <w:tr>
        <w:trPr>
          <w:trHeight w:val="391" w:hRule="exact"/>
        </w:trPr>
        <w:tc>
          <w:tcPr>
            <w:tcW w:w="486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701"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r>
      <w:tr>
        <w:trPr>
          <w:trHeight w:val="391" w:hRule="exact"/>
        </w:trPr>
        <w:tc>
          <w:tcPr>
            <w:tcW w:w="486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701"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r>
      <w:tr>
        <w:trPr>
          <w:trHeight w:val="288" w:hRule="exact"/>
        </w:trPr>
        <w:tc>
          <w:tcPr>
            <w:tcW w:w="486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7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63"/>
              <w:jc w:val="right"/>
              <w:rPr>
                <w:rFonts w:ascii="宋体" w:hAnsi="宋体" w:cs="宋体" w:eastAsia="宋体" w:hint="default"/>
                <w:sz w:val="18"/>
                <w:szCs w:val="18"/>
              </w:rPr>
            </w:pPr>
            <w:r>
              <w:rPr>
                <w:rFonts w:ascii="宋体"/>
                <w:spacing w:val="-1"/>
                <w:sz w:val="18"/>
              </w:rPr>
              <w:t>26,342,115.52</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26,406,599.99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573" w:right="1034"/>
        <w:jc w:val="left"/>
      </w:pPr>
      <w:r>
        <w:rPr/>
        <w:t>（</w:t>
      </w:r>
      <w:r>
        <w:rPr>
          <w:rFonts w:ascii="宋体" w:hAnsi="宋体" w:cs="宋体" w:eastAsia="宋体" w:hint="default"/>
        </w:rPr>
        <w:t>2</w:t>
      </w:r>
      <w:r>
        <w:rPr/>
        <w:t>）现金和现金等价物的构成</w:t>
      </w:r>
    </w:p>
    <w:p>
      <w:pPr>
        <w:spacing w:line="240" w:lineRule="auto" w:before="9"/>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4363"/>
        <w:gridCol w:w="3402"/>
        <w:gridCol w:w="1871"/>
      </w:tblGrid>
      <w:tr>
        <w:trPr>
          <w:trHeight w:val="294" w:hRule="exact"/>
        </w:trPr>
        <w:tc>
          <w:tcPr>
            <w:tcW w:w="4363" w:type="dxa"/>
            <w:tcBorders>
              <w:top w:val="nil" w:sz="6" w:space="0" w:color="auto"/>
              <w:left w:val="nil" w:sz="6" w:space="0" w:color="auto"/>
              <w:bottom w:val="single" w:sz="4" w:space="0" w:color="000000"/>
              <w:right w:val="nil" w:sz="6" w:space="0" w:color="auto"/>
            </w:tcBorders>
          </w:tcPr>
          <w:p>
            <w:pPr>
              <w:pStyle w:val="TableParagraph"/>
              <w:spacing w:line="180" w:lineRule="exact"/>
              <w:ind w:left="74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02" w:type="dxa"/>
            <w:tcBorders>
              <w:top w:val="nil" w:sz="6" w:space="0" w:color="auto"/>
              <w:left w:val="nil" w:sz="6" w:space="0" w:color="auto"/>
              <w:bottom w:val="single" w:sz="4" w:space="0" w:color="000000"/>
              <w:right w:val="nil" w:sz="6" w:space="0" w:color="auto"/>
            </w:tcBorders>
          </w:tcPr>
          <w:p>
            <w:pPr>
              <w:pStyle w:val="TableParagraph"/>
              <w:spacing w:line="180" w:lineRule="exact"/>
              <w:ind w:left="1554"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871" w:type="dxa"/>
            <w:tcBorders>
              <w:top w:val="nil" w:sz="6" w:space="0" w:color="auto"/>
              <w:left w:val="nil" w:sz="6" w:space="0" w:color="auto"/>
              <w:bottom w:val="single" w:sz="4" w:space="0" w:color="000000"/>
              <w:right w:val="nil" w:sz="6" w:space="0" w:color="auto"/>
            </w:tcBorders>
          </w:tcPr>
          <w:p>
            <w:pPr>
              <w:pStyle w:val="TableParagraph"/>
              <w:spacing w:line="180" w:lineRule="exact"/>
              <w:ind w:left="418"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95" w:hRule="exact"/>
        </w:trPr>
        <w:tc>
          <w:tcPr>
            <w:tcW w:w="436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40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417"/>
              <w:jc w:val="right"/>
              <w:rPr>
                <w:rFonts w:ascii="宋体" w:hAnsi="宋体" w:cs="宋体" w:eastAsia="宋体" w:hint="default"/>
                <w:sz w:val="18"/>
                <w:szCs w:val="18"/>
              </w:rPr>
            </w:pPr>
            <w:r>
              <w:rPr>
                <w:rFonts w:ascii="宋体"/>
                <w:spacing w:val="-1"/>
                <w:sz w:val="18"/>
              </w:rPr>
              <w:t>492,126,268.85</w:t>
            </w:r>
          </w:p>
        </w:tc>
        <w:tc>
          <w:tcPr>
            <w:tcW w:w="187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465,784,153.33</w:t>
            </w:r>
          </w:p>
        </w:tc>
      </w:tr>
      <w:tr>
        <w:trPr>
          <w:trHeight w:val="394" w:hRule="exact"/>
        </w:trPr>
        <w:tc>
          <w:tcPr>
            <w:tcW w:w="436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16"/>
              <w:jc w:val="right"/>
              <w:rPr>
                <w:rFonts w:ascii="宋体" w:hAnsi="宋体" w:cs="宋体" w:eastAsia="宋体" w:hint="default"/>
                <w:sz w:val="18"/>
                <w:szCs w:val="18"/>
              </w:rPr>
            </w:pPr>
            <w:r>
              <w:rPr>
                <w:rFonts w:ascii="宋体"/>
                <w:spacing w:val="-1"/>
                <w:sz w:val="18"/>
              </w:rPr>
              <w:t>134,358.67</w:t>
            </w:r>
          </w:p>
        </w:tc>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164,286.66</w:t>
            </w:r>
          </w:p>
        </w:tc>
      </w:tr>
      <w:tr>
        <w:trPr>
          <w:trHeight w:val="398" w:hRule="exact"/>
        </w:trPr>
        <w:tc>
          <w:tcPr>
            <w:tcW w:w="436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17"/>
              <w:jc w:val="right"/>
              <w:rPr>
                <w:rFonts w:ascii="宋体" w:hAnsi="宋体" w:cs="宋体" w:eastAsia="宋体" w:hint="default"/>
                <w:sz w:val="18"/>
                <w:szCs w:val="18"/>
              </w:rPr>
            </w:pPr>
            <w:r>
              <w:rPr>
                <w:rFonts w:ascii="宋体"/>
                <w:spacing w:val="-1"/>
                <w:sz w:val="18"/>
              </w:rPr>
              <w:t>491,991,910.18</w:t>
            </w:r>
          </w:p>
        </w:tc>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3"/>
              <w:jc w:val="right"/>
              <w:rPr>
                <w:rFonts w:ascii="宋体" w:hAnsi="宋体" w:cs="宋体" w:eastAsia="宋体" w:hint="default"/>
                <w:sz w:val="18"/>
                <w:szCs w:val="18"/>
              </w:rPr>
            </w:pPr>
            <w:r>
              <w:rPr>
                <w:rFonts w:ascii="宋体"/>
                <w:spacing w:val="-1"/>
                <w:sz w:val="18"/>
              </w:rPr>
              <w:t>465,619,866.67</w:t>
            </w:r>
          </w:p>
        </w:tc>
      </w:tr>
      <w:tr>
        <w:trPr>
          <w:trHeight w:val="398" w:hRule="exact"/>
        </w:trPr>
        <w:tc>
          <w:tcPr>
            <w:tcW w:w="436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50"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402" w:type="dxa"/>
            <w:tcBorders>
              <w:top w:val="nil" w:sz="6" w:space="0" w:color="auto"/>
              <w:left w:val="nil" w:sz="6" w:space="0" w:color="auto"/>
              <w:bottom w:val="nil" w:sz="6" w:space="0" w:color="auto"/>
              <w:right w:val="nil" w:sz="6" w:space="0" w:color="auto"/>
            </w:tcBorders>
          </w:tcPr>
          <w:p>
            <w:pPr/>
          </w:p>
        </w:tc>
        <w:tc>
          <w:tcPr>
            <w:tcW w:w="1871" w:type="dxa"/>
            <w:tcBorders>
              <w:top w:val="nil" w:sz="6" w:space="0" w:color="auto"/>
              <w:left w:val="nil" w:sz="6" w:space="0" w:color="auto"/>
              <w:bottom w:val="nil" w:sz="6" w:space="0" w:color="auto"/>
              <w:right w:val="nil" w:sz="6" w:space="0" w:color="auto"/>
            </w:tcBorders>
          </w:tcPr>
          <w:p>
            <w:pPr/>
          </w:p>
        </w:tc>
      </w:tr>
      <w:tr>
        <w:trPr>
          <w:trHeight w:val="396" w:hRule="exact"/>
        </w:trPr>
        <w:tc>
          <w:tcPr>
            <w:tcW w:w="436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402" w:type="dxa"/>
            <w:tcBorders>
              <w:top w:val="nil" w:sz="6" w:space="0" w:color="auto"/>
              <w:left w:val="nil" w:sz="6" w:space="0" w:color="auto"/>
              <w:bottom w:val="nil" w:sz="6" w:space="0" w:color="auto"/>
              <w:right w:val="nil" w:sz="6" w:space="0" w:color="auto"/>
            </w:tcBorders>
          </w:tcPr>
          <w:p>
            <w:pPr/>
          </w:p>
        </w:tc>
        <w:tc>
          <w:tcPr>
            <w:tcW w:w="1871" w:type="dxa"/>
            <w:tcBorders>
              <w:top w:val="nil" w:sz="6" w:space="0" w:color="auto"/>
              <w:left w:val="nil" w:sz="6" w:space="0" w:color="auto"/>
              <w:bottom w:val="nil" w:sz="6" w:space="0" w:color="auto"/>
              <w:right w:val="nil" w:sz="6" w:space="0" w:color="auto"/>
            </w:tcBorders>
          </w:tcPr>
          <w:p>
            <w:pPr/>
          </w:p>
        </w:tc>
      </w:tr>
      <w:tr>
        <w:trPr>
          <w:trHeight w:val="397" w:hRule="exact"/>
        </w:trPr>
        <w:tc>
          <w:tcPr>
            <w:tcW w:w="436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402" w:type="dxa"/>
            <w:tcBorders>
              <w:top w:val="nil" w:sz="6" w:space="0" w:color="auto"/>
              <w:left w:val="nil" w:sz="6" w:space="0" w:color="auto"/>
              <w:bottom w:val="nil" w:sz="6" w:space="0" w:color="auto"/>
              <w:right w:val="nil" w:sz="6" w:space="0" w:color="auto"/>
            </w:tcBorders>
          </w:tcPr>
          <w:p>
            <w:pPr/>
          </w:p>
        </w:tc>
        <w:tc>
          <w:tcPr>
            <w:tcW w:w="1871" w:type="dxa"/>
            <w:tcBorders>
              <w:top w:val="nil" w:sz="6" w:space="0" w:color="auto"/>
              <w:left w:val="nil" w:sz="6" w:space="0" w:color="auto"/>
              <w:bottom w:val="nil" w:sz="6" w:space="0" w:color="auto"/>
              <w:right w:val="nil" w:sz="6" w:space="0" w:color="auto"/>
            </w:tcBorders>
          </w:tcPr>
          <w:p>
            <w:pPr/>
          </w:p>
        </w:tc>
      </w:tr>
      <w:tr>
        <w:trPr>
          <w:trHeight w:val="289" w:hRule="exact"/>
        </w:trPr>
        <w:tc>
          <w:tcPr>
            <w:tcW w:w="43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4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17"/>
              <w:jc w:val="right"/>
              <w:rPr>
                <w:rFonts w:ascii="宋体" w:hAnsi="宋体" w:cs="宋体" w:eastAsia="宋体" w:hint="default"/>
                <w:sz w:val="18"/>
                <w:szCs w:val="18"/>
              </w:rPr>
            </w:pPr>
            <w:r>
              <w:rPr>
                <w:rFonts w:ascii="宋体"/>
                <w:sz w:val="18"/>
              </w:rPr>
            </w:r>
            <w:r>
              <w:rPr>
                <w:rFonts w:ascii="宋体"/>
                <w:spacing w:val="-1"/>
                <w:sz w:val="18"/>
                <w:u w:val="thick" w:color="000000"/>
              </w:rPr>
              <w:t>492,126,268.85</w:t>
            </w:r>
            <w:r>
              <w:rPr>
                <w:rFonts w:ascii="宋体"/>
                <w:spacing w:val="-1"/>
                <w:sz w:val="18"/>
              </w:rPr>
            </w:r>
          </w:p>
        </w:tc>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r>
            <w:r>
              <w:rPr>
                <w:rFonts w:ascii="宋体"/>
                <w:spacing w:val="-1"/>
                <w:sz w:val="18"/>
                <w:u w:val="thick" w:color="000000"/>
              </w:rPr>
              <w:t>465,784,153.33</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3"/>
        <w:spacing w:line="240" w:lineRule="auto" w:before="26"/>
        <w:ind w:left="695" w:right="1034"/>
        <w:jc w:val="left"/>
        <w:rPr>
          <w:rFonts w:ascii="黑体" w:hAnsi="黑体" w:cs="黑体" w:eastAsia="黑体" w:hint="default"/>
          <w:b w:val="0"/>
          <w:bCs w:val="0"/>
        </w:rPr>
      </w:pPr>
      <w:r>
        <w:rPr>
          <w:rFonts w:ascii="黑体" w:hAnsi="黑体" w:cs="黑体" w:eastAsia="黑体" w:hint="default"/>
        </w:rPr>
        <w:t>八、关联方及关联交易</w:t>
      </w:r>
      <w:r>
        <w:rPr>
          <w:rFonts w:ascii="黑体" w:hAnsi="黑体" w:cs="黑体" w:eastAsia="黑体" w:hint="default"/>
          <w:b w:val="0"/>
          <w:bCs w:val="0"/>
        </w:rPr>
      </w:r>
    </w:p>
    <w:p>
      <w:pPr>
        <w:spacing w:after="0" w:line="240" w:lineRule="auto"/>
        <w:jc w:val="left"/>
        <w:rPr>
          <w:rFonts w:ascii="黑体" w:hAnsi="黑体" w:cs="黑体" w:eastAsia="黑体" w:hint="default"/>
        </w:rPr>
        <w:sectPr>
          <w:pgSz w:w="11910" w:h="16840"/>
          <w:pgMar w:header="877" w:footer="1340" w:top="1100" w:bottom="1540" w:left="920" w:right="0"/>
        </w:sectPr>
      </w:pPr>
    </w:p>
    <w:p>
      <w:pPr>
        <w:spacing w:line="240" w:lineRule="auto" w:before="2"/>
        <w:rPr>
          <w:rFonts w:ascii="黑体" w:hAnsi="黑体" w:cs="黑体" w:eastAsia="黑体" w:hint="default"/>
          <w:b/>
          <w:bCs/>
          <w:sz w:val="27"/>
          <w:szCs w:val="27"/>
        </w:rPr>
      </w:pPr>
    </w:p>
    <w:p>
      <w:pPr>
        <w:pStyle w:val="BodyText"/>
        <w:spacing w:line="367" w:lineRule="auto" w:before="44"/>
        <w:ind w:right="981" w:firstLine="360"/>
        <w:jc w:val="left"/>
      </w:pPr>
      <w:r>
        <w:rPr>
          <w:rFonts w:ascii="宋体" w:hAnsi="宋体" w:cs="宋体" w:eastAsia="宋体" w:hint="default"/>
          <w:spacing w:val="-2"/>
        </w:rPr>
        <w:t>1.</w:t>
      </w:r>
      <w:r>
        <w:rPr>
          <w:spacing w:val="-2"/>
        </w:rPr>
        <w:t>关联方的认定标准：一方控制、共同控制另一方或对另一方施加重大影响，以及两方或两方以上同受一方控制、共同</w:t>
      </w:r>
      <w:r>
        <w:rPr/>
        <w:t> 控制或重大影响的，构成关联方。</w:t>
      </w:r>
    </w:p>
    <w:p>
      <w:pPr>
        <w:spacing w:line="240" w:lineRule="auto" w:before="2"/>
        <w:rPr>
          <w:rFonts w:ascii="宋体" w:hAnsi="宋体" w:cs="宋体" w:eastAsia="宋体" w:hint="default"/>
          <w:sz w:val="14"/>
          <w:szCs w:val="14"/>
        </w:rPr>
      </w:pPr>
    </w:p>
    <w:p>
      <w:pPr>
        <w:pStyle w:val="BodyText"/>
        <w:spacing w:line="240" w:lineRule="auto"/>
        <w:ind w:left="513" w:right="981"/>
        <w:jc w:val="left"/>
      </w:pPr>
      <w:r>
        <w:rPr>
          <w:rFonts w:ascii="宋体" w:hAnsi="宋体" w:cs="宋体" w:eastAsia="宋体" w:hint="default"/>
        </w:rPr>
        <w:t>2.</w:t>
      </w:r>
      <w:r>
        <w:rPr/>
        <w:t>本公司的母公司有关信息</w:t>
      </w:r>
    </w:p>
    <w:p>
      <w:pPr>
        <w:spacing w:line="240" w:lineRule="auto" w:before="6"/>
        <w:rPr>
          <w:rFonts w:ascii="宋体" w:hAnsi="宋体" w:cs="宋体" w:eastAsia="宋体" w:hint="default"/>
          <w:sz w:val="23"/>
          <w:szCs w:val="23"/>
        </w:rPr>
      </w:pPr>
    </w:p>
    <w:tbl>
      <w:tblPr>
        <w:tblW w:w="0" w:type="auto"/>
        <w:jc w:val="left"/>
        <w:tblInd w:w="131" w:type="dxa"/>
        <w:tblLayout w:type="fixed"/>
        <w:tblCellMar>
          <w:top w:w="0" w:type="dxa"/>
          <w:left w:w="0" w:type="dxa"/>
          <w:bottom w:w="0" w:type="dxa"/>
          <w:right w:w="0" w:type="dxa"/>
        </w:tblCellMar>
        <w:tblLook w:val="01E0"/>
      </w:tblPr>
      <w:tblGrid>
        <w:gridCol w:w="1728"/>
        <w:gridCol w:w="1418"/>
        <w:gridCol w:w="1542"/>
        <w:gridCol w:w="1397"/>
        <w:gridCol w:w="2325"/>
        <w:gridCol w:w="1273"/>
      </w:tblGrid>
      <w:tr>
        <w:trPr>
          <w:trHeight w:val="296" w:hRule="exact"/>
        </w:trPr>
        <w:tc>
          <w:tcPr>
            <w:tcW w:w="1728" w:type="dxa"/>
            <w:tcBorders>
              <w:top w:val="nil" w:sz="6" w:space="0" w:color="auto"/>
              <w:left w:val="nil" w:sz="6" w:space="0" w:color="auto"/>
              <w:bottom w:val="single" w:sz="4" w:space="0" w:color="000000"/>
              <w:right w:val="nil" w:sz="6" w:space="0" w:color="auto"/>
            </w:tcBorders>
          </w:tcPr>
          <w:p>
            <w:pPr>
              <w:pStyle w:val="TableParagraph"/>
              <w:spacing w:line="180" w:lineRule="exact"/>
              <w:ind w:left="456" w:right="0"/>
              <w:jc w:val="left"/>
              <w:rPr>
                <w:rFonts w:ascii="宋体" w:hAnsi="宋体" w:cs="宋体" w:eastAsia="宋体" w:hint="default"/>
                <w:sz w:val="18"/>
                <w:szCs w:val="18"/>
              </w:rPr>
            </w:pPr>
            <w:r>
              <w:rPr>
                <w:rFonts w:ascii="宋体" w:hAnsi="宋体" w:cs="宋体" w:eastAsia="宋体" w:hint="default"/>
                <w:b/>
                <w:bCs/>
                <w:sz w:val="18"/>
                <w:szCs w:val="18"/>
              </w:rPr>
              <w:t>母公司名称</w:t>
            </w:r>
            <w:r>
              <w:rPr>
                <w:rFonts w:ascii="宋体" w:hAnsi="宋体" w:cs="宋体" w:eastAsia="宋体" w:hint="default"/>
                <w:sz w:val="18"/>
                <w:szCs w:val="18"/>
              </w:rPr>
            </w:r>
          </w:p>
        </w:tc>
        <w:tc>
          <w:tcPr>
            <w:tcW w:w="1418" w:type="dxa"/>
            <w:tcBorders>
              <w:top w:val="nil" w:sz="6" w:space="0" w:color="auto"/>
              <w:left w:val="nil" w:sz="6" w:space="0" w:color="auto"/>
              <w:bottom w:val="single" w:sz="4" w:space="0" w:color="000000"/>
              <w:right w:val="nil" w:sz="6" w:space="0" w:color="auto"/>
            </w:tcBorders>
          </w:tcPr>
          <w:p>
            <w:pPr>
              <w:pStyle w:val="TableParagraph"/>
              <w:spacing w:line="180" w:lineRule="exact"/>
              <w:ind w:left="256" w:right="0"/>
              <w:jc w:val="left"/>
              <w:rPr>
                <w:rFonts w:ascii="宋体" w:hAnsi="宋体" w:cs="宋体" w:eastAsia="宋体" w:hint="default"/>
                <w:sz w:val="18"/>
                <w:szCs w:val="18"/>
              </w:rPr>
            </w:pPr>
            <w:r>
              <w:rPr>
                <w:rFonts w:ascii="宋体" w:hAnsi="宋体" w:cs="宋体" w:eastAsia="宋体" w:hint="default"/>
                <w:b/>
                <w:bCs/>
                <w:sz w:val="18"/>
                <w:szCs w:val="18"/>
              </w:rPr>
              <w:t>企业类型</w:t>
            </w:r>
            <w:r>
              <w:rPr>
                <w:rFonts w:ascii="宋体" w:hAnsi="宋体" w:cs="宋体" w:eastAsia="宋体" w:hint="default"/>
                <w:sz w:val="18"/>
                <w:szCs w:val="18"/>
              </w:rPr>
            </w:r>
          </w:p>
        </w:tc>
        <w:tc>
          <w:tcPr>
            <w:tcW w:w="1542" w:type="dxa"/>
            <w:tcBorders>
              <w:top w:val="nil" w:sz="6" w:space="0" w:color="auto"/>
              <w:left w:val="nil" w:sz="6" w:space="0" w:color="auto"/>
              <w:bottom w:val="single" w:sz="4" w:space="0" w:color="000000"/>
              <w:right w:val="nil" w:sz="6" w:space="0" w:color="auto"/>
            </w:tcBorders>
          </w:tcPr>
          <w:p>
            <w:pPr>
              <w:pStyle w:val="TableParagraph"/>
              <w:spacing w:line="180" w:lineRule="exact"/>
              <w:ind w:left="299"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397" w:type="dxa"/>
            <w:tcBorders>
              <w:top w:val="nil" w:sz="6" w:space="0" w:color="auto"/>
              <w:left w:val="nil" w:sz="6" w:space="0" w:color="auto"/>
              <w:bottom w:val="single" w:sz="4" w:space="0" w:color="000000"/>
              <w:right w:val="nil" w:sz="6" w:space="0" w:color="auto"/>
            </w:tcBorders>
          </w:tcPr>
          <w:p>
            <w:pPr>
              <w:pStyle w:val="TableParagraph"/>
              <w:spacing w:line="180" w:lineRule="exact"/>
              <w:ind w:left="163" w:right="0"/>
              <w:jc w:val="left"/>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sz w:val="18"/>
                <w:szCs w:val="18"/>
              </w:rPr>
            </w:r>
          </w:p>
        </w:tc>
        <w:tc>
          <w:tcPr>
            <w:tcW w:w="2325" w:type="dxa"/>
            <w:tcBorders>
              <w:top w:val="nil" w:sz="6" w:space="0" w:color="auto"/>
              <w:left w:val="nil" w:sz="6" w:space="0" w:color="auto"/>
              <w:bottom w:val="single" w:sz="4" w:space="0" w:color="000000"/>
              <w:right w:val="nil" w:sz="6" w:space="0" w:color="auto"/>
            </w:tcBorders>
          </w:tcPr>
          <w:p>
            <w:pPr>
              <w:pStyle w:val="TableParagraph"/>
              <w:spacing w:line="180" w:lineRule="exact"/>
              <w:ind w:left="612"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273" w:type="dxa"/>
            <w:tcBorders>
              <w:top w:val="nil" w:sz="6" w:space="0" w:color="auto"/>
              <w:left w:val="nil" w:sz="6" w:space="0" w:color="auto"/>
              <w:bottom w:val="single" w:sz="4" w:space="0" w:color="000000"/>
              <w:right w:val="nil" w:sz="6" w:space="0" w:color="auto"/>
            </w:tcBorders>
          </w:tcPr>
          <w:p>
            <w:pPr>
              <w:pStyle w:val="TableParagraph"/>
              <w:spacing w:line="180" w:lineRule="exact"/>
              <w:ind w:left="193"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r>
      <w:tr>
        <w:trPr>
          <w:trHeight w:val="642" w:hRule="exact"/>
        </w:trPr>
        <w:tc>
          <w:tcPr>
            <w:tcW w:w="172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上海船舶运输科学</w:t>
            </w:r>
          </w:p>
          <w:p>
            <w:pPr>
              <w:pStyle w:val="TableParagraph"/>
              <w:spacing w:line="240" w:lineRule="auto" w:before="115"/>
              <w:ind w:left="31" w:right="0"/>
              <w:jc w:val="left"/>
              <w:rPr>
                <w:rFonts w:ascii="宋体" w:hAnsi="宋体" w:cs="宋体" w:eastAsia="宋体" w:hint="default"/>
                <w:sz w:val="18"/>
                <w:szCs w:val="18"/>
              </w:rPr>
            </w:pPr>
            <w:r>
              <w:rPr>
                <w:rFonts w:ascii="宋体" w:hAnsi="宋体" w:cs="宋体" w:eastAsia="宋体" w:hint="default"/>
                <w:sz w:val="18"/>
                <w:szCs w:val="18"/>
              </w:rPr>
              <w:t>研究所</w:t>
            </w: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国有企业</w:t>
            </w:r>
          </w:p>
        </w:tc>
        <w:tc>
          <w:tcPr>
            <w:tcW w:w="154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上海浦东新区</w:t>
            </w:r>
          </w:p>
        </w:tc>
        <w:tc>
          <w:tcPr>
            <w:tcW w:w="139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蔡惠星</w:t>
            </w:r>
          </w:p>
        </w:tc>
        <w:tc>
          <w:tcPr>
            <w:tcW w:w="232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船舶自动化设备研制</w:t>
            </w:r>
          </w:p>
        </w:tc>
        <w:tc>
          <w:tcPr>
            <w:tcW w:w="127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15,000</w:t>
            </w:r>
            <w:r>
              <w:rPr>
                <w:rFonts w:ascii="宋体" w:hAnsi="宋体" w:cs="宋体" w:eastAsia="宋体" w:hint="default"/>
                <w:spacing w:val="-44"/>
                <w:sz w:val="18"/>
                <w:szCs w:val="18"/>
              </w:rPr>
              <w:t> </w:t>
            </w:r>
            <w:r>
              <w:rPr>
                <w:rFonts w:ascii="宋体" w:hAnsi="宋体" w:cs="宋体" w:eastAsia="宋体" w:hint="default"/>
                <w:sz w:val="18"/>
                <w:szCs w:val="18"/>
              </w:rPr>
              <w:t>万元</w:t>
            </w:r>
          </w:p>
        </w:tc>
      </w:tr>
    </w:tbl>
    <w:p>
      <w:pPr>
        <w:spacing w:line="240" w:lineRule="auto" w:before="11"/>
        <w:rPr>
          <w:rFonts w:ascii="宋体" w:hAnsi="宋体" w:cs="宋体" w:eastAsia="宋体" w:hint="default"/>
          <w:sz w:val="13"/>
          <w:szCs w:val="13"/>
        </w:rPr>
      </w:pPr>
    </w:p>
    <w:p>
      <w:pPr>
        <w:pStyle w:val="BodyText"/>
        <w:spacing w:line="240" w:lineRule="auto" w:before="44"/>
        <w:ind w:left="513" w:right="981"/>
        <w:jc w:val="left"/>
      </w:pPr>
      <w:r>
        <w:rPr/>
        <w:t>接上表：</w:t>
      </w:r>
    </w:p>
    <w:p>
      <w:pPr>
        <w:spacing w:line="240" w:lineRule="auto" w:before="5"/>
        <w:rPr>
          <w:rFonts w:ascii="宋体" w:hAnsi="宋体" w:cs="宋体" w:eastAsia="宋体" w:hint="default"/>
          <w:sz w:val="20"/>
          <w:szCs w:val="20"/>
        </w:rPr>
      </w:pPr>
    </w:p>
    <w:tbl>
      <w:tblPr>
        <w:tblW w:w="0" w:type="auto"/>
        <w:jc w:val="left"/>
        <w:tblInd w:w="116" w:type="dxa"/>
        <w:tblLayout w:type="fixed"/>
        <w:tblCellMar>
          <w:top w:w="0" w:type="dxa"/>
          <w:left w:w="0" w:type="dxa"/>
          <w:bottom w:w="0" w:type="dxa"/>
          <w:right w:w="0" w:type="dxa"/>
        </w:tblCellMar>
        <w:tblLook w:val="01E0"/>
      </w:tblPr>
      <w:tblGrid>
        <w:gridCol w:w="2049"/>
        <w:gridCol w:w="1918"/>
        <w:gridCol w:w="1709"/>
        <w:gridCol w:w="2437"/>
        <w:gridCol w:w="1600"/>
      </w:tblGrid>
      <w:tr>
        <w:trPr>
          <w:trHeight w:val="488" w:hRule="exact"/>
        </w:trPr>
        <w:tc>
          <w:tcPr>
            <w:tcW w:w="2049"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6"/>
              <w:jc w:val="center"/>
              <w:rPr>
                <w:rFonts w:ascii="宋体" w:hAnsi="宋体" w:cs="宋体" w:eastAsia="宋体" w:hint="default"/>
                <w:sz w:val="18"/>
                <w:szCs w:val="18"/>
              </w:rPr>
            </w:pPr>
            <w:r>
              <w:rPr>
                <w:rFonts w:ascii="宋体" w:hAnsi="宋体" w:cs="宋体" w:eastAsia="宋体" w:hint="default"/>
                <w:b/>
                <w:bCs/>
                <w:sz w:val="18"/>
                <w:szCs w:val="18"/>
              </w:rPr>
              <w:t>母公司名称</w:t>
            </w:r>
            <w:r>
              <w:rPr>
                <w:rFonts w:ascii="宋体" w:hAnsi="宋体" w:cs="宋体" w:eastAsia="宋体" w:hint="default"/>
                <w:sz w:val="18"/>
                <w:szCs w:val="18"/>
              </w:rPr>
            </w:r>
          </w:p>
        </w:tc>
        <w:tc>
          <w:tcPr>
            <w:tcW w:w="1918" w:type="dxa"/>
            <w:tcBorders>
              <w:top w:val="nil" w:sz="6" w:space="0" w:color="auto"/>
              <w:left w:val="nil" w:sz="6" w:space="0" w:color="auto"/>
              <w:bottom w:val="single" w:sz="4" w:space="0" w:color="000000"/>
              <w:right w:val="nil" w:sz="6" w:space="0" w:color="auto"/>
            </w:tcBorders>
          </w:tcPr>
          <w:p>
            <w:pPr>
              <w:pStyle w:val="TableParagraph"/>
              <w:spacing w:line="179" w:lineRule="exact"/>
              <w:ind w:right="34"/>
              <w:jc w:val="center"/>
              <w:rPr>
                <w:rFonts w:ascii="宋体" w:hAnsi="宋体" w:cs="宋体" w:eastAsia="宋体" w:hint="default"/>
                <w:sz w:val="18"/>
                <w:szCs w:val="18"/>
              </w:rPr>
            </w:pPr>
            <w:r>
              <w:rPr>
                <w:rFonts w:ascii="宋体" w:hAnsi="宋体" w:cs="宋体" w:eastAsia="宋体" w:hint="default"/>
                <w:b/>
                <w:bCs/>
                <w:sz w:val="18"/>
                <w:szCs w:val="18"/>
              </w:rPr>
              <w:t>母公司对本企业的持股</w:t>
            </w:r>
            <w:r>
              <w:rPr>
                <w:rFonts w:ascii="宋体" w:hAnsi="宋体" w:cs="宋体" w:eastAsia="宋体" w:hint="default"/>
                <w:sz w:val="18"/>
                <w:szCs w:val="18"/>
              </w:rPr>
            </w:r>
          </w:p>
          <w:p>
            <w:pPr>
              <w:pStyle w:val="TableParagraph"/>
              <w:spacing w:line="234" w:lineRule="exact"/>
              <w:ind w:right="33"/>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09" w:type="dxa"/>
            <w:tcBorders>
              <w:top w:val="nil" w:sz="6" w:space="0" w:color="auto"/>
              <w:left w:val="nil" w:sz="6" w:space="0" w:color="auto"/>
              <w:bottom w:val="single" w:sz="4" w:space="0" w:color="000000"/>
              <w:right w:val="nil" w:sz="6" w:space="0" w:color="auto"/>
            </w:tcBorders>
          </w:tcPr>
          <w:p>
            <w:pPr>
              <w:pStyle w:val="TableParagraph"/>
              <w:spacing w:line="179" w:lineRule="exact"/>
              <w:ind w:left="117" w:right="0" w:hanging="44"/>
              <w:jc w:val="left"/>
              <w:rPr>
                <w:rFonts w:ascii="宋体" w:hAnsi="宋体" w:cs="宋体" w:eastAsia="宋体" w:hint="default"/>
                <w:sz w:val="18"/>
                <w:szCs w:val="18"/>
              </w:rPr>
            </w:pPr>
            <w:r>
              <w:rPr>
                <w:rFonts w:ascii="宋体" w:hAnsi="宋体" w:cs="宋体" w:eastAsia="宋体" w:hint="default"/>
                <w:b/>
                <w:bCs/>
                <w:sz w:val="18"/>
                <w:szCs w:val="18"/>
              </w:rPr>
              <w:t>母公司对本企业的</w:t>
            </w:r>
            <w:r>
              <w:rPr>
                <w:rFonts w:ascii="宋体" w:hAnsi="宋体" w:cs="宋体" w:eastAsia="宋体" w:hint="default"/>
                <w:sz w:val="18"/>
                <w:szCs w:val="18"/>
              </w:rPr>
            </w:r>
          </w:p>
          <w:p>
            <w:pPr>
              <w:pStyle w:val="TableParagraph"/>
              <w:spacing w:line="234" w:lineRule="exact"/>
              <w:ind w:left="117" w:right="0"/>
              <w:jc w:val="left"/>
              <w:rPr>
                <w:rFonts w:ascii="宋体" w:hAnsi="宋体" w:cs="宋体" w:eastAsia="宋体" w:hint="default"/>
                <w:sz w:val="18"/>
                <w:szCs w:val="18"/>
              </w:rPr>
            </w:pPr>
            <w:r>
              <w:rPr>
                <w:rFonts w:ascii="宋体" w:hAnsi="宋体" w:cs="宋体" w:eastAsia="宋体" w:hint="default"/>
                <w:b/>
                <w:bCs/>
                <w:sz w:val="18"/>
                <w:szCs w:val="18"/>
              </w:rPr>
              <w:t>表决权比例（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437"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75"/>
              <w:jc w:val="center"/>
              <w:rPr>
                <w:rFonts w:ascii="宋体" w:hAnsi="宋体" w:cs="宋体" w:eastAsia="宋体" w:hint="default"/>
                <w:sz w:val="18"/>
                <w:szCs w:val="18"/>
              </w:rPr>
            </w:pPr>
            <w:r>
              <w:rPr>
                <w:rFonts w:ascii="宋体" w:hAnsi="宋体" w:cs="宋体" w:eastAsia="宋体" w:hint="default"/>
                <w:b/>
                <w:bCs/>
                <w:sz w:val="18"/>
                <w:szCs w:val="18"/>
              </w:rPr>
              <w:t>本企业最终控制方</w:t>
            </w:r>
            <w:r>
              <w:rPr>
                <w:rFonts w:ascii="宋体" w:hAnsi="宋体" w:cs="宋体" w:eastAsia="宋体" w:hint="default"/>
                <w:sz w:val="18"/>
                <w:szCs w:val="18"/>
              </w:rPr>
            </w:r>
          </w:p>
        </w:tc>
        <w:tc>
          <w:tcPr>
            <w:tcW w:w="1600"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15" w:right="0"/>
              <w:jc w:val="center"/>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r>
      <w:tr>
        <w:trPr>
          <w:trHeight w:val="292" w:hRule="exact"/>
        </w:trPr>
        <w:tc>
          <w:tcPr>
            <w:tcW w:w="204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91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9"/>
              <w:jc w:val="center"/>
              <w:rPr>
                <w:rFonts w:ascii="宋体" w:hAnsi="宋体" w:cs="宋体" w:eastAsia="宋体" w:hint="default"/>
                <w:sz w:val="18"/>
                <w:szCs w:val="18"/>
              </w:rPr>
            </w:pPr>
            <w:r>
              <w:rPr>
                <w:rFonts w:ascii="宋体"/>
                <w:sz w:val="18"/>
              </w:rPr>
              <w:t>55.81</w:t>
            </w:r>
          </w:p>
        </w:tc>
        <w:tc>
          <w:tcPr>
            <w:tcW w:w="170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14"/>
              <w:jc w:val="center"/>
              <w:rPr>
                <w:rFonts w:ascii="宋体" w:hAnsi="宋体" w:cs="宋体" w:eastAsia="宋体" w:hint="default"/>
                <w:sz w:val="18"/>
                <w:szCs w:val="18"/>
              </w:rPr>
            </w:pPr>
            <w:r>
              <w:rPr>
                <w:rFonts w:ascii="宋体"/>
                <w:sz w:val="18"/>
              </w:rPr>
              <w:t>55.81</w:t>
            </w:r>
          </w:p>
        </w:tc>
        <w:tc>
          <w:tcPr>
            <w:tcW w:w="2437"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72"/>
              <w:jc w:val="center"/>
              <w:rPr>
                <w:rFonts w:ascii="宋体" w:hAnsi="宋体" w:cs="宋体" w:eastAsia="宋体" w:hint="default"/>
                <w:sz w:val="18"/>
                <w:szCs w:val="18"/>
              </w:rPr>
            </w:pPr>
            <w:r>
              <w:rPr>
                <w:rFonts w:ascii="宋体" w:hAnsi="宋体" w:cs="宋体" w:eastAsia="宋体" w:hint="default"/>
                <w:sz w:val="18"/>
                <w:szCs w:val="18"/>
              </w:rPr>
              <w:t>中国海运（集团）总公司</w:t>
            </w:r>
          </w:p>
        </w:tc>
        <w:tc>
          <w:tcPr>
            <w:tcW w:w="160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9" w:right="0"/>
              <w:jc w:val="center"/>
              <w:rPr>
                <w:rFonts w:ascii="宋体" w:hAnsi="宋体" w:cs="宋体" w:eastAsia="宋体" w:hint="default"/>
                <w:sz w:val="18"/>
                <w:szCs w:val="18"/>
              </w:rPr>
            </w:pPr>
            <w:r>
              <w:rPr>
                <w:rFonts w:ascii="宋体"/>
                <w:sz w:val="18"/>
              </w:rPr>
              <w:t>42487513-4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513" w:right="981"/>
        <w:jc w:val="left"/>
      </w:pPr>
      <w:r>
        <w:rPr>
          <w:rFonts w:ascii="宋体" w:hAnsi="宋体" w:cs="宋体" w:eastAsia="宋体" w:hint="default"/>
        </w:rPr>
        <w:t>3.</w:t>
      </w:r>
      <w:r>
        <w:rPr/>
        <w:t>本公司其他关联方情况</w:t>
      </w:r>
    </w:p>
    <w:p>
      <w:pPr>
        <w:spacing w:line="240" w:lineRule="auto" w:before="9"/>
        <w:rPr>
          <w:rFonts w:ascii="宋体" w:hAnsi="宋体" w:cs="宋体" w:eastAsia="宋体" w:hint="default"/>
          <w:sz w:val="23"/>
          <w:szCs w:val="23"/>
        </w:rPr>
      </w:pPr>
    </w:p>
    <w:tbl>
      <w:tblPr>
        <w:tblW w:w="0" w:type="auto"/>
        <w:jc w:val="left"/>
        <w:tblInd w:w="157" w:type="dxa"/>
        <w:tblLayout w:type="fixed"/>
        <w:tblCellMar>
          <w:top w:w="0" w:type="dxa"/>
          <w:left w:w="0" w:type="dxa"/>
          <w:bottom w:w="0" w:type="dxa"/>
          <w:right w:w="0" w:type="dxa"/>
        </w:tblCellMar>
        <w:tblLook w:val="01E0"/>
      </w:tblPr>
      <w:tblGrid>
        <w:gridCol w:w="3080"/>
        <w:gridCol w:w="3764"/>
        <w:gridCol w:w="2787"/>
      </w:tblGrid>
      <w:tr>
        <w:trPr>
          <w:trHeight w:val="296" w:hRule="exact"/>
        </w:trPr>
        <w:tc>
          <w:tcPr>
            <w:tcW w:w="3080" w:type="dxa"/>
            <w:tcBorders>
              <w:top w:val="nil" w:sz="6" w:space="0" w:color="auto"/>
              <w:left w:val="nil" w:sz="6" w:space="0" w:color="auto"/>
              <w:bottom w:val="single" w:sz="4" w:space="0" w:color="000000"/>
              <w:right w:val="nil" w:sz="6" w:space="0" w:color="auto"/>
            </w:tcBorders>
          </w:tcPr>
          <w:p>
            <w:pPr>
              <w:pStyle w:val="TableParagraph"/>
              <w:spacing w:line="180" w:lineRule="exact"/>
              <w:ind w:left="898" w:right="0"/>
              <w:jc w:val="left"/>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sz w:val="18"/>
                <w:szCs w:val="18"/>
              </w:rPr>
            </w:r>
          </w:p>
        </w:tc>
        <w:tc>
          <w:tcPr>
            <w:tcW w:w="3764" w:type="dxa"/>
            <w:tcBorders>
              <w:top w:val="nil" w:sz="6" w:space="0" w:color="auto"/>
              <w:left w:val="nil" w:sz="6" w:space="0" w:color="auto"/>
              <w:bottom w:val="single" w:sz="4" w:space="0" w:color="000000"/>
              <w:right w:val="nil" w:sz="6" w:space="0" w:color="auto"/>
            </w:tcBorders>
          </w:tcPr>
          <w:p>
            <w:pPr>
              <w:pStyle w:val="TableParagraph"/>
              <w:spacing w:line="180" w:lineRule="exact"/>
              <w:ind w:left="631" w:right="0"/>
              <w:jc w:val="left"/>
              <w:rPr>
                <w:rFonts w:ascii="宋体" w:hAnsi="宋体" w:cs="宋体" w:eastAsia="宋体" w:hint="default"/>
                <w:sz w:val="18"/>
                <w:szCs w:val="18"/>
              </w:rPr>
            </w:pPr>
            <w:r>
              <w:rPr>
                <w:rFonts w:ascii="宋体" w:hAnsi="宋体" w:cs="宋体" w:eastAsia="宋体" w:hint="default"/>
                <w:b/>
                <w:bCs/>
                <w:sz w:val="18"/>
                <w:szCs w:val="18"/>
              </w:rPr>
              <w:t>其他关联方与本企业关系</w:t>
            </w:r>
            <w:r>
              <w:rPr>
                <w:rFonts w:ascii="宋体" w:hAnsi="宋体" w:cs="宋体" w:eastAsia="宋体" w:hint="default"/>
                <w:sz w:val="18"/>
                <w:szCs w:val="18"/>
              </w:rPr>
            </w:r>
          </w:p>
        </w:tc>
        <w:tc>
          <w:tcPr>
            <w:tcW w:w="2787" w:type="dxa"/>
            <w:tcBorders>
              <w:top w:val="nil" w:sz="6" w:space="0" w:color="auto"/>
              <w:left w:val="nil" w:sz="6" w:space="0" w:color="auto"/>
              <w:bottom w:val="single" w:sz="4" w:space="0" w:color="000000"/>
              <w:right w:val="nil" w:sz="6" w:space="0" w:color="auto"/>
            </w:tcBorders>
          </w:tcPr>
          <w:p>
            <w:pPr>
              <w:pStyle w:val="TableParagraph"/>
              <w:spacing w:line="180" w:lineRule="exact"/>
              <w:ind w:left="602" w:right="0"/>
              <w:jc w:val="left"/>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r>
      <w:tr>
        <w:trPr>
          <w:trHeight w:val="400" w:hRule="exact"/>
        </w:trPr>
        <w:tc>
          <w:tcPr>
            <w:tcW w:w="308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上海运昌商贸发展公司</w:t>
            </w:r>
          </w:p>
        </w:tc>
        <w:tc>
          <w:tcPr>
            <w:tcW w:w="376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600"/>
              <w:jc w:val="right"/>
              <w:rPr>
                <w:rFonts w:ascii="宋体" w:hAnsi="宋体" w:cs="宋体" w:eastAsia="宋体" w:hint="default"/>
                <w:sz w:val="18"/>
                <w:szCs w:val="18"/>
              </w:rPr>
            </w:pPr>
            <w:r>
              <w:rPr>
                <w:rFonts w:ascii="宋体" w:hAnsi="宋体" w:cs="宋体" w:eastAsia="宋体" w:hint="default"/>
                <w:sz w:val="18"/>
                <w:szCs w:val="18"/>
              </w:rPr>
              <w:t>同一母公司</w:t>
            </w:r>
          </w:p>
        </w:tc>
        <w:tc>
          <w:tcPr>
            <w:tcW w:w="278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pacing w:val="-1"/>
                <w:sz w:val="18"/>
              </w:rPr>
              <w:t>13230967-5</w:t>
            </w:r>
          </w:p>
        </w:tc>
      </w:tr>
      <w:tr>
        <w:trPr>
          <w:trHeight w:val="397" w:hRule="exact"/>
        </w:trPr>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上海交通设计所有限公司</w:t>
            </w:r>
          </w:p>
        </w:tc>
        <w:tc>
          <w:tcPr>
            <w:tcW w:w="37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0"/>
              <w:jc w:val="right"/>
              <w:rPr>
                <w:rFonts w:ascii="宋体" w:hAnsi="宋体" w:cs="宋体" w:eastAsia="宋体" w:hint="default"/>
                <w:sz w:val="18"/>
                <w:szCs w:val="18"/>
              </w:rPr>
            </w:pPr>
            <w:r>
              <w:rPr>
                <w:rFonts w:ascii="宋体" w:hAnsi="宋体" w:cs="宋体" w:eastAsia="宋体" w:hint="default"/>
                <w:sz w:val="18"/>
                <w:szCs w:val="18"/>
              </w:rPr>
              <w:t>同一母公司</w:t>
            </w:r>
          </w:p>
        </w:tc>
        <w:tc>
          <w:tcPr>
            <w:tcW w:w="278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4"/>
              <w:jc w:val="right"/>
              <w:rPr>
                <w:rFonts w:ascii="宋体" w:hAnsi="宋体" w:cs="宋体" w:eastAsia="宋体" w:hint="default"/>
                <w:sz w:val="18"/>
                <w:szCs w:val="18"/>
              </w:rPr>
            </w:pPr>
            <w:r>
              <w:rPr>
                <w:rFonts w:ascii="宋体"/>
                <w:spacing w:val="-1"/>
                <w:sz w:val="18"/>
              </w:rPr>
              <w:t>13375998-5</w:t>
            </w:r>
          </w:p>
        </w:tc>
      </w:tr>
      <w:tr>
        <w:trPr>
          <w:trHeight w:val="397" w:hRule="exact"/>
        </w:trPr>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贵州新思维科技有限责任公司</w:t>
            </w:r>
          </w:p>
        </w:tc>
        <w:tc>
          <w:tcPr>
            <w:tcW w:w="37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00"/>
              <w:jc w:val="right"/>
              <w:rPr>
                <w:rFonts w:ascii="宋体" w:hAnsi="宋体" w:cs="宋体" w:eastAsia="宋体" w:hint="default"/>
                <w:sz w:val="18"/>
                <w:szCs w:val="18"/>
              </w:rPr>
            </w:pPr>
            <w:r>
              <w:rPr>
                <w:rFonts w:ascii="宋体" w:hAnsi="宋体" w:cs="宋体" w:eastAsia="宋体" w:hint="default"/>
                <w:sz w:val="18"/>
                <w:szCs w:val="18"/>
              </w:rPr>
              <w:t>联营企业</w:t>
            </w:r>
          </w:p>
        </w:tc>
        <w:tc>
          <w:tcPr>
            <w:tcW w:w="27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4"/>
              <w:jc w:val="right"/>
              <w:rPr>
                <w:rFonts w:ascii="宋体" w:hAnsi="宋体" w:cs="宋体" w:eastAsia="宋体" w:hint="default"/>
                <w:sz w:val="18"/>
                <w:szCs w:val="18"/>
              </w:rPr>
            </w:pPr>
            <w:r>
              <w:rPr>
                <w:rFonts w:ascii="宋体"/>
                <w:spacing w:val="-1"/>
                <w:sz w:val="18"/>
              </w:rPr>
              <w:t>76139689-8</w:t>
            </w:r>
          </w:p>
        </w:tc>
      </w:tr>
      <w:tr>
        <w:trPr>
          <w:trHeight w:val="288" w:hRule="exact"/>
        </w:trPr>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中海集团财务有限责任公司</w:t>
            </w:r>
          </w:p>
        </w:tc>
        <w:tc>
          <w:tcPr>
            <w:tcW w:w="37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0"/>
              <w:jc w:val="right"/>
              <w:rPr>
                <w:rFonts w:ascii="宋体" w:hAnsi="宋体" w:cs="宋体" w:eastAsia="宋体" w:hint="default"/>
                <w:sz w:val="18"/>
                <w:szCs w:val="18"/>
              </w:rPr>
            </w:pPr>
            <w:r>
              <w:rPr>
                <w:rFonts w:ascii="宋体" w:hAnsi="宋体" w:cs="宋体" w:eastAsia="宋体" w:hint="default"/>
                <w:sz w:val="18"/>
                <w:szCs w:val="18"/>
              </w:rPr>
              <w:t>受同一最终控制方控制</w:t>
            </w:r>
          </w:p>
        </w:tc>
        <w:tc>
          <w:tcPr>
            <w:tcW w:w="278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698814339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513" w:right="981"/>
        <w:jc w:val="left"/>
      </w:pPr>
      <w:r>
        <w:rPr>
          <w:rFonts w:ascii="宋体" w:hAnsi="宋体" w:cs="宋体" w:eastAsia="宋体" w:hint="default"/>
        </w:rPr>
        <w:t>4.</w:t>
      </w:r>
      <w:r>
        <w:rPr/>
        <w:t>关联方交易</w:t>
      </w:r>
    </w:p>
    <w:p>
      <w:pPr>
        <w:spacing w:line="240" w:lineRule="auto" w:before="6"/>
        <w:rPr>
          <w:rFonts w:ascii="宋体" w:hAnsi="宋体" w:cs="宋体" w:eastAsia="宋体" w:hint="default"/>
          <w:sz w:val="21"/>
          <w:szCs w:val="21"/>
        </w:rPr>
      </w:pPr>
    </w:p>
    <w:p>
      <w:pPr>
        <w:pStyle w:val="BodyText"/>
        <w:spacing w:line="240" w:lineRule="auto"/>
        <w:ind w:left="513" w:right="981"/>
        <w:jc w:val="left"/>
      </w:pPr>
      <w:r>
        <w:rPr/>
        <w:t>（</w:t>
      </w:r>
      <w:r>
        <w:rPr>
          <w:rFonts w:ascii="宋体" w:hAnsi="宋体" w:cs="宋体" w:eastAsia="宋体" w:hint="default"/>
        </w:rPr>
        <w:t>1</w:t>
      </w:r>
      <w:r>
        <w:rPr/>
        <w:t>）银行存款</w:t>
      </w:r>
    </w:p>
    <w:p>
      <w:pPr>
        <w:spacing w:line="240" w:lineRule="auto" w:before="9"/>
        <w:rPr>
          <w:rFonts w:ascii="宋体" w:hAnsi="宋体" w:cs="宋体" w:eastAsia="宋体" w:hint="default"/>
          <w:sz w:val="23"/>
          <w:szCs w:val="23"/>
        </w:rPr>
      </w:pPr>
    </w:p>
    <w:tbl>
      <w:tblPr>
        <w:tblW w:w="0" w:type="auto"/>
        <w:jc w:val="left"/>
        <w:tblInd w:w="328" w:type="dxa"/>
        <w:tblLayout w:type="fixed"/>
        <w:tblCellMar>
          <w:top w:w="0" w:type="dxa"/>
          <w:left w:w="0" w:type="dxa"/>
          <w:bottom w:w="0" w:type="dxa"/>
          <w:right w:w="0" w:type="dxa"/>
        </w:tblCellMar>
        <w:tblLook w:val="01E0"/>
      </w:tblPr>
      <w:tblGrid>
        <w:gridCol w:w="4867"/>
        <w:gridCol w:w="1328"/>
        <w:gridCol w:w="3093"/>
      </w:tblGrid>
      <w:tr>
        <w:trPr>
          <w:trHeight w:val="188" w:hRule="exact"/>
        </w:trPr>
        <w:tc>
          <w:tcPr>
            <w:tcW w:w="6194"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3898" w:right="0"/>
              <w:jc w:val="left"/>
              <w:rPr>
                <w:rFonts w:ascii="宋体" w:hAnsi="宋体" w:cs="宋体" w:eastAsia="宋体" w:hint="default"/>
                <w:sz w:val="18"/>
                <w:szCs w:val="18"/>
              </w:rPr>
            </w:pPr>
            <w:r>
              <w:rPr>
                <w:rFonts w:ascii="宋体" w:hAnsi="宋体" w:cs="宋体" w:eastAsia="宋体" w:hint="default"/>
                <w:b/>
                <w:bCs/>
                <w:sz w:val="18"/>
                <w:szCs w:val="18"/>
              </w:rPr>
              <w:t>2012</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31</w:t>
            </w:r>
            <w:r>
              <w:rPr>
                <w:rFonts w:ascii="宋体" w:hAnsi="宋体" w:cs="宋体" w:eastAsia="宋体" w:hint="default"/>
                <w:b/>
                <w:bCs/>
                <w:spacing w:val="-4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3093" w:type="dxa"/>
            <w:tcBorders>
              <w:top w:val="nil" w:sz="6" w:space="0" w:color="auto"/>
              <w:left w:val="nil" w:sz="6" w:space="0" w:color="auto"/>
              <w:bottom w:val="nil" w:sz="6" w:space="0" w:color="auto"/>
              <w:right w:val="nil" w:sz="6" w:space="0" w:color="auto"/>
            </w:tcBorders>
          </w:tcPr>
          <w:p>
            <w:pPr>
              <w:pStyle w:val="TableParagraph"/>
              <w:spacing w:line="180" w:lineRule="exact"/>
              <w:ind w:left="3" w:right="0"/>
              <w:jc w:val="center"/>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31</w:t>
            </w:r>
            <w:r>
              <w:rPr>
                <w:rFonts w:ascii="宋体" w:hAnsi="宋体" w:cs="宋体" w:eastAsia="宋体" w:hint="default"/>
                <w:b/>
                <w:bCs/>
                <w:spacing w:val="-4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198" w:hRule="exact"/>
        </w:trPr>
        <w:tc>
          <w:tcPr>
            <w:tcW w:w="4867" w:type="dxa"/>
            <w:tcBorders>
              <w:top w:val="nil" w:sz="6" w:space="0" w:color="auto"/>
              <w:left w:val="nil" w:sz="6" w:space="0" w:color="auto"/>
              <w:bottom w:val="nil" w:sz="6" w:space="0" w:color="auto"/>
              <w:right w:val="nil" w:sz="6" w:space="0" w:color="auto"/>
            </w:tcBorders>
          </w:tcPr>
          <w:p>
            <w:pPr>
              <w:pStyle w:val="TableParagraph"/>
              <w:spacing w:line="188" w:lineRule="exact"/>
              <w:ind w:left="1187" w:right="0"/>
              <w:jc w:val="left"/>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1328" w:type="dxa"/>
            <w:tcBorders>
              <w:top w:val="nil" w:sz="6" w:space="0" w:color="auto"/>
              <w:left w:val="nil" w:sz="6" w:space="0" w:color="auto"/>
              <w:bottom w:val="nil" w:sz="6" w:space="0" w:color="auto"/>
              <w:right w:val="nil" w:sz="6" w:space="0" w:color="auto"/>
            </w:tcBorders>
          </w:tcPr>
          <w:p>
            <w:pPr/>
          </w:p>
        </w:tc>
        <w:tc>
          <w:tcPr>
            <w:tcW w:w="3093" w:type="dxa"/>
            <w:tcBorders>
              <w:top w:val="nil" w:sz="6" w:space="0" w:color="auto"/>
              <w:left w:val="nil" w:sz="6" w:space="0" w:color="auto"/>
              <w:bottom w:val="nil" w:sz="6" w:space="0" w:color="auto"/>
              <w:right w:val="nil" w:sz="6" w:space="0" w:color="auto"/>
            </w:tcBorders>
          </w:tcPr>
          <w:p>
            <w:pPr/>
          </w:p>
        </w:tc>
      </w:tr>
      <w:tr>
        <w:trPr>
          <w:trHeight w:val="306" w:hRule="exact"/>
        </w:trPr>
        <w:tc>
          <w:tcPr>
            <w:tcW w:w="4867" w:type="dxa"/>
            <w:tcBorders>
              <w:top w:val="nil" w:sz="6" w:space="0" w:color="auto"/>
              <w:left w:val="nil" w:sz="6" w:space="0" w:color="auto"/>
              <w:bottom w:val="single" w:sz="4" w:space="0" w:color="000000"/>
              <w:right w:val="nil" w:sz="6" w:space="0" w:color="auto"/>
            </w:tcBorders>
          </w:tcPr>
          <w:p>
            <w:pPr>
              <w:pStyle w:val="TableParagraph"/>
              <w:spacing w:line="190" w:lineRule="exact"/>
              <w:ind w:right="35"/>
              <w:jc w:val="right"/>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1328" w:type="dxa"/>
            <w:tcBorders>
              <w:top w:val="nil" w:sz="6" w:space="0" w:color="auto"/>
              <w:left w:val="nil" w:sz="6" w:space="0" w:color="auto"/>
              <w:bottom w:val="single" w:sz="4" w:space="0" w:color="000000"/>
              <w:right w:val="nil" w:sz="6" w:space="0" w:color="auto"/>
            </w:tcBorders>
          </w:tcPr>
          <w:p>
            <w:pPr/>
          </w:p>
        </w:tc>
        <w:tc>
          <w:tcPr>
            <w:tcW w:w="3093" w:type="dxa"/>
            <w:tcBorders>
              <w:top w:val="nil" w:sz="6" w:space="0" w:color="auto"/>
              <w:left w:val="nil" w:sz="6" w:space="0" w:color="auto"/>
              <w:bottom w:val="single" w:sz="4" w:space="0" w:color="000000"/>
              <w:right w:val="nil" w:sz="6" w:space="0" w:color="auto"/>
            </w:tcBorders>
          </w:tcPr>
          <w:p>
            <w:pPr>
              <w:pStyle w:val="TableParagraph"/>
              <w:spacing w:line="190"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r>
      <w:tr>
        <w:trPr>
          <w:trHeight w:val="401" w:hRule="exact"/>
        </w:trPr>
        <w:tc>
          <w:tcPr>
            <w:tcW w:w="486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中海集团财务有限责任公司</w:t>
            </w:r>
          </w:p>
        </w:tc>
        <w:tc>
          <w:tcPr>
            <w:tcW w:w="132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6" w:right="0"/>
              <w:jc w:val="center"/>
              <w:rPr>
                <w:rFonts w:ascii="宋体" w:hAnsi="宋体" w:cs="宋体" w:eastAsia="宋体" w:hint="default"/>
                <w:sz w:val="18"/>
                <w:szCs w:val="18"/>
              </w:rPr>
            </w:pPr>
            <w:r>
              <w:rPr>
                <w:rFonts w:ascii="宋体"/>
                <w:sz w:val="18"/>
              </w:rPr>
              <w:t>130,126,746.25</w:t>
            </w:r>
          </w:p>
        </w:tc>
        <w:tc>
          <w:tcPr>
            <w:tcW w:w="3093" w:type="dxa"/>
            <w:tcBorders>
              <w:top w:val="single" w:sz="4" w:space="0" w:color="000000"/>
              <w:left w:val="nil" w:sz="6" w:space="0" w:color="auto"/>
              <w:bottom w:val="nil" w:sz="6" w:space="0" w:color="auto"/>
              <w:right w:val="nil" w:sz="6" w:space="0" w:color="auto"/>
            </w:tcBorders>
          </w:tcPr>
          <w:p>
            <w:pPr/>
          </w:p>
        </w:tc>
      </w:tr>
      <w:tr>
        <w:trPr>
          <w:trHeight w:val="289" w:hRule="exact"/>
        </w:trPr>
        <w:tc>
          <w:tcPr>
            <w:tcW w:w="486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 w:right="0"/>
              <w:jc w:val="center"/>
              <w:rPr>
                <w:rFonts w:ascii="宋体" w:hAnsi="宋体" w:cs="宋体" w:eastAsia="宋体" w:hint="default"/>
                <w:sz w:val="18"/>
                <w:szCs w:val="18"/>
              </w:rPr>
            </w:pPr>
            <w:r>
              <w:rPr>
                <w:rFonts w:ascii="宋体"/>
                <w:sz w:val="18"/>
              </w:rPr>
            </w:r>
            <w:r>
              <w:rPr>
                <w:rFonts w:ascii="宋体"/>
                <w:sz w:val="18"/>
                <w:u w:val="thick" w:color="000000"/>
              </w:rPr>
              <w:t>130,126,746.25</w:t>
            </w:r>
            <w:r>
              <w:rPr>
                <w:rFonts w:ascii="宋体"/>
                <w:sz w:val="18"/>
              </w:rPr>
            </w:r>
          </w:p>
        </w:tc>
        <w:tc>
          <w:tcPr>
            <w:tcW w:w="3093"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13"/>
          <w:szCs w:val="13"/>
        </w:rPr>
      </w:pPr>
    </w:p>
    <w:p>
      <w:pPr>
        <w:pStyle w:val="BodyText"/>
        <w:spacing w:line="367" w:lineRule="auto" w:before="44"/>
        <w:ind w:right="1131" w:firstLine="360"/>
        <w:jc w:val="both"/>
        <w:rPr>
          <w:rFonts w:ascii="宋体" w:hAnsi="宋体" w:cs="宋体" w:eastAsia="宋体" w:hint="default"/>
        </w:rPr>
      </w:pPr>
      <w:r>
        <w:rPr/>
        <w:t>注：根据</w:t>
      </w:r>
      <w:r>
        <w:rPr>
          <w:spacing w:val="-44"/>
        </w:rPr>
        <w:t> </w:t>
      </w:r>
      <w:r>
        <w:rPr>
          <w:rFonts w:ascii="宋体" w:hAnsi="宋体" w:cs="宋体" w:eastAsia="宋体" w:hint="default"/>
        </w:rPr>
        <w:t>2012</w:t>
      </w:r>
      <w:r>
        <w:rPr>
          <w:rFonts w:ascii="宋体" w:hAnsi="宋体" w:cs="宋体" w:eastAsia="宋体" w:hint="default"/>
          <w:spacing w:val="-2"/>
        </w:rPr>
        <w:t> </w:t>
      </w:r>
      <w:r>
        <w:rPr/>
        <w:t>年</w:t>
      </w:r>
      <w:r>
        <w:rPr>
          <w:spacing w:val="-46"/>
        </w:rPr>
        <w:t> </w:t>
      </w:r>
      <w:r>
        <w:rPr>
          <w:rFonts w:ascii="宋体" w:hAnsi="宋体" w:cs="宋体" w:eastAsia="宋体" w:hint="default"/>
        </w:rPr>
        <w:t>3</w:t>
      </w:r>
      <w:r>
        <w:rPr>
          <w:rFonts w:ascii="宋体" w:hAnsi="宋体" w:cs="宋体" w:eastAsia="宋体" w:hint="default"/>
          <w:spacing w:val="-2"/>
        </w:rPr>
        <w:t> </w:t>
      </w:r>
      <w:r>
        <w:rPr/>
        <w:t>月</w:t>
      </w:r>
      <w:r>
        <w:rPr>
          <w:spacing w:val="-43"/>
        </w:rPr>
        <w:t> </w:t>
      </w:r>
      <w:r>
        <w:rPr>
          <w:rFonts w:ascii="宋体" w:hAnsi="宋体" w:cs="宋体" w:eastAsia="宋体" w:hint="default"/>
        </w:rPr>
        <w:t>16</w:t>
      </w:r>
      <w:r>
        <w:rPr>
          <w:rFonts w:ascii="宋体" w:hAnsi="宋体" w:cs="宋体" w:eastAsia="宋体" w:hint="default"/>
          <w:spacing w:val="-42"/>
        </w:rPr>
        <w:t> </w:t>
      </w:r>
      <w:r>
        <w:rPr/>
        <w:t>日第四届董事会第十三次会议审议通过的《关于与中海集团财务有限责任公司签订〈金融服 </w:t>
      </w:r>
      <w:r>
        <w:rPr>
          <w:spacing w:val="-2"/>
        </w:rPr>
        <w:t>务框架协议〉及申请首三个年度交易额上限的议案》，公司拟与最终控制方中国海运（集团）总公司下属子公司中海集团财</w:t>
      </w:r>
      <w:r>
        <w:rPr>
          <w:spacing w:val="-64"/>
        </w:rPr>
        <w:t> </w:t>
      </w:r>
      <w:r>
        <w:rPr>
          <w:spacing w:val="-64"/>
        </w:rPr>
      </w:r>
      <w:r>
        <w:rPr>
          <w:spacing w:val="-5"/>
        </w:rPr>
        <w:t>务有限责任公司（以下简称“中海财务公司”）签订《金融服务框架协议》。本公司董事会已发布《关于与中海集团财务有限</w:t>
      </w:r>
      <w:r>
        <w:rPr>
          <w:spacing w:val="-80"/>
        </w:rPr>
        <w:t> </w:t>
      </w:r>
      <w:r>
        <w:rPr>
          <w:spacing w:val="-80"/>
        </w:rPr>
      </w:r>
      <w:r>
        <w:rPr>
          <w:spacing w:val="-2"/>
        </w:rPr>
        <w:t>责任公司签订〈金融服务框架协议〉及首三个年度交易额上限的关联交易公告》披露该事项，公告编号：</w:t>
      </w:r>
      <w:r>
        <w:rPr>
          <w:rFonts w:ascii="宋体" w:hAnsi="宋体" w:cs="宋体" w:eastAsia="宋体" w:hint="default"/>
          <w:spacing w:val="-2"/>
        </w:rPr>
        <w:t>2012-010</w:t>
      </w:r>
      <w:r>
        <w:rPr>
          <w:spacing w:val="-2"/>
        </w:rPr>
        <w:t>。根据该</w:t>
      </w:r>
      <w:r>
        <w:rPr>
          <w:spacing w:val="-63"/>
        </w:rPr>
        <w:t> </w:t>
      </w:r>
      <w:r>
        <w:rPr>
          <w:spacing w:val="-63"/>
        </w:rPr>
      </w:r>
      <w:r>
        <w:rPr>
          <w:spacing w:val="-2"/>
        </w:rPr>
        <w:t>协议，中海财务公司向公司及其附属公司提供以下金融服务：存款服务、贷款服务（包括贴现、担保及信贷服务）、结算服</w:t>
      </w:r>
      <w:r>
        <w:rPr>
          <w:spacing w:val="-65"/>
        </w:rPr>
        <w:t> </w:t>
      </w:r>
      <w:r>
        <w:rPr>
          <w:spacing w:val="-65"/>
        </w:rPr>
      </w:r>
      <w:r>
        <w:rPr/>
        <w:t>务以及经中国银行业监督管理委员会（以下简称“中国银监会”）批准的中海财务公司可从事的其他业务。该议案经</w:t>
      </w:r>
      <w:r>
        <w:rPr>
          <w:spacing w:val="2"/>
        </w:rPr>
        <w:t> </w:t>
      </w:r>
      <w:r>
        <w:rPr>
          <w:rFonts w:ascii="宋体" w:hAnsi="宋体" w:cs="宋体" w:eastAsia="宋体" w:hint="default"/>
          <w:spacing w:val="-1"/>
        </w:rPr>
        <w:t>2012</w:t>
      </w:r>
    </w:p>
    <w:p>
      <w:pPr>
        <w:pStyle w:val="BodyText"/>
        <w:spacing w:line="240" w:lineRule="auto" w:before="29"/>
        <w:ind w:right="981"/>
        <w:jc w:val="left"/>
      </w:pPr>
      <w:r>
        <w:rPr/>
        <w:t>年</w:t>
      </w:r>
      <w:r>
        <w:rPr>
          <w:spacing w:val="-56"/>
        </w:rPr>
        <w:t> </w:t>
      </w:r>
      <w:r>
        <w:rPr>
          <w:rFonts w:ascii="宋体" w:hAnsi="宋体" w:cs="宋体" w:eastAsia="宋体" w:hint="default"/>
        </w:rPr>
        <w:t>5</w:t>
      </w:r>
      <w:r>
        <w:rPr>
          <w:rFonts w:ascii="宋体" w:hAnsi="宋体" w:cs="宋体" w:eastAsia="宋体" w:hint="default"/>
          <w:spacing w:val="-56"/>
        </w:rPr>
        <w:t> </w:t>
      </w:r>
      <w:r>
        <w:rPr/>
        <w:t>月</w:t>
      </w:r>
      <w:r>
        <w:rPr>
          <w:spacing w:val="-59"/>
        </w:rPr>
        <w:t> </w:t>
      </w:r>
      <w:r>
        <w:rPr>
          <w:rFonts w:ascii="宋体" w:hAnsi="宋体" w:cs="宋体" w:eastAsia="宋体" w:hint="default"/>
        </w:rPr>
        <w:t>28</w:t>
      </w:r>
      <w:r>
        <w:rPr>
          <w:rFonts w:ascii="宋体" w:hAnsi="宋体" w:cs="宋体" w:eastAsia="宋体" w:hint="default"/>
          <w:spacing w:val="-56"/>
        </w:rPr>
        <w:t> </w:t>
      </w:r>
      <w:r>
        <w:rPr/>
        <w:t>日召开的</w:t>
      </w:r>
      <w:r>
        <w:rPr>
          <w:spacing w:val="-57"/>
        </w:rPr>
        <w:t> </w:t>
      </w:r>
      <w:r>
        <w:rPr>
          <w:rFonts w:ascii="宋体" w:hAnsi="宋体" w:cs="宋体" w:eastAsia="宋体" w:hint="default"/>
        </w:rPr>
        <w:t>2011</w:t>
      </w:r>
      <w:r>
        <w:rPr>
          <w:rFonts w:ascii="宋体" w:hAnsi="宋体" w:cs="宋体" w:eastAsia="宋体" w:hint="default"/>
          <w:spacing w:val="-56"/>
        </w:rPr>
        <w:t> </w:t>
      </w:r>
      <w:r>
        <w:rPr/>
        <w:t>年度股东大会审议通过，并发布《</w:t>
      </w:r>
      <w:r>
        <w:rPr>
          <w:rFonts w:ascii="宋体" w:hAnsi="宋体" w:cs="宋体" w:eastAsia="宋体" w:hint="default"/>
        </w:rPr>
        <w:t>2011</w:t>
      </w:r>
      <w:r>
        <w:rPr>
          <w:rFonts w:ascii="宋体" w:hAnsi="宋体" w:cs="宋体" w:eastAsia="宋体" w:hint="default"/>
          <w:spacing w:val="-24"/>
        </w:rPr>
        <w:t> </w:t>
      </w:r>
      <w:r>
        <w:rPr/>
        <w:t>年度股东大会决议公告》予以披露，公告编号：</w:t>
      </w:r>
      <w:r>
        <w:rPr>
          <w:rFonts w:ascii="宋体" w:hAnsi="宋体" w:cs="宋体" w:eastAsia="宋体" w:hint="default"/>
        </w:rPr>
        <w:t>2012-015</w:t>
      </w:r>
      <w:r>
        <w:rPr/>
        <w:t>。</w:t>
      </w:r>
    </w:p>
    <w:p>
      <w:pPr>
        <w:pStyle w:val="BodyText"/>
        <w:spacing w:line="240" w:lineRule="auto" w:before="124"/>
        <w:ind w:right="981"/>
        <w:jc w:val="left"/>
      </w:pPr>
      <w:r>
        <w:rPr/>
        <w:t>公司与中海财务公司于</w:t>
      </w:r>
      <w:r>
        <w:rPr>
          <w:spacing w:val="-44"/>
        </w:rPr>
        <w:t> </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46"/>
        </w:rPr>
        <w:t> </w:t>
      </w:r>
      <w:r>
        <w:rPr/>
        <w:t>年</w:t>
      </w:r>
      <w:r>
        <w:rPr>
          <w:spacing w:val="-45"/>
        </w:rPr>
        <w:t> </w:t>
      </w:r>
      <w:r>
        <w:rPr>
          <w:rFonts w:ascii="宋体" w:hAnsi="宋体" w:cs="宋体" w:eastAsia="宋体" w:hint="default"/>
        </w:rPr>
        <w:t>6</w:t>
      </w:r>
      <w:r>
        <w:rPr>
          <w:rFonts w:ascii="宋体" w:hAnsi="宋体" w:cs="宋体" w:eastAsia="宋体" w:hint="default"/>
          <w:spacing w:val="-44"/>
        </w:rPr>
        <w:t> </w:t>
      </w:r>
      <w:r>
        <w:rPr/>
        <w:t>月</w:t>
      </w:r>
      <w:r>
        <w:rPr>
          <w:spacing w:val="-47"/>
        </w:rPr>
        <w:t> </w:t>
      </w:r>
      <w:r>
        <w:rPr>
          <w:rFonts w:ascii="宋体" w:hAnsi="宋体" w:cs="宋体" w:eastAsia="宋体" w:hint="default"/>
          <w:spacing w:val="1"/>
        </w:rPr>
        <w:t>2</w:t>
      </w:r>
      <w:r>
        <w:rPr>
          <w:rFonts w:ascii="宋体" w:hAnsi="宋体" w:cs="宋体" w:eastAsia="宋体" w:hint="default"/>
        </w:rPr>
        <w:t>5</w:t>
      </w:r>
      <w:r>
        <w:rPr>
          <w:rFonts w:ascii="宋体" w:hAnsi="宋体" w:cs="宋体" w:eastAsia="宋体" w:hint="default"/>
          <w:spacing w:val="-44"/>
        </w:rPr>
        <w:t> </w:t>
      </w:r>
      <w:r>
        <w:rPr/>
        <w:t>日于上海正式签订</w:t>
      </w:r>
      <w:r>
        <w:rPr>
          <w:spacing w:val="-3"/>
        </w:rPr>
        <w:t>了</w:t>
      </w:r>
      <w:r>
        <w:rPr/>
        <w:t>《金融服务框架协议</w:t>
      </w:r>
      <w:r>
        <w:rPr>
          <w:spacing w:val="-91"/>
        </w:rPr>
        <w:t>》</w:t>
      </w:r>
      <w:r>
        <w:rPr/>
        <w:t>。</w:t>
      </w:r>
    </w:p>
    <w:p>
      <w:pPr>
        <w:spacing w:after="0" w:line="240" w:lineRule="auto"/>
        <w:jc w:val="left"/>
        <w:sectPr>
          <w:pgSz w:w="11910" w:h="16840"/>
          <w:pgMar w:header="877" w:footer="1340" w:top="1100" w:bottom="1540" w:left="980" w:right="0"/>
        </w:sectPr>
      </w:pPr>
    </w:p>
    <w:p>
      <w:pPr>
        <w:spacing w:line="240" w:lineRule="auto" w:before="2"/>
        <w:rPr>
          <w:rFonts w:ascii="宋体" w:hAnsi="宋体" w:cs="宋体" w:eastAsia="宋体" w:hint="default"/>
          <w:sz w:val="27"/>
          <w:szCs w:val="27"/>
        </w:rPr>
      </w:pPr>
    </w:p>
    <w:p>
      <w:pPr>
        <w:pStyle w:val="BodyText"/>
        <w:spacing w:line="240" w:lineRule="auto" w:before="44"/>
        <w:ind w:left="573" w:right="1034"/>
        <w:jc w:val="left"/>
      </w:pPr>
      <w:r>
        <w:rPr/>
        <w:t>（</w:t>
      </w:r>
      <w:r>
        <w:rPr>
          <w:rFonts w:ascii="宋体" w:hAnsi="宋体" w:cs="宋体" w:eastAsia="宋体" w:hint="default"/>
        </w:rPr>
        <w:t>2</w:t>
      </w:r>
      <w:r>
        <w:rPr/>
        <w:t>） 关联方销售商品</w:t>
      </w:r>
      <w:r>
        <w:rPr>
          <w:rFonts w:ascii="宋体" w:hAnsi="宋体" w:cs="宋体" w:eastAsia="宋体" w:hint="default"/>
        </w:rPr>
        <w:t>/</w:t>
      </w:r>
      <w:r>
        <w:rPr/>
        <w:t>提供劳务情况表</w:t>
      </w:r>
    </w:p>
    <w:p>
      <w:pPr>
        <w:spacing w:line="240" w:lineRule="auto" w:before="7"/>
        <w:rPr>
          <w:rFonts w:ascii="宋体" w:hAnsi="宋体" w:cs="宋体" w:eastAsia="宋体" w:hint="default"/>
          <w:sz w:val="23"/>
          <w:szCs w:val="23"/>
        </w:rPr>
      </w:pPr>
    </w:p>
    <w:tbl>
      <w:tblPr>
        <w:tblW w:w="0" w:type="auto"/>
        <w:jc w:val="left"/>
        <w:tblInd w:w="282" w:type="dxa"/>
        <w:tblLayout w:type="fixed"/>
        <w:tblCellMar>
          <w:top w:w="0" w:type="dxa"/>
          <w:left w:w="0" w:type="dxa"/>
          <w:bottom w:w="0" w:type="dxa"/>
          <w:right w:w="0" w:type="dxa"/>
        </w:tblCellMar>
        <w:tblLook w:val="01E0"/>
      </w:tblPr>
      <w:tblGrid>
        <w:gridCol w:w="1476"/>
        <w:gridCol w:w="891"/>
        <w:gridCol w:w="1203"/>
        <w:gridCol w:w="1405"/>
        <w:gridCol w:w="1701"/>
        <w:gridCol w:w="1303"/>
        <w:gridCol w:w="1523"/>
      </w:tblGrid>
      <w:tr>
        <w:trPr>
          <w:trHeight w:val="179" w:hRule="exact"/>
        </w:trPr>
        <w:tc>
          <w:tcPr>
            <w:tcW w:w="1476" w:type="dxa"/>
            <w:tcBorders>
              <w:top w:val="nil" w:sz="6" w:space="0" w:color="auto"/>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
        </w:tc>
        <w:tc>
          <w:tcPr>
            <w:tcW w:w="1203" w:type="dxa"/>
            <w:vMerge w:val="restart"/>
            <w:tcBorders>
              <w:top w:val="nil" w:sz="6" w:space="0" w:color="auto"/>
              <w:left w:val="nil" w:sz="6" w:space="0" w:color="auto"/>
              <w:right w:val="nil" w:sz="6" w:space="0" w:color="auto"/>
            </w:tcBorders>
          </w:tcPr>
          <w:p>
            <w:pPr>
              <w:pStyle w:val="TableParagraph"/>
              <w:spacing w:line="237" w:lineRule="auto" w:before="6"/>
              <w:ind w:left="98" w:right="200"/>
              <w:jc w:val="center"/>
              <w:rPr>
                <w:rFonts w:ascii="宋体" w:hAnsi="宋体" w:cs="宋体" w:eastAsia="宋体" w:hint="default"/>
                <w:sz w:val="18"/>
                <w:szCs w:val="18"/>
              </w:rPr>
            </w:pPr>
            <w:r>
              <w:rPr>
                <w:rFonts w:ascii="宋体" w:hAnsi="宋体" w:cs="宋体" w:eastAsia="宋体" w:hint="default"/>
                <w:b/>
                <w:bCs/>
                <w:w w:val="95"/>
                <w:sz w:val="18"/>
                <w:szCs w:val="18"/>
              </w:rPr>
              <w:t>关联方定价</w:t>
            </w:r>
            <w:r>
              <w:rPr>
                <w:rFonts w:ascii="宋体" w:hAnsi="宋体" w:cs="宋体" w:eastAsia="宋体" w:hint="default"/>
                <w:b/>
                <w:bCs/>
                <w:spacing w:val="-44"/>
                <w:w w:val="95"/>
                <w:sz w:val="18"/>
                <w:szCs w:val="18"/>
              </w:rPr>
              <w:t> </w:t>
            </w:r>
            <w:r>
              <w:rPr>
                <w:rFonts w:ascii="宋体" w:hAnsi="宋体" w:cs="宋体" w:eastAsia="宋体" w:hint="default"/>
                <w:b/>
                <w:bCs/>
                <w:spacing w:val="-44"/>
                <w:w w:val="95"/>
                <w:sz w:val="18"/>
                <w:szCs w:val="18"/>
              </w:rPr>
            </w:r>
            <w:r>
              <w:rPr>
                <w:rFonts w:ascii="宋体" w:hAnsi="宋体" w:cs="宋体" w:eastAsia="宋体" w:hint="default"/>
                <w:b/>
                <w:bCs/>
                <w:w w:val="95"/>
                <w:sz w:val="18"/>
                <w:szCs w:val="18"/>
              </w:rPr>
              <w:t>方式及决策</w:t>
            </w:r>
            <w:r>
              <w:rPr>
                <w:rFonts w:ascii="宋体" w:hAnsi="宋体" w:cs="宋体" w:eastAsia="宋体" w:hint="default"/>
                <w:b/>
                <w:bCs/>
                <w:spacing w:val="-44"/>
                <w:w w:val="95"/>
                <w:sz w:val="18"/>
                <w:szCs w:val="18"/>
              </w:rPr>
              <w:t> </w:t>
            </w:r>
            <w:r>
              <w:rPr>
                <w:rFonts w:ascii="宋体" w:hAnsi="宋体" w:cs="宋体" w:eastAsia="宋体" w:hint="default"/>
                <w:b/>
                <w:bCs/>
                <w:spacing w:val="-44"/>
                <w:w w:val="95"/>
                <w:sz w:val="18"/>
                <w:szCs w:val="18"/>
              </w:rPr>
            </w:r>
            <w:r>
              <w:rPr>
                <w:rFonts w:ascii="宋体" w:hAnsi="宋体" w:cs="宋体" w:eastAsia="宋体" w:hint="default"/>
                <w:b/>
                <w:bCs/>
                <w:sz w:val="18"/>
                <w:szCs w:val="18"/>
              </w:rPr>
              <w:t>程序</w:t>
            </w:r>
            <w:r>
              <w:rPr>
                <w:rFonts w:ascii="宋体" w:hAnsi="宋体" w:cs="宋体" w:eastAsia="宋体" w:hint="default"/>
                <w:sz w:val="18"/>
                <w:szCs w:val="18"/>
              </w:rPr>
            </w:r>
          </w:p>
        </w:tc>
        <w:tc>
          <w:tcPr>
            <w:tcW w:w="3106"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97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826"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91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05" w:hRule="exact"/>
        </w:trPr>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77" w:right="0"/>
              <w:jc w:val="left"/>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891" w:type="dxa"/>
            <w:vMerge w:val="restart"/>
            <w:tcBorders>
              <w:top w:val="nil" w:sz="6" w:space="0" w:color="auto"/>
              <w:left w:val="nil" w:sz="6" w:space="0" w:color="auto"/>
              <w:right w:val="nil" w:sz="6" w:space="0" w:color="auto"/>
            </w:tcBorders>
          </w:tcPr>
          <w:p>
            <w:pPr>
              <w:pStyle w:val="TableParagraph"/>
              <w:spacing w:line="177" w:lineRule="exact"/>
              <w:ind w:left="34" w:right="0"/>
              <w:jc w:val="center"/>
              <w:rPr>
                <w:rFonts w:ascii="宋体" w:hAnsi="宋体" w:cs="宋体" w:eastAsia="宋体" w:hint="default"/>
                <w:sz w:val="18"/>
                <w:szCs w:val="18"/>
              </w:rPr>
            </w:pPr>
            <w:r>
              <w:rPr>
                <w:rFonts w:ascii="宋体" w:hAnsi="宋体" w:cs="宋体" w:eastAsia="宋体" w:hint="default"/>
                <w:b/>
                <w:bCs/>
                <w:sz w:val="18"/>
                <w:szCs w:val="18"/>
              </w:rPr>
              <w:t>关联交易</w:t>
            </w:r>
            <w:r>
              <w:rPr>
                <w:rFonts w:ascii="宋体" w:hAnsi="宋体" w:cs="宋体" w:eastAsia="宋体" w:hint="default"/>
                <w:sz w:val="18"/>
                <w:szCs w:val="18"/>
              </w:rPr>
            </w:r>
          </w:p>
          <w:p>
            <w:pPr>
              <w:pStyle w:val="TableParagraph"/>
              <w:spacing w:line="234" w:lineRule="exact"/>
              <w:ind w:left="36" w:right="0"/>
              <w:jc w:val="center"/>
              <w:rPr>
                <w:rFonts w:ascii="宋体" w:hAnsi="宋体" w:cs="宋体" w:eastAsia="宋体" w:hint="default"/>
                <w:sz w:val="18"/>
                <w:szCs w:val="18"/>
              </w:rPr>
            </w:pPr>
            <w:r>
              <w:rPr>
                <w:rFonts w:ascii="宋体" w:hAnsi="宋体" w:cs="宋体" w:eastAsia="宋体" w:hint="default"/>
                <w:b/>
                <w:bCs/>
                <w:sz w:val="18"/>
                <w:szCs w:val="18"/>
              </w:rPr>
              <w:t>内容</w:t>
            </w:r>
            <w:r>
              <w:rPr>
                <w:rFonts w:ascii="宋体" w:hAnsi="宋体" w:cs="宋体" w:eastAsia="宋体" w:hint="default"/>
                <w:sz w:val="18"/>
                <w:szCs w:val="18"/>
              </w:rPr>
            </w:r>
          </w:p>
        </w:tc>
        <w:tc>
          <w:tcPr>
            <w:tcW w:w="1203" w:type="dxa"/>
            <w:vMerge/>
            <w:tcBorders>
              <w:left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c>
          <w:tcPr>
            <w:tcW w:w="1701" w:type="dxa"/>
            <w:vMerge w:val="restart"/>
            <w:tcBorders>
              <w:top w:val="nil" w:sz="6" w:space="0" w:color="auto"/>
              <w:left w:val="nil" w:sz="6" w:space="0" w:color="auto"/>
              <w:right w:val="nil" w:sz="6" w:space="0" w:color="auto"/>
            </w:tcBorders>
          </w:tcPr>
          <w:p>
            <w:pPr>
              <w:pStyle w:val="TableParagraph"/>
              <w:spacing w:line="278" w:lineRule="auto" w:before="121"/>
              <w:ind w:left="122" w:right="220" w:firstLine="226"/>
              <w:jc w:val="left"/>
              <w:rPr>
                <w:rFonts w:ascii="宋体" w:hAnsi="宋体" w:cs="宋体" w:eastAsia="宋体" w:hint="default"/>
                <w:sz w:val="18"/>
                <w:szCs w:val="18"/>
              </w:rPr>
            </w:pPr>
            <w:r>
              <w:rPr>
                <w:rFonts w:ascii="宋体" w:hAnsi="宋体" w:cs="宋体" w:eastAsia="宋体" w:hint="default"/>
                <w:b/>
                <w:bCs/>
                <w:sz w:val="18"/>
                <w:szCs w:val="18"/>
              </w:rPr>
              <w:t>占同类交易</w:t>
            </w:r>
            <w:r>
              <w:rPr>
                <w:rFonts w:ascii="宋体" w:hAnsi="宋体" w:cs="宋体" w:eastAsia="宋体" w:hint="default"/>
                <w:b/>
                <w:bCs/>
                <w:w w:val="99"/>
                <w:sz w:val="18"/>
                <w:szCs w:val="18"/>
              </w:rPr>
              <w:t> </w:t>
            </w:r>
            <w:r>
              <w:rPr>
                <w:rFonts w:ascii="宋体" w:hAnsi="宋体" w:cs="宋体" w:eastAsia="宋体" w:hint="default"/>
                <w:b/>
                <w:bCs/>
                <w:sz w:val="18"/>
                <w:szCs w:val="18"/>
              </w:rPr>
              <w:t>金额的比例（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03" w:type="dxa"/>
            <w:tcBorders>
              <w:top w:val="nil" w:sz="6" w:space="0" w:color="auto"/>
              <w:left w:val="nil" w:sz="6" w:space="0" w:color="auto"/>
              <w:bottom w:val="nil" w:sz="6" w:space="0" w:color="auto"/>
              <w:right w:val="nil" w:sz="6" w:space="0" w:color="auto"/>
            </w:tcBorders>
          </w:tcPr>
          <w:p>
            <w:pPr/>
          </w:p>
        </w:tc>
        <w:tc>
          <w:tcPr>
            <w:tcW w:w="1523" w:type="dxa"/>
            <w:vMerge w:val="restart"/>
            <w:tcBorders>
              <w:top w:val="nil" w:sz="6" w:space="0" w:color="auto"/>
              <w:left w:val="nil" w:sz="6" w:space="0" w:color="auto"/>
              <w:right w:val="nil" w:sz="6" w:space="0" w:color="auto"/>
            </w:tcBorders>
          </w:tcPr>
          <w:p>
            <w:pPr>
              <w:pStyle w:val="TableParagraph"/>
              <w:spacing w:line="278" w:lineRule="auto" w:before="121"/>
              <w:ind w:left="95" w:right="71" w:firstLine="228"/>
              <w:jc w:val="left"/>
              <w:rPr>
                <w:rFonts w:ascii="宋体" w:hAnsi="宋体" w:cs="宋体" w:eastAsia="宋体" w:hint="default"/>
                <w:sz w:val="18"/>
                <w:szCs w:val="18"/>
              </w:rPr>
            </w:pPr>
            <w:r>
              <w:rPr>
                <w:rFonts w:ascii="宋体" w:hAnsi="宋体" w:cs="宋体" w:eastAsia="宋体" w:hint="default"/>
                <w:b/>
                <w:bCs/>
                <w:sz w:val="18"/>
                <w:szCs w:val="18"/>
              </w:rPr>
              <w:t>占同类交易</w:t>
            </w:r>
            <w:r>
              <w:rPr>
                <w:rFonts w:ascii="宋体" w:hAnsi="宋体" w:cs="宋体" w:eastAsia="宋体" w:hint="default"/>
                <w:b/>
                <w:bCs/>
                <w:w w:val="99"/>
                <w:sz w:val="18"/>
                <w:szCs w:val="18"/>
              </w:rPr>
              <w:t> </w:t>
            </w:r>
            <w:r>
              <w:rPr>
                <w:rFonts w:ascii="宋体" w:hAnsi="宋体" w:cs="宋体" w:eastAsia="宋体" w:hint="default"/>
                <w:b/>
                <w:bCs/>
                <w:sz w:val="18"/>
                <w:szCs w:val="18"/>
              </w:rPr>
              <w:t>金额的比例（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01" w:hRule="exact"/>
        </w:trPr>
        <w:tc>
          <w:tcPr>
            <w:tcW w:w="1476" w:type="dxa"/>
            <w:tcBorders>
              <w:top w:val="nil" w:sz="6" w:space="0" w:color="auto"/>
              <w:left w:val="nil" w:sz="6" w:space="0" w:color="auto"/>
              <w:bottom w:val="single" w:sz="4" w:space="0" w:color="000000"/>
              <w:right w:val="nil" w:sz="6" w:space="0" w:color="auto"/>
            </w:tcBorders>
          </w:tcPr>
          <w:p>
            <w:pPr/>
          </w:p>
        </w:tc>
        <w:tc>
          <w:tcPr>
            <w:tcW w:w="891" w:type="dxa"/>
            <w:vMerge/>
            <w:tcBorders>
              <w:left w:val="nil" w:sz="6" w:space="0" w:color="auto"/>
              <w:bottom w:val="single" w:sz="4" w:space="0" w:color="000000"/>
              <w:right w:val="nil" w:sz="6" w:space="0" w:color="auto"/>
            </w:tcBorders>
          </w:tcPr>
          <w:p>
            <w:pPr/>
          </w:p>
        </w:tc>
        <w:tc>
          <w:tcPr>
            <w:tcW w:w="1203" w:type="dxa"/>
            <w:vMerge/>
            <w:tcBorders>
              <w:left w:val="nil" w:sz="6" w:space="0" w:color="auto"/>
              <w:bottom w:val="single" w:sz="4" w:space="0" w:color="000000"/>
              <w:right w:val="nil" w:sz="6" w:space="0" w:color="auto"/>
            </w:tcBorders>
          </w:tcPr>
          <w:p>
            <w:pPr/>
          </w:p>
        </w:tc>
        <w:tc>
          <w:tcPr>
            <w:tcW w:w="1405" w:type="dxa"/>
            <w:tcBorders>
              <w:top w:val="nil" w:sz="6" w:space="0" w:color="auto"/>
              <w:left w:val="nil" w:sz="6" w:space="0" w:color="auto"/>
              <w:bottom w:val="single" w:sz="4" w:space="0" w:color="000000"/>
              <w:right w:val="nil" w:sz="6" w:space="0" w:color="auto"/>
            </w:tcBorders>
          </w:tcPr>
          <w:p>
            <w:pPr>
              <w:pStyle w:val="TableParagraph"/>
              <w:spacing w:line="188" w:lineRule="exact"/>
              <w:ind w:left="449"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701" w:type="dxa"/>
            <w:vMerge/>
            <w:tcBorders>
              <w:left w:val="nil" w:sz="6" w:space="0" w:color="auto"/>
              <w:bottom w:val="single" w:sz="4" w:space="0" w:color="000000"/>
              <w:right w:val="nil" w:sz="6" w:space="0" w:color="auto"/>
            </w:tcBorders>
          </w:tcPr>
          <w:p>
            <w:pPr/>
          </w:p>
        </w:tc>
        <w:tc>
          <w:tcPr>
            <w:tcW w:w="1303" w:type="dxa"/>
            <w:tcBorders>
              <w:top w:val="nil" w:sz="6" w:space="0" w:color="auto"/>
              <w:left w:val="nil" w:sz="6" w:space="0" w:color="auto"/>
              <w:bottom w:val="single" w:sz="4" w:space="0" w:color="000000"/>
              <w:right w:val="nil" w:sz="6" w:space="0" w:color="auto"/>
            </w:tcBorders>
          </w:tcPr>
          <w:p>
            <w:pPr>
              <w:pStyle w:val="TableParagraph"/>
              <w:spacing w:line="188" w:lineRule="exact"/>
              <w:ind w:right="7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23" w:type="dxa"/>
            <w:vMerge/>
            <w:tcBorders>
              <w:left w:val="nil" w:sz="6" w:space="0" w:color="auto"/>
              <w:bottom w:val="single" w:sz="4" w:space="0" w:color="000000"/>
              <w:right w:val="nil" w:sz="6" w:space="0" w:color="auto"/>
            </w:tcBorders>
          </w:tcPr>
          <w:p>
            <w:pPr/>
          </w:p>
        </w:tc>
      </w:tr>
      <w:tr>
        <w:trPr>
          <w:trHeight w:val="401" w:hRule="exact"/>
        </w:trPr>
        <w:tc>
          <w:tcPr>
            <w:tcW w:w="1476" w:type="dxa"/>
            <w:vMerge w:val="restart"/>
            <w:tcBorders>
              <w:top w:val="single" w:sz="4" w:space="0" w:color="000000"/>
              <w:left w:val="nil" w:sz="6" w:space="0" w:color="auto"/>
              <w:right w:val="nil" w:sz="6" w:space="0" w:color="auto"/>
            </w:tcBorders>
          </w:tcPr>
          <w:p>
            <w:pPr>
              <w:pStyle w:val="TableParagraph"/>
              <w:spacing w:line="357" w:lineRule="auto" w:before="75"/>
              <w:ind w:left="31" w:right="362"/>
              <w:jc w:val="left"/>
              <w:rPr>
                <w:rFonts w:ascii="宋体" w:hAnsi="宋体" w:cs="宋体" w:eastAsia="宋体" w:hint="default"/>
                <w:sz w:val="18"/>
                <w:szCs w:val="18"/>
              </w:rPr>
            </w:pPr>
            <w:r>
              <w:rPr>
                <w:rFonts w:ascii="宋体" w:hAnsi="宋体" w:cs="宋体" w:eastAsia="宋体" w:hint="default"/>
                <w:sz w:val="18"/>
                <w:szCs w:val="18"/>
              </w:rPr>
              <w:t>上海船舶运输 科学研究所</w:t>
            </w:r>
          </w:p>
        </w:tc>
        <w:tc>
          <w:tcPr>
            <w:tcW w:w="89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20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67"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40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20"/>
              <w:jc w:val="right"/>
              <w:rPr>
                <w:rFonts w:ascii="宋体" w:hAnsi="宋体" w:cs="宋体" w:eastAsia="宋体" w:hint="default"/>
                <w:sz w:val="18"/>
                <w:szCs w:val="18"/>
              </w:rPr>
            </w:pPr>
            <w:r>
              <w:rPr>
                <w:rFonts w:ascii="宋体"/>
                <w:spacing w:val="-1"/>
                <w:sz w:val="18"/>
              </w:rPr>
              <w:t>121,132.08</w:t>
            </w:r>
          </w:p>
        </w:tc>
        <w:tc>
          <w:tcPr>
            <w:tcW w:w="170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25"/>
              <w:jc w:val="right"/>
              <w:rPr>
                <w:rFonts w:ascii="宋体" w:hAnsi="宋体" w:cs="宋体" w:eastAsia="宋体" w:hint="default"/>
                <w:sz w:val="18"/>
                <w:szCs w:val="18"/>
              </w:rPr>
            </w:pPr>
            <w:r>
              <w:rPr>
                <w:rFonts w:ascii="宋体"/>
                <w:sz w:val="18"/>
              </w:rPr>
              <w:t>0.71</w:t>
            </w:r>
          </w:p>
        </w:tc>
        <w:tc>
          <w:tcPr>
            <w:tcW w:w="130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2" w:right="0"/>
              <w:jc w:val="center"/>
              <w:rPr>
                <w:rFonts w:ascii="宋体" w:hAnsi="宋体" w:cs="宋体" w:eastAsia="宋体" w:hint="default"/>
                <w:sz w:val="18"/>
                <w:szCs w:val="18"/>
              </w:rPr>
            </w:pPr>
            <w:r>
              <w:rPr>
                <w:rFonts w:ascii="宋体"/>
                <w:sz w:val="18"/>
              </w:rPr>
              <w:t>1,466,054.40</w:t>
            </w:r>
          </w:p>
        </w:tc>
        <w:tc>
          <w:tcPr>
            <w:tcW w:w="152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5"/>
              <w:jc w:val="right"/>
              <w:rPr>
                <w:rFonts w:ascii="宋体" w:hAnsi="宋体" w:cs="宋体" w:eastAsia="宋体" w:hint="default"/>
                <w:sz w:val="18"/>
                <w:szCs w:val="18"/>
              </w:rPr>
            </w:pPr>
            <w:r>
              <w:rPr>
                <w:rFonts w:ascii="宋体"/>
                <w:sz w:val="18"/>
              </w:rPr>
              <w:t>6.65</w:t>
            </w:r>
          </w:p>
        </w:tc>
      </w:tr>
      <w:tr>
        <w:trPr>
          <w:trHeight w:val="397" w:hRule="exact"/>
        </w:trPr>
        <w:tc>
          <w:tcPr>
            <w:tcW w:w="1476" w:type="dxa"/>
            <w:vMerge/>
            <w:tcBorders>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9"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7"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0"/>
              <w:jc w:val="right"/>
              <w:rPr>
                <w:rFonts w:ascii="宋体" w:hAnsi="宋体" w:cs="宋体" w:eastAsia="宋体" w:hint="default"/>
                <w:sz w:val="18"/>
                <w:szCs w:val="18"/>
              </w:rPr>
            </w:pPr>
            <w:r>
              <w:rPr>
                <w:rFonts w:ascii="宋体"/>
                <w:spacing w:val="-1"/>
                <w:sz w:val="18"/>
              </w:rPr>
              <w:t>3,752,414.51</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
              <w:jc w:val="right"/>
              <w:rPr>
                <w:rFonts w:ascii="宋体" w:hAnsi="宋体" w:cs="宋体" w:eastAsia="宋体" w:hint="default"/>
                <w:sz w:val="18"/>
                <w:szCs w:val="18"/>
              </w:rPr>
            </w:pPr>
            <w:r>
              <w:rPr>
                <w:rFonts w:ascii="宋体"/>
                <w:sz w:val="18"/>
              </w:rPr>
              <w:t>13.16</w:t>
            </w:r>
          </w:p>
        </w:tc>
        <w:tc>
          <w:tcPr>
            <w:tcW w:w="1303"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
        </w:tc>
      </w:tr>
      <w:tr>
        <w:trPr>
          <w:trHeight w:val="396" w:hRule="exact"/>
        </w:trPr>
        <w:tc>
          <w:tcPr>
            <w:tcW w:w="1476" w:type="dxa"/>
            <w:vMerge w:val="restart"/>
            <w:tcBorders>
              <w:top w:val="nil" w:sz="6" w:space="0" w:color="auto"/>
              <w:left w:val="nil" w:sz="6" w:space="0" w:color="auto"/>
              <w:right w:val="nil" w:sz="6" w:space="0" w:color="auto"/>
            </w:tcBorders>
          </w:tcPr>
          <w:p>
            <w:pPr>
              <w:pStyle w:val="TableParagraph"/>
              <w:spacing w:line="314" w:lineRule="auto" w:before="95"/>
              <w:ind w:left="31" w:right="182"/>
              <w:jc w:val="left"/>
              <w:rPr>
                <w:rFonts w:ascii="宋体" w:hAnsi="宋体" w:cs="宋体" w:eastAsia="宋体" w:hint="default"/>
                <w:sz w:val="18"/>
                <w:szCs w:val="18"/>
              </w:rPr>
            </w:pPr>
            <w:r>
              <w:rPr>
                <w:rFonts w:ascii="宋体" w:hAnsi="宋体" w:cs="宋体" w:eastAsia="宋体" w:hint="default"/>
                <w:sz w:val="18"/>
                <w:szCs w:val="18"/>
              </w:rPr>
              <w:t>贵州新思维科技 有限责任公司</w:t>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9"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7"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0"/>
              <w:jc w:val="right"/>
              <w:rPr>
                <w:rFonts w:ascii="宋体" w:hAnsi="宋体" w:cs="宋体" w:eastAsia="宋体" w:hint="default"/>
                <w:sz w:val="18"/>
                <w:szCs w:val="18"/>
              </w:rPr>
            </w:pPr>
            <w:r>
              <w:rPr>
                <w:rFonts w:ascii="宋体"/>
                <w:spacing w:val="-1"/>
                <w:sz w:val="18"/>
              </w:rPr>
              <w:t>556,247.17</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5"/>
              <w:jc w:val="right"/>
              <w:rPr>
                <w:rFonts w:ascii="宋体" w:hAnsi="宋体" w:cs="宋体" w:eastAsia="宋体" w:hint="default"/>
                <w:sz w:val="18"/>
                <w:szCs w:val="18"/>
              </w:rPr>
            </w:pPr>
            <w:r>
              <w:rPr>
                <w:rFonts w:ascii="宋体"/>
                <w:sz w:val="18"/>
              </w:rPr>
              <w:t>3.25</w:t>
            </w:r>
          </w:p>
        </w:tc>
        <w:tc>
          <w:tcPr>
            <w:tcW w:w="1303"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
        </w:tc>
      </w:tr>
      <w:tr>
        <w:trPr>
          <w:trHeight w:val="396" w:hRule="exact"/>
        </w:trPr>
        <w:tc>
          <w:tcPr>
            <w:tcW w:w="1476" w:type="dxa"/>
            <w:vMerge/>
            <w:tcBorders>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9"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7"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0"/>
              <w:jc w:val="right"/>
              <w:rPr>
                <w:rFonts w:ascii="宋体" w:hAnsi="宋体" w:cs="宋体" w:eastAsia="宋体" w:hint="default"/>
                <w:sz w:val="18"/>
                <w:szCs w:val="18"/>
              </w:rPr>
            </w:pPr>
            <w:r>
              <w:rPr>
                <w:rFonts w:ascii="宋体"/>
                <w:spacing w:val="-1"/>
                <w:sz w:val="18"/>
              </w:rPr>
              <w:t>431,111.11</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5"/>
              <w:jc w:val="right"/>
              <w:rPr>
                <w:rFonts w:ascii="宋体" w:hAnsi="宋体" w:cs="宋体" w:eastAsia="宋体" w:hint="default"/>
                <w:sz w:val="18"/>
                <w:szCs w:val="18"/>
              </w:rPr>
            </w:pPr>
            <w:r>
              <w:rPr>
                <w:rFonts w:ascii="宋体"/>
                <w:sz w:val="18"/>
              </w:rPr>
              <w:t>1.51</w:t>
            </w:r>
          </w:p>
        </w:tc>
        <w:tc>
          <w:tcPr>
            <w:tcW w:w="1303"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
        </w:tc>
      </w:tr>
      <w:tr>
        <w:trPr>
          <w:trHeight w:val="598" w:hRule="exact"/>
        </w:trPr>
        <w:tc>
          <w:tcPr>
            <w:tcW w:w="1476" w:type="dxa"/>
            <w:tcBorders>
              <w:top w:val="nil" w:sz="6" w:space="0" w:color="auto"/>
              <w:left w:val="nil" w:sz="6" w:space="0" w:color="auto"/>
              <w:bottom w:val="nil" w:sz="6" w:space="0" w:color="auto"/>
              <w:right w:val="nil" w:sz="6" w:space="0" w:color="auto"/>
            </w:tcBorders>
          </w:tcPr>
          <w:p>
            <w:pPr>
              <w:pStyle w:val="TableParagraph"/>
              <w:spacing w:line="310" w:lineRule="exact" w:before="14"/>
              <w:ind w:left="31" w:right="27"/>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64"/>
                <w:sz w:val="18"/>
                <w:szCs w:val="18"/>
              </w:rPr>
              <w:t> </w:t>
            </w:r>
            <w:r>
              <w:rPr>
                <w:rFonts w:ascii="宋体" w:hAnsi="宋体" w:cs="宋体" w:eastAsia="宋体" w:hint="default"/>
                <w:sz w:val="18"/>
                <w:szCs w:val="18"/>
              </w:rPr>
              <w:t>海</w:t>
            </w:r>
            <w:r>
              <w:rPr>
                <w:rFonts w:ascii="宋体" w:hAnsi="宋体" w:cs="宋体" w:eastAsia="宋体" w:hint="default"/>
                <w:spacing w:val="-64"/>
                <w:sz w:val="18"/>
                <w:szCs w:val="18"/>
              </w:rPr>
              <w:t> </w:t>
            </w:r>
            <w:r>
              <w:rPr>
                <w:rFonts w:ascii="宋体" w:hAnsi="宋体" w:cs="宋体" w:eastAsia="宋体" w:hint="default"/>
                <w:sz w:val="18"/>
                <w:szCs w:val="18"/>
              </w:rPr>
              <w:t>交</w:t>
            </w:r>
            <w:r>
              <w:rPr>
                <w:rFonts w:ascii="宋体" w:hAnsi="宋体" w:cs="宋体" w:eastAsia="宋体" w:hint="default"/>
                <w:spacing w:val="-64"/>
                <w:sz w:val="18"/>
                <w:szCs w:val="18"/>
              </w:rPr>
              <w:t> </w:t>
            </w:r>
            <w:r>
              <w:rPr>
                <w:rFonts w:ascii="宋体" w:hAnsi="宋体" w:cs="宋体" w:eastAsia="宋体" w:hint="default"/>
                <w:sz w:val="18"/>
                <w:szCs w:val="18"/>
              </w:rPr>
              <w:t>通</w:t>
            </w:r>
            <w:r>
              <w:rPr>
                <w:rFonts w:ascii="宋体" w:hAnsi="宋体" w:cs="宋体" w:eastAsia="宋体" w:hint="default"/>
                <w:spacing w:val="-67"/>
                <w:sz w:val="18"/>
                <w:szCs w:val="18"/>
              </w:rPr>
              <w:t> </w:t>
            </w:r>
            <w:r>
              <w:rPr>
                <w:rFonts w:ascii="宋体" w:hAnsi="宋体" w:cs="宋体" w:eastAsia="宋体" w:hint="default"/>
                <w:sz w:val="18"/>
                <w:szCs w:val="18"/>
              </w:rPr>
              <w:t>设</w:t>
            </w:r>
            <w:r>
              <w:rPr>
                <w:rFonts w:ascii="宋体" w:hAnsi="宋体" w:cs="宋体" w:eastAsia="宋体" w:hint="default"/>
                <w:spacing w:val="-64"/>
                <w:sz w:val="18"/>
                <w:szCs w:val="18"/>
              </w:rPr>
              <w:t> </w:t>
            </w:r>
            <w:r>
              <w:rPr>
                <w:rFonts w:ascii="宋体" w:hAnsi="宋体" w:cs="宋体" w:eastAsia="宋体" w:hint="default"/>
                <w:sz w:val="18"/>
                <w:szCs w:val="18"/>
              </w:rPr>
              <w:t>计</w:t>
            </w:r>
            <w:r>
              <w:rPr>
                <w:rFonts w:ascii="宋体" w:hAnsi="宋体" w:cs="宋体" w:eastAsia="宋体" w:hint="default"/>
                <w:spacing w:val="-64"/>
                <w:sz w:val="18"/>
                <w:szCs w:val="18"/>
              </w:rPr>
              <w:t> </w:t>
            </w:r>
            <w:r>
              <w:rPr>
                <w:rFonts w:ascii="宋体" w:hAnsi="宋体" w:cs="宋体" w:eastAsia="宋体" w:hint="default"/>
                <w:sz w:val="18"/>
                <w:szCs w:val="18"/>
              </w:rPr>
              <w:t>所</w:t>
            </w:r>
            <w:r>
              <w:rPr>
                <w:rFonts w:ascii="宋体" w:hAnsi="宋体" w:cs="宋体" w:eastAsia="宋体" w:hint="default"/>
                <w:sz w:val="18"/>
                <w:szCs w:val="18"/>
              </w:rPr>
              <w:t> 有限公司</w:t>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0"/>
              <w:jc w:val="right"/>
              <w:rPr>
                <w:rFonts w:ascii="宋体" w:hAnsi="宋体" w:cs="宋体" w:eastAsia="宋体" w:hint="default"/>
                <w:sz w:val="18"/>
                <w:szCs w:val="18"/>
              </w:rPr>
            </w:pPr>
            <w:r>
              <w:rPr>
                <w:rFonts w:ascii="宋体"/>
                <w:spacing w:val="-1"/>
                <w:sz w:val="18"/>
              </w:rPr>
              <w:t>1,577,030.51</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25"/>
              <w:jc w:val="right"/>
              <w:rPr>
                <w:rFonts w:ascii="宋体" w:hAnsi="宋体" w:cs="宋体" w:eastAsia="宋体" w:hint="default"/>
                <w:sz w:val="18"/>
                <w:szCs w:val="18"/>
              </w:rPr>
            </w:pPr>
            <w:r>
              <w:rPr>
                <w:rFonts w:ascii="宋体"/>
                <w:sz w:val="18"/>
              </w:rPr>
              <w:t>9.20</w:t>
            </w:r>
          </w:p>
        </w:tc>
        <w:tc>
          <w:tcPr>
            <w:tcW w:w="1303"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573" w:right="1034"/>
        <w:jc w:val="left"/>
      </w:pPr>
      <w:r>
        <w:rPr/>
        <w:t>（</w:t>
      </w:r>
      <w:r>
        <w:rPr>
          <w:rFonts w:ascii="宋体" w:hAnsi="宋体" w:cs="宋体" w:eastAsia="宋体" w:hint="default"/>
        </w:rPr>
        <w:t>3</w:t>
      </w:r>
      <w:r>
        <w:rPr/>
        <w:t>）关联方采购商品</w:t>
      </w:r>
      <w:r>
        <w:rPr>
          <w:rFonts w:ascii="宋体" w:hAnsi="宋体" w:cs="宋体" w:eastAsia="宋体" w:hint="default"/>
        </w:rPr>
        <w:t>/</w:t>
      </w:r>
      <w:r>
        <w:rPr/>
        <w:t>接受劳务情况表</w:t>
      </w:r>
    </w:p>
    <w:p>
      <w:pPr>
        <w:spacing w:line="240" w:lineRule="auto" w:before="6"/>
        <w:rPr>
          <w:rFonts w:ascii="宋体" w:hAnsi="宋体" w:cs="宋体" w:eastAsia="宋体" w:hint="default"/>
          <w:sz w:val="23"/>
          <w:szCs w:val="23"/>
        </w:rPr>
      </w:pPr>
    </w:p>
    <w:tbl>
      <w:tblPr>
        <w:tblW w:w="0" w:type="auto"/>
        <w:jc w:val="left"/>
        <w:tblInd w:w="229" w:type="dxa"/>
        <w:tblLayout w:type="fixed"/>
        <w:tblCellMar>
          <w:top w:w="0" w:type="dxa"/>
          <w:left w:w="0" w:type="dxa"/>
          <w:bottom w:w="0" w:type="dxa"/>
          <w:right w:w="0" w:type="dxa"/>
        </w:tblCellMar>
        <w:tblLook w:val="01E0"/>
      </w:tblPr>
      <w:tblGrid>
        <w:gridCol w:w="1455"/>
        <w:gridCol w:w="1029"/>
        <w:gridCol w:w="1333"/>
        <w:gridCol w:w="1332"/>
        <w:gridCol w:w="1686"/>
        <w:gridCol w:w="1289"/>
        <w:gridCol w:w="1483"/>
      </w:tblGrid>
      <w:tr>
        <w:trPr>
          <w:trHeight w:val="179" w:hRule="exact"/>
        </w:trPr>
        <w:tc>
          <w:tcPr>
            <w:tcW w:w="1455" w:type="dxa"/>
            <w:tcBorders>
              <w:top w:val="nil" w:sz="6" w:space="0" w:color="auto"/>
              <w:left w:val="nil" w:sz="6" w:space="0" w:color="auto"/>
              <w:bottom w:val="nil" w:sz="6" w:space="0" w:color="auto"/>
              <w:right w:val="nil" w:sz="6" w:space="0" w:color="auto"/>
            </w:tcBorders>
          </w:tcPr>
          <w:p>
            <w:pPr/>
          </w:p>
        </w:tc>
        <w:tc>
          <w:tcPr>
            <w:tcW w:w="1029" w:type="dxa"/>
            <w:tcBorders>
              <w:top w:val="nil" w:sz="6" w:space="0" w:color="auto"/>
              <w:left w:val="nil" w:sz="6" w:space="0" w:color="auto"/>
              <w:bottom w:val="nil" w:sz="6" w:space="0" w:color="auto"/>
              <w:right w:val="nil" w:sz="6" w:space="0" w:color="auto"/>
            </w:tcBorders>
          </w:tcPr>
          <w:p>
            <w:pPr/>
          </w:p>
        </w:tc>
        <w:tc>
          <w:tcPr>
            <w:tcW w:w="1333" w:type="dxa"/>
            <w:vMerge w:val="restart"/>
            <w:tcBorders>
              <w:top w:val="nil" w:sz="6" w:space="0" w:color="auto"/>
              <w:left w:val="nil" w:sz="6" w:space="0" w:color="auto"/>
              <w:right w:val="nil" w:sz="6" w:space="0" w:color="auto"/>
            </w:tcBorders>
          </w:tcPr>
          <w:p>
            <w:pPr>
              <w:pStyle w:val="TableParagraph"/>
              <w:spacing w:line="237" w:lineRule="auto" w:before="6"/>
              <w:ind w:left="101" w:right="327"/>
              <w:jc w:val="center"/>
              <w:rPr>
                <w:rFonts w:ascii="宋体" w:hAnsi="宋体" w:cs="宋体" w:eastAsia="宋体" w:hint="default"/>
                <w:sz w:val="18"/>
                <w:szCs w:val="18"/>
              </w:rPr>
            </w:pPr>
            <w:r>
              <w:rPr>
                <w:rFonts w:ascii="宋体" w:hAnsi="宋体" w:cs="宋体" w:eastAsia="宋体" w:hint="default"/>
                <w:b/>
                <w:bCs/>
                <w:w w:val="95"/>
                <w:sz w:val="18"/>
                <w:szCs w:val="18"/>
              </w:rPr>
              <w:t>关联方定价</w:t>
            </w:r>
            <w:r>
              <w:rPr>
                <w:rFonts w:ascii="宋体" w:hAnsi="宋体" w:cs="宋体" w:eastAsia="宋体" w:hint="default"/>
                <w:b/>
                <w:bCs/>
                <w:spacing w:val="-45"/>
                <w:w w:val="95"/>
                <w:sz w:val="18"/>
                <w:szCs w:val="18"/>
              </w:rPr>
              <w:t> </w:t>
            </w:r>
            <w:r>
              <w:rPr>
                <w:rFonts w:ascii="宋体" w:hAnsi="宋体" w:cs="宋体" w:eastAsia="宋体" w:hint="default"/>
                <w:b/>
                <w:bCs/>
                <w:spacing w:val="-45"/>
                <w:w w:val="95"/>
                <w:sz w:val="18"/>
                <w:szCs w:val="18"/>
              </w:rPr>
            </w:r>
            <w:r>
              <w:rPr>
                <w:rFonts w:ascii="宋体" w:hAnsi="宋体" w:cs="宋体" w:eastAsia="宋体" w:hint="default"/>
                <w:b/>
                <w:bCs/>
                <w:w w:val="95"/>
                <w:sz w:val="18"/>
                <w:szCs w:val="18"/>
              </w:rPr>
              <w:t>方式及决策</w:t>
            </w:r>
            <w:r>
              <w:rPr>
                <w:rFonts w:ascii="宋体" w:hAnsi="宋体" w:cs="宋体" w:eastAsia="宋体" w:hint="default"/>
                <w:b/>
                <w:bCs/>
                <w:spacing w:val="-45"/>
                <w:w w:val="95"/>
                <w:sz w:val="18"/>
                <w:szCs w:val="18"/>
              </w:rPr>
              <w:t> </w:t>
            </w:r>
            <w:r>
              <w:rPr>
                <w:rFonts w:ascii="宋体" w:hAnsi="宋体" w:cs="宋体" w:eastAsia="宋体" w:hint="default"/>
                <w:b/>
                <w:bCs/>
                <w:spacing w:val="-45"/>
                <w:w w:val="95"/>
                <w:sz w:val="18"/>
                <w:szCs w:val="18"/>
              </w:rPr>
            </w:r>
            <w:r>
              <w:rPr>
                <w:rFonts w:ascii="宋体" w:hAnsi="宋体" w:cs="宋体" w:eastAsia="宋体" w:hint="default"/>
                <w:b/>
                <w:bCs/>
                <w:sz w:val="18"/>
                <w:szCs w:val="18"/>
              </w:rPr>
              <w:t>程序</w:t>
            </w:r>
            <w:r>
              <w:rPr>
                <w:rFonts w:ascii="宋体" w:hAnsi="宋体" w:cs="宋体" w:eastAsia="宋体" w:hint="default"/>
                <w:sz w:val="18"/>
                <w:szCs w:val="18"/>
              </w:rPr>
            </w:r>
          </w:p>
        </w:tc>
        <w:tc>
          <w:tcPr>
            <w:tcW w:w="3018"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862"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772"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871"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04" w:hRule="exact"/>
        </w:trPr>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432" w:right="0"/>
              <w:jc w:val="left"/>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1029" w:type="dxa"/>
            <w:vMerge w:val="restart"/>
            <w:tcBorders>
              <w:top w:val="nil" w:sz="6" w:space="0" w:color="auto"/>
              <w:left w:val="nil" w:sz="6" w:space="0" w:color="auto"/>
              <w:right w:val="nil" w:sz="6" w:space="0" w:color="auto"/>
            </w:tcBorders>
          </w:tcPr>
          <w:p>
            <w:pPr>
              <w:pStyle w:val="TableParagraph"/>
              <w:spacing w:line="177" w:lineRule="exact"/>
              <w:ind w:left="169" w:right="0"/>
              <w:jc w:val="center"/>
              <w:rPr>
                <w:rFonts w:ascii="宋体" w:hAnsi="宋体" w:cs="宋体" w:eastAsia="宋体" w:hint="default"/>
                <w:sz w:val="18"/>
                <w:szCs w:val="18"/>
              </w:rPr>
            </w:pPr>
            <w:r>
              <w:rPr>
                <w:rFonts w:ascii="宋体" w:hAnsi="宋体" w:cs="宋体" w:eastAsia="宋体" w:hint="default"/>
                <w:b/>
                <w:bCs/>
                <w:sz w:val="18"/>
                <w:szCs w:val="18"/>
              </w:rPr>
              <w:t>关联交易</w:t>
            </w:r>
            <w:r>
              <w:rPr>
                <w:rFonts w:ascii="宋体" w:hAnsi="宋体" w:cs="宋体" w:eastAsia="宋体" w:hint="default"/>
                <w:sz w:val="18"/>
                <w:szCs w:val="18"/>
              </w:rPr>
            </w:r>
          </w:p>
          <w:p>
            <w:pPr>
              <w:pStyle w:val="TableParagraph"/>
              <w:spacing w:line="234" w:lineRule="exact"/>
              <w:ind w:left="171" w:right="0"/>
              <w:jc w:val="center"/>
              <w:rPr>
                <w:rFonts w:ascii="宋体" w:hAnsi="宋体" w:cs="宋体" w:eastAsia="宋体" w:hint="default"/>
                <w:sz w:val="18"/>
                <w:szCs w:val="18"/>
              </w:rPr>
            </w:pPr>
            <w:r>
              <w:rPr>
                <w:rFonts w:ascii="宋体" w:hAnsi="宋体" w:cs="宋体" w:eastAsia="宋体" w:hint="default"/>
                <w:b/>
                <w:bCs/>
                <w:sz w:val="18"/>
                <w:szCs w:val="18"/>
              </w:rPr>
              <w:t>内容</w:t>
            </w:r>
            <w:r>
              <w:rPr>
                <w:rFonts w:ascii="宋体" w:hAnsi="宋体" w:cs="宋体" w:eastAsia="宋体" w:hint="default"/>
                <w:sz w:val="18"/>
                <w:szCs w:val="18"/>
              </w:rPr>
            </w:r>
          </w:p>
        </w:tc>
        <w:tc>
          <w:tcPr>
            <w:tcW w:w="1333" w:type="dxa"/>
            <w:vMerge/>
            <w:tcBorders>
              <w:left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1686" w:type="dxa"/>
            <w:vMerge w:val="restart"/>
            <w:tcBorders>
              <w:top w:val="nil" w:sz="6" w:space="0" w:color="auto"/>
              <w:left w:val="nil" w:sz="6" w:space="0" w:color="auto"/>
              <w:right w:val="nil" w:sz="6" w:space="0" w:color="auto"/>
            </w:tcBorders>
          </w:tcPr>
          <w:p>
            <w:pPr>
              <w:pStyle w:val="TableParagraph"/>
              <w:spacing w:line="278" w:lineRule="auto" w:before="121"/>
              <w:ind w:left="78" w:right="250" w:firstLine="225"/>
              <w:jc w:val="left"/>
              <w:rPr>
                <w:rFonts w:ascii="宋体" w:hAnsi="宋体" w:cs="宋体" w:eastAsia="宋体" w:hint="default"/>
                <w:sz w:val="18"/>
                <w:szCs w:val="18"/>
              </w:rPr>
            </w:pPr>
            <w:r>
              <w:rPr>
                <w:rFonts w:ascii="宋体" w:hAnsi="宋体" w:cs="宋体" w:eastAsia="宋体" w:hint="default"/>
                <w:b/>
                <w:bCs/>
                <w:sz w:val="18"/>
                <w:szCs w:val="18"/>
              </w:rPr>
              <w:t>占同类交易</w:t>
            </w:r>
            <w:r>
              <w:rPr>
                <w:rFonts w:ascii="宋体" w:hAnsi="宋体" w:cs="宋体" w:eastAsia="宋体" w:hint="default"/>
                <w:b/>
                <w:bCs/>
                <w:w w:val="99"/>
                <w:sz w:val="18"/>
                <w:szCs w:val="18"/>
              </w:rPr>
              <w:t> </w:t>
            </w:r>
            <w:r>
              <w:rPr>
                <w:rFonts w:ascii="宋体" w:hAnsi="宋体" w:cs="宋体" w:eastAsia="宋体" w:hint="default"/>
                <w:b/>
                <w:bCs/>
                <w:sz w:val="18"/>
                <w:szCs w:val="18"/>
              </w:rPr>
              <w:t>金额的比例（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89" w:type="dxa"/>
            <w:tcBorders>
              <w:top w:val="nil" w:sz="6" w:space="0" w:color="auto"/>
              <w:left w:val="nil" w:sz="6" w:space="0" w:color="auto"/>
              <w:bottom w:val="nil" w:sz="6" w:space="0" w:color="auto"/>
              <w:right w:val="nil" w:sz="6" w:space="0" w:color="auto"/>
            </w:tcBorders>
          </w:tcPr>
          <w:p>
            <w:pPr/>
          </w:p>
        </w:tc>
        <w:tc>
          <w:tcPr>
            <w:tcW w:w="1483" w:type="dxa"/>
            <w:vMerge w:val="restart"/>
            <w:tcBorders>
              <w:top w:val="nil" w:sz="6" w:space="0" w:color="auto"/>
              <w:left w:val="nil" w:sz="6" w:space="0" w:color="auto"/>
              <w:right w:val="nil" w:sz="6" w:space="0" w:color="auto"/>
            </w:tcBorders>
          </w:tcPr>
          <w:p>
            <w:pPr>
              <w:pStyle w:val="TableParagraph"/>
              <w:spacing w:line="278" w:lineRule="auto" w:before="121"/>
              <w:ind w:left="53" w:right="72" w:firstLine="225"/>
              <w:jc w:val="left"/>
              <w:rPr>
                <w:rFonts w:ascii="宋体" w:hAnsi="宋体" w:cs="宋体" w:eastAsia="宋体" w:hint="default"/>
                <w:sz w:val="18"/>
                <w:szCs w:val="18"/>
              </w:rPr>
            </w:pPr>
            <w:r>
              <w:rPr>
                <w:rFonts w:ascii="宋体" w:hAnsi="宋体" w:cs="宋体" w:eastAsia="宋体" w:hint="default"/>
                <w:b/>
                <w:bCs/>
                <w:sz w:val="18"/>
                <w:szCs w:val="18"/>
              </w:rPr>
              <w:t>占同类交易</w:t>
            </w:r>
            <w:r>
              <w:rPr>
                <w:rFonts w:ascii="宋体" w:hAnsi="宋体" w:cs="宋体" w:eastAsia="宋体" w:hint="default"/>
                <w:b/>
                <w:bCs/>
                <w:w w:val="99"/>
                <w:sz w:val="18"/>
                <w:szCs w:val="18"/>
              </w:rPr>
              <w:t> </w:t>
            </w:r>
            <w:r>
              <w:rPr>
                <w:rFonts w:ascii="宋体" w:hAnsi="宋体" w:cs="宋体" w:eastAsia="宋体" w:hint="default"/>
                <w:b/>
                <w:bCs/>
                <w:sz w:val="18"/>
                <w:szCs w:val="18"/>
              </w:rPr>
              <w:t>金额的比例（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02" w:hRule="exact"/>
        </w:trPr>
        <w:tc>
          <w:tcPr>
            <w:tcW w:w="1455" w:type="dxa"/>
            <w:tcBorders>
              <w:top w:val="nil" w:sz="6" w:space="0" w:color="auto"/>
              <w:left w:val="nil" w:sz="6" w:space="0" w:color="auto"/>
              <w:bottom w:val="single" w:sz="4" w:space="0" w:color="000000"/>
              <w:right w:val="nil" w:sz="6" w:space="0" w:color="auto"/>
            </w:tcBorders>
          </w:tcPr>
          <w:p>
            <w:pPr/>
          </w:p>
        </w:tc>
        <w:tc>
          <w:tcPr>
            <w:tcW w:w="1029" w:type="dxa"/>
            <w:vMerge/>
            <w:tcBorders>
              <w:left w:val="nil" w:sz="6" w:space="0" w:color="auto"/>
              <w:bottom w:val="single" w:sz="4" w:space="0" w:color="000000"/>
              <w:right w:val="nil" w:sz="6" w:space="0" w:color="auto"/>
            </w:tcBorders>
          </w:tcPr>
          <w:p>
            <w:pPr/>
          </w:p>
        </w:tc>
        <w:tc>
          <w:tcPr>
            <w:tcW w:w="1333" w:type="dxa"/>
            <w:vMerge/>
            <w:tcBorders>
              <w:left w:val="nil" w:sz="6" w:space="0" w:color="auto"/>
              <w:bottom w:val="single" w:sz="4" w:space="0" w:color="000000"/>
              <w:right w:val="nil" w:sz="6" w:space="0" w:color="auto"/>
            </w:tcBorders>
          </w:tcPr>
          <w:p>
            <w:pPr/>
          </w:p>
        </w:tc>
        <w:tc>
          <w:tcPr>
            <w:tcW w:w="1332" w:type="dxa"/>
            <w:tcBorders>
              <w:top w:val="nil" w:sz="6" w:space="0" w:color="auto"/>
              <w:left w:val="nil" w:sz="6" w:space="0" w:color="auto"/>
              <w:bottom w:val="single" w:sz="4" w:space="0" w:color="000000"/>
              <w:right w:val="nil" w:sz="6" w:space="0" w:color="auto"/>
            </w:tcBorders>
          </w:tcPr>
          <w:p>
            <w:pPr>
              <w:pStyle w:val="TableParagraph"/>
              <w:spacing w:line="190" w:lineRule="exact"/>
              <w:ind w:left="329"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686" w:type="dxa"/>
            <w:vMerge/>
            <w:tcBorders>
              <w:left w:val="nil" w:sz="6" w:space="0" w:color="auto"/>
              <w:bottom w:val="single" w:sz="4" w:space="0" w:color="000000"/>
              <w:right w:val="nil" w:sz="6" w:space="0" w:color="auto"/>
            </w:tcBorders>
          </w:tcPr>
          <w:p>
            <w:pPr/>
          </w:p>
        </w:tc>
        <w:tc>
          <w:tcPr>
            <w:tcW w:w="1289" w:type="dxa"/>
            <w:tcBorders>
              <w:top w:val="nil" w:sz="6" w:space="0" w:color="auto"/>
              <w:left w:val="nil" w:sz="6" w:space="0" w:color="auto"/>
              <w:bottom w:val="single" w:sz="4" w:space="0" w:color="000000"/>
              <w:right w:val="nil" w:sz="6" w:space="0" w:color="auto"/>
            </w:tcBorders>
          </w:tcPr>
          <w:p>
            <w:pPr>
              <w:pStyle w:val="TableParagraph"/>
              <w:spacing w:line="190" w:lineRule="exact"/>
              <w:ind w:left="388"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83" w:type="dxa"/>
            <w:vMerge/>
            <w:tcBorders>
              <w:left w:val="nil" w:sz="6" w:space="0" w:color="auto"/>
              <w:bottom w:val="single" w:sz="4" w:space="0" w:color="000000"/>
              <w:right w:val="nil" w:sz="6" w:space="0" w:color="auto"/>
            </w:tcBorders>
          </w:tcPr>
          <w:p>
            <w:pPr/>
          </w:p>
        </w:tc>
      </w:tr>
      <w:tr>
        <w:trPr>
          <w:trHeight w:val="640" w:hRule="exact"/>
        </w:trPr>
        <w:tc>
          <w:tcPr>
            <w:tcW w:w="145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贵州新思维科技</w:t>
            </w:r>
          </w:p>
          <w:p>
            <w:pPr>
              <w:pStyle w:val="TableParagraph"/>
              <w:spacing w:line="240" w:lineRule="auto" w:before="115"/>
              <w:ind w:left="31"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02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33"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332"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53" w:right="0"/>
              <w:jc w:val="left"/>
              <w:rPr>
                <w:rFonts w:ascii="宋体" w:hAnsi="宋体" w:cs="宋体" w:eastAsia="宋体" w:hint="default"/>
                <w:sz w:val="18"/>
                <w:szCs w:val="18"/>
              </w:rPr>
            </w:pPr>
            <w:r>
              <w:rPr>
                <w:rFonts w:ascii="宋体"/>
                <w:sz w:val="18"/>
              </w:rPr>
              <w:t>250,600.00</w:t>
            </w:r>
          </w:p>
        </w:tc>
        <w:tc>
          <w:tcPr>
            <w:tcW w:w="168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53"/>
              <w:jc w:val="right"/>
              <w:rPr>
                <w:rFonts w:ascii="宋体" w:hAnsi="宋体" w:cs="宋体" w:eastAsia="宋体" w:hint="default"/>
                <w:sz w:val="18"/>
                <w:szCs w:val="18"/>
              </w:rPr>
            </w:pPr>
            <w:r>
              <w:rPr>
                <w:rFonts w:ascii="宋体"/>
                <w:sz w:val="18"/>
              </w:rPr>
              <w:t>0.30</w:t>
            </w:r>
          </w:p>
        </w:tc>
        <w:tc>
          <w:tcPr>
            <w:tcW w:w="128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55" w:right="0"/>
              <w:jc w:val="left"/>
              <w:rPr>
                <w:rFonts w:ascii="宋体" w:hAnsi="宋体" w:cs="宋体" w:eastAsia="宋体" w:hint="default"/>
                <w:sz w:val="18"/>
                <w:szCs w:val="18"/>
              </w:rPr>
            </w:pPr>
            <w:r>
              <w:rPr>
                <w:rFonts w:ascii="宋体"/>
                <w:sz w:val="18"/>
              </w:rPr>
              <w:t>1,174,829.81</w:t>
            </w:r>
          </w:p>
        </w:tc>
        <w:tc>
          <w:tcPr>
            <w:tcW w:w="1483"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5"/>
              <w:jc w:val="right"/>
              <w:rPr>
                <w:rFonts w:ascii="宋体" w:hAnsi="宋体" w:cs="宋体" w:eastAsia="宋体" w:hint="default"/>
                <w:sz w:val="18"/>
                <w:szCs w:val="18"/>
              </w:rPr>
            </w:pPr>
            <w:r>
              <w:rPr>
                <w:rFonts w:ascii="宋体"/>
                <w:sz w:val="18"/>
              </w:rPr>
              <w:t>1.08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525" w:lineRule="auto"/>
        <w:ind w:left="573" w:right="8863"/>
        <w:jc w:val="left"/>
      </w:pPr>
      <w:r>
        <w:rPr/>
        <w:t>（</w:t>
      </w:r>
      <w:r>
        <w:rPr>
          <w:rFonts w:ascii="宋体" w:hAnsi="宋体" w:cs="宋体" w:eastAsia="宋体" w:hint="default"/>
        </w:rPr>
        <w:t>4</w:t>
      </w:r>
      <w:r>
        <w:rPr/>
        <w:t>）关联租赁情况 公司租入情况表：</w:t>
      </w:r>
    </w:p>
    <w:p>
      <w:pPr>
        <w:spacing w:line="240" w:lineRule="auto" w:before="13"/>
        <w:rPr>
          <w:rFonts w:ascii="宋体" w:hAnsi="宋体" w:cs="宋体" w:eastAsia="宋体" w:hint="default"/>
          <w:sz w:val="3"/>
          <w:szCs w:val="3"/>
        </w:rPr>
      </w:pPr>
    </w:p>
    <w:tbl>
      <w:tblPr>
        <w:tblW w:w="0" w:type="auto"/>
        <w:jc w:val="left"/>
        <w:tblInd w:w="164" w:type="dxa"/>
        <w:tblLayout w:type="fixed"/>
        <w:tblCellMar>
          <w:top w:w="0" w:type="dxa"/>
          <w:left w:w="0" w:type="dxa"/>
          <w:bottom w:w="0" w:type="dxa"/>
          <w:right w:w="0" w:type="dxa"/>
        </w:tblCellMar>
        <w:tblLook w:val="01E0"/>
      </w:tblPr>
      <w:tblGrid>
        <w:gridCol w:w="1347"/>
        <w:gridCol w:w="1624"/>
        <w:gridCol w:w="1164"/>
        <w:gridCol w:w="1252"/>
        <w:gridCol w:w="1272"/>
        <w:gridCol w:w="1489"/>
        <w:gridCol w:w="1586"/>
      </w:tblGrid>
      <w:tr>
        <w:trPr>
          <w:trHeight w:val="527" w:hRule="exact"/>
        </w:trPr>
        <w:tc>
          <w:tcPr>
            <w:tcW w:w="1347"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286" w:right="0"/>
              <w:jc w:val="left"/>
              <w:rPr>
                <w:rFonts w:ascii="宋体" w:hAnsi="宋体" w:cs="宋体" w:eastAsia="宋体" w:hint="default"/>
                <w:sz w:val="18"/>
                <w:szCs w:val="18"/>
              </w:rPr>
            </w:pPr>
            <w:r>
              <w:rPr>
                <w:rFonts w:ascii="宋体" w:hAnsi="宋体" w:cs="宋体" w:eastAsia="宋体" w:hint="default"/>
                <w:b/>
                <w:bCs/>
                <w:sz w:val="18"/>
                <w:szCs w:val="18"/>
              </w:rPr>
              <w:t>出租方名称</w:t>
            </w:r>
            <w:r>
              <w:rPr>
                <w:rFonts w:ascii="宋体" w:hAnsi="宋体" w:cs="宋体" w:eastAsia="宋体" w:hint="default"/>
                <w:sz w:val="18"/>
                <w:szCs w:val="18"/>
              </w:rPr>
            </w:r>
          </w:p>
        </w:tc>
        <w:tc>
          <w:tcPr>
            <w:tcW w:w="1624"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432" w:right="0"/>
              <w:jc w:val="left"/>
              <w:rPr>
                <w:rFonts w:ascii="宋体" w:hAnsi="宋体" w:cs="宋体" w:eastAsia="宋体" w:hint="default"/>
                <w:sz w:val="18"/>
                <w:szCs w:val="18"/>
              </w:rPr>
            </w:pPr>
            <w:r>
              <w:rPr>
                <w:rFonts w:ascii="宋体" w:hAnsi="宋体" w:cs="宋体" w:eastAsia="宋体" w:hint="default"/>
                <w:b/>
                <w:bCs/>
                <w:sz w:val="18"/>
                <w:szCs w:val="18"/>
              </w:rPr>
              <w:t>承租方名称</w:t>
            </w:r>
            <w:r>
              <w:rPr>
                <w:rFonts w:ascii="宋体" w:hAnsi="宋体" w:cs="宋体" w:eastAsia="宋体" w:hint="default"/>
                <w:sz w:val="18"/>
                <w:szCs w:val="18"/>
              </w:rPr>
            </w:r>
          </w:p>
        </w:tc>
        <w:tc>
          <w:tcPr>
            <w:tcW w:w="1164" w:type="dxa"/>
            <w:tcBorders>
              <w:top w:val="nil" w:sz="6" w:space="0" w:color="auto"/>
              <w:left w:val="nil" w:sz="6" w:space="0" w:color="auto"/>
              <w:bottom w:val="single" w:sz="4" w:space="0" w:color="000000"/>
              <w:right w:val="nil" w:sz="6" w:space="0" w:color="auto"/>
            </w:tcBorders>
          </w:tcPr>
          <w:p>
            <w:pPr>
              <w:pStyle w:val="TableParagraph"/>
              <w:spacing w:line="180" w:lineRule="exact"/>
              <w:ind w:left="137" w:right="0"/>
              <w:jc w:val="center"/>
              <w:rPr>
                <w:rFonts w:ascii="宋体" w:hAnsi="宋体" w:cs="宋体" w:eastAsia="宋体" w:hint="default"/>
                <w:sz w:val="18"/>
                <w:szCs w:val="18"/>
              </w:rPr>
            </w:pPr>
            <w:r>
              <w:rPr>
                <w:rFonts w:ascii="宋体" w:hAnsi="宋体" w:cs="宋体" w:eastAsia="宋体" w:hint="default"/>
                <w:b/>
                <w:bCs/>
                <w:sz w:val="18"/>
                <w:szCs w:val="18"/>
              </w:rPr>
              <w:t>租赁资产</w:t>
            </w:r>
            <w:r>
              <w:rPr>
                <w:rFonts w:ascii="宋体" w:hAnsi="宋体" w:cs="宋体" w:eastAsia="宋体" w:hint="default"/>
                <w:sz w:val="18"/>
                <w:szCs w:val="18"/>
              </w:rPr>
            </w:r>
          </w:p>
          <w:p>
            <w:pPr>
              <w:pStyle w:val="TableParagraph"/>
              <w:spacing w:line="240" w:lineRule="auto" w:before="35"/>
              <w:ind w:left="139"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1252"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262" w:right="0"/>
              <w:jc w:val="left"/>
              <w:rPr>
                <w:rFonts w:ascii="宋体" w:hAnsi="宋体" w:cs="宋体" w:eastAsia="宋体" w:hint="default"/>
                <w:sz w:val="18"/>
                <w:szCs w:val="18"/>
              </w:rPr>
            </w:pPr>
            <w:r>
              <w:rPr>
                <w:rFonts w:ascii="宋体" w:hAnsi="宋体" w:cs="宋体" w:eastAsia="宋体" w:hint="default"/>
                <w:b/>
                <w:bCs/>
                <w:sz w:val="18"/>
                <w:szCs w:val="18"/>
              </w:rPr>
              <w:t>租赁起始日</w:t>
            </w:r>
            <w:r>
              <w:rPr>
                <w:rFonts w:ascii="宋体" w:hAnsi="宋体" w:cs="宋体" w:eastAsia="宋体" w:hint="default"/>
                <w:sz w:val="18"/>
                <w:szCs w:val="18"/>
              </w:rPr>
            </w:r>
          </w:p>
        </w:tc>
        <w:tc>
          <w:tcPr>
            <w:tcW w:w="1272"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228" w:right="0"/>
              <w:jc w:val="left"/>
              <w:rPr>
                <w:rFonts w:ascii="宋体" w:hAnsi="宋体" w:cs="宋体" w:eastAsia="宋体" w:hint="default"/>
                <w:sz w:val="18"/>
                <w:szCs w:val="18"/>
              </w:rPr>
            </w:pPr>
            <w:r>
              <w:rPr>
                <w:rFonts w:ascii="宋体" w:hAnsi="宋体" w:cs="宋体" w:eastAsia="宋体" w:hint="default"/>
                <w:b/>
                <w:bCs/>
                <w:sz w:val="18"/>
                <w:szCs w:val="18"/>
              </w:rPr>
              <w:t>租赁终止日</w:t>
            </w:r>
            <w:r>
              <w:rPr>
                <w:rFonts w:ascii="宋体" w:hAnsi="宋体" w:cs="宋体" w:eastAsia="宋体" w:hint="default"/>
                <w:sz w:val="18"/>
                <w:szCs w:val="18"/>
              </w:rPr>
            </w:r>
          </w:p>
        </w:tc>
        <w:tc>
          <w:tcPr>
            <w:tcW w:w="1489" w:type="dxa"/>
            <w:tcBorders>
              <w:top w:val="nil" w:sz="6" w:space="0" w:color="auto"/>
              <w:left w:val="nil" w:sz="6" w:space="0" w:color="auto"/>
              <w:bottom w:val="single" w:sz="4" w:space="0" w:color="000000"/>
              <w:right w:val="nil" w:sz="6" w:space="0" w:color="auto"/>
            </w:tcBorders>
          </w:tcPr>
          <w:p>
            <w:pPr>
              <w:pStyle w:val="TableParagraph"/>
              <w:spacing w:line="198" w:lineRule="exact"/>
              <w:ind w:left="58" w:right="0"/>
              <w:jc w:val="center"/>
              <w:rPr>
                <w:rFonts w:ascii="宋体" w:hAnsi="宋体" w:cs="宋体" w:eastAsia="宋体" w:hint="default"/>
                <w:sz w:val="18"/>
                <w:szCs w:val="18"/>
              </w:rPr>
            </w:pPr>
            <w:r>
              <w:rPr>
                <w:rFonts w:ascii="宋体" w:hAnsi="宋体" w:cs="宋体" w:eastAsia="宋体" w:hint="default"/>
                <w:b/>
                <w:bCs/>
                <w:sz w:val="18"/>
                <w:szCs w:val="18"/>
              </w:rPr>
              <w:t>租赁费用定价依</w:t>
            </w:r>
            <w:r>
              <w:rPr>
                <w:rFonts w:ascii="宋体" w:hAnsi="宋体" w:cs="宋体" w:eastAsia="宋体" w:hint="default"/>
                <w:sz w:val="18"/>
                <w:szCs w:val="18"/>
              </w:rPr>
            </w:r>
          </w:p>
          <w:p>
            <w:pPr>
              <w:pStyle w:val="TableParagraph"/>
              <w:spacing w:line="234" w:lineRule="exact"/>
              <w:ind w:left="58" w:right="0"/>
              <w:jc w:val="center"/>
              <w:rPr>
                <w:rFonts w:ascii="宋体" w:hAnsi="宋体" w:cs="宋体" w:eastAsia="宋体" w:hint="default"/>
                <w:sz w:val="18"/>
                <w:szCs w:val="18"/>
              </w:rPr>
            </w:pPr>
            <w:r>
              <w:rPr>
                <w:rFonts w:ascii="宋体" w:hAnsi="宋体" w:cs="宋体" w:eastAsia="宋体" w:hint="default"/>
                <w:b/>
                <w:bCs/>
                <w:w w:val="99"/>
                <w:sz w:val="18"/>
                <w:szCs w:val="18"/>
              </w:rPr>
              <w:t>据</w:t>
            </w:r>
            <w:r>
              <w:rPr>
                <w:rFonts w:ascii="宋体" w:hAnsi="宋体" w:cs="宋体" w:eastAsia="宋体" w:hint="default"/>
                <w:sz w:val="18"/>
                <w:szCs w:val="18"/>
              </w:rPr>
            </w:r>
          </w:p>
        </w:tc>
        <w:tc>
          <w:tcPr>
            <w:tcW w:w="1586" w:type="dxa"/>
            <w:tcBorders>
              <w:top w:val="nil" w:sz="6" w:space="0" w:color="auto"/>
              <w:left w:val="nil" w:sz="6" w:space="0" w:color="auto"/>
              <w:bottom w:val="single" w:sz="4" w:space="0" w:color="000000"/>
              <w:right w:val="nil" w:sz="6" w:space="0" w:color="auto"/>
            </w:tcBorders>
          </w:tcPr>
          <w:p>
            <w:pPr>
              <w:pStyle w:val="TableParagraph"/>
              <w:spacing w:line="198" w:lineRule="exact"/>
              <w:ind w:left="25" w:right="0"/>
              <w:jc w:val="center"/>
              <w:rPr>
                <w:rFonts w:ascii="宋体" w:hAnsi="宋体" w:cs="宋体" w:eastAsia="宋体" w:hint="default"/>
                <w:sz w:val="18"/>
                <w:szCs w:val="18"/>
              </w:rPr>
            </w:pPr>
            <w:r>
              <w:rPr>
                <w:rFonts w:ascii="宋体" w:hAnsi="宋体" w:cs="宋体" w:eastAsia="宋体" w:hint="default"/>
                <w:b/>
                <w:bCs/>
                <w:sz w:val="18"/>
                <w:szCs w:val="18"/>
              </w:rPr>
              <w:t>本期确认的租赁费</w:t>
            </w:r>
            <w:r>
              <w:rPr>
                <w:rFonts w:ascii="宋体" w:hAnsi="宋体" w:cs="宋体" w:eastAsia="宋体" w:hint="default"/>
                <w:sz w:val="18"/>
                <w:szCs w:val="18"/>
              </w:rPr>
            </w:r>
          </w:p>
          <w:p>
            <w:pPr>
              <w:pStyle w:val="TableParagraph"/>
              <w:spacing w:line="234" w:lineRule="exact"/>
              <w:ind w:left="28" w:right="0"/>
              <w:jc w:val="center"/>
              <w:rPr>
                <w:rFonts w:ascii="宋体" w:hAnsi="宋体" w:cs="宋体" w:eastAsia="宋体" w:hint="default"/>
                <w:sz w:val="18"/>
                <w:szCs w:val="18"/>
              </w:rPr>
            </w:pPr>
            <w:r>
              <w:rPr>
                <w:rFonts w:ascii="宋体" w:hAnsi="宋体" w:cs="宋体" w:eastAsia="宋体" w:hint="default"/>
                <w:b/>
                <w:bCs/>
                <w:w w:val="99"/>
                <w:sz w:val="18"/>
                <w:szCs w:val="18"/>
              </w:rPr>
              <w:t>用</w:t>
            </w:r>
            <w:r>
              <w:rPr>
                <w:rFonts w:ascii="宋体" w:hAnsi="宋体" w:cs="宋体" w:eastAsia="宋体" w:hint="default"/>
                <w:sz w:val="18"/>
                <w:szCs w:val="18"/>
              </w:rPr>
            </w:r>
          </w:p>
        </w:tc>
      </w:tr>
      <w:tr>
        <w:trPr>
          <w:trHeight w:val="642" w:hRule="exact"/>
        </w:trPr>
        <w:tc>
          <w:tcPr>
            <w:tcW w:w="134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上海运昌商贸</w:t>
            </w:r>
          </w:p>
          <w:p>
            <w:pPr>
              <w:pStyle w:val="TableParagraph"/>
              <w:spacing w:line="240" w:lineRule="auto" w:before="117"/>
              <w:ind w:left="31" w:right="0"/>
              <w:jc w:val="left"/>
              <w:rPr>
                <w:rFonts w:ascii="宋体" w:hAnsi="宋体" w:cs="宋体" w:eastAsia="宋体" w:hint="default"/>
                <w:sz w:val="18"/>
                <w:szCs w:val="18"/>
              </w:rPr>
            </w:pPr>
            <w:r>
              <w:rPr>
                <w:rFonts w:ascii="宋体" w:hAnsi="宋体" w:cs="宋体" w:eastAsia="宋体" w:hint="default"/>
                <w:sz w:val="18"/>
                <w:szCs w:val="18"/>
              </w:rPr>
              <w:t>发展公司</w:t>
            </w:r>
          </w:p>
        </w:tc>
        <w:tc>
          <w:tcPr>
            <w:tcW w:w="162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中海网络科技</w:t>
            </w:r>
          </w:p>
          <w:p>
            <w:pPr>
              <w:pStyle w:val="TableParagraph"/>
              <w:spacing w:line="240" w:lineRule="auto" w:before="117"/>
              <w:ind w:left="158"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16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125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52" w:right="0"/>
              <w:jc w:val="left"/>
              <w:rPr>
                <w:rFonts w:ascii="宋体" w:hAnsi="宋体" w:cs="宋体" w:eastAsia="宋体" w:hint="default"/>
                <w:sz w:val="18"/>
                <w:szCs w:val="18"/>
              </w:rPr>
            </w:pPr>
            <w:r>
              <w:rPr>
                <w:rFonts w:ascii="宋体"/>
                <w:sz w:val="18"/>
              </w:rPr>
              <w:t>2012-1-1</w:t>
            </w:r>
          </w:p>
        </w:tc>
        <w:tc>
          <w:tcPr>
            <w:tcW w:w="127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86" w:right="0"/>
              <w:jc w:val="left"/>
              <w:rPr>
                <w:rFonts w:ascii="宋体" w:hAnsi="宋体" w:cs="宋体" w:eastAsia="宋体" w:hint="default"/>
                <w:sz w:val="18"/>
                <w:szCs w:val="18"/>
              </w:rPr>
            </w:pPr>
            <w:r>
              <w:rPr>
                <w:rFonts w:ascii="宋体"/>
                <w:sz w:val="18"/>
              </w:rPr>
              <w:t>2014-12-31</w:t>
            </w:r>
          </w:p>
        </w:tc>
        <w:tc>
          <w:tcPr>
            <w:tcW w:w="148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8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56" w:right="0"/>
              <w:jc w:val="left"/>
              <w:rPr>
                <w:rFonts w:ascii="宋体" w:hAnsi="宋体" w:cs="宋体" w:eastAsia="宋体" w:hint="default"/>
                <w:sz w:val="18"/>
                <w:szCs w:val="18"/>
              </w:rPr>
            </w:pPr>
            <w:r>
              <w:rPr>
                <w:rFonts w:ascii="宋体"/>
                <w:sz w:val="18"/>
              </w:rPr>
              <w:t>760,000.00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573" w:right="1034"/>
        <w:jc w:val="left"/>
      </w:pPr>
      <w:r>
        <w:rPr/>
        <w:t>（</w:t>
      </w:r>
      <w:r>
        <w:rPr>
          <w:rFonts w:ascii="宋体" w:hAnsi="宋体" w:cs="宋体" w:eastAsia="宋体" w:hint="default"/>
        </w:rPr>
        <w:t>5</w:t>
      </w:r>
      <w:r>
        <w:rPr/>
        <w:t>）本期无关联方担保情况。</w:t>
      </w:r>
    </w:p>
    <w:p>
      <w:pPr>
        <w:spacing w:line="240" w:lineRule="auto" w:before="6"/>
        <w:rPr>
          <w:rFonts w:ascii="宋体" w:hAnsi="宋体" w:cs="宋体" w:eastAsia="宋体" w:hint="default"/>
          <w:sz w:val="21"/>
          <w:szCs w:val="21"/>
        </w:rPr>
      </w:pPr>
    </w:p>
    <w:p>
      <w:pPr>
        <w:pStyle w:val="BodyText"/>
        <w:spacing w:line="240" w:lineRule="auto"/>
        <w:ind w:left="573" w:right="1034"/>
        <w:jc w:val="left"/>
      </w:pPr>
      <w:r>
        <w:rPr/>
        <w:t>（</w:t>
      </w:r>
      <w:r>
        <w:rPr>
          <w:rFonts w:ascii="宋体" w:hAnsi="宋体" w:cs="宋体" w:eastAsia="宋体" w:hint="default"/>
        </w:rPr>
        <w:t>6</w:t>
      </w:r>
      <w:r>
        <w:rPr/>
        <w:t>）本期无关联方资产转让、债务重组情况。</w:t>
      </w:r>
    </w:p>
    <w:p>
      <w:pPr>
        <w:spacing w:line="240" w:lineRule="auto" w:before="6"/>
        <w:rPr>
          <w:rFonts w:ascii="宋体" w:hAnsi="宋体" w:cs="宋体" w:eastAsia="宋体" w:hint="default"/>
          <w:sz w:val="21"/>
          <w:szCs w:val="21"/>
        </w:rPr>
      </w:pPr>
    </w:p>
    <w:p>
      <w:pPr>
        <w:pStyle w:val="BodyText"/>
        <w:spacing w:line="240" w:lineRule="auto"/>
        <w:ind w:left="573" w:right="1034"/>
        <w:jc w:val="left"/>
      </w:pPr>
      <w:r>
        <w:rPr/>
        <w:t>（</w:t>
      </w:r>
      <w:r>
        <w:rPr>
          <w:rFonts w:ascii="宋体" w:hAnsi="宋体" w:cs="宋体" w:eastAsia="宋体" w:hint="default"/>
        </w:rPr>
        <w:t>7</w:t>
      </w:r>
      <w:r>
        <w:rPr/>
        <w:t>）截至</w:t>
      </w:r>
      <w:r>
        <w:rPr>
          <w:spacing w:val="-46"/>
        </w:rPr>
        <w:t> </w:t>
      </w:r>
      <w:r>
        <w:rPr>
          <w:rFonts w:ascii="宋体" w:hAnsi="宋体" w:cs="宋体" w:eastAsia="宋体" w:hint="default"/>
        </w:rPr>
        <w:t>2012</w:t>
      </w:r>
      <w:r>
        <w:rPr>
          <w:rFonts w:ascii="宋体" w:hAnsi="宋体" w:cs="宋体" w:eastAsia="宋体" w:hint="default"/>
          <w:spacing w:val="-45"/>
        </w:rPr>
        <w:t> </w:t>
      </w:r>
      <w:r>
        <w:rPr/>
        <w:t>年</w:t>
      </w:r>
      <w:r>
        <w:rPr>
          <w:spacing w:val="-48"/>
        </w:rPr>
        <w:t> </w:t>
      </w:r>
      <w:r>
        <w:rPr>
          <w:rFonts w:ascii="宋体" w:hAnsi="宋体" w:cs="宋体" w:eastAsia="宋体" w:hint="default"/>
        </w:rPr>
        <w:t>12</w:t>
      </w:r>
      <w:r>
        <w:rPr>
          <w:rFonts w:ascii="宋体" w:hAnsi="宋体" w:cs="宋体" w:eastAsia="宋体" w:hint="default"/>
          <w:spacing w:val="-47"/>
        </w:rPr>
        <w:t> </w:t>
      </w:r>
      <w:r>
        <w:rPr/>
        <w:t>月</w:t>
      </w:r>
      <w:r>
        <w:rPr>
          <w:spacing w:val="-46"/>
        </w:rPr>
        <w:t> </w:t>
      </w:r>
      <w:r>
        <w:rPr>
          <w:rFonts w:ascii="宋体" w:hAnsi="宋体" w:cs="宋体" w:eastAsia="宋体" w:hint="default"/>
        </w:rPr>
        <w:t>31</w:t>
      </w:r>
      <w:r>
        <w:rPr>
          <w:rFonts w:ascii="宋体" w:hAnsi="宋体" w:cs="宋体" w:eastAsia="宋体" w:hint="default"/>
          <w:spacing w:val="-45"/>
        </w:rPr>
        <w:t> </w:t>
      </w:r>
      <w:r>
        <w:rPr/>
        <w:t>日关联方往来情况</w:t>
      </w:r>
    </w:p>
    <w:p>
      <w:pPr>
        <w:spacing w:line="240" w:lineRule="auto" w:before="6"/>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1156"/>
        <w:gridCol w:w="4760"/>
        <w:gridCol w:w="1278"/>
        <w:gridCol w:w="1316"/>
        <w:gridCol w:w="1347"/>
      </w:tblGrid>
      <w:tr>
        <w:trPr>
          <w:trHeight w:val="176" w:hRule="exact"/>
        </w:trPr>
        <w:tc>
          <w:tcPr>
            <w:tcW w:w="1156" w:type="dxa"/>
            <w:tcBorders>
              <w:top w:val="nil" w:sz="6" w:space="0" w:color="auto"/>
              <w:left w:val="nil" w:sz="6" w:space="0" w:color="auto"/>
              <w:bottom w:val="nil" w:sz="6" w:space="0" w:color="auto"/>
              <w:right w:val="nil" w:sz="6" w:space="0" w:color="auto"/>
            </w:tcBorders>
          </w:tcPr>
          <w:p>
            <w:pPr/>
          </w:p>
        </w:tc>
        <w:tc>
          <w:tcPr>
            <w:tcW w:w="6038"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right="926"/>
              <w:jc w:val="right"/>
              <w:rPr>
                <w:rFonts w:ascii="宋体" w:hAnsi="宋体" w:cs="宋体" w:eastAsia="宋体" w:hint="default"/>
                <w:sz w:val="18"/>
                <w:szCs w:val="18"/>
              </w:rPr>
            </w:pPr>
            <w:r>
              <w:rPr>
                <w:rFonts w:ascii="宋体" w:hAnsi="宋体" w:cs="宋体" w:eastAsia="宋体" w:hint="default"/>
                <w:b/>
                <w:bCs/>
                <w:w w:val="95"/>
                <w:sz w:val="18"/>
                <w:szCs w:val="18"/>
              </w:rPr>
              <w:t>期末金额</w:t>
            </w:r>
            <w:r>
              <w:rPr>
                <w:rFonts w:ascii="宋体" w:hAnsi="宋体" w:cs="宋体" w:eastAsia="宋体" w:hint="default"/>
                <w:sz w:val="18"/>
                <w:szCs w:val="18"/>
              </w:rPr>
            </w:r>
          </w:p>
        </w:tc>
        <w:tc>
          <w:tcPr>
            <w:tcW w:w="2662"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right="21"/>
              <w:jc w:val="center"/>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185" w:hRule="exact"/>
        </w:trPr>
        <w:tc>
          <w:tcPr>
            <w:tcW w:w="1156" w:type="dxa"/>
            <w:tcBorders>
              <w:top w:val="nil" w:sz="6" w:space="0" w:color="auto"/>
              <w:left w:val="nil" w:sz="6" w:space="0" w:color="auto"/>
              <w:bottom w:val="nil" w:sz="6" w:space="0" w:color="auto"/>
              <w:right w:val="nil" w:sz="6" w:space="0" w:color="auto"/>
            </w:tcBorders>
          </w:tcPr>
          <w:p>
            <w:pPr>
              <w:pStyle w:val="TableParagraph"/>
              <w:spacing w:line="176" w:lineRule="exact"/>
              <w:ind w:left="252"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4760" w:type="dxa"/>
            <w:tcBorders>
              <w:top w:val="nil" w:sz="6" w:space="0" w:color="auto"/>
              <w:left w:val="nil" w:sz="6" w:space="0" w:color="auto"/>
              <w:bottom w:val="nil" w:sz="6" w:space="0" w:color="auto"/>
              <w:right w:val="nil" w:sz="6" w:space="0" w:color="auto"/>
            </w:tcBorders>
          </w:tcPr>
          <w:p>
            <w:pPr>
              <w:pStyle w:val="TableParagraph"/>
              <w:spacing w:line="176" w:lineRule="exact"/>
              <w:ind w:left="1506"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27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
        </w:tc>
      </w:tr>
      <w:tr>
        <w:trPr>
          <w:trHeight w:val="276" w:hRule="exact"/>
        </w:trPr>
        <w:tc>
          <w:tcPr>
            <w:tcW w:w="1156" w:type="dxa"/>
            <w:tcBorders>
              <w:top w:val="nil" w:sz="6" w:space="0" w:color="auto"/>
              <w:left w:val="nil" w:sz="6" w:space="0" w:color="auto"/>
              <w:bottom w:val="single" w:sz="4" w:space="0" w:color="000000"/>
              <w:right w:val="nil" w:sz="6" w:space="0" w:color="auto"/>
            </w:tcBorders>
          </w:tcPr>
          <w:p>
            <w:pPr/>
          </w:p>
        </w:tc>
        <w:tc>
          <w:tcPr>
            <w:tcW w:w="4760" w:type="dxa"/>
            <w:tcBorders>
              <w:top w:val="nil" w:sz="6" w:space="0" w:color="auto"/>
              <w:left w:val="nil" w:sz="6" w:space="0" w:color="auto"/>
              <w:bottom w:val="single" w:sz="4" w:space="0" w:color="000000"/>
              <w:right w:val="nil" w:sz="6" w:space="0" w:color="auto"/>
            </w:tcBorders>
          </w:tcPr>
          <w:p>
            <w:pPr>
              <w:pStyle w:val="TableParagraph"/>
              <w:spacing w:line="188" w:lineRule="exact"/>
              <w:ind w:right="270"/>
              <w:jc w:val="righ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c>
        <w:tc>
          <w:tcPr>
            <w:tcW w:w="1278" w:type="dxa"/>
            <w:tcBorders>
              <w:top w:val="nil" w:sz="6" w:space="0" w:color="auto"/>
              <w:left w:val="nil" w:sz="6" w:space="0" w:color="auto"/>
              <w:bottom w:val="single" w:sz="4" w:space="0" w:color="000000"/>
              <w:right w:val="nil" w:sz="6" w:space="0" w:color="auto"/>
            </w:tcBorders>
          </w:tcPr>
          <w:p>
            <w:pPr>
              <w:pStyle w:val="TableParagraph"/>
              <w:spacing w:line="188" w:lineRule="exact"/>
              <w:ind w:left="27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316" w:type="dxa"/>
            <w:tcBorders>
              <w:top w:val="nil" w:sz="6" w:space="0" w:color="auto"/>
              <w:left w:val="nil" w:sz="6" w:space="0" w:color="auto"/>
              <w:bottom w:val="single" w:sz="4" w:space="0" w:color="000000"/>
              <w:right w:val="nil" w:sz="6" w:space="0" w:color="auto"/>
            </w:tcBorders>
          </w:tcPr>
          <w:p>
            <w:pPr>
              <w:pStyle w:val="TableParagraph"/>
              <w:spacing w:line="188" w:lineRule="exact"/>
              <w:ind w:left="28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47" w:type="dxa"/>
            <w:tcBorders>
              <w:top w:val="nil" w:sz="6" w:space="0" w:color="auto"/>
              <w:left w:val="nil" w:sz="6" w:space="0" w:color="auto"/>
              <w:bottom w:val="single" w:sz="4" w:space="0" w:color="000000"/>
              <w:right w:val="nil" w:sz="6" w:space="0" w:color="auto"/>
            </w:tcBorders>
          </w:tcPr>
          <w:p>
            <w:pPr>
              <w:pStyle w:val="TableParagraph"/>
              <w:spacing w:line="188" w:lineRule="exact"/>
              <w:ind w:left="31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396" w:hRule="exact"/>
        </w:trPr>
        <w:tc>
          <w:tcPr>
            <w:tcW w:w="115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76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sz w:val="18"/>
                <w:szCs w:val="18"/>
              </w:rPr>
              <w:t>贵州新思维科技有限责任公司</w:t>
            </w:r>
          </w:p>
        </w:tc>
        <w:tc>
          <w:tcPr>
            <w:tcW w:w="1278" w:type="dxa"/>
            <w:tcBorders>
              <w:top w:val="single" w:sz="4" w:space="0" w:color="000000"/>
              <w:left w:val="nil" w:sz="6" w:space="0" w:color="auto"/>
              <w:bottom w:val="nil" w:sz="6" w:space="0" w:color="auto"/>
              <w:right w:val="nil" w:sz="6" w:space="0" w:color="auto"/>
            </w:tcBorders>
          </w:tcPr>
          <w:p>
            <w:pPr/>
          </w:p>
        </w:tc>
        <w:tc>
          <w:tcPr>
            <w:tcW w:w="131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04" w:right="0"/>
              <w:jc w:val="left"/>
              <w:rPr>
                <w:rFonts w:ascii="宋体" w:hAnsi="宋体" w:cs="宋体" w:eastAsia="宋体" w:hint="default"/>
                <w:sz w:val="18"/>
                <w:szCs w:val="18"/>
              </w:rPr>
            </w:pPr>
            <w:r>
              <w:rPr>
                <w:rFonts w:ascii="宋体"/>
                <w:sz w:val="18"/>
              </w:rPr>
              <w:t>645,831.32</w:t>
            </w:r>
          </w:p>
        </w:tc>
        <w:tc>
          <w:tcPr>
            <w:tcW w:w="1347" w:type="dxa"/>
            <w:tcBorders>
              <w:top w:val="single" w:sz="4" w:space="0" w:color="000000"/>
              <w:left w:val="nil" w:sz="6" w:space="0" w:color="auto"/>
              <w:bottom w:val="nil" w:sz="6" w:space="0" w:color="auto"/>
              <w:right w:val="nil" w:sz="6" w:space="0" w:color="auto"/>
            </w:tcBorders>
          </w:tcPr>
          <w:p>
            <w:pPr/>
          </w:p>
        </w:tc>
      </w:tr>
      <w:tr>
        <w:trPr>
          <w:trHeight w:val="284" w:hRule="exact"/>
        </w:trPr>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60"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04" w:right="0"/>
              <w:jc w:val="left"/>
              <w:rPr>
                <w:rFonts w:ascii="宋体" w:hAnsi="宋体" w:cs="宋体" w:eastAsia="宋体" w:hint="default"/>
                <w:sz w:val="18"/>
                <w:szCs w:val="18"/>
              </w:rPr>
            </w:pPr>
            <w:r>
              <w:rPr>
                <w:rFonts w:ascii="宋体"/>
                <w:sz w:val="18"/>
              </w:rPr>
            </w:r>
            <w:r>
              <w:rPr>
                <w:rFonts w:ascii="宋体"/>
                <w:sz w:val="18"/>
                <w:u w:val="thick" w:color="000000"/>
              </w:rPr>
              <w:t>645,831.32</w:t>
            </w:r>
            <w:r>
              <w:rPr>
                <w:rFonts w:ascii="宋体"/>
                <w:sz w:val="18"/>
              </w:rPr>
            </w:r>
          </w:p>
        </w:tc>
        <w:tc>
          <w:tcPr>
            <w:tcW w:w="1347"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1340" w:top="1100" w:bottom="1540" w:left="920" w:right="0"/>
        </w:sectPr>
      </w:pPr>
    </w:p>
    <w:p>
      <w:pPr>
        <w:spacing w:line="240" w:lineRule="auto" w:before="2"/>
        <w:rPr>
          <w:rFonts w:ascii="宋体" w:hAnsi="宋体" w:cs="宋体" w:eastAsia="宋体" w:hint="default"/>
          <w:sz w:val="27"/>
          <w:szCs w:val="27"/>
        </w:rPr>
      </w:pPr>
    </w:p>
    <w:p>
      <w:pPr>
        <w:pStyle w:val="BodyText"/>
        <w:spacing w:line="240" w:lineRule="auto" w:before="44"/>
        <w:ind w:left="513" w:right="981"/>
        <w:jc w:val="left"/>
      </w:pPr>
      <w:r>
        <w:rPr/>
        <w:t>（</w:t>
      </w:r>
      <w:r>
        <w:rPr>
          <w:rFonts w:ascii="宋体" w:hAnsi="宋体" w:cs="宋体" w:eastAsia="宋体" w:hint="default"/>
        </w:rPr>
        <w:t>8</w:t>
      </w:r>
      <w:r>
        <w:rPr/>
        <w:t>）其他关联方交易</w:t>
      </w:r>
    </w:p>
    <w:p>
      <w:pPr>
        <w:spacing w:line="240" w:lineRule="auto" w:before="6"/>
        <w:rPr>
          <w:rFonts w:ascii="宋体" w:hAnsi="宋体" w:cs="宋体" w:eastAsia="宋体" w:hint="default"/>
          <w:sz w:val="21"/>
          <w:szCs w:val="21"/>
        </w:rPr>
      </w:pPr>
    </w:p>
    <w:p>
      <w:pPr>
        <w:pStyle w:val="BodyText"/>
        <w:spacing w:line="367" w:lineRule="auto"/>
        <w:ind w:right="1128" w:firstLine="360"/>
        <w:jc w:val="both"/>
      </w:pPr>
      <w:r>
        <w:rPr>
          <w:spacing w:val="-3"/>
        </w:rPr>
        <w:t>根据中国海运（集团）总公司《关于缴纳补充医疗保险费的通知》（中海人保（</w:t>
      </w:r>
      <w:r>
        <w:rPr>
          <w:rFonts w:ascii="宋体" w:hAnsi="宋体" w:cs="宋体" w:eastAsia="宋体" w:hint="default"/>
          <w:spacing w:val="-3"/>
        </w:rPr>
        <w:t>2010</w:t>
      </w:r>
      <w:r>
        <w:rPr>
          <w:spacing w:val="-3"/>
        </w:rPr>
        <w:t>）</w:t>
      </w:r>
      <w:r>
        <w:rPr>
          <w:rFonts w:ascii="宋体" w:hAnsi="宋体" w:cs="宋体" w:eastAsia="宋体" w:hint="default"/>
          <w:spacing w:val="-3"/>
        </w:rPr>
        <w:t>14</w:t>
      </w:r>
      <w:r>
        <w:rPr>
          <w:rFonts w:ascii="宋体" w:hAnsi="宋体" w:cs="宋体" w:eastAsia="宋体" w:hint="default"/>
        </w:rPr>
        <w:t> </w:t>
      </w:r>
      <w:r>
        <w:rPr/>
        <w:t>号）要求，公司将 </w:t>
      </w:r>
      <w:r>
        <w:rPr>
          <w:rFonts w:ascii="宋体" w:hAnsi="宋体" w:cs="宋体" w:eastAsia="宋体" w:hint="default"/>
        </w:rPr>
        <w:t>2012</w:t>
      </w:r>
      <w:r>
        <w:rPr>
          <w:rFonts w:ascii="宋体" w:hAnsi="宋体" w:cs="宋体" w:eastAsia="宋体" w:hint="default"/>
          <w:spacing w:val="-50"/>
        </w:rPr>
        <w:t> </w:t>
      </w:r>
      <w:r>
        <w:rPr/>
        <w:t>年度 职工补充医疗保险费</w:t>
      </w:r>
      <w:r>
        <w:rPr>
          <w:spacing w:val="-45"/>
        </w:rPr>
        <w:t> </w:t>
      </w:r>
      <w:r>
        <w:rPr>
          <w:rFonts w:ascii="宋体" w:hAnsi="宋体" w:cs="宋体" w:eastAsia="宋体" w:hint="default"/>
        </w:rPr>
        <w:t>1,566,300.00</w:t>
      </w:r>
      <w:r>
        <w:rPr>
          <w:rFonts w:ascii="宋体" w:hAnsi="宋体" w:cs="宋体" w:eastAsia="宋体" w:hint="default"/>
          <w:spacing w:val="-44"/>
        </w:rPr>
        <w:t> </w:t>
      </w:r>
      <w:r>
        <w:rPr/>
        <w:t>元缴纳至上海船舶运输科学研究所财务处，由上海船舶运输科学研究所统一缴纳至中国 海运（集团）总公司财务金融部补充医疗保险基金专户。</w:t>
      </w:r>
    </w:p>
    <w:p>
      <w:pPr>
        <w:spacing w:line="240" w:lineRule="auto" w:before="9"/>
        <w:rPr>
          <w:rFonts w:ascii="宋体" w:hAnsi="宋体" w:cs="宋体" w:eastAsia="宋体" w:hint="default"/>
          <w:sz w:val="20"/>
          <w:szCs w:val="20"/>
        </w:rPr>
      </w:pPr>
    </w:p>
    <w:p>
      <w:pPr>
        <w:pStyle w:val="Heading3"/>
        <w:spacing w:line="240" w:lineRule="auto"/>
        <w:ind w:left="635" w:right="981"/>
        <w:jc w:val="left"/>
        <w:rPr>
          <w:rFonts w:ascii="黑体" w:hAnsi="黑体" w:cs="黑体" w:eastAsia="黑体" w:hint="default"/>
          <w:b w:val="0"/>
          <w:bCs w:val="0"/>
        </w:rPr>
      </w:pPr>
      <w:r>
        <w:rPr>
          <w:rFonts w:ascii="黑体" w:hAnsi="黑体" w:cs="黑体" w:eastAsia="黑体" w:hint="default"/>
        </w:rPr>
        <w:t>九、股份支付</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240" w:lineRule="auto"/>
        <w:ind w:left="513" w:right="981"/>
        <w:jc w:val="left"/>
      </w:pPr>
      <w:r>
        <w:rPr/>
        <w:t>本期公司无需披露的股份支付事宜。</w:t>
      </w:r>
    </w:p>
    <w:p>
      <w:pPr>
        <w:spacing w:line="240" w:lineRule="auto" w:before="0"/>
        <w:rPr>
          <w:rFonts w:ascii="宋体" w:hAnsi="宋体" w:cs="宋体" w:eastAsia="宋体" w:hint="default"/>
          <w:sz w:val="18"/>
          <w:szCs w:val="18"/>
        </w:rPr>
      </w:pPr>
    </w:p>
    <w:p>
      <w:pPr>
        <w:pStyle w:val="Heading3"/>
        <w:spacing w:line="240" w:lineRule="auto" w:before="131"/>
        <w:ind w:left="635" w:right="981"/>
        <w:jc w:val="left"/>
        <w:rPr>
          <w:rFonts w:ascii="黑体" w:hAnsi="黑体" w:cs="黑体" w:eastAsia="黑体" w:hint="default"/>
          <w:b w:val="0"/>
          <w:bCs w:val="0"/>
        </w:rPr>
      </w:pPr>
      <w:r>
        <w:rPr>
          <w:rFonts w:ascii="黑体" w:hAnsi="黑体" w:cs="黑体" w:eastAsia="黑体" w:hint="default"/>
        </w:rPr>
        <w:t>十、或有事项</w:t>
      </w:r>
      <w:r>
        <w:rPr>
          <w:rFonts w:ascii="黑体" w:hAnsi="黑体" w:cs="黑体" w:eastAsia="黑体" w:hint="default"/>
          <w:b w:val="0"/>
          <w:bCs w:val="0"/>
        </w:rPr>
      </w:r>
    </w:p>
    <w:p>
      <w:pPr>
        <w:spacing w:line="240" w:lineRule="auto" w:before="10"/>
        <w:rPr>
          <w:rFonts w:ascii="黑体" w:hAnsi="黑体" w:cs="黑体" w:eastAsia="黑体" w:hint="default"/>
          <w:b/>
          <w:bCs/>
          <w:sz w:val="32"/>
          <w:szCs w:val="32"/>
        </w:rPr>
      </w:pPr>
    </w:p>
    <w:p>
      <w:pPr>
        <w:pStyle w:val="BodyText"/>
        <w:spacing w:line="240" w:lineRule="auto"/>
        <w:ind w:left="513" w:right="981"/>
        <w:jc w:val="left"/>
      </w:pPr>
      <w:r>
        <w:rPr/>
        <w:t>本期公司无需披露的或有事项。</w:t>
      </w:r>
    </w:p>
    <w:p>
      <w:pPr>
        <w:spacing w:line="240" w:lineRule="auto" w:before="0"/>
        <w:rPr>
          <w:rFonts w:ascii="宋体" w:hAnsi="宋体" w:cs="宋体" w:eastAsia="宋体" w:hint="default"/>
          <w:sz w:val="18"/>
          <w:szCs w:val="18"/>
        </w:rPr>
      </w:pPr>
    </w:p>
    <w:p>
      <w:pPr>
        <w:pStyle w:val="Heading3"/>
        <w:spacing w:line="240" w:lineRule="auto" w:before="131"/>
        <w:ind w:left="635" w:right="981"/>
        <w:jc w:val="left"/>
        <w:rPr>
          <w:rFonts w:ascii="黑体" w:hAnsi="黑体" w:cs="黑体" w:eastAsia="黑体" w:hint="default"/>
          <w:b w:val="0"/>
          <w:bCs w:val="0"/>
        </w:rPr>
      </w:pPr>
      <w:r>
        <w:rPr>
          <w:rFonts w:ascii="黑体" w:hAnsi="黑体" w:cs="黑体" w:eastAsia="黑体" w:hint="default"/>
        </w:rPr>
        <w:t>十一、承诺事项</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240" w:lineRule="auto"/>
        <w:ind w:left="513" w:right="981"/>
        <w:jc w:val="left"/>
      </w:pPr>
      <w:r>
        <w:rPr/>
        <w:t>本期公司无需披露的承诺事项。</w:t>
      </w:r>
    </w:p>
    <w:p>
      <w:pPr>
        <w:spacing w:line="240" w:lineRule="auto" w:before="0"/>
        <w:rPr>
          <w:rFonts w:ascii="宋体" w:hAnsi="宋体" w:cs="宋体" w:eastAsia="宋体" w:hint="default"/>
          <w:sz w:val="18"/>
          <w:szCs w:val="18"/>
        </w:rPr>
      </w:pPr>
    </w:p>
    <w:p>
      <w:pPr>
        <w:pStyle w:val="Heading3"/>
        <w:spacing w:line="240" w:lineRule="auto" w:before="131"/>
        <w:ind w:left="635" w:right="981"/>
        <w:jc w:val="left"/>
        <w:rPr>
          <w:rFonts w:ascii="黑体" w:hAnsi="黑体" w:cs="黑体" w:eastAsia="黑体" w:hint="default"/>
          <w:b w:val="0"/>
          <w:bCs w:val="0"/>
        </w:rPr>
      </w:pPr>
      <w:r>
        <w:rPr>
          <w:rFonts w:ascii="黑体" w:hAnsi="黑体" w:cs="黑体" w:eastAsia="黑体" w:hint="default"/>
        </w:rPr>
        <w:t>十二、资产负债表日后事项</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240" w:lineRule="auto"/>
        <w:ind w:left="604" w:right="981"/>
        <w:jc w:val="left"/>
      </w:pPr>
      <w:r>
        <w:rPr>
          <w:rFonts w:ascii="宋体" w:hAnsi="宋体" w:cs="宋体" w:eastAsia="宋体" w:hint="default"/>
        </w:rPr>
        <w:t>1</w:t>
      </w:r>
      <w:r>
        <w:rPr/>
        <w:t>、根据公司于</w:t>
      </w:r>
      <w:r>
        <w:rPr>
          <w:spacing w:val="-45"/>
        </w:rPr>
        <w:t> </w:t>
      </w:r>
      <w:r>
        <w:rPr>
          <w:rFonts w:ascii="宋体" w:hAnsi="宋体" w:cs="宋体" w:eastAsia="宋体" w:hint="default"/>
        </w:rPr>
        <w:t>2012</w:t>
      </w:r>
      <w:r>
        <w:rPr>
          <w:rFonts w:ascii="宋体" w:hAnsi="宋体" w:cs="宋体" w:eastAsia="宋体" w:hint="default"/>
          <w:spacing w:val="-43"/>
        </w:rPr>
        <w:t> </w:t>
      </w:r>
      <w:r>
        <w:rPr/>
        <w:t>年</w:t>
      </w:r>
      <w:r>
        <w:rPr>
          <w:spacing w:val="-45"/>
        </w:rPr>
        <w:t> </w:t>
      </w:r>
      <w:r>
        <w:rPr>
          <w:rFonts w:ascii="宋体" w:hAnsi="宋体" w:cs="宋体" w:eastAsia="宋体" w:hint="default"/>
        </w:rPr>
        <w:t>12</w:t>
      </w:r>
      <w:r>
        <w:rPr>
          <w:rFonts w:ascii="宋体" w:hAnsi="宋体" w:cs="宋体" w:eastAsia="宋体" w:hint="default"/>
          <w:spacing w:val="-44"/>
        </w:rPr>
        <w:t> </w:t>
      </w:r>
      <w:r>
        <w:rPr/>
        <w:t>月</w:t>
      </w:r>
      <w:r>
        <w:rPr>
          <w:spacing w:val="-44"/>
        </w:rPr>
        <w:t> </w:t>
      </w:r>
      <w:r>
        <w:rPr>
          <w:rFonts w:ascii="宋体" w:hAnsi="宋体" w:cs="宋体" w:eastAsia="宋体" w:hint="default"/>
        </w:rPr>
        <w:t>25</w:t>
      </w:r>
      <w:r>
        <w:rPr>
          <w:rFonts w:ascii="宋体" w:hAnsi="宋体" w:cs="宋体" w:eastAsia="宋体" w:hint="default"/>
          <w:spacing w:val="-44"/>
        </w:rPr>
        <w:t> </w:t>
      </w:r>
      <w:r>
        <w:rPr/>
        <w:t>日召开的第四届董事会第二十次会议审议通过的《关于使用部分超募资金收购参股公</w:t>
      </w:r>
    </w:p>
    <w:p>
      <w:pPr>
        <w:pStyle w:val="BodyText"/>
        <w:spacing w:line="240" w:lineRule="auto" w:before="124"/>
        <w:ind w:right="0"/>
        <w:jc w:val="both"/>
      </w:pPr>
      <w:r>
        <w:rPr/>
        <w:t>司股权的议案</w:t>
      </w:r>
      <w:r>
        <w:rPr>
          <w:spacing w:val="-91"/>
        </w:rPr>
        <w:t>》</w:t>
      </w:r>
      <w:r>
        <w:rPr>
          <w:spacing w:val="-82"/>
        </w:rPr>
        <w:t>，</w:t>
      </w:r>
      <w:r>
        <w:rPr/>
        <w:t>公司拟以超募资金</w:t>
      </w:r>
      <w:r>
        <w:rPr>
          <w:spacing w:val="-44"/>
        </w:rPr>
        <w:t> </w:t>
      </w:r>
      <w:r>
        <w:rPr>
          <w:rFonts w:ascii="宋体" w:hAnsi="宋体" w:cs="宋体" w:eastAsia="宋体" w:hint="default"/>
          <w:spacing w:val="1"/>
        </w:rPr>
        <w:t>1</w:t>
      </w:r>
      <w:r>
        <w:rPr>
          <w:rFonts w:ascii="宋体" w:hAnsi="宋体" w:cs="宋体" w:eastAsia="宋体" w:hint="default"/>
          <w:spacing w:val="-2"/>
        </w:rPr>
        <w:t>0</w:t>
      </w:r>
      <w:r>
        <w:rPr>
          <w:rFonts w:ascii="宋体" w:hAnsi="宋体" w:cs="宋体" w:eastAsia="宋体" w:hint="default"/>
          <w:spacing w:val="1"/>
        </w:rPr>
        <w:t>0</w:t>
      </w:r>
      <w:r>
        <w:rPr>
          <w:rFonts w:ascii="宋体" w:hAnsi="宋体" w:cs="宋体" w:eastAsia="宋体" w:hint="default"/>
          <w:spacing w:val="-2"/>
        </w:rPr>
        <w:t>.</w:t>
      </w:r>
      <w:r>
        <w:rPr>
          <w:rFonts w:ascii="宋体" w:hAnsi="宋体" w:cs="宋体" w:eastAsia="宋体" w:hint="default"/>
          <w:spacing w:val="1"/>
        </w:rPr>
        <w:t>4</w:t>
      </w:r>
      <w:r>
        <w:rPr>
          <w:rFonts w:ascii="宋体" w:hAnsi="宋体" w:cs="宋体" w:eastAsia="宋体" w:hint="default"/>
        </w:rPr>
        <w:t>5</w:t>
      </w:r>
      <w:r>
        <w:rPr>
          <w:rFonts w:ascii="宋体" w:hAnsi="宋体" w:cs="宋体" w:eastAsia="宋体" w:hint="default"/>
          <w:spacing w:val="-43"/>
        </w:rPr>
        <w:t> </w:t>
      </w:r>
      <w:r>
        <w:rPr/>
        <w:t>万元收购贵州衡</w:t>
      </w:r>
      <w:r>
        <w:rPr>
          <w:spacing w:val="-3"/>
        </w:rPr>
        <w:t>达</w:t>
      </w:r>
      <w:r>
        <w:rPr/>
        <w:t>高速公路咨询服务有限公司持有的贵州新思维科技有限责任公</w:t>
      </w:r>
    </w:p>
    <w:p>
      <w:pPr>
        <w:pStyle w:val="BodyText"/>
        <w:spacing w:line="240" w:lineRule="auto" w:before="125"/>
        <w:ind w:right="0"/>
        <w:jc w:val="both"/>
      </w:pPr>
      <w:r>
        <w:rPr/>
        <w:t>司</w:t>
      </w:r>
      <w:r>
        <w:rPr>
          <w:spacing w:val="-53"/>
        </w:rPr>
        <w:t> </w:t>
      </w:r>
      <w:r>
        <w:rPr>
          <w:rFonts w:ascii="宋体" w:hAnsi="宋体" w:cs="宋体" w:eastAsia="宋体" w:hint="default"/>
        </w:rPr>
        <w:t>20%</w:t>
      </w:r>
      <w:r>
        <w:rPr/>
        <w:t>股权。本次收购后，公司将持有贵州新思维科技有限责任公司</w:t>
      </w:r>
      <w:r>
        <w:rPr>
          <w:spacing w:val="-53"/>
        </w:rPr>
        <w:t> </w:t>
      </w:r>
      <w:r>
        <w:rPr>
          <w:rFonts w:ascii="宋体" w:hAnsi="宋体" w:cs="宋体" w:eastAsia="宋体" w:hint="default"/>
        </w:rPr>
        <w:t>60%</w:t>
      </w:r>
      <w:r>
        <w:rPr/>
        <w:t>的股权。公司董事会于</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26</w:t>
      </w:r>
      <w:r>
        <w:rPr>
          <w:rFonts w:ascii="宋体" w:hAnsi="宋体" w:cs="宋体" w:eastAsia="宋体" w:hint="default"/>
          <w:spacing w:val="-53"/>
        </w:rPr>
        <w:t> </w:t>
      </w:r>
      <w:r>
        <w:rPr>
          <w:spacing w:val="-5"/>
        </w:rPr>
        <w:t>日发布《公</w:t>
      </w:r>
    </w:p>
    <w:p>
      <w:pPr>
        <w:pStyle w:val="BodyText"/>
        <w:spacing w:line="367" w:lineRule="auto" w:before="124"/>
        <w:ind w:right="1131"/>
        <w:jc w:val="both"/>
      </w:pPr>
      <w:r>
        <w:rPr/>
        <w:t>司关于使用部分超募资金收购参股公司股权的公告》对该事项予以披露，公告编号：</w:t>
      </w:r>
      <w:r>
        <w:rPr>
          <w:rFonts w:ascii="宋体" w:hAnsi="宋体" w:cs="宋体" w:eastAsia="宋体" w:hint="default"/>
        </w:rPr>
        <w:t>2012-040</w:t>
      </w:r>
      <w:r>
        <w:rPr/>
        <w:t>。</w:t>
      </w:r>
      <w:r>
        <w:rPr>
          <w:rFonts w:ascii="宋体" w:hAnsi="宋体" w:cs="宋体" w:eastAsia="宋体" w:hint="default"/>
        </w:rPr>
        <w:t>2013</w:t>
      </w:r>
      <w:r>
        <w:rPr>
          <w:rFonts w:ascii="宋体" w:hAnsi="宋体" w:cs="宋体" w:eastAsia="宋体" w:hint="default"/>
          <w:spacing w:val="-34"/>
        </w:rPr>
        <w:t> </w:t>
      </w:r>
      <w:r>
        <w:rPr/>
        <w:t>年</w:t>
      </w:r>
      <w:r>
        <w:rPr>
          <w:spacing w:val="-36"/>
        </w:rPr>
        <w:t> </w:t>
      </w:r>
      <w:r>
        <w:rPr>
          <w:rFonts w:ascii="宋体" w:hAnsi="宋体" w:cs="宋体" w:eastAsia="宋体" w:hint="default"/>
        </w:rPr>
        <w:t>2</w:t>
      </w:r>
      <w:r>
        <w:rPr>
          <w:rFonts w:ascii="宋体" w:hAnsi="宋体" w:cs="宋体" w:eastAsia="宋体" w:hint="default"/>
          <w:spacing w:val="-35"/>
        </w:rPr>
        <w:t> </w:t>
      </w:r>
      <w:r>
        <w:rPr/>
        <w:t>月</w:t>
      </w:r>
      <w:r>
        <w:rPr>
          <w:spacing w:val="-39"/>
        </w:rPr>
        <w:t> </w:t>
      </w:r>
      <w:r>
        <w:rPr>
          <w:rFonts w:ascii="宋体" w:hAnsi="宋体" w:cs="宋体" w:eastAsia="宋体" w:hint="default"/>
        </w:rPr>
        <w:t>5</w:t>
      </w:r>
      <w:r>
        <w:rPr>
          <w:rFonts w:ascii="宋体" w:hAnsi="宋体" w:cs="宋体" w:eastAsia="宋体" w:hint="default"/>
          <w:spacing w:val="-35"/>
        </w:rPr>
        <w:t> </w:t>
      </w:r>
      <w:r>
        <w:rPr/>
        <w:t>日，公司董 </w:t>
      </w:r>
      <w:r>
        <w:rPr>
          <w:spacing w:val="-5"/>
        </w:rPr>
        <w:t>事会发布《关于控股子公司完成工商变更登记的公告》（公告编号：</w:t>
      </w:r>
      <w:r>
        <w:rPr>
          <w:rFonts w:ascii="宋体" w:hAnsi="宋体" w:cs="宋体" w:eastAsia="宋体" w:hint="default"/>
          <w:spacing w:val="-5"/>
        </w:rPr>
        <w:t>2013-001</w:t>
      </w:r>
      <w:r>
        <w:rPr>
          <w:spacing w:val="-5"/>
        </w:rPr>
        <w:t>），拟收购公司贵州新思维科技有限责任公司已</w:t>
      </w:r>
      <w:r>
        <w:rPr>
          <w:spacing w:val="-62"/>
        </w:rPr>
        <w:t> </w:t>
      </w:r>
      <w:r>
        <w:rPr>
          <w:spacing w:val="-62"/>
        </w:rPr>
      </w:r>
      <w:r>
        <w:rPr/>
        <w:t>在贵阳市工商行政管理局完成工商变更登记注册工作，正式成为公司的控股子公司。</w:t>
      </w:r>
    </w:p>
    <w:p>
      <w:pPr>
        <w:spacing w:line="240" w:lineRule="auto" w:before="2"/>
        <w:rPr>
          <w:rFonts w:ascii="宋体" w:hAnsi="宋体" w:cs="宋体" w:eastAsia="宋体" w:hint="default"/>
          <w:sz w:val="14"/>
          <w:szCs w:val="14"/>
        </w:rPr>
      </w:pPr>
    </w:p>
    <w:p>
      <w:pPr>
        <w:pStyle w:val="BodyText"/>
        <w:spacing w:line="240" w:lineRule="auto"/>
        <w:ind w:left="604" w:right="981"/>
        <w:jc w:val="left"/>
      </w:pPr>
      <w:r>
        <w:rPr>
          <w:rFonts w:ascii="宋体" w:hAnsi="宋体" w:cs="宋体" w:eastAsia="宋体" w:hint="default"/>
        </w:rPr>
        <w:t>2</w:t>
      </w:r>
      <w:r>
        <w:rPr/>
        <w:t>、</w:t>
      </w:r>
      <w:r>
        <w:rPr>
          <w:rFonts w:ascii="宋体" w:hAnsi="宋体" w:cs="宋体" w:eastAsia="宋体" w:hint="default"/>
        </w:rPr>
        <w:t>2013 </w:t>
      </w:r>
      <w:r>
        <w:rPr/>
        <w:t>年 </w:t>
      </w:r>
      <w:r>
        <w:rPr>
          <w:rFonts w:ascii="宋体" w:hAnsi="宋体" w:cs="宋体" w:eastAsia="宋体" w:hint="default"/>
        </w:rPr>
        <w:t>2 </w:t>
      </w:r>
      <w:r>
        <w:rPr/>
        <w:t>月 </w:t>
      </w:r>
      <w:r>
        <w:rPr>
          <w:rFonts w:ascii="宋体" w:hAnsi="宋体" w:cs="宋体" w:eastAsia="宋体" w:hint="default"/>
        </w:rPr>
        <w:t>26 </w:t>
      </w:r>
      <w:r>
        <w:rPr/>
        <w:t>日，根据本公司第四届董事会第二十一次会议的 </w:t>
      </w:r>
      <w:r>
        <w:rPr>
          <w:rFonts w:ascii="宋体" w:hAnsi="宋体" w:cs="宋体" w:eastAsia="宋体" w:hint="default"/>
        </w:rPr>
        <w:t>2012  </w:t>
      </w:r>
      <w:r>
        <w:rPr/>
        <w:t>年度利润分配预案，以公司现有总股本</w:t>
      </w:r>
    </w:p>
    <w:p>
      <w:pPr>
        <w:pStyle w:val="BodyText"/>
        <w:spacing w:line="367" w:lineRule="auto" w:before="124"/>
        <w:ind w:right="1128"/>
        <w:jc w:val="both"/>
      </w:pPr>
      <w:r>
        <w:rPr>
          <w:rFonts w:ascii="宋体" w:hAnsi="宋体" w:cs="宋体" w:eastAsia="宋体" w:hint="default"/>
          <w:spacing w:val="-1"/>
        </w:rPr>
        <w:t>202,160,000.00</w:t>
      </w:r>
      <w:r>
        <w:rPr>
          <w:rFonts w:ascii="宋体" w:hAnsi="宋体" w:cs="宋体" w:eastAsia="宋体" w:hint="default"/>
          <w:spacing w:val="-39"/>
        </w:rPr>
        <w:t> </w:t>
      </w:r>
      <w:r>
        <w:rPr>
          <w:spacing w:val="-2"/>
        </w:rPr>
        <w:t>股为基数，向全体股东每</w:t>
      </w:r>
      <w:r>
        <w:rPr>
          <w:spacing w:val="-41"/>
        </w:rPr>
        <w:t> </w:t>
      </w:r>
      <w:r>
        <w:rPr>
          <w:rFonts w:ascii="宋体" w:hAnsi="宋体" w:cs="宋体" w:eastAsia="宋体" w:hint="default"/>
        </w:rPr>
        <w:t>10</w:t>
      </w:r>
      <w:r>
        <w:rPr>
          <w:rFonts w:ascii="宋体" w:hAnsi="宋体" w:cs="宋体" w:eastAsia="宋体" w:hint="default"/>
          <w:spacing w:val="-41"/>
        </w:rPr>
        <w:t> </w:t>
      </w:r>
      <w:r>
        <w:rPr>
          <w:spacing w:val="-1"/>
        </w:rPr>
        <w:t>股派发现金红利</w:t>
      </w:r>
      <w:r>
        <w:rPr>
          <w:spacing w:val="-42"/>
        </w:rPr>
        <w:t> </w:t>
      </w:r>
      <w:r>
        <w:rPr>
          <w:rFonts w:ascii="宋体" w:hAnsi="宋体" w:cs="宋体" w:eastAsia="宋体" w:hint="default"/>
          <w:spacing w:val="-1"/>
        </w:rPr>
        <w:t>0.5</w:t>
      </w:r>
      <w:r>
        <w:rPr>
          <w:rFonts w:ascii="宋体" w:hAnsi="宋体" w:cs="宋体" w:eastAsia="宋体" w:hint="default"/>
          <w:spacing w:val="-40"/>
        </w:rPr>
        <w:t> </w:t>
      </w:r>
      <w:r>
        <w:rPr>
          <w:spacing w:val="-8"/>
        </w:rPr>
        <w:t>元（含税），共计派发现金股利</w:t>
      </w:r>
      <w:r>
        <w:rPr>
          <w:spacing w:val="-42"/>
        </w:rPr>
        <w:t> </w:t>
      </w:r>
      <w:r>
        <w:rPr>
          <w:rFonts w:ascii="宋体" w:hAnsi="宋体" w:cs="宋体" w:eastAsia="宋体" w:hint="default"/>
          <w:spacing w:val="-1"/>
        </w:rPr>
        <w:t>10,108,000.00</w:t>
      </w:r>
      <w:r>
        <w:rPr>
          <w:rFonts w:ascii="宋体" w:hAnsi="宋体" w:cs="宋体" w:eastAsia="宋体" w:hint="default"/>
          <w:spacing w:val="-41"/>
        </w:rPr>
        <w:t> </w:t>
      </w:r>
      <w:r>
        <w:rPr/>
        <w:t>元。</w:t>
      </w:r>
      <w:r>
        <w:rPr>
          <w:spacing w:val="-3"/>
        </w:rPr>
        <w:t> </w:t>
      </w:r>
      <w:r>
        <w:rPr>
          <w:spacing w:val="-2"/>
        </w:rPr>
        <w:t>该议</w:t>
      </w:r>
      <w:r>
        <w:rPr>
          <w:spacing w:val="-88"/>
        </w:rPr>
        <w:t> </w:t>
      </w:r>
      <w:r>
        <w:rPr>
          <w:spacing w:val="-88"/>
        </w:rPr>
      </w:r>
      <w:r>
        <w:rPr/>
        <w:t>案尚需提交股东大会审议通过。</w:t>
      </w:r>
    </w:p>
    <w:p>
      <w:pPr>
        <w:spacing w:line="240" w:lineRule="auto" w:before="9"/>
        <w:rPr>
          <w:rFonts w:ascii="宋体" w:hAnsi="宋体" w:cs="宋体" w:eastAsia="宋体" w:hint="default"/>
          <w:sz w:val="20"/>
          <w:szCs w:val="20"/>
        </w:rPr>
      </w:pPr>
    </w:p>
    <w:p>
      <w:pPr>
        <w:pStyle w:val="Heading3"/>
        <w:spacing w:line="240" w:lineRule="auto"/>
        <w:ind w:left="635" w:right="981"/>
        <w:jc w:val="left"/>
        <w:rPr>
          <w:rFonts w:ascii="黑体" w:hAnsi="黑体" w:cs="黑体" w:eastAsia="黑体" w:hint="default"/>
          <w:b w:val="0"/>
          <w:bCs w:val="0"/>
        </w:rPr>
      </w:pPr>
      <w:r>
        <w:rPr>
          <w:rFonts w:ascii="黑体" w:hAnsi="黑体" w:cs="黑体" w:eastAsia="黑体" w:hint="default"/>
        </w:rPr>
        <w:t>十三、非货币性资产交换</w:t>
      </w:r>
      <w:r>
        <w:rPr>
          <w:rFonts w:ascii="黑体" w:hAnsi="黑体" w:cs="黑体" w:eastAsia="黑体" w:hint="default"/>
          <w:b w:val="0"/>
          <w:bCs w:val="0"/>
        </w:rPr>
      </w:r>
    </w:p>
    <w:p>
      <w:pPr>
        <w:spacing w:line="240" w:lineRule="auto" w:before="10"/>
        <w:rPr>
          <w:rFonts w:ascii="黑体" w:hAnsi="黑体" w:cs="黑体" w:eastAsia="黑体" w:hint="default"/>
          <w:b/>
          <w:bCs/>
          <w:sz w:val="32"/>
          <w:szCs w:val="32"/>
        </w:rPr>
      </w:pPr>
    </w:p>
    <w:p>
      <w:pPr>
        <w:pStyle w:val="BodyText"/>
        <w:spacing w:line="240" w:lineRule="auto"/>
        <w:ind w:left="513" w:right="981"/>
        <w:jc w:val="left"/>
      </w:pPr>
      <w:r>
        <w:rPr/>
        <w:t>本期公司无需披露的非货币性资产交换事宜。</w:t>
      </w:r>
    </w:p>
    <w:p>
      <w:pPr>
        <w:spacing w:line="240" w:lineRule="auto" w:before="0"/>
        <w:rPr>
          <w:rFonts w:ascii="宋体" w:hAnsi="宋体" w:cs="宋体" w:eastAsia="宋体" w:hint="default"/>
          <w:sz w:val="18"/>
          <w:szCs w:val="18"/>
        </w:rPr>
      </w:pPr>
    </w:p>
    <w:p>
      <w:pPr>
        <w:pStyle w:val="Heading3"/>
        <w:spacing w:line="240" w:lineRule="auto" w:before="131"/>
        <w:ind w:left="635" w:right="981"/>
        <w:jc w:val="left"/>
        <w:rPr>
          <w:rFonts w:ascii="黑体" w:hAnsi="黑体" w:cs="黑体" w:eastAsia="黑体" w:hint="default"/>
          <w:b w:val="0"/>
          <w:bCs w:val="0"/>
        </w:rPr>
      </w:pPr>
      <w:r>
        <w:rPr>
          <w:rFonts w:ascii="黑体" w:hAnsi="黑体" w:cs="黑体" w:eastAsia="黑体" w:hint="default"/>
        </w:rPr>
        <w:t>十四、债务重组</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240" w:lineRule="auto"/>
        <w:ind w:left="513" w:right="981"/>
        <w:jc w:val="left"/>
      </w:pPr>
      <w:r>
        <w:rPr/>
        <w:t>本期公司无需披露的债务重组事宜。</w:t>
      </w:r>
    </w:p>
    <w:p>
      <w:pPr>
        <w:spacing w:line="240" w:lineRule="auto" w:before="0"/>
        <w:rPr>
          <w:rFonts w:ascii="宋体" w:hAnsi="宋体" w:cs="宋体" w:eastAsia="宋体" w:hint="default"/>
          <w:sz w:val="18"/>
          <w:szCs w:val="18"/>
        </w:rPr>
      </w:pPr>
    </w:p>
    <w:p>
      <w:pPr>
        <w:pStyle w:val="Heading3"/>
        <w:spacing w:line="240" w:lineRule="auto" w:before="131"/>
        <w:ind w:left="635" w:right="981"/>
        <w:jc w:val="left"/>
        <w:rPr>
          <w:rFonts w:ascii="黑体" w:hAnsi="黑体" w:cs="黑体" w:eastAsia="黑体" w:hint="default"/>
          <w:b w:val="0"/>
          <w:bCs w:val="0"/>
        </w:rPr>
      </w:pPr>
      <w:r>
        <w:rPr>
          <w:rFonts w:ascii="黑体" w:hAnsi="黑体" w:cs="黑体" w:eastAsia="黑体" w:hint="default"/>
        </w:rPr>
        <w:t>十五、借款费用</w:t>
      </w:r>
      <w:r>
        <w:rPr>
          <w:rFonts w:ascii="黑体" w:hAnsi="黑体" w:cs="黑体" w:eastAsia="黑体" w:hint="default"/>
          <w:b w:val="0"/>
          <w:bCs w:val="0"/>
        </w:rPr>
      </w:r>
    </w:p>
    <w:p>
      <w:pPr>
        <w:spacing w:after="0" w:line="240" w:lineRule="auto"/>
        <w:jc w:val="left"/>
        <w:rPr>
          <w:rFonts w:ascii="黑体" w:hAnsi="黑体" w:cs="黑体" w:eastAsia="黑体" w:hint="default"/>
        </w:rPr>
        <w:sectPr>
          <w:pgSz w:w="11910" w:h="16840"/>
          <w:pgMar w:header="877" w:footer="1340" w:top="1100" w:bottom="1540" w:left="980" w:right="0"/>
        </w:sectPr>
      </w:pPr>
    </w:p>
    <w:p>
      <w:pPr>
        <w:spacing w:line="240" w:lineRule="auto" w:before="2"/>
        <w:rPr>
          <w:rFonts w:ascii="黑体" w:hAnsi="黑体" w:cs="黑体" w:eastAsia="黑体" w:hint="default"/>
          <w:b/>
          <w:bCs/>
          <w:sz w:val="27"/>
          <w:szCs w:val="27"/>
        </w:rPr>
      </w:pPr>
    </w:p>
    <w:p>
      <w:pPr>
        <w:pStyle w:val="BodyText"/>
        <w:spacing w:line="240" w:lineRule="auto" w:before="44"/>
        <w:ind w:left="513" w:right="981"/>
        <w:jc w:val="left"/>
      </w:pPr>
      <w:r>
        <w:rPr/>
        <w:t>本期公司无需披露的借款费用事宜。</w:t>
      </w:r>
    </w:p>
    <w:p>
      <w:pPr>
        <w:spacing w:line="240" w:lineRule="auto" w:before="0"/>
        <w:rPr>
          <w:rFonts w:ascii="宋体" w:hAnsi="宋体" w:cs="宋体" w:eastAsia="宋体" w:hint="default"/>
          <w:sz w:val="18"/>
          <w:szCs w:val="18"/>
        </w:rPr>
      </w:pPr>
    </w:p>
    <w:p>
      <w:pPr>
        <w:pStyle w:val="Heading3"/>
        <w:spacing w:line="240" w:lineRule="auto" w:before="131"/>
        <w:ind w:left="635" w:right="981"/>
        <w:jc w:val="left"/>
        <w:rPr>
          <w:rFonts w:ascii="黑体" w:hAnsi="黑体" w:cs="黑体" w:eastAsia="黑体" w:hint="default"/>
          <w:b w:val="0"/>
          <w:bCs w:val="0"/>
        </w:rPr>
      </w:pPr>
      <w:r>
        <w:rPr>
          <w:rFonts w:ascii="黑体" w:hAnsi="黑体" w:cs="黑体" w:eastAsia="黑体" w:hint="default"/>
        </w:rPr>
        <w:t>十六、外币折算</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240" w:lineRule="auto"/>
        <w:ind w:left="513" w:right="981"/>
        <w:jc w:val="left"/>
      </w:pPr>
      <w:r>
        <w:rPr/>
        <w:t>本期公司无计入当期损益的汇兑差额。</w:t>
      </w:r>
    </w:p>
    <w:p>
      <w:pPr>
        <w:spacing w:line="240" w:lineRule="auto" w:before="0"/>
        <w:rPr>
          <w:rFonts w:ascii="宋体" w:hAnsi="宋体" w:cs="宋体" w:eastAsia="宋体" w:hint="default"/>
          <w:sz w:val="18"/>
          <w:szCs w:val="18"/>
        </w:rPr>
      </w:pPr>
    </w:p>
    <w:p>
      <w:pPr>
        <w:pStyle w:val="Heading3"/>
        <w:spacing w:line="240" w:lineRule="auto" w:before="131"/>
        <w:ind w:left="635" w:right="981"/>
        <w:jc w:val="left"/>
        <w:rPr>
          <w:rFonts w:ascii="黑体" w:hAnsi="黑体" w:cs="黑体" w:eastAsia="黑体" w:hint="default"/>
          <w:b w:val="0"/>
          <w:bCs w:val="0"/>
        </w:rPr>
      </w:pPr>
      <w:r>
        <w:rPr>
          <w:rFonts w:ascii="黑体" w:hAnsi="黑体" w:cs="黑体" w:eastAsia="黑体" w:hint="default"/>
        </w:rPr>
        <w:t>十七、租赁</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240" w:lineRule="auto"/>
        <w:ind w:left="513" w:right="981"/>
        <w:jc w:val="left"/>
      </w:pPr>
      <w:r>
        <w:rPr>
          <w:rFonts w:ascii="宋体" w:hAnsi="宋体" w:cs="宋体" w:eastAsia="宋体" w:hint="default"/>
        </w:rPr>
        <w:t>1.</w:t>
      </w:r>
      <w:r>
        <w:rPr/>
        <w:t>经营租赁出租人租出资产情况</w:t>
      </w:r>
    </w:p>
    <w:p>
      <w:pPr>
        <w:spacing w:line="240" w:lineRule="auto" w:before="6"/>
        <w:rPr>
          <w:rFonts w:ascii="宋体" w:hAnsi="宋体" w:cs="宋体" w:eastAsia="宋体" w:hint="default"/>
          <w:sz w:val="23"/>
          <w:szCs w:val="23"/>
        </w:rPr>
      </w:pPr>
    </w:p>
    <w:tbl>
      <w:tblPr>
        <w:tblW w:w="0" w:type="auto"/>
        <w:jc w:val="left"/>
        <w:tblInd w:w="323" w:type="dxa"/>
        <w:tblLayout w:type="fixed"/>
        <w:tblCellMar>
          <w:top w:w="0" w:type="dxa"/>
          <w:left w:w="0" w:type="dxa"/>
          <w:bottom w:w="0" w:type="dxa"/>
          <w:right w:w="0" w:type="dxa"/>
        </w:tblCellMar>
        <w:tblLook w:val="01E0"/>
      </w:tblPr>
      <w:tblGrid>
        <w:gridCol w:w="1583"/>
        <w:gridCol w:w="2100"/>
        <w:gridCol w:w="1928"/>
        <w:gridCol w:w="1928"/>
        <w:gridCol w:w="1760"/>
      </w:tblGrid>
      <w:tr>
        <w:trPr>
          <w:trHeight w:val="296" w:hRule="exact"/>
        </w:trPr>
        <w:tc>
          <w:tcPr>
            <w:tcW w:w="1583" w:type="dxa"/>
            <w:tcBorders>
              <w:top w:val="nil" w:sz="6" w:space="0" w:color="auto"/>
              <w:left w:val="nil" w:sz="6" w:space="0" w:color="auto"/>
              <w:bottom w:val="single" w:sz="4" w:space="0" w:color="000000"/>
              <w:right w:val="nil" w:sz="6" w:space="0" w:color="auto"/>
            </w:tcBorders>
          </w:tcPr>
          <w:p>
            <w:pPr>
              <w:pStyle w:val="TableParagraph"/>
              <w:spacing w:line="180" w:lineRule="exact"/>
              <w:ind w:left="432" w:right="0"/>
              <w:jc w:val="left"/>
              <w:rPr>
                <w:rFonts w:ascii="宋体" w:hAnsi="宋体" w:cs="宋体" w:eastAsia="宋体" w:hint="default"/>
                <w:sz w:val="18"/>
                <w:szCs w:val="18"/>
              </w:rPr>
            </w:pPr>
            <w:r>
              <w:rPr>
                <w:rFonts w:ascii="宋体" w:hAnsi="宋体" w:cs="宋体" w:eastAsia="宋体" w:hint="default"/>
                <w:b/>
                <w:bCs/>
                <w:sz w:val="18"/>
                <w:szCs w:val="18"/>
              </w:rPr>
              <w:t>资产类别</w:t>
            </w:r>
            <w:r>
              <w:rPr>
                <w:rFonts w:ascii="宋体" w:hAnsi="宋体" w:cs="宋体" w:eastAsia="宋体" w:hint="default"/>
                <w:sz w:val="18"/>
                <w:szCs w:val="18"/>
              </w:rPr>
            </w:r>
          </w:p>
        </w:tc>
        <w:tc>
          <w:tcPr>
            <w:tcW w:w="2100" w:type="dxa"/>
            <w:tcBorders>
              <w:top w:val="nil" w:sz="6" w:space="0" w:color="auto"/>
              <w:left w:val="nil" w:sz="6" w:space="0" w:color="auto"/>
              <w:bottom w:val="single" w:sz="4" w:space="0" w:color="000000"/>
              <w:right w:val="nil" w:sz="6" w:space="0" w:color="auto"/>
            </w:tcBorders>
          </w:tcPr>
          <w:p>
            <w:pPr>
              <w:pStyle w:val="TableParagraph"/>
              <w:spacing w:line="180" w:lineRule="exact"/>
              <w:ind w:left="428" w:right="0"/>
              <w:jc w:val="left"/>
              <w:rPr>
                <w:rFonts w:ascii="宋体" w:hAnsi="宋体" w:cs="宋体" w:eastAsia="宋体" w:hint="default"/>
                <w:sz w:val="18"/>
                <w:szCs w:val="18"/>
              </w:rPr>
            </w:pPr>
            <w:r>
              <w:rPr>
                <w:rFonts w:ascii="宋体" w:hAnsi="宋体" w:cs="宋体" w:eastAsia="宋体" w:hint="default"/>
                <w:b/>
                <w:bCs/>
                <w:sz w:val="18"/>
                <w:szCs w:val="18"/>
              </w:rPr>
              <w:t>期末账面原值</w:t>
            </w:r>
            <w:r>
              <w:rPr>
                <w:rFonts w:ascii="宋体" w:hAnsi="宋体" w:cs="宋体" w:eastAsia="宋体" w:hint="default"/>
                <w:sz w:val="18"/>
                <w:szCs w:val="18"/>
              </w:rPr>
            </w:r>
          </w:p>
        </w:tc>
        <w:tc>
          <w:tcPr>
            <w:tcW w:w="1928" w:type="dxa"/>
            <w:tcBorders>
              <w:top w:val="nil" w:sz="6" w:space="0" w:color="auto"/>
              <w:left w:val="nil" w:sz="6" w:space="0" w:color="auto"/>
              <w:bottom w:val="single" w:sz="4" w:space="0" w:color="000000"/>
              <w:right w:val="nil" w:sz="6" w:space="0" w:color="auto"/>
            </w:tcBorders>
          </w:tcPr>
          <w:p>
            <w:pPr>
              <w:pStyle w:val="TableParagraph"/>
              <w:spacing w:line="180" w:lineRule="exact"/>
              <w:ind w:left="255" w:right="0"/>
              <w:jc w:val="left"/>
              <w:rPr>
                <w:rFonts w:ascii="宋体" w:hAnsi="宋体" w:cs="宋体" w:eastAsia="宋体" w:hint="default"/>
                <w:sz w:val="18"/>
                <w:szCs w:val="18"/>
              </w:rPr>
            </w:pPr>
            <w:r>
              <w:rPr>
                <w:rFonts w:ascii="宋体" w:hAnsi="宋体" w:cs="宋体" w:eastAsia="宋体" w:hint="default"/>
                <w:b/>
                <w:bCs/>
                <w:sz w:val="18"/>
                <w:szCs w:val="18"/>
              </w:rPr>
              <w:t>期末账面净值</w:t>
            </w:r>
            <w:r>
              <w:rPr>
                <w:rFonts w:ascii="宋体" w:hAnsi="宋体" w:cs="宋体" w:eastAsia="宋体" w:hint="default"/>
                <w:sz w:val="18"/>
                <w:szCs w:val="18"/>
              </w:rPr>
            </w:r>
          </w:p>
        </w:tc>
        <w:tc>
          <w:tcPr>
            <w:tcW w:w="1928" w:type="dxa"/>
            <w:tcBorders>
              <w:top w:val="nil" w:sz="6" w:space="0" w:color="auto"/>
              <w:left w:val="nil" w:sz="6" w:space="0" w:color="auto"/>
              <w:bottom w:val="single" w:sz="4" w:space="0" w:color="000000"/>
              <w:right w:val="nil" w:sz="6" w:space="0" w:color="auto"/>
            </w:tcBorders>
          </w:tcPr>
          <w:p>
            <w:pPr>
              <w:pStyle w:val="TableParagraph"/>
              <w:spacing w:line="180" w:lineRule="exact"/>
              <w:ind w:left="255" w:right="0"/>
              <w:jc w:val="left"/>
              <w:rPr>
                <w:rFonts w:ascii="宋体" w:hAnsi="宋体" w:cs="宋体" w:eastAsia="宋体" w:hint="default"/>
                <w:sz w:val="18"/>
                <w:szCs w:val="18"/>
              </w:rPr>
            </w:pPr>
            <w:r>
              <w:rPr>
                <w:rFonts w:ascii="宋体" w:hAnsi="宋体" w:cs="宋体" w:eastAsia="宋体" w:hint="default"/>
                <w:b/>
                <w:bCs/>
                <w:sz w:val="18"/>
                <w:szCs w:val="18"/>
              </w:rPr>
              <w:t>期初账面原值</w:t>
            </w:r>
            <w:r>
              <w:rPr>
                <w:rFonts w:ascii="宋体" w:hAnsi="宋体" w:cs="宋体" w:eastAsia="宋体" w:hint="default"/>
                <w:sz w:val="18"/>
                <w:szCs w:val="18"/>
              </w:rPr>
            </w:r>
          </w:p>
        </w:tc>
        <w:tc>
          <w:tcPr>
            <w:tcW w:w="1760" w:type="dxa"/>
            <w:tcBorders>
              <w:top w:val="nil" w:sz="6" w:space="0" w:color="auto"/>
              <w:left w:val="nil" w:sz="6" w:space="0" w:color="auto"/>
              <w:bottom w:val="single" w:sz="4" w:space="0" w:color="000000"/>
              <w:right w:val="nil" w:sz="6" w:space="0" w:color="auto"/>
            </w:tcBorders>
          </w:tcPr>
          <w:p>
            <w:pPr>
              <w:pStyle w:val="TableParagraph"/>
              <w:spacing w:line="180" w:lineRule="exact"/>
              <w:ind w:left="255" w:right="0"/>
              <w:jc w:val="left"/>
              <w:rPr>
                <w:rFonts w:ascii="宋体" w:hAnsi="宋体" w:cs="宋体" w:eastAsia="宋体" w:hint="default"/>
                <w:sz w:val="18"/>
                <w:szCs w:val="18"/>
              </w:rPr>
            </w:pPr>
            <w:r>
              <w:rPr>
                <w:rFonts w:ascii="宋体" w:hAnsi="宋体" w:cs="宋体" w:eastAsia="宋体" w:hint="default"/>
                <w:b/>
                <w:bCs/>
                <w:sz w:val="18"/>
                <w:szCs w:val="18"/>
              </w:rPr>
              <w:t>期初账面净值</w:t>
            </w:r>
            <w:r>
              <w:rPr>
                <w:rFonts w:ascii="宋体" w:hAnsi="宋体" w:cs="宋体" w:eastAsia="宋体" w:hint="default"/>
                <w:sz w:val="18"/>
                <w:szCs w:val="18"/>
              </w:rPr>
            </w:r>
          </w:p>
        </w:tc>
      </w:tr>
      <w:tr>
        <w:trPr>
          <w:trHeight w:val="400" w:hRule="exact"/>
        </w:trPr>
        <w:tc>
          <w:tcPr>
            <w:tcW w:w="158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10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53"/>
              <w:jc w:val="right"/>
              <w:rPr>
                <w:rFonts w:ascii="宋体" w:hAnsi="宋体" w:cs="宋体" w:eastAsia="宋体" w:hint="default"/>
                <w:sz w:val="18"/>
                <w:szCs w:val="18"/>
              </w:rPr>
            </w:pPr>
            <w:r>
              <w:rPr>
                <w:rFonts w:ascii="宋体"/>
                <w:spacing w:val="-1"/>
                <w:sz w:val="18"/>
              </w:rPr>
              <w:t>8,058,514.49</w:t>
            </w:r>
          </w:p>
        </w:tc>
        <w:tc>
          <w:tcPr>
            <w:tcW w:w="192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53"/>
              <w:jc w:val="right"/>
              <w:rPr>
                <w:rFonts w:ascii="宋体" w:hAnsi="宋体" w:cs="宋体" w:eastAsia="宋体" w:hint="default"/>
                <w:sz w:val="18"/>
                <w:szCs w:val="18"/>
              </w:rPr>
            </w:pPr>
            <w:r>
              <w:rPr>
                <w:rFonts w:ascii="宋体"/>
                <w:spacing w:val="-1"/>
                <w:sz w:val="18"/>
              </w:rPr>
              <w:t>5,352,879.76</w:t>
            </w:r>
          </w:p>
        </w:tc>
        <w:tc>
          <w:tcPr>
            <w:tcW w:w="192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53"/>
              <w:jc w:val="right"/>
              <w:rPr>
                <w:rFonts w:ascii="宋体" w:hAnsi="宋体" w:cs="宋体" w:eastAsia="宋体" w:hint="default"/>
                <w:sz w:val="18"/>
                <w:szCs w:val="18"/>
              </w:rPr>
            </w:pPr>
            <w:r>
              <w:rPr>
                <w:rFonts w:ascii="宋体"/>
                <w:spacing w:val="-1"/>
                <w:sz w:val="18"/>
              </w:rPr>
              <w:t>8,885,685.87</w:t>
            </w:r>
          </w:p>
        </w:tc>
        <w:tc>
          <w:tcPr>
            <w:tcW w:w="176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86"/>
              <w:jc w:val="right"/>
              <w:rPr>
                <w:rFonts w:ascii="宋体" w:hAnsi="宋体" w:cs="宋体" w:eastAsia="宋体" w:hint="default"/>
                <w:sz w:val="18"/>
                <w:szCs w:val="18"/>
              </w:rPr>
            </w:pPr>
            <w:r>
              <w:rPr>
                <w:rFonts w:ascii="宋体"/>
                <w:spacing w:val="-1"/>
                <w:sz w:val="18"/>
              </w:rPr>
              <w:t>6,115,664.76</w:t>
            </w:r>
          </w:p>
        </w:tc>
      </w:tr>
      <w:tr>
        <w:trPr>
          <w:trHeight w:val="288" w:hRule="exact"/>
        </w:trPr>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3"/>
              <w:jc w:val="right"/>
              <w:rPr>
                <w:rFonts w:ascii="宋体" w:hAnsi="宋体" w:cs="宋体" w:eastAsia="宋体" w:hint="default"/>
                <w:sz w:val="18"/>
                <w:szCs w:val="18"/>
              </w:rPr>
            </w:pPr>
            <w:r>
              <w:rPr>
                <w:rFonts w:ascii="宋体"/>
                <w:sz w:val="18"/>
              </w:rPr>
            </w:r>
            <w:r>
              <w:rPr>
                <w:rFonts w:ascii="宋体"/>
                <w:spacing w:val="-1"/>
                <w:sz w:val="18"/>
                <w:u w:val="thick" w:color="000000"/>
              </w:rPr>
              <w:t>8,058,514.49</w:t>
            </w:r>
            <w:r>
              <w:rPr>
                <w:rFonts w:ascii="宋体"/>
                <w:spacing w:val="-1"/>
                <w:sz w:val="18"/>
              </w:rPr>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3"/>
              <w:jc w:val="right"/>
              <w:rPr>
                <w:rFonts w:ascii="宋体" w:hAnsi="宋体" w:cs="宋体" w:eastAsia="宋体" w:hint="default"/>
                <w:sz w:val="18"/>
                <w:szCs w:val="18"/>
              </w:rPr>
            </w:pPr>
            <w:r>
              <w:rPr>
                <w:rFonts w:ascii="宋体"/>
                <w:sz w:val="18"/>
              </w:rPr>
            </w:r>
            <w:r>
              <w:rPr>
                <w:rFonts w:ascii="宋体"/>
                <w:spacing w:val="-1"/>
                <w:sz w:val="18"/>
                <w:u w:val="thick" w:color="000000"/>
              </w:rPr>
              <w:t>5,352,879.76</w:t>
            </w:r>
            <w:r>
              <w:rPr>
                <w:rFonts w:ascii="宋体"/>
                <w:spacing w:val="-1"/>
                <w:sz w:val="18"/>
              </w:rPr>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3"/>
              <w:jc w:val="right"/>
              <w:rPr>
                <w:rFonts w:ascii="宋体" w:hAnsi="宋体" w:cs="宋体" w:eastAsia="宋体" w:hint="default"/>
                <w:sz w:val="18"/>
                <w:szCs w:val="18"/>
              </w:rPr>
            </w:pPr>
            <w:r>
              <w:rPr>
                <w:rFonts w:ascii="宋体"/>
                <w:sz w:val="18"/>
              </w:rPr>
            </w:r>
            <w:r>
              <w:rPr>
                <w:rFonts w:ascii="宋体"/>
                <w:spacing w:val="-1"/>
                <w:sz w:val="18"/>
                <w:u w:val="thick" w:color="000000"/>
              </w:rPr>
              <w:t>8,885,685.87</w:t>
            </w:r>
            <w:r>
              <w:rPr>
                <w:rFonts w:ascii="宋体"/>
                <w:spacing w:val="-1"/>
                <w:sz w:val="18"/>
              </w:rPr>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6"/>
              <w:jc w:val="right"/>
              <w:rPr>
                <w:rFonts w:ascii="宋体" w:hAnsi="宋体" w:cs="宋体" w:eastAsia="宋体" w:hint="default"/>
                <w:sz w:val="18"/>
                <w:szCs w:val="18"/>
              </w:rPr>
            </w:pPr>
            <w:r>
              <w:rPr>
                <w:rFonts w:ascii="宋体"/>
                <w:sz w:val="18"/>
              </w:rPr>
            </w:r>
            <w:r>
              <w:rPr>
                <w:rFonts w:ascii="宋体"/>
                <w:spacing w:val="-1"/>
                <w:sz w:val="18"/>
                <w:u w:val="thick" w:color="000000"/>
              </w:rPr>
              <w:t>6,115,664.76</w:t>
            </w:r>
            <w:r>
              <w:rPr>
                <w:rFonts w:ascii="宋体"/>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ind w:left="513" w:right="981"/>
        <w:jc w:val="left"/>
      </w:pPr>
      <w:r>
        <w:rPr>
          <w:rFonts w:ascii="宋体" w:hAnsi="宋体" w:cs="宋体" w:eastAsia="宋体" w:hint="default"/>
        </w:rPr>
        <w:t>2.</w:t>
      </w:r>
      <w:r>
        <w:rPr/>
        <w:t>经营租赁承租人最低租赁付款额情况</w:t>
      </w:r>
    </w:p>
    <w:p>
      <w:pPr>
        <w:spacing w:line="240" w:lineRule="auto" w:before="6"/>
        <w:rPr>
          <w:rFonts w:ascii="宋体" w:hAnsi="宋体" w:cs="宋体" w:eastAsia="宋体" w:hint="default"/>
          <w:sz w:val="23"/>
          <w:szCs w:val="23"/>
        </w:rPr>
      </w:pPr>
    </w:p>
    <w:tbl>
      <w:tblPr>
        <w:tblW w:w="0" w:type="auto"/>
        <w:jc w:val="left"/>
        <w:tblInd w:w="321" w:type="dxa"/>
        <w:tblLayout w:type="fixed"/>
        <w:tblCellMar>
          <w:top w:w="0" w:type="dxa"/>
          <w:left w:w="0" w:type="dxa"/>
          <w:bottom w:w="0" w:type="dxa"/>
          <w:right w:w="0" w:type="dxa"/>
        </w:tblCellMar>
        <w:tblLook w:val="01E0"/>
      </w:tblPr>
      <w:tblGrid>
        <w:gridCol w:w="4420"/>
        <w:gridCol w:w="4885"/>
      </w:tblGrid>
      <w:tr>
        <w:trPr>
          <w:trHeight w:val="291" w:hRule="exact"/>
        </w:trPr>
        <w:tc>
          <w:tcPr>
            <w:tcW w:w="4420" w:type="dxa"/>
            <w:tcBorders>
              <w:top w:val="nil" w:sz="6" w:space="0" w:color="auto"/>
              <w:left w:val="nil" w:sz="6" w:space="0" w:color="auto"/>
              <w:bottom w:val="single" w:sz="4" w:space="0" w:color="000000"/>
              <w:right w:val="nil" w:sz="6" w:space="0" w:color="auto"/>
            </w:tcBorders>
          </w:tcPr>
          <w:p>
            <w:pPr>
              <w:pStyle w:val="TableParagraph"/>
              <w:spacing w:line="180" w:lineRule="exact"/>
              <w:ind w:left="62" w:right="0"/>
              <w:jc w:val="center"/>
              <w:rPr>
                <w:rFonts w:ascii="宋体" w:hAnsi="宋体" w:cs="宋体" w:eastAsia="宋体" w:hint="default"/>
                <w:sz w:val="18"/>
                <w:szCs w:val="18"/>
              </w:rPr>
            </w:pPr>
            <w:r>
              <w:rPr>
                <w:rFonts w:ascii="宋体" w:hAnsi="宋体" w:cs="宋体" w:eastAsia="宋体" w:hint="default"/>
                <w:b/>
                <w:bCs/>
                <w:sz w:val="18"/>
                <w:szCs w:val="18"/>
              </w:rPr>
              <w:t>剩余租赁期</w:t>
            </w:r>
            <w:r>
              <w:rPr>
                <w:rFonts w:ascii="宋体" w:hAnsi="宋体" w:cs="宋体" w:eastAsia="宋体" w:hint="default"/>
                <w:sz w:val="18"/>
                <w:szCs w:val="18"/>
              </w:rPr>
            </w:r>
          </w:p>
        </w:tc>
        <w:tc>
          <w:tcPr>
            <w:tcW w:w="4885" w:type="dxa"/>
            <w:tcBorders>
              <w:top w:val="nil" w:sz="6" w:space="0" w:color="auto"/>
              <w:left w:val="nil" w:sz="6" w:space="0" w:color="auto"/>
              <w:bottom w:val="single" w:sz="4" w:space="0" w:color="000000"/>
              <w:right w:val="nil" w:sz="6" w:space="0" w:color="auto"/>
            </w:tcBorders>
          </w:tcPr>
          <w:p>
            <w:pPr>
              <w:pStyle w:val="TableParagraph"/>
              <w:spacing w:line="180" w:lineRule="exact"/>
              <w:ind w:left="65" w:right="0"/>
              <w:jc w:val="center"/>
              <w:rPr>
                <w:rFonts w:ascii="宋体" w:hAnsi="宋体" w:cs="宋体" w:eastAsia="宋体" w:hint="default"/>
                <w:sz w:val="18"/>
                <w:szCs w:val="18"/>
              </w:rPr>
            </w:pPr>
            <w:r>
              <w:rPr>
                <w:rFonts w:ascii="宋体" w:hAnsi="宋体" w:cs="宋体" w:eastAsia="宋体" w:hint="default"/>
                <w:b/>
                <w:bCs/>
                <w:sz w:val="18"/>
                <w:szCs w:val="18"/>
              </w:rPr>
              <w:t>2012</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31</w:t>
            </w:r>
            <w:r>
              <w:rPr>
                <w:rFonts w:ascii="宋体" w:hAnsi="宋体" w:cs="宋体" w:eastAsia="宋体" w:hint="default"/>
                <w:b/>
                <w:bCs/>
                <w:spacing w:val="-4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02" w:hRule="exact"/>
        </w:trPr>
        <w:tc>
          <w:tcPr>
            <w:tcW w:w="442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年以内（含 </w:t>
            </w:r>
            <w:r>
              <w:rPr>
                <w:rFonts w:ascii="宋体" w:hAnsi="宋体" w:cs="宋体" w:eastAsia="宋体" w:hint="default"/>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年）</w:t>
            </w:r>
          </w:p>
        </w:tc>
        <w:tc>
          <w:tcPr>
            <w:tcW w:w="488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760,000.00</w:t>
            </w:r>
          </w:p>
        </w:tc>
      </w:tr>
      <w:tr>
        <w:trPr>
          <w:trHeight w:val="396" w:hRule="exact"/>
        </w:trPr>
        <w:tc>
          <w:tcPr>
            <w:tcW w:w="44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8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760,000.00</w:t>
            </w:r>
          </w:p>
        </w:tc>
      </w:tr>
      <w:tr>
        <w:trPr>
          <w:trHeight w:val="288" w:hRule="exact"/>
        </w:trPr>
        <w:tc>
          <w:tcPr>
            <w:tcW w:w="44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8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r>
            <w:r>
              <w:rPr>
                <w:rFonts w:ascii="宋体"/>
                <w:spacing w:val="-1"/>
                <w:sz w:val="18"/>
                <w:u w:val="thick" w:color="000000"/>
              </w:rPr>
              <w:t>1,520,000.00</w:t>
            </w:r>
            <w:r>
              <w:rPr>
                <w:rFonts w:ascii="宋体"/>
                <w:spacing w:val="-1"/>
                <w:sz w:val="18"/>
              </w:rPr>
            </w:r>
          </w:p>
        </w:tc>
      </w:tr>
    </w:tbl>
    <w:p>
      <w:pPr>
        <w:spacing w:line="240" w:lineRule="auto" w:before="0"/>
        <w:rPr>
          <w:rFonts w:ascii="宋体" w:hAnsi="宋体" w:cs="宋体" w:eastAsia="宋体" w:hint="default"/>
          <w:sz w:val="20"/>
          <w:szCs w:val="20"/>
        </w:rPr>
      </w:pPr>
    </w:p>
    <w:p>
      <w:pPr>
        <w:pStyle w:val="Heading3"/>
        <w:spacing w:line="240" w:lineRule="auto" w:before="170"/>
        <w:ind w:left="635" w:right="981"/>
        <w:jc w:val="left"/>
        <w:rPr>
          <w:rFonts w:ascii="黑体" w:hAnsi="黑体" w:cs="黑体" w:eastAsia="黑体" w:hint="default"/>
          <w:b w:val="0"/>
          <w:bCs w:val="0"/>
        </w:rPr>
      </w:pPr>
      <w:r>
        <w:rPr>
          <w:rFonts w:ascii="黑体" w:hAnsi="黑体" w:cs="黑体" w:eastAsia="黑体" w:hint="default"/>
        </w:rPr>
        <w:t>十八、期末发行在外的、可转换为股份的金融工具</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240" w:lineRule="auto"/>
        <w:ind w:left="513" w:right="981"/>
        <w:jc w:val="left"/>
      </w:pPr>
      <w:r>
        <w:rPr/>
        <w:t>本期公司无需披露的期末发行在外的、可转换为股份的金融工具事宜。</w:t>
      </w:r>
    </w:p>
    <w:p>
      <w:pPr>
        <w:spacing w:line="240" w:lineRule="auto" w:before="0"/>
        <w:rPr>
          <w:rFonts w:ascii="宋体" w:hAnsi="宋体" w:cs="宋体" w:eastAsia="宋体" w:hint="default"/>
          <w:sz w:val="18"/>
          <w:szCs w:val="18"/>
        </w:rPr>
      </w:pPr>
    </w:p>
    <w:p>
      <w:pPr>
        <w:pStyle w:val="Heading3"/>
        <w:spacing w:line="240" w:lineRule="auto" w:before="131"/>
        <w:ind w:left="635" w:right="981"/>
        <w:jc w:val="left"/>
        <w:rPr>
          <w:rFonts w:ascii="黑体" w:hAnsi="黑体" w:cs="黑体" w:eastAsia="黑体" w:hint="default"/>
          <w:b w:val="0"/>
          <w:bCs w:val="0"/>
        </w:rPr>
      </w:pPr>
      <w:r>
        <w:rPr>
          <w:rFonts w:ascii="黑体" w:hAnsi="黑体" w:cs="黑体" w:eastAsia="黑体" w:hint="default"/>
        </w:rPr>
        <w:t>十九、重要资产转让及其出售事项</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240" w:lineRule="auto"/>
        <w:ind w:left="513" w:right="981"/>
        <w:jc w:val="left"/>
      </w:pPr>
      <w:r>
        <w:rPr/>
        <w:t>本期公司无需要说明的重要资产转让及其出售的事项。</w:t>
      </w:r>
    </w:p>
    <w:p>
      <w:pPr>
        <w:spacing w:line="240" w:lineRule="auto" w:before="0"/>
        <w:rPr>
          <w:rFonts w:ascii="宋体" w:hAnsi="宋体" w:cs="宋体" w:eastAsia="宋体" w:hint="default"/>
          <w:sz w:val="18"/>
          <w:szCs w:val="18"/>
        </w:rPr>
      </w:pPr>
    </w:p>
    <w:p>
      <w:pPr>
        <w:pStyle w:val="Heading3"/>
        <w:spacing w:line="240" w:lineRule="auto" w:before="131"/>
        <w:ind w:left="635" w:right="981"/>
        <w:jc w:val="left"/>
        <w:rPr>
          <w:rFonts w:ascii="黑体" w:hAnsi="黑体" w:cs="黑体" w:eastAsia="黑体" w:hint="default"/>
          <w:b w:val="0"/>
          <w:bCs w:val="0"/>
        </w:rPr>
      </w:pPr>
      <w:r>
        <w:rPr>
          <w:rFonts w:ascii="黑体" w:hAnsi="黑体" w:cs="黑体" w:eastAsia="黑体" w:hint="default"/>
        </w:rPr>
        <w:t>二十、补充资料</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240" w:lineRule="auto"/>
        <w:ind w:left="513" w:right="981"/>
        <w:jc w:val="left"/>
      </w:pPr>
      <w:r>
        <w:rPr>
          <w:rFonts w:ascii="宋体" w:hAnsi="宋体" w:cs="宋体" w:eastAsia="宋体" w:hint="default"/>
        </w:rPr>
        <w:t>1.</w:t>
      </w:r>
      <w:r>
        <w:rPr/>
        <w:t>净资产收益率和每股收益</w:t>
      </w:r>
    </w:p>
    <w:p>
      <w:pPr>
        <w:spacing w:line="240" w:lineRule="auto" w:before="9"/>
        <w:rPr>
          <w:rFonts w:ascii="宋体" w:hAnsi="宋体" w:cs="宋体" w:eastAsia="宋体" w:hint="default"/>
          <w:sz w:val="23"/>
          <w:szCs w:val="23"/>
        </w:rPr>
      </w:pPr>
    </w:p>
    <w:tbl>
      <w:tblPr>
        <w:tblW w:w="0" w:type="auto"/>
        <w:jc w:val="left"/>
        <w:tblInd w:w="246" w:type="dxa"/>
        <w:tblLayout w:type="fixed"/>
        <w:tblCellMar>
          <w:top w:w="0" w:type="dxa"/>
          <w:left w:w="0" w:type="dxa"/>
          <w:bottom w:w="0" w:type="dxa"/>
          <w:right w:w="0" w:type="dxa"/>
        </w:tblCellMar>
        <w:tblLook w:val="01E0"/>
      </w:tblPr>
      <w:tblGrid>
        <w:gridCol w:w="3307"/>
        <w:gridCol w:w="1433"/>
        <w:gridCol w:w="923"/>
        <w:gridCol w:w="969"/>
        <w:gridCol w:w="942"/>
        <w:gridCol w:w="1016"/>
        <w:gridCol w:w="864"/>
      </w:tblGrid>
      <w:tr>
        <w:trPr>
          <w:trHeight w:val="288" w:hRule="exact"/>
        </w:trPr>
        <w:tc>
          <w:tcPr>
            <w:tcW w:w="3307" w:type="dxa"/>
            <w:tcBorders>
              <w:top w:val="nil" w:sz="6" w:space="0" w:color="auto"/>
              <w:left w:val="nil" w:sz="6" w:space="0" w:color="auto"/>
              <w:bottom w:val="nil" w:sz="6" w:space="0" w:color="auto"/>
              <w:right w:val="nil" w:sz="6" w:space="0" w:color="auto"/>
            </w:tcBorders>
          </w:tcPr>
          <w:p>
            <w:pPr/>
          </w:p>
        </w:tc>
        <w:tc>
          <w:tcPr>
            <w:tcW w:w="2356" w:type="dxa"/>
            <w:gridSpan w:val="2"/>
            <w:vMerge w:val="restart"/>
            <w:tcBorders>
              <w:top w:val="nil" w:sz="6" w:space="0" w:color="auto"/>
              <w:left w:val="nil" w:sz="6" w:space="0" w:color="auto"/>
              <w:right w:val="nil" w:sz="6" w:space="0" w:color="auto"/>
            </w:tcBorders>
          </w:tcPr>
          <w:p>
            <w:pPr>
              <w:pStyle w:val="TableParagraph"/>
              <w:spacing w:line="223" w:lineRule="exact"/>
              <w:ind w:left="439" w:right="0"/>
              <w:jc w:val="center"/>
              <w:rPr>
                <w:rFonts w:ascii="宋体" w:hAnsi="宋体" w:cs="宋体" w:eastAsia="宋体" w:hint="default"/>
                <w:sz w:val="18"/>
                <w:szCs w:val="18"/>
              </w:rPr>
            </w:pPr>
            <w:r>
              <w:rPr>
                <w:rFonts w:ascii="宋体" w:hAnsi="宋体" w:cs="宋体" w:eastAsia="宋体" w:hint="default"/>
                <w:b/>
                <w:bCs/>
                <w:sz w:val="18"/>
                <w:szCs w:val="18"/>
              </w:rPr>
              <w:t>加权平均净资产收</w:t>
            </w:r>
            <w:r>
              <w:rPr>
                <w:rFonts w:ascii="宋体" w:hAnsi="宋体" w:cs="宋体" w:eastAsia="宋体" w:hint="default"/>
                <w:sz w:val="18"/>
                <w:szCs w:val="18"/>
              </w:rPr>
            </w:r>
          </w:p>
          <w:p>
            <w:pPr>
              <w:pStyle w:val="TableParagraph"/>
              <w:spacing w:line="240" w:lineRule="auto" w:before="74"/>
              <w:ind w:left="437" w:right="0"/>
              <w:jc w:val="center"/>
              <w:rPr>
                <w:rFonts w:ascii="宋体" w:hAnsi="宋体" w:cs="宋体" w:eastAsia="宋体" w:hint="default"/>
                <w:sz w:val="18"/>
                <w:szCs w:val="18"/>
              </w:rPr>
            </w:pPr>
            <w:r>
              <w:rPr>
                <w:rFonts w:ascii="宋体" w:hAnsi="宋体" w:cs="宋体" w:eastAsia="宋体" w:hint="default"/>
                <w:b/>
                <w:bCs/>
                <w:sz w:val="18"/>
                <w:szCs w:val="18"/>
              </w:rPr>
              <w:t>益率（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69" w:type="dxa"/>
            <w:tcBorders>
              <w:top w:val="nil" w:sz="6" w:space="0" w:color="auto"/>
              <w:left w:val="nil" w:sz="6" w:space="0" w:color="auto"/>
              <w:bottom w:val="nil" w:sz="6" w:space="0" w:color="auto"/>
              <w:right w:val="nil" w:sz="6" w:space="0" w:color="auto"/>
            </w:tcBorders>
          </w:tcPr>
          <w:p>
            <w:pPr/>
          </w:p>
        </w:tc>
        <w:tc>
          <w:tcPr>
            <w:tcW w:w="1958"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538" w:right="0"/>
              <w:jc w:val="left"/>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c>
          <w:tcPr>
            <w:tcW w:w="864" w:type="dxa"/>
            <w:tcBorders>
              <w:top w:val="nil" w:sz="6" w:space="0" w:color="auto"/>
              <w:left w:val="nil" w:sz="6" w:space="0" w:color="auto"/>
              <w:bottom w:val="nil" w:sz="6" w:space="0" w:color="auto"/>
              <w:right w:val="nil" w:sz="6" w:space="0" w:color="auto"/>
            </w:tcBorders>
          </w:tcPr>
          <w:p>
            <w:pPr/>
          </w:p>
        </w:tc>
      </w:tr>
      <w:tr>
        <w:trPr>
          <w:trHeight w:val="397" w:hRule="exact"/>
        </w:trPr>
        <w:tc>
          <w:tcPr>
            <w:tcW w:w="330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50" w:right="0"/>
              <w:jc w:val="left"/>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2356" w:type="dxa"/>
            <w:gridSpan w:val="2"/>
            <w:vMerge/>
            <w:tcBorders>
              <w:left w:val="nil" w:sz="6" w:space="0" w:color="auto"/>
              <w:bottom w:val="nil" w:sz="6" w:space="0" w:color="auto"/>
              <w:right w:val="nil" w:sz="6" w:space="0" w:color="auto"/>
            </w:tcBorders>
          </w:tcPr>
          <w:p>
            <w:pPr/>
          </w:p>
        </w:tc>
        <w:tc>
          <w:tcPr>
            <w:tcW w:w="19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350" w:right="0"/>
              <w:jc w:val="left"/>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8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2"/>
              <w:ind w:left="359" w:right="0"/>
              <w:jc w:val="left"/>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403" w:hRule="exact"/>
        </w:trPr>
        <w:tc>
          <w:tcPr>
            <w:tcW w:w="3307" w:type="dxa"/>
            <w:tcBorders>
              <w:top w:val="nil" w:sz="6" w:space="0" w:color="auto"/>
              <w:left w:val="nil" w:sz="6" w:space="0" w:color="auto"/>
              <w:bottom w:val="single" w:sz="4" w:space="0" w:color="000000"/>
              <w:right w:val="nil" w:sz="6" w:space="0" w:color="auto"/>
            </w:tcBorders>
          </w:tcPr>
          <w:p>
            <w:pP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13"/>
              <w:jc w:val="right"/>
              <w:rPr>
                <w:rFonts w:ascii="宋体" w:hAnsi="宋体" w:cs="宋体" w:eastAsia="宋体" w:hint="default"/>
                <w:sz w:val="18"/>
                <w:szCs w:val="18"/>
              </w:rPr>
            </w:pPr>
            <w:r>
              <w:rPr>
                <w:rFonts w:ascii="宋体" w:hAnsi="宋体" w:cs="宋体" w:eastAsia="宋体" w:hint="default"/>
                <w:b/>
                <w:bCs/>
                <w:w w:val="95"/>
                <w:sz w:val="18"/>
                <w:szCs w:val="18"/>
              </w:rPr>
              <w:t>本期数</w:t>
            </w:r>
            <w:r>
              <w:rPr>
                <w:rFonts w:ascii="宋体" w:hAnsi="宋体" w:cs="宋体" w:eastAsia="宋体" w:hint="default"/>
                <w:sz w:val="18"/>
                <w:szCs w:val="18"/>
              </w:rPr>
            </w:r>
          </w:p>
        </w:tc>
        <w:tc>
          <w:tcPr>
            <w:tcW w:w="92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42" w:right="0"/>
              <w:jc w:val="left"/>
              <w:rPr>
                <w:rFonts w:ascii="宋体" w:hAnsi="宋体" w:cs="宋体" w:eastAsia="宋体" w:hint="default"/>
                <w:sz w:val="18"/>
                <w:szCs w:val="18"/>
              </w:rPr>
            </w:pPr>
            <w:r>
              <w:rPr>
                <w:rFonts w:ascii="宋体" w:hAnsi="宋体" w:cs="宋体" w:eastAsia="宋体" w:hint="default"/>
                <w:b/>
                <w:bCs/>
                <w:sz w:val="18"/>
                <w:szCs w:val="18"/>
              </w:rPr>
              <w:t>上期数</w:t>
            </w:r>
            <w:r>
              <w:rPr>
                <w:rFonts w:ascii="宋体" w:hAnsi="宋体" w:cs="宋体" w:eastAsia="宋体" w:hint="default"/>
                <w:sz w:val="18"/>
                <w:szCs w:val="18"/>
              </w:rPr>
            </w:r>
          </w:p>
        </w:tc>
        <w:tc>
          <w:tcPr>
            <w:tcW w:w="96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b/>
                <w:bCs/>
                <w:sz w:val="18"/>
                <w:szCs w:val="18"/>
              </w:rPr>
              <w:t>本期数</w:t>
            </w:r>
            <w:r>
              <w:rPr>
                <w:rFonts w:ascii="宋体" w:hAnsi="宋体" w:cs="宋体" w:eastAsia="宋体" w:hint="default"/>
                <w:sz w:val="18"/>
                <w:szCs w:val="18"/>
              </w:rPr>
            </w:r>
          </w:p>
        </w:tc>
        <w:tc>
          <w:tcPr>
            <w:tcW w:w="94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44" w:right="0"/>
              <w:jc w:val="left"/>
              <w:rPr>
                <w:rFonts w:ascii="宋体" w:hAnsi="宋体" w:cs="宋体" w:eastAsia="宋体" w:hint="default"/>
                <w:sz w:val="18"/>
                <w:szCs w:val="18"/>
              </w:rPr>
            </w:pPr>
            <w:r>
              <w:rPr>
                <w:rFonts w:ascii="宋体" w:hAnsi="宋体" w:cs="宋体" w:eastAsia="宋体" w:hint="default"/>
                <w:b/>
                <w:bCs/>
                <w:sz w:val="18"/>
                <w:szCs w:val="18"/>
              </w:rPr>
              <w:t>上期数</w:t>
            </w:r>
            <w:r>
              <w:rPr>
                <w:rFonts w:ascii="宋体" w:hAnsi="宋体" w:cs="宋体" w:eastAsia="宋体" w:hint="default"/>
                <w:sz w:val="18"/>
                <w:szCs w:val="18"/>
              </w:rPr>
            </w:r>
          </w:p>
        </w:tc>
        <w:tc>
          <w:tcPr>
            <w:tcW w:w="101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b/>
                <w:bCs/>
                <w:sz w:val="18"/>
                <w:szCs w:val="18"/>
              </w:rPr>
              <w:t>本期数</w:t>
            </w:r>
            <w:r>
              <w:rPr>
                <w:rFonts w:ascii="宋体" w:hAnsi="宋体" w:cs="宋体" w:eastAsia="宋体" w:hint="default"/>
                <w:sz w:val="18"/>
                <w:szCs w:val="18"/>
              </w:rPr>
            </w:r>
          </w:p>
        </w:tc>
        <w:tc>
          <w:tcPr>
            <w:tcW w:w="86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b/>
                <w:bCs/>
                <w:sz w:val="18"/>
                <w:szCs w:val="18"/>
              </w:rPr>
              <w:t>上期数</w:t>
            </w:r>
            <w:r>
              <w:rPr>
                <w:rFonts w:ascii="宋体" w:hAnsi="宋体" w:cs="宋体" w:eastAsia="宋体" w:hint="default"/>
                <w:sz w:val="18"/>
                <w:szCs w:val="18"/>
              </w:rPr>
            </w:r>
          </w:p>
        </w:tc>
      </w:tr>
      <w:tr>
        <w:trPr>
          <w:trHeight w:val="400" w:hRule="exact"/>
        </w:trPr>
        <w:tc>
          <w:tcPr>
            <w:tcW w:w="330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3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40"/>
              <w:jc w:val="right"/>
              <w:rPr>
                <w:rFonts w:ascii="宋体" w:hAnsi="宋体" w:cs="宋体" w:eastAsia="宋体" w:hint="default"/>
                <w:sz w:val="18"/>
                <w:szCs w:val="18"/>
              </w:rPr>
            </w:pPr>
            <w:r>
              <w:rPr>
                <w:rFonts w:ascii="宋体"/>
                <w:spacing w:val="-1"/>
                <w:sz w:val="18"/>
              </w:rPr>
              <w:t>8.0565</w:t>
            </w:r>
            <w:r>
              <w:rPr>
                <w:rFonts w:ascii="宋体"/>
                <w:sz w:val="18"/>
              </w:rPr>
            </w:r>
          </w:p>
        </w:tc>
        <w:tc>
          <w:tcPr>
            <w:tcW w:w="92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65"/>
              <w:jc w:val="right"/>
              <w:rPr>
                <w:rFonts w:ascii="宋体" w:hAnsi="宋体" w:cs="宋体" w:eastAsia="宋体" w:hint="default"/>
                <w:sz w:val="18"/>
                <w:szCs w:val="18"/>
              </w:rPr>
            </w:pPr>
            <w:r>
              <w:rPr>
                <w:rFonts w:ascii="宋体"/>
                <w:spacing w:val="-1"/>
                <w:sz w:val="18"/>
              </w:rPr>
              <w:t>8.0001</w:t>
            </w:r>
          </w:p>
        </w:tc>
        <w:tc>
          <w:tcPr>
            <w:tcW w:w="96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42"/>
              <w:jc w:val="right"/>
              <w:rPr>
                <w:rFonts w:ascii="宋体" w:hAnsi="宋体" w:cs="宋体" w:eastAsia="宋体" w:hint="default"/>
                <w:sz w:val="18"/>
                <w:szCs w:val="18"/>
              </w:rPr>
            </w:pPr>
            <w:r>
              <w:rPr>
                <w:rFonts w:ascii="宋体"/>
                <w:spacing w:val="-1"/>
                <w:sz w:val="18"/>
              </w:rPr>
              <w:t>0.2253</w:t>
            </w:r>
          </w:p>
        </w:tc>
        <w:tc>
          <w:tcPr>
            <w:tcW w:w="94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19" w:right="0"/>
              <w:jc w:val="left"/>
              <w:rPr>
                <w:rFonts w:ascii="宋体" w:hAnsi="宋体" w:cs="宋体" w:eastAsia="宋体" w:hint="default"/>
                <w:sz w:val="18"/>
                <w:szCs w:val="18"/>
              </w:rPr>
            </w:pPr>
            <w:r>
              <w:rPr>
                <w:rFonts w:ascii="宋体"/>
                <w:sz w:val="18"/>
              </w:rPr>
              <w:t>0.2081</w:t>
            </w:r>
          </w:p>
        </w:tc>
        <w:tc>
          <w:tcPr>
            <w:tcW w:w="101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41"/>
              <w:jc w:val="right"/>
              <w:rPr>
                <w:rFonts w:ascii="宋体" w:hAnsi="宋体" w:cs="宋体" w:eastAsia="宋体" w:hint="default"/>
                <w:sz w:val="18"/>
                <w:szCs w:val="18"/>
              </w:rPr>
            </w:pPr>
            <w:r>
              <w:rPr>
                <w:rFonts w:ascii="宋体"/>
                <w:spacing w:val="-1"/>
                <w:sz w:val="18"/>
              </w:rPr>
              <w:t>0.2253</w:t>
            </w:r>
          </w:p>
        </w:tc>
        <w:tc>
          <w:tcPr>
            <w:tcW w:w="86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1"/>
                <w:sz w:val="18"/>
              </w:rPr>
              <w:t>0.2081</w:t>
            </w:r>
          </w:p>
        </w:tc>
      </w:tr>
      <w:tr>
        <w:trPr>
          <w:trHeight w:val="638" w:hRule="exact"/>
        </w:trPr>
        <w:tc>
          <w:tcPr>
            <w:tcW w:w="330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w:t>
            </w:r>
          </w:p>
          <w:p>
            <w:pPr>
              <w:pStyle w:val="TableParagraph"/>
              <w:spacing w:line="240" w:lineRule="auto" w:before="114"/>
              <w:ind w:left="110" w:right="0"/>
              <w:jc w:val="left"/>
              <w:rPr>
                <w:rFonts w:ascii="宋体" w:hAnsi="宋体" w:cs="宋体" w:eastAsia="宋体" w:hint="default"/>
                <w:sz w:val="18"/>
                <w:szCs w:val="18"/>
              </w:rPr>
            </w:pPr>
            <w:r>
              <w:rPr>
                <w:rFonts w:ascii="宋体" w:hAnsi="宋体" w:cs="宋体" w:eastAsia="宋体" w:hint="default"/>
                <w:sz w:val="18"/>
                <w:szCs w:val="18"/>
              </w:rPr>
              <w:t>普通股股东的净利润</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40"/>
              <w:jc w:val="right"/>
              <w:rPr>
                <w:rFonts w:ascii="宋体" w:hAnsi="宋体" w:cs="宋体" w:eastAsia="宋体" w:hint="default"/>
                <w:sz w:val="18"/>
                <w:szCs w:val="18"/>
              </w:rPr>
            </w:pPr>
            <w:r>
              <w:rPr>
                <w:rFonts w:ascii="宋体"/>
                <w:spacing w:val="-1"/>
                <w:sz w:val="18"/>
              </w:rPr>
              <w:t>7.9988</w:t>
            </w:r>
            <w:r>
              <w:rPr>
                <w:rFonts w:ascii="宋体"/>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65"/>
              <w:jc w:val="right"/>
              <w:rPr>
                <w:rFonts w:ascii="宋体" w:hAnsi="宋体" w:cs="宋体" w:eastAsia="宋体" w:hint="default"/>
                <w:sz w:val="18"/>
                <w:szCs w:val="18"/>
              </w:rPr>
            </w:pPr>
            <w:r>
              <w:rPr>
                <w:rFonts w:ascii="宋体"/>
                <w:spacing w:val="-1"/>
                <w:sz w:val="18"/>
              </w:rPr>
              <w:t>7.6190</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42"/>
              <w:jc w:val="right"/>
              <w:rPr>
                <w:rFonts w:ascii="宋体" w:hAnsi="宋体" w:cs="宋体" w:eastAsia="宋体" w:hint="default"/>
                <w:sz w:val="18"/>
                <w:szCs w:val="18"/>
              </w:rPr>
            </w:pPr>
            <w:r>
              <w:rPr>
                <w:rFonts w:ascii="宋体"/>
                <w:spacing w:val="-1"/>
                <w:sz w:val="18"/>
              </w:rPr>
              <w:t>0.2237</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19" w:right="0"/>
              <w:jc w:val="left"/>
              <w:rPr>
                <w:rFonts w:ascii="宋体" w:hAnsi="宋体" w:cs="宋体" w:eastAsia="宋体" w:hint="default"/>
                <w:sz w:val="18"/>
                <w:szCs w:val="18"/>
              </w:rPr>
            </w:pPr>
            <w:r>
              <w:rPr>
                <w:rFonts w:ascii="宋体"/>
                <w:sz w:val="18"/>
              </w:rPr>
              <w:t>0.1982</w:t>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41"/>
              <w:jc w:val="right"/>
              <w:rPr>
                <w:rFonts w:ascii="宋体" w:hAnsi="宋体" w:cs="宋体" w:eastAsia="宋体" w:hint="default"/>
                <w:sz w:val="18"/>
                <w:szCs w:val="18"/>
              </w:rPr>
            </w:pPr>
            <w:r>
              <w:rPr>
                <w:rFonts w:ascii="宋体"/>
                <w:spacing w:val="-1"/>
                <w:sz w:val="18"/>
              </w:rPr>
              <w:t>0.2237</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0.1982</w:t>
            </w:r>
          </w:p>
        </w:tc>
      </w:tr>
    </w:tbl>
    <w:p>
      <w:pPr>
        <w:spacing w:after="0" w:line="240" w:lineRule="auto"/>
        <w:jc w:val="right"/>
        <w:rPr>
          <w:rFonts w:ascii="宋体" w:hAnsi="宋体" w:cs="宋体" w:eastAsia="宋体" w:hint="default"/>
          <w:sz w:val="18"/>
          <w:szCs w:val="18"/>
        </w:rPr>
        <w:sectPr>
          <w:pgSz w:w="11910" w:h="16840"/>
          <w:pgMar w:header="877" w:footer="1340" w:top="1100" w:bottom="1540" w:left="980" w:right="0"/>
        </w:sectPr>
      </w:pPr>
    </w:p>
    <w:p>
      <w:pPr>
        <w:spacing w:line="240" w:lineRule="auto" w:before="12"/>
        <w:rPr>
          <w:rFonts w:ascii="宋体" w:hAnsi="宋体" w:cs="宋体" w:eastAsia="宋体" w:hint="default"/>
          <w:sz w:val="26"/>
          <w:szCs w:val="26"/>
        </w:rPr>
      </w:pPr>
    </w:p>
    <w:p>
      <w:pPr>
        <w:pStyle w:val="BodyText"/>
        <w:spacing w:line="240" w:lineRule="auto" w:before="44"/>
        <w:ind w:left="573" w:right="1034"/>
        <w:jc w:val="left"/>
      </w:pPr>
      <w:r>
        <w:rPr/>
        <w:t>注</w:t>
      </w:r>
      <w:r>
        <w:rPr>
          <w:spacing w:val="-92"/>
        </w:rPr>
        <w:t>：</w:t>
      </w:r>
      <w:r>
        <w:rPr/>
        <w:t>（</w:t>
      </w:r>
      <w:r>
        <w:rPr>
          <w:rFonts w:ascii="宋体" w:hAnsi="宋体" w:cs="宋体" w:eastAsia="宋体" w:hint="default"/>
          <w:spacing w:val="1"/>
        </w:rPr>
        <w:t>1</w:t>
      </w:r>
      <w:r>
        <w:rPr/>
        <w:t>）基本每股收益</w:t>
      </w:r>
      <w:r>
        <w:rPr>
          <w:rFonts w:ascii="宋体" w:hAnsi="宋体" w:cs="宋体" w:eastAsia="宋体" w:hint="default"/>
          <w:spacing w:val="1"/>
        </w:rPr>
        <w:t>=</w:t>
      </w:r>
      <w:r>
        <w:rPr/>
        <w:t>归属于普通股股东的当期净利润÷发行在外普通股的加权平均数；</w:t>
      </w:r>
    </w:p>
    <w:p>
      <w:pPr>
        <w:spacing w:line="240" w:lineRule="auto" w:before="8"/>
        <w:rPr>
          <w:rFonts w:ascii="宋体" w:hAnsi="宋体" w:cs="宋体" w:eastAsia="宋体" w:hint="default"/>
          <w:sz w:val="21"/>
          <w:szCs w:val="21"/>
        </w:rPr>
      </w:pPr>
    </w:p>
    <w:p>
      <w:pPr>
        <w:pStyle w:val="BodyText"/>
        <w:spacing w:line="367" w:lineRule="auto"/>
        <w:ind w:left="212" w:right="1124" w:firstLine="360"/>
        <w:jc w:val="left"/>
      </w:pPr>
      <w:r>
        <w:rPr/>
        <w:t>（</w:t>
      </w:r>
      <w:r>
        <w:rPr>
          <w:rFonts w:ascii="宋体" w:hAnsi="宋体" w:cs="宋体" w:eastAsia="宋体" w:hint="default"/>
        </w:rPr>
        <w:t>2</w:t>
      </w:r>
      <w:r>
        <w:rPr/>
        <w:t>）发行在外普通股加权平均数＝期初发行在外普通股股数</w:t>
      </w:r>
      <w:r>
        <w:rPr>
          <w:rFonts w:ascii="宋体" w:hAnsi="宋体" w:cs="宋体" w:eastAsia="宋体" w:hint="default"/>
        </w:rPr>
        <w:t>+</w:t>
      </w:r>
      <w:r>
        <w:rPr/>
        <w:t>当期新发行普通股股数×已发行时间÷报告期时间</w:t>
      </w:r>
      <w:r>
        <w:rPr>
          <w:rFonts w:ascii="宋体" w:hAnsi="宋体" w:cs="宋体" w:eastAsia="宋体" w:hint="default"/>
        </w:rPr>
        <w:t>-</w:t>
      </w:r>
      <w:r>
        <w:rPr/>
        <w:t>当期 回购普通股股数×已回购时间÷报告期时间；</w:t>
      </w:r>
    </w:p>
    <w:p>
      <w:pPr>
        <w:spacing w:line="240" w:lineRule="auto" w:before="2"/>
        <w:rPr>
          <w:rFonts w:ascii="宋体" w:hAnsi="宋体" w:cs="宋体" w:eastAsia="宋体" w:hint="default"/>
          <w:sz w:val="14"/>
          <w:szCs w:val="14"/>
        </w:rPr>
      </w:pPr>
    </w:p>
    <w:p>
      <w:pPr>
        <w:pStyle w:val="BodyText"/>
        <w:spacing w:line="240" w:lineRule="auto"/>
        <w:ind w:left="573" w:right="1034"/>
        <w:jc w:val="left"/>
      </w:pPr>
      <w:r>
        <w:rPr/>
        <w:t>（</w:t>
      </w:r>
      <w:r>
        <w:rPr>
          <w:rFonts w:ascii="宋体" w:hAnsi="宋体" w:cs="宋体" w:eastAsia="宋体" w:hint="default"/>
        </w:rPr>
        <w:t>3</w:t>
      </w:r>
      <w:r>
        <w:rPr/>
        <w:t>）本期发行在外普通股加权平均数为</w:t>
      </w:r>
      <w:r>
        <w:rPr>
          <w:spacing w:val="-46"/>
        </w:rPr>
        <w:t> </w:t>
      </w:r>
      <w:r>
        <w:rPr>
          <w:rFonts w:ascii="宋体" w:hAnsi="宋体" w:cs="宋体" w:eastAsia="宋体" w:hint="default"/>
        </w:rPr>
        <w:t>202,160,000</w:t>
      </w:r>
      <w:r>
        <w:rPr>
          <w:rFonts w:ascii="宋体" w:hAnsi="宋体" w:cs="宋体" w:eastAsia="宋体" w:hint="default"/>
          <w:spacing w:val="-46"/>
        </w:rPr>
        <w:t> </w:t>
      </w:r>
      <w:r>
        <w:rPr/>
        <w:t>股。</w:t>
      </w:r>
    </w:p>
    <w:p>
      <w:pPr>
        <w:spacing w:line="240" w:lineRule="auto" w:before="6"/>
        <w:rPr>
          <w:rFonts w:ascii="宋体" w:hAnsi="宋体" w:cs="宋体" w:eastAsia="宋体" w:hint="default"/>
          <w:sz w:val="21"/>
          <w:szCs w:val="21"/>
        </w:rPr>
      </w:pPr>
    </w:p>
    <w:p>
      <w:pPr>
        <w:pStyle w:val="BodyText"/>
        <w:spacing w:line="367" w:lineRule="auto"/>
        <w:ind w:left="212" w:right="1120" w:firstLine="360"/>
        <w:jc w:val="left"/>
      </w:pPr>
      <w:r>
        <w:rPr>
          <w:rFonts w:ascii="宋体" w:hAnsi="宋体" w:cs="宋体" w:eastAsia="宋体" w:hint="default"/>
        </w:rPr>
        <w:t>2.</w:t>
      </w:r>
      <w:r>
        <w:rPr/>
        <w:t>按照证监会《公开发行证券的公司信息披露解释性公告第</w:t>
      </w:r>
      <w:r>
        <w:rPr>
          <w:spacing w:val="-47"/>
        </w:rPr>
        <w:t> </w:t>
      </w:r>
      <w:r>
        <w:rPr>
          <w:rFonts w:ascii="宋体" w:hAnsi="宋体" w:cs="宋体" w:eastAsia="宋体" w:hint="default"/>
        </w:rPr>
        <w:t>1</w:t>
      </w:r>
      <w:r>
        <w:rPr>
          <w:rFonts w:ascii="宋体" w:hAnsi="宋体" w:cs="宋体" w:eastAsia="宋体" w:hint="default"/>
          <w:spacing w:val="-45"/>
        </w:rPr>
        <w:t> </w:t>
      </w:r>
      <w:r>
        <w:rPr>
          <w:spacing w:val="-3"/>
        </w:rPr>
        <w:t>号——非经常性损益</w:t>
      </w:r>
      <w:r>
        <w:rPr>
          <w:rFonts w:ascii="宋体" w:hAnsi="宋体" w:cs="宋体" w:eastAsia="宋体" w:hint="default"/>
          <w:spacing w:val="-3"/>
        </w:rPr>
        <w:t>[2008]</w:t>
      </w:r>
      <w:r>
        <w:rPr>
          <w:spacing w:val="-3"/>
        </w:rPr>
        <w:t>》的要求，披露报告期非经常</w:t>
      </w:r>
      <w:r>
        <w:rPr/>
        <w:t> 损益情况。</w:t>
      </w:r>
    </w:p>
    <w:p>
      <w:pPr>
        <w:spacing w:line="240" w:lineRule="auto" w:before="2"/>
        <w:rPr>
          <w:rFonts w:ascii="宋体" w:hAnsi="宋体" w:cs="宋体" w:eastAsia="宋体" w:hint="default"/>
          <w:sz w:val="14"/>
          <w:szCs w:val="14"/>
        </w:rPr>
      </w:pPr>
    </w:p>
    <w:p>
      <w:pPr>
        <w:pStyle w:val="BodyText"/>
        <w:spacing w:line="240" w:lineRule="auto"/>
        <w:ind w:left="573" w:right="1034"/>
        <w:jc w:val="left"/>
      </w:pPr>
      <w:r>
        <w:rPr>
          <w:rFonts w:ascii="宋体" w:hAnsi="宋体" w:cs="宋体" w:eastAsia="宋体" w:hint="default"/>
        </w:rPr>
        <w:t>3.</w:t>
      </w:r>
      <w:r>
        <w:rPr/>
        <w:t>报告期非经常损益明细</w:t>
      </w:r>
    </w:p>
    <w:p>
      <w:pPr>
        <w:spacing w:line="240" w:lineRule="auto" w:before="6"/>
        <w:rPr>
          <w:rFonts w:ascii="宋体" w:hAnsi="宋体" w:cs="宋体" w:eastAsia="宋体"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6632"/>
        <w:gridCol w:w="1711"/>
        <w:gridCol w:w="1514"/>
      </w:tblGrid>
      <w:tr>
        <w:trPr>
          <w:trHeight w:val="296" w:hRule="exact"/>
        </w:trPr>
        <w:tc>
          <w:tcPr>
            <w:tcW w:w="6632" w:type="dxa"/>
            <w:tcBorders>
              <w:top w:val="nil" w:sz="6" w:space="0" w:color="auto"/>
              <w:left w:val="nil" w:sz="6" w:space="0" w:color="auto"/>
              <w:bottom w:val="single" w:sz="4" w:space="0" w:color="000000"/>
              <w:right w:val="nil" w:sz="6" w:space="0" w:color="auto"/>
            </w:tcBorders>
          </w:tcPr>
          <w:p>
            <w:pPr>
              <w:pStyle w:val="TableParagraph"/>
              <w:spacing w:line="180" w:lineRule="exact"/>
              <w:ind w:right="192"/>
              <w:jc w:val="center"/>
              <w:rPr>
                <w:rFonts w:ascii="宋体" w:hAnsi="宋体" w:cs="宋体" w:eastAsia="宋体" w:hint="default"/>
                <w:sz w:val="18"/>
                <w:szCs w:val="18"/>
              </w:rPr>
            </w:pPr>
            <w:r>
              <w:rPr>
                <w:rFonts w:ascii="宋体" w:hAnsi="宋体" w:cs="宋体" w:eastAsia="宋体" w:hint="default"/>
                <w:b/>
                <w:bCs/>
                <w:sz w:val="18"/>
                <w:szCs w:val="18"/>
              </w:rPr>
              <w:t>非经常性损益明细</w:t>
            </w:r>
            <w:r>
              <w:rPr>
                <w:rFonts w:ascii="宋体" w:hAnsi="宋体" w:cs="宋体" w:eastAsia="宋体" w:hint="default"/>
                <w:sz w:val="18"/>
                <w:szCs w:val="18"/>
              </w:rPr>
            </w:r>
          </w:p>
        </w:tc>
        <w:tc>
          <w:tcPr>
            <w:tcW w:w="1711" w:type="dxa"/>
            <w:tcBorders>
              <w:top w:val="nil" w:sz="6" w:space="0" w:color="auto"/>
              <w:left w:val="nil" w:sz="6" w:space="0" w:color="auto"/>
              <w:bottom w:val="single" w:sz="4" w:space="0" w:color="000000"/>
              <w:right w:val="nil" w:sz="6" w:space="0" w:color="auto"/>
            </w:tcBorders>
          </w:tcPr>
          <w:p>
            <w:pPr>
              <w:pStyle w:val="TableParagraph"/>
              <w:spacing w:line="180" w:lineRule="exact"/>
              <w:ind w:left="303"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514" w:type="dxa"/>
            <w:tcBorders>
              <w:top w:val="nil" w:sz="6" w:space="0" w:color="auto"/>
              <w:left w:val="nil" w:sz="6" w:space="0" w:color="auto"/>
              <w:bottom w:val="single" w:sz="4" w:space="0" w:color="000000"/>
              <w:right w:val="nil" w:sz="6" w:space="0" w:color="auto"/>
            </w:tcBorders>
          </w:tcPr>
          <w:p>
            <w:pPr>
              <w:pStyle w:val="TableParagraph"/>
              <w:spacing w:line="180" w:lineRule="exact"/>
              <w:ind w:left="299"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00" w:hRule="exact"/>
        </w:trPr>
        <w:tc>
          <w:tcPr>
            <w:tcW w:w="6632"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）非流动性资产处置损益，包括已计提资产减值准备的冲销部分</w:t>
            </w:r>
          </w:p>
        </w:tc>
        <w:tc>
          <w:tcPr>
            <w:tcW w:w="1711"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97"/>
              <w:jc w:val="right"/>
              <w:rPr>
                <w:rFonts w:ascii="宋体" w:hAnsi="宋体" w:cs="宋体" w:eastAsia="宋体" w:hint="default"/>
                <w:sz w:val="18"/>
                <w:szCs w:val="18"/>
              </w:rPr>
            </w:pPr>
            <w:r>
              <w:rPr>
                <w:rFonts w:ascii="宋体"/>
                <w:spacing w:val="-1"/>
                <w:sz w:val="18"/>
              </w:rPr>
              <w:t>-56,120.50</w:t>
            </w:r>
          </w:p>
        </w:tc>
        <w:tc>
          <w:tcPr>
            <w:tcW w:w="1514" w:type="dxa"/>
            <w:tcBorders>
              <w:top w:val="single" w:sz="4" w:space="0" w:color="000000"/>
              <w:left w:val="nil" w:sz="6" w:space="0" w:color="auto"/>
              <w:bottom w:val="nil" w:sz="6" w:space="0" w:color="auto"/>
              <w:right w:val="nil" w:sz="6" w:space="0" w:color="auto"/>
            </w:tcBorders>
          </w:tcPr>
          <w:p>
            <w:pPr/>
          </w:p>
        </w:tc>
      </w:tr>
      <w:tr>
        <w:trPr>
          <w:trHeight w:val="376" w:hRule="exact"/>
        </w:trPr>
        <w:tc>
          <w:tcPr>
            <w:tcW w:w="663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）越权审批，或无正式批准文件，或偶发性的税收返还、减免</w:t>
            </w:r>
          </w:p>
        </w:tc>
        <w:tc>
          <w:tcPr>
            <w:tcW w:w="1711"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r>
      <w:tr>
        <w:trPr>
          <w:trHeight w:val="589" w:hRule="exact"/>
        </w:trPr>
        <w:tc>
          <w:tcPr>
            <w:tcW w:w="6632" w:type="dxa"/>
            <w:tcBorders>
              <w:top w:val="nil" w:sz="6" w:space="0" w:color="auto"/>
              <w:left w:val="nil" w:sz="6" w:space="0" w:color="auto"/>
              <w:bottom w:val="nil" w:sz="6" w:space="0" w:color="auto"/>
              <w:right w:val="nil" w:sz="6" w:space="0" w:color="auto"/>
            </w:tcBorders>
          </w:tcPr>
          <w:p>
            <w:pPr>
              <w:pStyle w:val="TableParagraph"/>
              <w:spacing w:line="232" w:lineRule="exact" w:before="56"/>
              <w:ind w:left="107" w:right="30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）计入当期损益的政府补助，但与公司正常经营业务密切相关，符合国家政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策规定、按照一定标准定额或定量持续享受的政府补助除外</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97"/>
              <w:jc w:val="right"/>
              <w:rPr>
                <w:rFonts w:ascii="宋体" w:hAnsi="宋体" w:cs="宋体" w:eastAsia="宋体" w:hint="default"/>
                <w:sz w:val="18"/>
                <w:szCs w:val="18"/>
              </w:rPr>
            </w:pPr>
            <w:r>
              <w:rPr>
                <w:rFonts w:ascii="宋体"/>
                <w:spacing w:val="-1"/>
                <w:sz w:val="18"/>
              </w:rPr>
              <w:t>440,000.00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05"/>
              <w:jc w:val="right"/>
              <w:rPr>
                <w:rFonts w:ascii="宋体" w:hAnsi="宋体" w:cs="宋体" w:eastAsia="宋体" w:hint="default"/>
                <w:sz w:val="18"/>
                <w:szCs w:val="18"/>
              </w:rPr>
            </w:pPr>
            <w:r>
              <w:rPr>
                <w:rFonts w:ascii="宋体"/>
                <w:spacing w:val="-1"/>
                <w:sz w:val="18"/>
              </w:rPr>
              <w:t>2,370,000.00</w:t>
            </w:r>
          </w:p>
        </w:tc>
      </w:tr>
      <w:tr>
        <w:trPr>
          <w:trHeight w:val="356" w:hRule="exact"/>
        </w:trPr>
        <w:tc>
          <w:tcPr>
            <w:tcW w:w="663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）计入当期损益的对非金融企业收取的资金占用费</w:t>
            </w:r>
          </w:p>
        </w:tc>
        <w:tc>
          <w:tcPr>
            <w:tcW w:w="1711"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r>
      <w:tr>
        <w:trPr>
          <w:trHeight w:val="588" w:hRule="exact"/>
        </w:trPr>
        <w:tc>
          <w:tcPr>
            <w:tcW w:w="6632" w:type="dxa"/>
            <w:tcBorders>
              <w:top w:val="nil" w:sz="6" w:space="0" w:color="auto"/>
              <w:left w:val="nil" w:sz="6" w:space="0" w:color="auto"/>
              <w:bottom w:val="nil" w:sz="6" w:space="0" w:color="auto"/>
              <w:right w:val="nil" w:sz="6" w:space="0" w:color="auto"/>
            </w:tcBorders>
          </w:tcPr>
          <w:p>
            <w:pPr>
              <w:pStyle w:val="TableParagraph"/>
              <w:spacing w:line="232" w:lineRule="exact" w:before="56"/>
              <w:ind w:left="107" w:right="30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）企业取得子公司、联营企业及合营企业的投资成本小于取得投资时应享有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被投资单位可辨认净资产公允价值产生的收益</w:t>
            </w:r>
          </w:p>
        </w:tc>
        <w:tc>
          <w:tcPr>
            <w:tcW w:w="1711"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r>
      <w:tr>
        <w:trPr>
          <w:trHeight w:val="376" w:hRule="exact"/>
        </w:trPr>
        <w:tc>
          <w:tcPr>
            <w:tcW w:w="663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）非货币性资产交换损益</w:t>
            </w:r>
          </w:p>
        </w:tc>
        <w:tc>
          <w:tcPr>
            <w:tcW w:w="1711"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r>
      <w:tr>
        <w:trPr>
          <w:trHeight w:val="397" w:hRule="exact"/>
        </w:trPr>
        <w:tc>
          <w:tcPr>
            <w:tcW w:w="663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）委托他人投资或管理资产的损益</w:t>
            </w:r>
          </w:p>
        </w:tc>
        <w:tc>
          <w:tcPr>
            <w:tcW w:w="1711"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r>
      <w:tr>
        <w:trPr>
          <w:trHeight w:val="397" w:hRule="exact"/>
        </w:trPr>
        <w:tc>
          <w:tcPr>
            <w:tcW w:w="663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8</w:t>
            </w:r>
            <w:r>
              <w:rPr>
                <w:rFonts w:ascii="宋体" w:hAnsi="宋体" w:cs="宋体" w:eastAsia="宋体" w:hint="default"/>
                <w:sz w:val="18"/>
                <w:szCs w:val="18"/>
              </w:rPr>
              <w:t>）因不可抗力因素，如遭受自然灾害而计提的各项资产减值准备</w:t>
            </w:r>
          </w:p>
        </w:tc>
        <w:tc>
          <w:tcPr>
            <w:tcW w:w="1711"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r>
      <w:tr>
        <w:trPr>
          <w:trHeight w:val="397" w:hRule="exact"/>
        </w:trPr>
        <w:tc>
          <w:tcPr>
            <w:tcW w:w="663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9</w:t>
            </w:r>
            <w:r>
              <w:rPr>
                <w:rFonts w:ascii="宋体" w:hAnsi="宋体" w:cs="宋体" w:eastAsia="宋体" w:hint="default"/>
                <w:sz w:val="18"/>
                <w:szCs w:val="18"/>
              </w:rPr>
              <w:t>）债务重组损益</w:t>
            </w:r>
          </w:p>
        </w:tc>
        <w:tc>
          <w:tcPr>
            <w:tcW w:w="1711"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r>
      <w:tr>
        <w:trPr>
          <w:trHeight w:val="397" w:hRule="exact"/>
        </w:trPr>
        <w:tc>
          <w:tcPr>
            <w:tcW w:w="663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10</w:t>
            </w:r>
            <w:r>
              <w:rPr>
                <w:rFonts w:ascii="宋体" w:hAnsi="宋体" w:cs="宋体" w:eastAsia="宋体" w:hint="default"/>
                <w:sz w:val="18"/>
                <w:szCs w:val="18"/>
              </w:rPr>
              <w:t>）企业重组费用，如安置职工的支出、整合费用等</w:t>
            </w:r>
          </w:p>
        </w:tc>
        <w:tc>
          <w:tcPr>
            <w:tcW w:w="1711"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r>
      <w:tr>
        <w:trPr>
          <w:trHeight w:val="396" w:hRule="exact"/>
        </w:trPr>
        <w:tc>
          <w:tcPr>
            <w:tcW w:w="663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11</w:t>
            </w:r>
            <w:r>
              <w:rPr>
                <w:rFonts w:ascii="宋体" w:hAnsi="宋体" w:cs="宋体" w:eastAsia="宋体" w:hint="default"/>
                <w:sz w:val="18"/>
                <w:szCs w:val="18"/>
              </w:rPr>
              <w:t>）交易价格显失公允的交易产生的超过公允价值部分的损益</w:t>
            </w:r>
          </w:p>
        </w:tc>
        <w:tc>
          <w:tcPr>
            <w:tcW w:w="1711"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r>
      <w:tr>
        <w:trPr>
          <w:trHeight w:val="397" w:hRule="exact"/>
        </w:trPr>
        <w:tc>
          <w:tcPr>
            <w:tcW w:w="663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12</w:t>
            </w:r>
            <w:r>
              <w:rPr>
                <w:rFonts w:ascii="宋体" w:hAnsi="宋体" w:cs="宋体" w:eastAsia="宋体" w:hint="default"/>
                <w:sz w:val="18"/>
                <w:szCs w:val="18"/>
              </w:rPr>
              <w:t>）同一控制下企业合并产生的子公司期初至合并日的当期净损益</w:t>
            </w:r>
          </w:p>
        </w:tc>
        <w:tc>
          <w:tcPr>
            <w:tcW w:w="1711"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r>
      <w:tr>
        <w:trPr>
          <w:trHeight w:val="377" w:hRule="exact"/>
        </w:trPr>
        <w:tc>
          <w:tcPr>
            <w:tcW w:w="663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13</w:t>
            </w:r>
            <w:r>
              <w:rPr>
                <w:rFonts w:ascii="宋体" w:hAnsi="宋体" w:cs="宋体" w:eastAsia="宋体" w:hint="default"/>
                <w:sz w:val="18"/>
                <w:szCs w:val="18"/>
              </w:rPr>
              <w:t>）与公司正常经营业务无关的或有事项产生的损益</w:t>
            </w:r>
          </w:p>
        </w:tc>
        <w:tc>
          <w:tcPr>
            <w:tcW w:w="1711"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r>
      <w:tr>
        <w:trPr>
          <w:trHeight w:val="838" w:hRule="exact"/>
        </w:trPr>
        <w:tc>
          <w:tcPr>
            <w:tcW w:w="6632" w:type="dxa"/>
            <w:tcBorders>
              <w:top w:val="nil" w:sz="6" w:space="0" w:color="auto"/>
              <w:left w:val="nil" w:sz="6" w:space="0" w:color="auto"/>
              <w:bottom w:val="nil" w:sz="6" w:space="0" w:color="auto"/>
              <w:right w:val="nil" w:sz="6" w:space="0" w:color="auto"/>
            </w:tcBorders>
          </w:tcPr>
          <w:p>
            <w:pPr>
              <w:pStyle w:val="TableParagraph"/>
              <w:spacing w:line="237" w:lineRule="auto" w:before="34"/>
              <w:ind w:left="107" w:right="209"/>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14</w:t>
            </w:r>
            <w:r>
              <w:rPr>
                <w:rFonts w:ascii="宋体" w:hAnsi="宋体" w:cs="宋体" w:eastAsia="宋体" w:hint="default"/>
                <w:spacing w:val="-5"/>
                <w:sz w:val="18"/>
                <w:szCs w:val="18"/>
              </w:rPr>
              <w:t>）除同公司正常经营业务相关的有效套期保值业务外，持有交易性金融资产、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交易性金融负债产生的公允价值变动损益，以及处置交易性金融资产、交易性金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融负债和可供出售金融资产取得的投资收益</w:t>
            </w:r>
          </w:p>
        </w:tc>
        <w:tc>
          <w:tcPr>
            <w:tcW w:w="1711"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r>
      <w:tr>
        <w:trPr>
          <w:trHeight w:val="408" w:hRule="exact"/>
        </w:trPr>
        <w:tc>
          <w:tcPr>
            <w:tcW w:w="663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15</w:t>
            </w:r>
            <w:r>
              <w:rPr>
                <w:rFonts w:ascii="宋体" w:hAnsi="宋体" w:cs="宋体" w:eastAsia="宋体" w:hint="default"/>
                <w:sz w:val="18"/>
                <w:szCs w:val="18"/>
              </w:rPr>
              <w:t>）单独进行减值测试的应收款项减值准备转回</w:t>
            </w:r>
          </w:p>
        </w:tc>
        <w:tc>
          <w:tcPr>
            <w:tcW w:w="1711"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r>
      <w:tr>
        <w:trPr>
          <w:trHeight w:val="413" w:hRule="exact"/>
        </w:trPr>
        <w:tc>
          <w:tcPr>
            <w:tcW w:w="6632"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16</w:t>
            </w:r>
            <w:r>
              <w:rPr>
                <w:rFonts w:ascii="宋体" w:hAnsi="宋体" w:cs="宋体" w:eastAsia="宋体" w:hint="default"/>
                <w:sz w:val="18"/>
                <w:szCs w:val="18"/>
              </w:rPr>
              <w:t>）对外委托贷款取得的损益</w:t>
            </w:r>
          </w:p>
        </w:tc>
        <w:tc>
          <w:tcPr>
            <w:tcW w:w="1711"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r>
      <w:tr>
        <w:trPr>
          <w:trHeight w:val="377" w:hRule="exact"/>
        </w:trPr>
        <w:tc>
          <w:tcPr>
            <w:tcW w:w="663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17</w:t>
            </w:r>
            <w:r>
              <w:rPr>
                <w:rFonts w:ascii="宋体" w:hAnsi="宋体" w:cs="宋体" w:eastAsia="宋体" w:hint="default"/>
                <w:spacing w:val="-77"/>
                <w:sz w:val="18"/>
                <w:szCs w:val="18"/>
              </w:rPr>
              <w:t>）</w:t>
            </w:r>
            <w:r>
              <w:rPr>
                <w:rFonts w:ascii="宋体" w:hAnsi="宋体" w:cs="宋体" w:eastAsia="宋体" w:hint="default"/>
                <w:sz w:val="18"/>
                <w:szCs w:val="18"/>
              </w:rPr>
              <w:t>采用公允价值模式进行</w:t>
            </w:r>
            <w:r>
              <w:rPr>
                <w:rFonts w:ascii="宋体" w:hAnsi="宋体" w:cs="宋体" w:eastAsia="宋体" w:hint="default"/>
                <w:spacing w:val="-3"/>
                <w:sz w:val="18"/>
                <w:szCs w:val="18"/>
              </w:rPr>
              <w:t>后</w:t>
            </w:r>
            <w:r>
              <w:rPr>
                <w:rFonts w:ascii="宋体" w:hAnsi="宋体" w:cs="宋体" w:eastAsia="宋体" w:hint="default"/>
                <w:sz w:val="18"/>
                <w:szCs w:val="18"/>
              </w:rPr>
              <w:t>续计量的投资性房地产公允价值变动产生的损益</w:t>
            </w:r>
          </w:p>
        </w:tc>
        <w:tc>
          <w:tcPr>
            <w:tcW w:w="1711"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r>
      <w:tr>
        <w:trPr>
          <w:trHeight w:val="587" w:hRule="exact"/>
        </w:trPr>
        <w:tc>
          <w:tcPr>
            <w:tcW w:w="6632" w:type="dxa"/>
            <w:tcBorders>
              <w:top w:val="nil" w:sz="6" w:space="0" w:color="auto"/>
              <w:left w:val="nil" w:sz="6" w:space="0" w:color="auto"/>
              <w:bottom w:val="nil" w:sz="6" w:space="0" w:color="auto"/>
              <w:right w:val="nil" w:sz="6" w:space="0" w:color="auto"/>
            </w:tcBorders>
          </w:tcPr>
          <w:p>
            <w:pPr>
              <w:pStyle w:val="TableParagraph"/>
              <w:spacing w:line="230" w:lineRule="exact" w:before="58"/>
              <w:ind w:left="107" w:right="298"/>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18</w:t>
            </w:r>
            <w:r>
              <w:rPr>
                <w:rFonts w:ascii="宋体" w:hAnsi="宋体" w:cs="宋体" w:eastAsia="宋体" w:hint="default"/>
                <w:spacing w:val="-3"/>
                <w:sz w:val="18"/>
                <w:szCs w:val="18"/>
              </w:rPr>
              <w:t>）根据税收、会计等法律、法规的要求对当期损益进行一次性调整对当期损</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益的影响</w:t>
            </w:r>
          </w:p>
        </w:tc>
        <w:tc>
          <w:tcPr>
            <w:tcW w:w="1711"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r>
      <w:tr>
        <w:trPr>
          <w:trHeight w:val="377" w:hRule="exact"/>
        </w:trPr>
        <w:tc>
          <w:tcPr>
            <w:tcW w:w="663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19</w:t>
            </w:r>
            <w:r>
              <w:rPr>
                <w:rFonts w:ascii="宋体" w:hAnsi="宋体" w:cs="宋体" w:eastAsia="宋体" w:hint="default"/>
                <w:sz w:val="18"/>
                <w:szCs w:val="18"/>
              </w:rPr>
              <w:t>）受托经营取得的托管费收入</w:t>
            </w:r>
          </w:p>
        </w:tc>
        <w:tc>
          <w:tcPr>
            <w:tcW w:w="1711"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r>
      <w:tr>
        <w:trPr>
          <w:trHeight w:val="397" w:hRule="exact"/>
        </w:trPr>
        <w:tc>
          <w:tcPr>
            <w:tcW w:w="663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w:t>
            </w:r>
            <w:r>
              <w:rPr>
                <w:rFonts w:ascii="宋体" w:hAnsi="宋体" w:cs="宋体" w:eastAsia="宋体" w:hint="default"/>
                <w:sz w:val="18"/>
                <w:szCs w:val="18"/>
              </w:rPr>
              <w:t>）除上述各项之外的其他营业外收入和支出</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8"/>
              <w:jc w:val="right"/>
              <w:rPr>
                <w:rFonts w:ascii="宋体" w:hAnsi="宋体" w:cs="宋体" w:eastAsia="宋体" w:hint="default"/>
                <w:sz w:val="18"/>
                <w:szCs w:val="18"/>
              </w:rPr>
            </w:pPr>
            <w:r>
              <w:rPr>
                <w:rFonts w:ascii="宋体"/>
                <w:spacing w:val="-1"/>
                <w:sz w:val="18"/>
              </w:rPr>
              <w:t>253.33</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-12,186.20</w:t>
            </w:r>
          </w:p>
        </w:tc>
      </w:tr>
      <w:tr>
        <w:trPr>
          <w:trHeight w:val="397" w:hRule="exact"/>
        </w:trPr>
        <w:tc>
          <w:tcPr>
            <w:tcW w:w="663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21</w:t>
            </w:r>
            <w:r>
              <w:rPr>
                <w:rFonts w:ascii="宋体" w:hAnsi="宋体" w:cs="宋体" w:eastAsia="宋体" w:hint="default"/>
                <w:sz w:val="18"/>
                <w:szCs w:val="18"/>
              </w:rPr>
              <w:t>）其他符合非经常性损益定义的损益项目</w:t>
            </w:r>
          </w:p>
        </w:tc>
        <w:tc>
          <w:tcPr>
            <w:tcW w:w="1711"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r>
      <w:tr>
        <w:trPr>
          <w:trHeight w:val="397" w:hRule="exact"/>
        </w:trPr>
        <w:tc>
          <w:tcPr>
            <w:tcW w:w="663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b/>
                <w:bCs/>
                <w:sz w:val="18"/>
                <w:szCs w:val="18"/>
              </w:rPr>
              <w:t>非经常性损益合计</w:t>
            </w:r>
            <w:r>
              <w:rPr>
                <w:rFonts w:ascii="宋体" w:hAnsi="宋体" w:cs="宋体" w:eastAsia="宋体" w:hint="default"/>
                <w:sz w:val="18"/>
                <w:szCs w:val="18"/>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98"/>
              <w:jc w:val="right"/>
              <w:rPr>
                <w:rFonts w:ascii="宋体" w:hAnsi="宋体" w:cs="宋体" w:eastAsia="宋体" w:hint="default"/>
                <w:sz w:val="18"/>
                <w:szCs w:val="18"/>
              </w:rPr>
            </w:pPr>
            <w:r>
              <w:rPr>
                <w:rFonts w:ascii="宋体"/>
                <w:spacing w:val="-1"/>
                <w:sz w:val="18"/>
              </w:rPr>
              <w:t>384,132.83</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宋体" w:hAnsi="宋体" w:cs="宋体" w:eastAsia="宋体" w:hint="default"/>
                <w:sz w:val="18"/>
                <w:szCs w:val="18"/>
              </w:rPr>
            </w:pPr>
            <w:r>
              <w:rPr>
                <w:rFonts w:ascii="宋体"/>
                <w:spacing w:val="-1"/>
                <w:sz w:val="18"/>
              </w:rPr>
              <w:t>2,357,813.80</w:t>
            </w:r>
          </w:p>
        </w:tc>
      </w:tr>
      <w:tr>
        <w:trPr>
          <w:trHeight w:val="289" w:hRule="exact"/>
        </w:trPr>
        <w:tc>
          <w:tcPr>
            <w:tcW w:w="663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减：所得税影响金额</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8"/>
              <w:jc w:val="right"/>
              <w:rPr>
                <w:rFonts w:ascii="宋体" w:hAnsi="宋体" w:cs="宋体" w:eastAsia="宋体" w:hint="default"/>
                <w:sz w:val="18"/>
                <w:szCs w:val="18"/>
              </w:rPr>
            </w:pPr>
            <w:r>
              <w:rPr>
                <w:rFonts w:ascii="宋体"/>
                <w:spacing w:val="-1"/>
                <w:sz w:val="18"/>
              </w:rPr>
              <w:t>57,801.72</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353,672.07</w:t>
            </w:r>
          </w:p>
        </w:tc>
      </w:tr>
    </w:tbl>
    <w:p>
      <w:pPr>
        <w:spacing w:after="0" w:line="240" w:lineRule="auto"/>
        <w:jc w:val="right"/>
        <w:rPr>
          <w:rFonts w:ascii="宋体" w:hAnsi="宋体" w:cs="宋体" w:eastAsia="宋体" w:hint="default"/>
          <w:sz w:val="18"/>
          <w:szCs w:val="18"/>
        </w:rPr>
        <w:sectPr>
          <w:pgSz w:w="11910" w:h="16840"/>
          <w:pgMar w:header="877" w:footer="1340" w:top="1100" w:bottom="1540" w:left="92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5438"/>
        <w:gridCol w:w="2905"/>
        <w:gridCol w:w="1514"/>
      </w:tblGrid>
      <w:tr>
        <w:trPr>
          <w:trHeight w:val="297" w:hRule="exact"/>
        </w:trPr>
        <w:tc>
          <w:tcPr>
            <w:tcW w:w="5438" w:type="dxa"/>
            <w:tcBorders>
              <w:top w:val="nil" w:sz="6" w:space="0" w:color="auto"/>
              <w:left w:val="nil" w:sz="6" w:space="0" w:color="auto"/>
              <w:bottom w:val="single" w:sz="4" w:space="0" w:color="000000"/>
              <w:right w:val="nil" w:sz="6" w:space="0" w:color="auto"/>
            </w:tcBorders>
          </w:tcPr>
          <w:p>
            <w:pPr>
              <w:pStyle w:val="TableParagraph"/>
              <w:spacing w:line="180" w:lineRule="exact"/>
              <w:ind w:left="2496" w:right="0"/>
              <w:jc w:val="left"/>
              <w:rPr>
                <w:rFonts w:ascii="宋体" w:hAnsi="宋体" w:cs="宋体" w:eastAsia="宋体" w:hint="default"/>
                <w:sz w:val="18"/>
                <w:szCs w:val="18"/>
              </w:rPr>
            </w:pPr>
            <w:r>
              <w:rPr>
                <w:rFonts w:ascii="宋体" w:hAnsi="宋体" w:cs="宋体" w:eastAsia="宋体" w:hint="default"/>
                <w:b/>
                <w:bCs/>
                <w:sz w:val="18"/>
                <w:szCs w:val="18"/>
              </w:rPr>
              <w:t>非经常性损益明细</w:t>
            </w:r>
            <w:r>
              <w:rPr>
                <w:rFonts w:ascii="宋体" w:hAnsi="宋体" w:cs="宋体" w:eastAsia="宋体" w:hint="default"/>
                <w:sz w:val="18"/>
                <w:szCs w:val="18"/>
              </w:rPr>
            </w:r>
          </w:p>
        </w:tc>
        <w:tc>
          <w:tcPr>
            <w:tcW w:w="2905" w:type="dxa"/>
            <w:tcBorders>
              <w:top w:val="nil" w:sz="6" w:space="0" w:color="auto"/>
              <w:left w:val="nil" w:sz="6" w:space="0" w:color="auto"/>
              <w:bottom w:val="single" w:sz="4" w:space="0" w:color="000000"/>
              <w:right w:val="nil" w:sz="6" w:space="0" w:color="auto"/>
            </w:tcBorders>
          </w:tcPr>
          <w:p>
            <w:pPr>
              <w:pStyle w:val="TableParagraph"/>
              <w:spacing w:line="180" w:lineRule="exact"/>
              <w:ind w:left="1497"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514" w:type="dxa"/>
            <w:tcBorders>
              <w:top w:val="nil" w:sz="6" w:space="0" w:color="auto"/>
              <w:left w:val="nil" w:sz="6" w:space="0" w:color="auto"/>
              <w:bottom w:val="single" w:sz="4" w:space="0" w:color="000000"/>
              <w:right w:val="nil" w:sz="6" w:space="0" w:color="auto"/>
            </w:tcBorders>
          </w:tcPr>
          <w:p>
            <w:pPr>
              <w:pStyle w:val="TableParagraph"/>
              <w:spacing w:line="180" w:lineRule="exact"/>
              <w:ind w:left="299"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02" w:hRule="exact"/>
        </w:trPr>
        <w:tc>
          <w:tcPr>
            <w:tcW w:w="543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b/>
                <w:bCs/>
                <w:sz w:val="18"/>
                <w:szCs w:val="18"/>
              </w:rPr>
              <w:t>扣除所得税影响后的非经常性损益</w:t>
            </w:r>
            <w:r>
              <w:rPr>
                <w:rFonts w:ascii="宋体" w:hAnsi="宋体" w:cs="宋体" w:eastAsia="宋体" w:hint="default"/>
                <w:sz w:val="18"/>
                <w:szCs w:val="18"/>
              </w:rPr>
            </w:r>
          </w:p>
        </w:tc>
        <w:tc>
          <w:tcPr>
            <w:tcW w:w="290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97"/>
              <w:jc w:val="right"/>
              <w:rPr>
                <w:rFonts w:ascii="宋体" w:hAnsi="宋体" w:cs="宋体" w:eastAsia="宋体" w:hint="default"/>
                <w:sz w:val="18"/>
                <w:szCs w:val="18"/>
              </w:rPr>
            </w:pPr>
            <w:r>
              <w:rPr>
                <w:rFonts w:ascii="宋体"/>
                <w:spacing w:val="-1"/>
                <w:sz w:val="18"/>
              </w:rPr>
              <w:t>326,331.11</w:t>
            </w:r>
          </w:p>
        </w:tc>
        <w:tc>
          <w:tcPr>
            <w:tcW w:w="151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325" w:right="0"/>
              <w:jc w:val="left"/>
              <w:rPr>
                <w:rFonts w:ascii="宋体" w:hAnsi="宋体" w:cs="宋体" w:eastAsia="宋体" w:hint="default"/>
                <w:sz w:val="18"/>
                <w:szCs w:val="18"/>
              </w:rPr>
            </w:pPr>
            <w:r>
              <w:rPr>
                <w:rFonts w:ascii="宋体"/>
                <w:sz w:val="18"/>
              </w:rPr>
              <w:t>2,004,141.73</w:t>
            </w:r>
          </w:p>
        </w:tc>
      </w:tr>
      <w:tr>
        <w:trPr>
          <w:trHeight w:val="396" w:hRule="exact"/>
        </w:trPr>
        <w:tc>
          <w:tcPr>
            <w:tcW w:w="543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其中：归属于母公司所有者的非经常性损益</w:t>
            </w:r>
          </w:p>
        </w:tc>
        <w:tc>
          <w:tcPr>
            <w:tcW w:w="290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7"/>
              <w:jc w:val="right"/>
              <w:rPr>
                <w:rFonts w:ascii="宋体" w:hAnsi="宋体" w:cs="宋体" w:eastAsia="宋体" w:hint="default"/>
                <w:sz w:val="18"/>
                <w:szCs w:val="18"/>
              </w:rPr>
            </w:pPr>
            <w:r>
              <w:rPr>
                <w:rFonts w:ascii="宋体"/>
                <w:spacing w:val="-1"/>
                <w:sz w:val="18"/>
              </w:rPr>
              <w:t>326,331.11</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25" w:right="0"/>
              <w:jc w:val="left"/>
              <w:rPr>
                <w:rFonts w:ascii="宋体" w:hAnsi="宋体" w:cs="宋体" w:eastAsia="宋体" w:hint="default"/>
                <w:sz w:val="18"/>
                <w:szCs w:val="18"/>
              </w:rPr>
            </w:pPr>
            <w:r>
              <w:rPr>
                <w:rFonts w:ascii="宋体"/>
                <w:sz w:val="18"/>
              </w:rPr>
              <w:t>2,004,141.73</w:t>
            </w:r>
          </w:p>
        </w:tc>
      </w:tr>
      <w:tr>
        <w:trPr>
          <w:trHeight w:val="288" w:hRule="exact"/>
        </w:trPr>
        <w:tc>
          <w:tcPr>
            <w:tcW w:w="543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8" w:right="0"/>
              <w:jc w:val="left"/>
              <w:rPr>
                <w:rFonts w:ascii="宋体" w:hAnsi="宋体" w:cs="宋体" w:eastAsia="宋体" w:hint="default"/>
                <w:sz w:val="18"/>
                <w:szCs w:val="18"/>
              </w:rPr>
            </w:pPr>
            <w:r>
              <w:rPr>
                <w:rFonts w:ascii="宋体" w:hAnsi="宋体" w:cs="宋体" w:eastAsia="宋体" w:hint="default"/>
                <w:sz w:val="18"/>
                <w:szCs w:val="18"/>
              </w:rPr>
              <w:t>归属于少数股东的非经常性损益</w:t>
            </w:r>
          </w:p>
        </w:tc>
        <w:tc>
          <w:tcPr>
            <w:tcW w:w="2905"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pStyle w:val="Heading3"/>
        <w:spacing w:line="240" w:lineRule="auto" w:before="169"/>
        <w:ind w:left="695" w:right="1034"/>
        <w:jc w:val="left"/>
        <w:rPr>
          <w:rFonts w:ascii="黑体" w:hAnsi="黑体" w:cs="黑体" w:eastAsia="黑体" w:hint="default"/>
          <w:b w:val="0"/>
          <w:bCs w:val="0"/>
        </w:rPr>
      </w:pPr>
      <w:r>
        <w:rPr>
          <w:rFonts w:ascii="黑体" w:hAnsi="黑体" w:cs="黑体" w:eastAsia="黑体" w:hint="default"/>
        </w:rPr>
        <w:t>二十一、其他重要事项</w:t>
      </w:r>
      <w:r>
        <w:rPr>
          <w:rFonts w:ascii="黑体" w:hAnsi="黑体" w:cs="黑体" w:eastAsia="黑体" w:hint="default"/>
          <w:b w:val="0"/>
          <w:bCs w:val="0"/>
        </w:rPr>
      </w:r>
    </w:p>
    <w:p>
      <w:pPr>
        <w:spacing w:line="240" w:lineRule="auto" w:before="9"/>
        <w:rPr>
          <w:rFonts w:ascii="黑体" w:hAnsi="黑体" w:cs="黑体" w:eastAsia="黑体" w:hint="default"/>
          <w:b/>
          <w:bCs/>
          <w:sz w:val="32"/>
          <w:szCs w:val="32"/>
        </w:rPr>
      </w:pPr>
    </w:p>
    <w:p>
      <w:pPr>
        <w:pStyle w:val="BodyText"/>
        <w:spacing w:line="240" w:lineRule="auto"/>
        <w:ind w:left="573" w:right="1034"/>
        <w:jc w:val="left"/>
      </w:pPr>
      <w:r>
        <w:rPr/>
        <w:t>截至</w:t>
      </w:r>
      <w:r>
        <w:rPr>
          <w:spacing w:val="-46"/>
        </w:rPr>
        <w:t> </w:t>
      </w:r>
      <w:r>
        <w:rPr>
          <w:rFonts w:ascii="宋体" w:hAnsi="宋体" w:cs="宋体" w:eastAsia="宋体" w:hint="default"/>
        </w:rPr>
        <w:t>2012</w:t>
      </w:r>
      <w:r>
        <w:rPr>
          <w:rFonts w:ascii="宋体" w:hAnsi="宋体" w:cs="宋体" w:eastAsia="宋体" w:hint="default"/>
          <w:spacing w:val="-47"/>
        </w:rPr>
        <w:t> </w:t>
      </w:r>
      <w:r>
        <w:rPr/>
        <w:t>年</w:t>
      </w:r>
      <w:r>
        <w:rPr>
          <w:spacing w:val="-46"/>
        </w:rPr>
        <w:t> </w:t>
      </w:r>
      <w:r>
        <w:rPr>
          <w:rFonts w:ascii="宋体" w:hAnsi="宋体" w:cs="宋体" w:eastAsia="宋体" w:hint="default"/>
        </w:rPr>
        <w:t>12</w:t>
      </w:r>
      <w:r>
        <w:rPr>
          <w:rFonts w:ascii="宋体" w:hAnsi="宋体" w:cs="宋体" w:eastAsia="宋体" w:hint="default"/>
          <w:spacing w:val="-45"/>
        </w:rPr>
        <w:t> </w:t>
      </w:r>
      <w:r>
        <w:rPr/>
        <w:t>月</w:t>
      </w:r>
      <w:r>
        <w:rPr>
          <w:spacing w:val="-48"/>
        </w:rPr>
        <w:t> </w:t>
      </w:r>
      <w:r>
        <w:rPr>
          <w:rFonts w:ascii="宋体" w:hAnsi="宋体" w:cs="宋体" w:eastAsia="宋体" w:hint="default"/>
        </w:rPr>
        <w:t>31</w:t>
      </w:r>
      <w:r>
        <w:rPr>
          <w:rFonts w:ascii="宋体" w:hAnsi="宋体" w:cs="宋体" w:eastAsia="宋体" w:hint="default"/>
          <w:spacing w:val="-45"/>
        </w:rPr>
        <w:t> </w:t>
      </w:r>
      <w:r>
        <w:rPr/>
        <w:t>日，公司未发生重大其他影响本财务报表阅读和理解的重要事项。</w:t>
      </w:r>
    </w:p>
    <w:p>
      <w:pPr>
        <w:spacing w:line="240" w:lineRule="auto" w:before="0"/>
        <w:rPr>
          <w:rFonts w:ascii="宋体" w:hAnsi="宋体" w:cs="宋体" w:eastAsia="宋体" w:hint="default"/>
          <w:sz w:val="18"/>
          <w:szCs w:val="18"/>
        </w:rPr>
      </w:pPr>
    </w:p>
    <w:p>
      <w:pPr>
        <w:pStyle w:val="Heading3"/>
        <w:spacing w:line="240" w:lineRule="auto" w:before="131"/>
        <w:ind w:left="695" w:right="1034"/>
        <w:jc w:val="left"/>
        <w:rPr>
          <w:rFonts w:ascii="黑体" w:hAnsi="黑体" w:cs="黑体" w:eastAsia="黑体" w:hint="default"/>
          <w:b w:val="0"/>
          <w:bCs w:val="0"/>
        </w:rPr>
      </w:pPr>
      <w:r>
        <w:rPr>
          <w:rFonts w:ascii="黑体" w:hAnsi="黑体" w:cs="黑体" w:eastAsia="黑体" w:hint="default"/>
        </w:rPr>
        <w:t>二十二、财务报表之批准</w:t>
      </w:r>
      <w:r>
        <w:rPr>
          <w:rFonts w:ascii="黑体" w:hAnsi="黑体" w:cs="黑体" w:eastAsia="黑体" w:hint="default"/>
          <w:b w:val="0"/>
          <w:bCs w:val="0"/>
        </w:rPr>
      </w:r>
    </w:p>
    <w:p>
      <w:pPr>
        <w:spacing w:line="240" w:lineRule="auto" w:before="10"/>
        <w:rPr>
          <w:rFonts w:ascii="黑体" w:hAnsi="黑体" w:cs="黑体" w:eastAsia="黑体" w:hint="default"/>
          <w:b/>
          <w:bCs/>
          <w:sz w:val="32"/>
          <w:szCs w:val="32"/>
        </w:rPr>
      </w:pPr>
    </w:p>
    <w:p>
      <w:pPr>
        <w:pStyle w:val="BodyText"/>
        <w:spacing w:line="240" w:lineRule="auto"/>
        <w:ind w:left="573" w:right="1034"/>
        <w:jc w:val="left"/>
      </w:pPr>
      <w:r>
        <w:rPr/>
        <w:t>本财务报表业经公司董事会于</w:t>
      </w:r>
      <w:r>
        <w:rPr>
          <w:spacing w:val="-45"/>
        </w:rPr>
        <w:t> </w:t>
      </w:r>
      <w:r>
        <w:rPr>
          <w:rFonts w:ascii="宋体" w:hAnsi="宋体" w:cs="宋体" w:eastAsia="宋体" w:hint="default"/>
        </w:rPr>
        <w:t>2013</w:t>
      </w:r>
      <w:r>
        <w:rPr>
          <w:rFonts w:ascii="宋体" w:hAnsi="宋体" w:cs="宋体" w:eastAsia="宋体" w:hint="default"/>
          <w:spacing w:val="-45"/>
        </w:rPr>
        <w:t> </w:t>
      </w:r>
      <w:r>
        <w:rPr/>
        <w:t>年</w:t>
      </w:r>
      <w:r>
        <w:rPr>
          <w:spacing w:val="-48"/>
        </w:rPr>
        <w:t> </w:t>
      </w:r>
      <w:r>
        <w:rPr>
          <w:rFonts w:ascii="宋体" w:hAnsi="宋体" w:cs="宋体" w:eastAsia="宋体" w:hint="default"/>
        </w:rPr>
        <w:t>2</w:t>
      </w:r>
      <w:r>
        <w:rPr>
          <w:rFonts w:ascii="宋体" w:hAnsi="宋体" w:cs="宋体" w:eastAsia="宋体" w:hint="default"/>
          <w:spacing w:val="-45"/>
        </w:rPr>
        <w:t> </w:t>
      </w:r>
      <w:r>
        <w:rPr/>
        <w:t>月</w:t>
      </w:r>
      <w:r>
        <w:rPr>
          <w:spacing w:val="-48"/>
        </w:rPr>
        <w:t> </w:t>
      </w:r>
      <w:r>
        <w:rPr>
          <w:rFonts w:ascii="宋体" w:hAnsi="宋体" w:cs="宋体" w:eastAsia="宋体" w:hint="default"/>
        </w:rPr>
        <w:t>26</w:t>
      </w:r>
      <w:r>
        <w:rPr>
          <w:rFonts w:ascii="宋体" w:hAnsi="宋体" w:cs="宋体" w:eastAsia="宋体" w:hint="default"/>
          <w:spacing w:val="-45"/>
        </w:rPr>
        <w:t> </w:t>
      </w:r>
      <w:r>
        <w:rPr/>
        <w:t>日批准通过。</w:t>
      </w:r>
    </w:p>
    <w:p>
      <w:pPr>
        <w:spacing w:after="0" w:line="240" w:lineRule="auto"/>
        <w:jc w:val="left"/>
        <w:sectPr>
          <w:pgSz w:w="11910" w:h="16840"/>
          <w:pgMar w:header="877" w:footer="1340" w:top="1100" w:bottom="1540" w:left="9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152" w:right="981" w:firstLine="3133"/>
        <w:jc w:val="left"/>
        <w:rPr>
          <w:b w:val="0"/>
          <w:bCs w:val="0"/>
        </w:rPr>
      </w:pPr>
      <w:bookmarkStart w:name="_TOC_250000" w:id="11"/>
      <w:r>
        <w:rPr/>
        <w:t>第十一节</w:t>
      </w:r>
      <w:r>
        <w:rPr>
          <w:spacing w:val="-6"/>
        </w:rPr>
        <w:t> </w:t>
      </w:r>
      <w:r>
        <w:rPr/>
        <w:t>备查文件目录</w:t>
      </w:r>
      <w:bookmarkEnd w:id="11"/>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1129" w:firstLine="0"/>
        <w:jc w:val="left"/>
        <w:rPr>
          <w:b w:val="0"/>
          <w:bCs w:val="0"/>
        </w:rPr>
      </w:pPr>
      <w:r>
        <w:rPr>
          <w:spacing w:val="2"/>
        </w:rPr>
        <w:t>一、载有法定代表人、主管会计工作负责人和会计机构负责人签名并盖章的会</w:t>
      </w:r>
      <w:r>
        <w:rPr>
          <w:w w:val="99"/>
        </w:rPr>
        <w:t> </w:t>
      </w:r>
      <w:r>
        <w:rPr/>
        <w:t>计报表。</w:t>
      </w:r>
      <w:r>
        <w:rPr>
          <w:b w:val="0"/>
          <w:bCs w:val="0"/>
        </w:rPr>
      </w:r>
    </w:p>
    <w:p>
      <w:pPr>
        <w:spacing w:line="240" w:lineRule="auto" w:before="1"/>
        <w:rPr>
          <w:rFonts w:ascii="宋体" w:hAnsi="宋体" w:cs="宋体" w:eastAsia="宋体" w:hint="default"/>
          <w:b/>
          <w:bCs/>
          <w:sz w:val="23"/>
          <w:szCs w:val="23"/>
        </w:rPr>
      </w:pPr>
    </w:p>
    <w:p>
      <w:pPr>
        <w:pStyle w:val="Heading2"/>
        <w:spacing w:line="240" w:lineRule="auto"/>
        <w:ind w:right="981" w:firstLine="0"/>
        <w:jc w:val="left"/>
        <w:rPr>
          <w:b w:val="0"/>
          <w:bCs w:val="0"/>
        </w:rPr>
      </w:pPr>
      <w:r>
        <w:rPr/>
        <w:t>二、载有会计师事务所盖章、注册会计师签名并盖章的审计报告原件。</w:t>
      </w:r>
      <w:r>
        <w:rPr>
          <w:b w:val="0"/>
          <w:bCs w:val="0"/>
        </w:rPr>
      </w:r>
    </w:p>
    <w:p>
      <w:pPr>
        <w:spacing w:line="240" w:lineRule="auto" w:before="1"/>
        <w:rPr>
          <w:rFonts w:ascii="宋体" w:hAnsi="宋体" w:cs="宋体" w:eastAsia="宋体" w:hint="default"/>
          <w:b/>
          <w:bCs/>
          <w:sz w:val="38"/>
          <w:szCs w:val="38"/>
        </w:rPr>
      </w:pPr>
    </w:p>
    <w:p>
      <w:pPr>
        <w:pStyle w:val="Heading2"/>
        <w:spacing w:line="408" w:lineRule="auto"/>
        <w:ind w:right="1129" w:firstLine="0"/>
        <w:jc w:val="left"/>
        <w:rPr>
          <w:b w:val="0"/>
          <w:bCs w:val="0"/>
        </w:rPr>
      </w:pPr>
      <w:r>
        <w:rPr>
          <w:spacing w:val="2"/>
        </w:rPr>
        <w:t>三、报告期内在中国证监会指定报纸上公开披露过的所有公司文件的正本及公</w:t>
      </w:r>
      <w:r>
        <w:rPr>
          <w:w w:val="99"/>
        </w:rPr>
        <w:t> </w:t>
      </w:r>
      <w:r>
        <w:rPr/>
        <w:t>告的原稿。</w:t>
      </w:r>
      <w:r>
        <w:rPr>
          <w:b w:val="0"/>
          <w:bCs w:val="0"/>
        </w:rPr>
      </w:r>
    </w:p>
    <w:p>
      <w:pPr>
        <w:spacing w:line="240" w:lineRule="auto" w:before="1"/>
        <w:rPr>
          <w:rFonts w:ascii="宋体" w:hAnsi="宋体" w:cs="宋体" w:eastAsia="宋体" w:hint="default"/>
          <w:b/>
          <w:bCs/>
          <w:sz w:val="23"/>
          <w:szCs w:val="23"/>
        </w:rPr>
      </w:pPr>
    </w:p>
    <w:p>
      <w:pPr>
        <w:pStyle w:val="Heading2"/>
        <w:spacing w:line="535" w:lineRule="auto"/>
        <w:ind w:right="4289" w:firstLine="0"/>
        <w:jc w:val="left"/>
        <w:rPr>
          <w:b w:val="0"/>
          <w:bCs w:val="0"/>
        </w:rPr>
      </w:pPr>
      <w:r>
        <w:rPr/>
        <w:t>四、载有董事长签名的</w:t>
      </w:r>
      <w:r>
        <w:rPr>
          <w:rFonts w:ascii="Times New Roman" w:hAnsi="Times New Roman" w:cs="Times New Roman" w:eastAsia="Times New Roman" w:hint="default"/>
        </w:rPr>
        <w:t>2012</w:t>
      </w:r>
      <w:r>
        <w:rPr/>
        <w:t>年度报告文本原件。</w:t>
      </w:r>
      <w:r>
        <w:rPr>
          <w:w w:val="99"/>
        </w:rPr>
        <w:t> </w:t>
      </w:r>
      <w:r>
        <w:rPr/>
        <w:t>五、上述备查文件的备置地点：公司董事会办公室。</w:t>
      </w:r>
      <w:r>
        <w:rPr>
          <w:b w:val="0"/>
          <w:bCs w:val="0"/>
        </w:rPr>
      </w:r>
    </w:p>
    <w:sectPr>
      <w:pgSz w:w="11910" w:h="16840"/>
      <w:pgMar w:header="877" w:footer="1340" w:top="1100" w:bottom="154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560896" type="#_x0000_t75" stroked="false">
          <v:imagedata r:id="rId1" o:title=""/>
        </v:shape>
      </w:pict>
    </w:r>
    <w:r>
      <w:rPr/>
      <w:pict>
        <v:shape style="position:absolute;margin-left:293.369995pt;margin-top:781.933899pt;width:8.5pt;height:11pt;mso-position-horizontal-relative:page;mso-position-vertical-relative:page;z-index:-5608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5605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39</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560512" type="#_x0000_t75" stroked="false">
          <v:imagedata r:id="rId1" o:title=""/>
        </v:shape>
      </w:pict>
    </w:r>
    <w:r>
      <w:rPr/>
      <w:pict>
        <v:shape style="position:absolute;margin-left:291.089996pt;margin-top:781.933899pt;width:13.15pt;height:11pt;mso-position-horizontal-relative:page;mso-position-vertical-relative:page;z-index:-5604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41</w:t>
                </w:r>
                <w:r>
                  <w:rPr/>
                  <w:fldChar w:fldCharType="end"/>
                </w:r>
                <w:r>
                  <w:rPr>
                    <w:rFonts w:ascii="Times New Roman"/>
                    <w:spacing w:val="1"/>
                  </w:rPr>
                </w:r>
                <w:r>
                  <w:rPr>
                    <w:rFonts w:ascii="Times New Roman"/>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560464" type="#_x0000_t75" stroked="false">
          <v:imagedata r:id="rId1" o:title=""/>
        </v:shape>
      </w:pict>
    </w:r>
    <w:r>
      <w:rPr/>
      <w:pict>
        <v:shape style="position:absolute;margin-left:291.089996pt;margin-top:781.933899pt;width:13.15pt;height:11pt;mso-position-horizontal-relative:page;mso-position-vertical-relative:page;z-index:-5604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44</w:t>
                </w:r>
                <w:r>
                  <w:rPr/>
                  <w:fldChar w:fldCharType="end"/>
                </w:r>
                <w:r>
                  <w:rPr>
                    <w:rFonts w:ascii="Times New Roman"/>
                    <w:spacing w:val="1"/>
                  </w:rPr>
                </w:r>
                <w:r>
                  <w:rPr>
                    <w:rFonts w:ascii="Times New Roman"/>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5604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57</w:t>
                </w:r>
                <w:r>
                  <w:rPr/>
                  <w:fldChar w:fldCharType="end"/>
                </w:r>
                <w:r>
                  <w:rPr>
                    <w:rFonts w:ascii="Times New Roman"/>
                    <w:spacing w:val="1"/>
                  </w:rPr>
                </w:r>
                <w:r>
                  <w:rPr>
                    <w:rFonts w:ascii="Times New Roman"/>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560392" type="#_x0000_t75" stroked="false">
          <v:imagedata r:id="rId1" o:title=""/>
        </v:shape>
      </w:pict>
    </w:r>
    <w:r>
      <w:rPr/>
      <w:pict>
        <v:shape style="position:absolute;margin-left:291.089996pt;margin-top:781.933899pt;width:13.15pt;height:11pt;mso-position-horizontal-relative:page;mso-position-vertical-relative:page;z-index:-560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r>
                  <w:rPr>
                    <w:rFonts w:ascii="Times New Roman"/>
                    <w:spacing w:val="1"/>
                  </w:rPr>
                </w:r>
                <w:r>
                  <w:rPr>
                    <w:rFonts w:ascii="Times New Roman"/>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5603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63</w:t>
                </w:r>
                <w:r>
                  <w:rPr/>
                  <w:fldChar w:fldCharType="end"/>
                </w:r>
                <w:r>
                  <w:rPr>
                    <w:rFonts w:ascii="Times New Roman"/>
                    <w:spacing w:val="1"/>
                  </w:rPr>
                </w:r>
                <w:r>
                  <w:rPr>
                    <w:rFonts w:ascii="Times New Roman"/>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560320" type="#_x0000_t75" stroked="false">
          <v:imagedata r:id="rId1" o:title=""/>
        </v:shape>
      </w:pict>
    </w:r>
    <w:r>
      <w:rPr/>
      <w:pict>
        <v:shape style="position:absolute;margin-left:291.089996pt;margin-top:781.933899pt;width:13.15pt;height:11pt;mso-position-horizontal-relative:page;mso-position-vertical-relative:page;z-index:-5602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67</w:t>
                </w:r>
                <w:r>
                  <w:rPr/>
                  <w:fldChar w:fldCharType="end"/>
                </w:r>
                <w:r>
                  <w:rPr>
                    <w:rFonts w:ascii="Times New Roman"/>
                    <w:spacing w:val="1"/>
                  </w:rPr>
                </w:r>
                <w:r>
                  <w:rPr>
                    <w:rFonts w:ascii="Times New Roman"/>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560272" type="#_x0000_t75" stroked="false">
          <v:imagedata r:id="rId1" o:title=""/>
        </v:shape>
      </w:pict>
    </w:r>
    <w:r>
      <w:rPr/>
      <w:pict>
        <v:shape style="position:absolute;margin-left:291.089996pt;margin-top:781.933899pt;width:13.15pt;height:11pt;mso-position-horizontal-relative:page;mso-position-vertical-relative:page;z-index:-5602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84</w:t>
                </w:r>
                <w:r>
                  <w:rPr/>
                  <w:fldChar w:fldCharType="end"/>
                </w:r>
                <w:r>
                  <w:rPr>
                    <w:rFonts w:ascii="Times New Roman"/>
                    <w:spacing w:val="1"/>
                  </w:rPr>
                </w:r>
                <w:r>
                  <w:rPr>
                    <w:rFonts w:ascii="Times New Roman"/>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560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95</w:t>
                </w:r>
                <w:r>
                  <w:rPr/>
                  <w:fldChar w:fldCharType="end"/>
                </w:r>
                <w:r>
                  <w:rPr>
                    <w:rFonts w:ascii="Times New Roman"/>
                    <w:spacing w:val="1"/>
                  </w:rPr>
                </w:r>
                <w:r>
                  <w:rPr>
                    <w:rFonts w:ascii="Times New Roman"/>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560200" type="#_x0000_t75" stroked="false">
          <v:imagedata r:id="rId1" o:title=""/>
        </v:shape>
      </w:pict>
    </w:r>
    <w:r>
      <w:rPr/>
      <w:pict>
        <v:shape style="position:absolute;margin-left:291.089996pt;margin-top:781.933899pt;width:13.15pt;height:11pt;mso-position-horizontal-relative:page;mso-position-vertical-relative:page;z-index:-5601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97</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5608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560152" type="#_x0000_t75" stroked="false">
          <v:imagedata r:id="rId1" o:title=""/>
        </v:shape>
      </w:pict>
    </w:r>
    <w:r>
      <w:rPr/>
      <w:pict>
        <v:shape style="position:absolute;margin-left:289.809998pt;margin-top:781.933899pt;width:15.7pt;height:11pt;mso-position-horizontal-relative:page;mso-position-vertical-relative:page;z-index:-5601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560104" type="#_x0000_t75" stroked="false">
          <v:imagedata r:id="rId1" o:title=""/>
        </v:shape>
      </w:pict>
    </w:r>
    <w:r>
      <w:rPr/>
      <w:pict>
        <v:shape style="position:absolute;margin-left:288.809998pt;margin-top:781.933899pt;width:17.7pt;height:11pt;mso-position-horizontal-relative:page;mso-position-vertical-relative:page;z-index:-5600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560824" type="#_x0000_t75" stroked="false">
          <v:imagedata r:id="rId1" o:title=""/>
        </v:shape>
      </w:pict>
    </w:r>
    <w:r>
      <w:rPr/>
      <w:pict>
        <v:shape style="position:absolute;margin-left:291.089996pt;margin-top:781.933899pt;width:13.15pt;height:11pt;mso-position-horizontal-relative:page;mso-position-vertical-relative:page;z-index:-5608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5607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560752" type="#_x0000_t75" stroked="false">
          <v:imagedata r:id="rId1" o:title=""/>
        </v:shape>
      </w:pict>
    </w:r>
    <w:r>
      <w:rPr/>
      <w:pict>
        <v:shape style="position:absolute;margin-left:291.089996pt;margin-top:781.933899pt;width:13.15pt;height:11pt;mso-position-horizontal-relative:page;mso-position-vertical-relative:page;z-index:-5607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24</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560704" type="#_x0000_t75" stroked="false">
          <v:imagedata r:id="rId1" o:title=""/>
        </v:shape>
      </w:pict>
    </w:r>
    <w:r>
      <w:rPr/>
      <w:pict>
        <v:shape style="position:absolute;margin-left:291.089996pt;margin-top:781.933899pt;width:13.15pt;height:11pt;mso-position-horizontal-relative:page;mso-position-vertical-relative:page;z-index:-5606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25</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560656" type="#_x0000_t75" stroked="false">
          <v:imagedata r:id="rId1" o:title=""/>
        </v:shape>
      </w:pict>
    </w:r>
    <w:r>
      <w:rPr/>
      <w:pict>
        <v:shape style="position:absolute;margin-left:291.089996pt;margin-top:781.933899pt;width:13.15pt;height:11pt;mso-position-horizontal-relative:page;mso-position-vertical-relative:page;z-index:-5606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5606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32</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560584" type="#_x0000_t75" stroked="false">
          <v:imagedata r:id="rId1" o:title=""/>
        </v:shape>
      </w:pict>
    </w:r>
    <w:r>
      <w:rPr/>
      <w:pict>
        <v:shape style="position:absolute;margin-left:291.089996pt;margin-top:781.933899pt;width:13.15pt;height:11pt;mso-position-horizontal-relative:page;mso-position-vertical-relative:page;z-index:-5605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34</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56094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53.070007pt;margin-top:42.865608pt;width:186.75pt;height:11.5pt;mso-position-horizontal-relative:page;mso-position-vertical-relative:page;z-index:-560920" type="#_x0000_t202" filled="false" stroked="false">
          <v:textbox inset="0,0,0,0">
            <w:txbxContent>
              <w:p>
                <w:pPr>
                  <w:pStyle w:val="BodyText"/>
                  <w:spacing w:line="214" w:lineRule="exact"/>
                  <w:ind w:left="20" w:right="0"/>
                  <w:jc w:val="left"/>
                </w:pPr>
                <w:r>
                  <w:rPr/>
                  <w:t>中海网络科技股份有限公司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2"/>
    </w:pPr>
    <w:rPr>
      <w:rFonts w:ascii="宋体" w:hAnsi="宋体" w:eastAsia="宋体"/>
      <w:sz w:val="28"/>
      <w:szCs w:val="2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52" w:firstLine="562"/>
      <w:outlineLvl w:val="2"/>
    </w:pPr>
    <w:rPr>
      <w:rFonts w:ascii="宋体" w:hAnsi="宋体" w:eastAsia="宋体"/>
      <w:b/>
      <w:bCs/>
      <w:sz w:val="28"/>
      <w:szCs w:val="28"/>
    </w:rPr>
  </w:style>
  <w:style w:styleId="Heading3" w:type="paragraph">
    <w:name w:val="Heading 3"/>
    <w:basedOn w:val="Normal"/>
    <w:uiPriority w:val="1"/>
    <w:qFormat/>
    <w:pPr>
      <w:ind w:left="152"/>
      <w:outlineLvl w:val="3"/>
    </w:pPr>
    <w:rPr>
      <w:rFonts w:ascii="宋体" w:hAnsi="宋体" w:eastAsia="宋体"/>
      <w:b/>
      <w:bCs/>
      <w:sz w:val="24"/>
      <w:szCs w:val="24"/>
    </w:rPr>
  </w:style>
  <w:style w:styleId="Heading4" w:type="paragraph">
    <w:name w:val="Heading 4"/>
    <w:basedOn w:val="Normal"/>
    <w:uiPriority w:val="1"/>
    <w:qFormat/>
    <w:pPr>
      <w:spacing w:before="41"/>
      <w:ind w:left="152"/>
      <w:outlineLvl w:val="4"/>
    </w:pPr>
    <w:rPr>
      <w:rFonts w:ascii="宋体" w:hAnsi="宋体" w:eastAsia="宋体"/>
      <w:sz w:val="22"/>
      <w:szCs w:val="22"/>
    </w:rPr>
  </w:style>
  <w:style w:styleId="Heading5" w:type="paragraph">
    <w:name w:val="Heading 5"/>
    <w:basedOn w:val="Normal"/>
    <w:uiPriority w:val="1"/>
    <w:qFormat/>
    <w:pPr>
      <w:ind w:left="152"/>
      <w:outlineLvl w:val="5"/>
    </w:pPr>
    <w:rPr>
      <w:rFonts w:ascii="宋体" w:hAnsi="宋体" w:eastAsia="宋体"/>
      <w:b/>
      <w:bCs/>
      <w:sz w:val="21"/>
      <w:szCs w:val="21"/>
    </w:rPr>
  </w:style>
  <w:style w:styleId="Heading6" w:type="paragraph">
    <w:name w:val="Heading 6"/>
    <w:basedOn w:val="Normal"/>
    <w:uiPriority w:val="1"/>
    <w:qFormat/>
    <w:pPr>
      <w:ind w:left="212"/>
      <w:outlineLvl w:val="6"/>
    </w:pPr>
    <w:rPr>
      <w:rFonts w:ascii="宋体" w:hAnsi="宋体" w:eastAsia="宋体"/>
      <w:sz w:val="21"/>
      <w:szCs w:val="21"/>
    </w:rPr>
  </w:style>
  <w:style w:styleId="Heading7" w:type="paragraph">
    <w:name w:val="Heading 7"/>
    <w:basedOn w:val="Normal"/>
    <w:uiPriority w:val="1"/>
    <w:qFormat/>
    <w:pPr>
      <w:outlineLvl w:val="7"/>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cnshippingnt.com/" TargetMode="External"/><Relationship Id="rId10" Type="http://schemas.openxmlformats.org/officeDocument/2006/relationships/hyperlink" Target="mailto:dsh@cnshippingnt.com" TargetMode="External"/><Relationship Id="rId11" Type="http://schemas.openxmlformats.org/officeDocument/2006/relationships/hyperlink" Target="mailto:sunwenbin@cnshippingnt.com" TargetMode="External"/><Relationship Id="rId12" Type="http://schemas.openxmlformats.org/officeDocument/2006/relationships/hyperlink" Target="mailto:dailan@cnshippingnt.com" TargetMode="External"/><Relationship Id="rId13" Type="http://schemas.openxmlformats.org/officeDocument/2006/relationships/hyperlink" Target="http://www.cninfo.com.cn/" TargetMode="Externa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image" Target="media/image3.jpeg"/><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image" Target="media/image6.png"/><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footer" Target="footer18.xml"/><Relationship Id="rId35" Type="http://schemas.openxmlformats.org/officeDocument/2006/relationships/footer" Target="footer19.xml"/><Relationship Id="rId36" Type="http://schemas.openxmlformats.org/officeDocument/2006/relationships/footer" Target="footer20.xml"/><Relationship Id="rId37" Type="http://schemas.openxmlformats.org/officeDocument/2006/relationships/footer" Target="footer2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2020-05-04T01:00:19Z</dcterms:created>
  <dcterms:modified xsi:type="dcterms:W3CDTF">2020-05-04T01:00:19Z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2013-02-27T00:00:00Z</vt:filetime>
  </property>
  <property fmtid="{D5CDD505-2E9C-101B-9397-08002B2CF9AE}" pid="3" name="Creator">
    <vt:lpwstr>Microsoft® Office Word 2007</vt:lpwstr>
  </property>
  <property fmtid="{D5CDD505-2E9C-101B-9397-08002B2CF9AE}" pid="4" name="LastSaved">
    <vt:filetime>2020-05-03T00:00:00Z</vt:filetime>
  </property>
</Properties>
</file>